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Default="00B80657" w:rsidP="004A6040">
      <w:pPr>
        <w:pStyle w:val="1-MainHeading"/>
        <w:rPr>
          <w:sz w:val="32"/>
          <w:szCs w:val="32"/>
          <w:vertAlign w:val="superscript"/>
        </w:rPr>
      </w:pPr>
      <w:bookmarkStart w:id="0" w:name="_Toc61864182"/>
      <w:r>
        <w:t>5.02</w:t>
      </w:r>
      <w:r w:rsidR="00163F66" w:rsidRPr="00D4558F">
        <w:tab/>
      </w:r>
      <w:r w:rsidR="00DF2286" w:rsidRPr="00D4558F">
        <w:t>BUROSUMAB</w:t>
      </w:r>
      <w:r w:rsidR="00163F66" w:rsidRPr="00D4558F">
        <w:t>,</w:t>
      </w:r>
      <w:r w:rsidR="00163F66" w:rsidRPr="00D4558F">
        <w:br/>
      </w:r>
      <w:r>
        <w:rPr>
          <w:sz w:val="32"/>
          <w:szCs w:val="32"/>
        </w:rPr>
        <w:t>I</w:t>
      </w:r>
      <w:r w:rsidR="00DF2286" w:rsidRPr="00D4558F">
        <w:rPr>
          <w:sz w:val="32"/>
          <w:szCs w:val="32"/>
        </w:rPr>
        <w:t>njection</w:t>
      </w:r>
      <w:r>
        <w:rPr>
          <w:sz w:val="32"/>
          <w:szCs w:val="32"/>
        </w:rPr>
        <w:t xml:space="preserve"> 10 mg in 1 mL, </w:t>
      </w:r>
      <w:r w:rsidR="00A93A20">
        <w:rPr>
          <w:sz w:val="32"/>
          <w:szCs w:val="32"/>
        </w:rPr>
        <w:t xml:space="preserve">Injection </w:t>
      </w:r>
      <w:r>
        <w:rPr>
          <w:sz w:val="32"/>
          <w:szCs w:val="32"/>
        </w:rPr>
        <w:t xml:space="preserve">20 mg in 1 mL, </w:t>
      </w:r>
      <w:r w:rsidR="00A93A20">
        <w:rPr>
          <w:sz w:val="32"/>
          <w:szCs w:val="32"/>
        </w:rPr>
        <w:t xml:space="preserve">Injection </w:t>
      </w:r>
      <w:r>
        <w:rPr>
          <w:sz w:val="32"/>
          <w:szCs w:val="32"/>
        </w:rPr>
        <w:t>30 mg in 1 mL</w:t>
      </w:r>
      <w:r w:rsidR="00163F66" w:rsidRPr="00D4558F">
        <w:rPr>
          <w:sz w:val="32"/>
          <w:szCs w:val="32"/>
        </w:rPr>
        <w:br/>
      </w:r>
      <w:r w:rsidR="00DF2286" w:rsidRPr="00D4558F">
        <w:rPr>
          <w:sz w:val="32"/>
          <w:szCs w:val="32"/>
        </w:rPr>
        <w:t>Crysvita®</w:t>
      </w:r>
      <w:r w:rsidR="004A6040" w:rsidRPr="00D4558F">
        <w:rPr>
          <w:sz w:val="32"/>
          <w:szCs w:val="32"/>
        </w:rPr>
        <w:br/>
      </w:r>
      <w:r w:rsidR="00DF2286" w:rsidRPr="00D4558F">
        <w:rPr>
          <w:sz w:val="32"/>
          <w:szCs w:val="32"/>
        </w:rPr>
        <w:t>Kyowa Kirin Australia Pty Ltd</w:t>
      </w:r>
      <w:bookmarkEnd w:id="0"/>
    </w:p>
    <w:p w:rsidR="00B50DB8" w:rsidRPr="00D4558F" w:rsidRDefault="00B50DB8" w:rsidP="004A6040">
      <w:pPr>
        <w:pStyle w:val="2-SectionHeading"/>
      </w:pPr>
      <w:bookmarkStart w:id="1" w:name="_Toc61864184"/>
      <w:r w:rsidRPr="00D4558F">
        <w:t xml:space="preserve">Purpose of </w:t>
      </w:r>
      <w:r w:rsidR="00CD7193" w:rsidRPr="00D4558F">
        <w:t>s</w:t>
      </w:r>
      <w:r w:rsidR="00BB3A45" w:rsidRPr="00D4558F">
        <w:t>ubmission</w:t>
      </w:r>
      <w:bookmarkEnd w:id="1"/>
    </w:p>
    <w:p w:rsidR="002C2775" w:rsidRPr="00D4558F" w:rsidRDefault="007170DA" w:rsidP="004E18E9">
      <w:pPr>
        <w:pStyle w:val="3-BodyText"/>
      </w:pPr>
      <w:r w:rsidRPr="00D4558F">
        <w:t xml:space="preserve">The submission requested </w:t>
      </w:r>
      <w:r w:rsidR="00DF2286" w:rsidRPr="00D4558F">
        <w:t xml:space="preserve">a </w:t>
      </w:r>
      <w:r w:rsidR="008B1757" w:rsidRPr="00D4558F">
        <w:t>Section 100</w:t>
      </w:r>
      <w:r w:rsidR="001C2987" w:rsidRPr="00D4558F">
        <w:t xml:space="preserve"> (S100)</w:t>
      </w:r>
      <w:r w:rsidR="00DF2286" w:rsidRPr="00D4558F">
        <w:t xml:space="preserve"> </w:t>
      </w:r>
      <w:r w:rsidR="00B80657">
        <w:t xml:space="preserve">– Highly Specialised Drugs Program </w:t>
      </w:r>
      <w:r w:rsidR="00DF2286" w:rsidRPr="00D4558F">
        <w:t xml:space="preserve">listing for burosumab, </w:t>
      </w:r>
      <w:r w:rsidR="008B1757" w:rsidRPr="00D4558F">
        <w:t xml:space="preserve">for </w:t>
      </w:r>
      <w:r w:rsidR="0050174E" w:rsidRPr="00D4558F">
        <w:t xml:space="preserve">the </w:t>
      </w:r>
      <w:r w:rsidR="008B1757" w:rsidRPr="00D4558F">
        <w:t xml:space="preserve">treatment </w:t>
      </w:r>
      <w:r w:rsidR="00DF2286" w:rsidRPr="00D4558F">
        <w:t>of paediatric patients with X-linked hypophosphataemia (XLH)</w:t>
      </w:r>
      <w:r w:rsidR="008B1757" w:rsidRPr="00D4558F">
        <w:t xml:space="preserve">. </w:t>
      </w:r>
    </w:p>
    <w:p w:rsidR="00C2778B" w:rsidRPr="00D4558F" w:rsidRDefault="005750C5" w:rsidP="004E18E9">
      <w:pPr>
        <w:pStyle w:val="3-BodyText"/>
      </w:pPr>
      <w:r w:rsidRPr="00D4558F">
        <w:t>Listing was requested on the basis of a cost-</w:t>
      </w:r>
      <w:r w:rsidR="00F45F00" w:rsidRPr="00D4558F">
        <w:t xml:space="preserve">utility </w:t>
      </w:r>
      <w:r w:rsidRPr="00D4558F">
        <w:t xml:space="preserve">analysis versus </w:t>
      </w:r>
      <w:r w:rsidR="00F45F00" w:rsidRPr="00D4558F">
        <w:t>conventional therapy (oral phosphorus and active vitamin D (calcitriol))</w:t>
      </w:r>
      <w:r w:rsidRPr="00D4558F">
        <w:t>.</w:t>
      </w:r>
    </w:p>
    <w:p w:rsidR="008B1757" w:rsidRPr="00D4558F" w:rsidRDefault="00F45F00" w:rsidP="004A6040">
      <w:pPr>
        <w:pStyle w:val="TableFigureHeading"/>
        <w:rPr>
          <w:rStyle w:val="CommentReference"/>
          <w:b/>
          <w:szCs w:val="24"/>
        </w:rPr>
      </w:pPr>
      <w:r w:rsidRPr="00D4558F">
        <w:rPr>
          <w:rStyle w:val="CommentReference"/>
          <w:b/>
          <w:szCs w:val="24"/>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Key components of the clinical issue addressed by the submission "/>
      </w:tblPr>
      <w:tblGrid>
        <w:gridCol w:w="1264"/>
        <w:gridCol w:w="7753"/>
      </w:tblGrid>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Component</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Description</w:t>
            </w:r>
          </w:p>
        </w:tc>
      </w:tr>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Population</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691FB6">
            <w:pPr>
              <w:pStyle w:val="In-tableHeading"/>
              <w:rPr>
                <w:b w:val="0"/>
                <w:lang w:val="en-AU"/>
              </w:rPr>
            </w:pPr>
            <w:r w:rsidRPr="00D4558F">
              <w:rPr>
                <w:b w:val="0"/>
                <w:lang w:val="en-AU"/>
              </w:rPr>
              <w:t>Paediatric patients (&lt;</w:t>
            </w:r>
            <w:r w:rsidR="00B80657">
              <w:rPr>
                <w:b w:val="0"/>
                <w:lang w:val="en-AU"/>
              </w:rPr>
              <w:t xml:space="preserve"> </w:t>
            </w:r>
            <w:r w:rsidRPr="00D4558F">
              <w:rPr>
                <w:b w:val="0"/>
                <w:lang w:val="en-AU"/>
              </w:rPr>
              <w:t>18 years) with a confirmed diagnosis of X-linked hypophosphataemia</w:t>
            </w:r>
          </w:p>
        </w:tc>
      </w:tr>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Intervention</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DD01CF" w:rsidP="00691FB6">
            <w:pPr>
              <w:pStyle w:val="In-tableHeading"/>
              <w:rPr>
                <w:b w:val="0"/>
                <w:lang w:val="en-AU"/>
              </w:rPr>
            </w:pPr>
            <w:r>
              <w:rPr>
                <w:b w:val="0"/>
                <w:lang w:val="en-AU"/>
              </w:rPr>
              <w:t>Burosumab</w:t>
            </w:r>
            <w:r w:rsidR="00F45F00" w:rsidRPr="00D4558F">
              <w:rPr>
                <w:b w:val="0"/>
                <w:lang w:val="en-AU"/>
              </w:rPr>
              <w:t xml:space="preserve"> 0.8 mg/kg (rounded to nearest 10 mg) with upwards/downwards titration according to the </w:t>
            </w:r>
            <w:r w:rsidR="00D4558F">
              <w:rPr>
                <w:b w:val="0"/>
                <w:lang w:val="en-AU"/>
              </w:rPr>
              <w:t>PI</w:t>
            </w:r>
            <w:r w:rsidR="00F45F00" w:rsidRPr="00D4558F">
              <w:rPr>
                <w:b w:val="0"/>
                <w:vertAlign w:val="superscript"/>
                <w:lang w:val="en-AU"/>
              </w:rPr>
              <w:t>#</w:t>
            </w:r>
            <w:r w:rsidR="00F45F00" w:rsidRPr="00D4558F">
              <w:rPr>
                <w:b w:val="0"/>
                <w:lang w:val="en-AU"/>
              </w:rPr>
              <w:t xml:space="preserve">, administered every two weeks by subcutaneous injection.  </w:t>
            </w:r>
          </w:p>
          <w:p w:rsidR="00F45F00" w:rsidRPr="00D4558F" w:rsidRDefault="00F45F00" w:rsidP="00691FB6">
            <w:pPr>
              <w:pStyle w:val="In-tableHeading"/>
              <w:rPr>
                <w:b w:val="0"/>
                <w:lang w:val="en-AU"/>
              </w:rPr>
            </w:pPr>
            <w:r w:rsidRPr="00D4558F">
              <w:rPr>
                <w:b w:val="0"/>
                <w:lang w:val="en-AU"/>
              </w:rPr>
              <w:t>Treatment by or in consultation with a paediatric endocrinologist or paediatric nephrologist and administration by a healthcare professional.</w:t>
            </w:r>
          </w:p>
        </w:tc>
      </w:tr>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Comparator</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691FB6">
            <w:pPr>
              <w:pStyle w:val="In-tableHeading"/>
              <w:rPr>
                <w:b w:val="0"/>
                <w:lang w:val="en-AU"/>
              </w:rPr>
            </w:pPr>
            <w:r w:rsidRPr="00D4558F">
              <w:rPr>
                <w:b w:val="0"/>
                <w:lang w:val="en-AU"/>
              </w:rPr>
              <w:t>Current conventional therapy: multiple daily oral doses of phosphorus and calcitriol*</w:t>
            </w:r>
          </w:p>
        </w:tc>
      </w:tr>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Outcomes</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691FB6">
            <w:pPr>
              <w:pStyle w:val="In-tableHeading"/>
              <w:rPr>
                <w:b w:val="0"/>
                <w:lang w:val="en-AU"/>
              </w:rPr>
            </w:pPr>
            <w:r w:rsidRPr="00D4558F">
              <w:rPr>
                <w:b w:val="0"/>
                <w:lang w:val="en-AU"/>
              </w:rPr>
              <w:t>Pharmacodynamic: serum phosphorus, TmP/GFR, 1,25(OH)2D, ALP, TRP and others</w:t>
            </w:r>
          </w:p>
          <w:p w:rsidR="00F45F00" w:rsidRPr="00D4558F" w:rsidRDefault="00F45F00" w:rsidP="00691FB6">
            <w:pPr>
              <w:pStyle w:val="In-tableHeading"/>
              <w:rPr>
                <w:b w:val="0"/>
                <w:lang w:val="en-AU"/>
              </w:rPr>
            </w:pPr>
            <w:r w:rsidRPr="00D4558F">
              <w:rPr>
                <w:b w:val="0"/>
                <w:lang w:val="en-AU"/>
              </w:rPr>
              <w:t>Clinical: Rickets severity as measured by RSS and RGI-C and growth</w:t>
            </w:r>
            <w:r w:rsidR="006D7609">
              <w:rPr>
                <w:b w:val="0"/>
                <w:lang w:val="en-AU"/>
              </w:rPr>
              <w:t xml:space="preserve"> (in children with growing skeletons).</w:t>
            </w:r>
          </w:p>
          <w:p w:rsidR="00F45F00" w:rsidRPr="00DF2713" w:rsidRDefault="00F45F00" w:rsidP="00691FB6">
            <w:pPr>
              <w:pStyle w:val="In-tableHeading"/>
              <w:rPr>
                <w:b w:val="0"/>
                <w:lang w:val="fr-FR"/>
              </w:rPr>
            </w:pPr>
            <w:r w:rsidRPr="00DF2713">
              <w:rPr>
                <w:b w:val="0"/>
                <w:lang w:val="fr-FR"/>
              </w:rPr>
              <w:t xml:space="preserve">Functional: 6MWT </w:t>
            </w:r>
          </w:p>
          <w:p w:rsidR="00F45F00" w:rsidRPr="00DF2713" w:rsidRDefault="00F45F00" w:rsidP="00691FB6">
            <w:pPr>
              <w:pStyle w:val="In-tableHeading"/>
              <w:rPr>
                <w:b w:val="0"/>
                <w:lang w:val="fr-FR"/>
              </w:rPr>
            </w:pPr>
            <w:r w:rsidRPr="00DF2713">
              <w:rPr>
                <w:b w:val="0"/>
                <w:lang w:val="fr-FR"/>
              </w:rPr>
              <w:t>Patient relevant: PROMIS, SF-10</w:t>
            </w:r>
          </w:p>
          <w:p w:rsidR="00F45F00" w:rsidRPr="00D4558F" w:rsidRDefault="00F45F00" w:rsidP="00691FB6">
            <w:pPr>
              <w:pStyle w:val="In-tableHeading"/>
              <w:rPr>
                <w:b w:val="0"/>
                <w:lang w:val="en-AU"/>
              </w:rPr>
            </w:pPr>
            <w:r w:rsidRPr="00D4558F">
              <w:rPr>
                <w:b w:val="0"/>
                <w:lang w:val="en-AU"/>
              </w:rPr>
              <w:t>Safety: Incidence and severity of AEs</w:t>
            </w:r>
          </w:p>
          <w:p w:rsidR="00F45F00" w:rsidRPr="00D4558F" w:rsidRDefault="00F45F00" w:rsidP="00691FB6">
            <w:pPr>
              <w:pStyle w:val="In-tableHeading"/>
              <w:rPr>
                <w:b w:val="0"/>
                <w:lang w:val="en-AU"/>
              </w:rPr>
            </w:pPr>
            <w:r w:rsidRPr="00D4558F">
              <w:rPr>
                <w:b w:val="0"/>
                <w:lang w:val="en-AU"/>
              </w:rPr>
              <w:t>Extrapolated: utilities, rates of surgery, other healthcare utilisation</w:t>
            </w:r>
          </w:p>
        </w:tc>
      </w:tr>
      <w:tr w:rsidR="00F45F00" w:rsidRPr="00D4558F" w:rsidTr="006D7609">
        <w:trPr>
          <w:cantSplit/>
          <w:tblHead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F45F00" w:rsidP="00F45F00">
            <w:pPr>
              <w:pStyle w:val="In-tableHeading"/>
              <w:rPr>
                <w:lang w:val="en-AU"/>
              </w:rPr>
            </w:pPr>
            <w:r w:rsidRPr="00D4558F">
              <w:rPr>
                <w:lang w:val="en-AU"/>
              </w:rPr>
              <w:t>Clinical claim</w:t>
            </w:r>
          </w:p>
        </w:tc>
        <w:tc>
          <w:tcPr>
            <w:tcW w:w="4299" w:type="pct"/>
            <w:tcBorders>
              <w:top w:val="single" w:sz="4" w:space="0" w:color="auto"/>
              <w:left w:val="single" w:sz="4" w:space="0" w:color="auto"/>
              <w:bottom w:val="single" w:sz="4" w:space="0" w:color="auto"/>
              <w:right w:val="single" w:sz="4" w:space="0" w:color="auto"/>
            </w:tcBorders>
            <w:shd w:val="clear" w:color="auto" w:fill="auto"/>
          </w:tcPr>
          <w:p w:rsidR="00F45F00" w:rsidRPr="00D4558F" w:rsidRDefault="00DD01CF" w:rsidP="00F45F00">
            <w:pPr>
              <w:pStyle w:val="In-tableHeading"/>
              <w:rPr>
                <w:b w:val="0"/>
                <w:lang w:val="en-AU"/>
              </w:rPr>
            </w:pPr>
            <w:r>
              <w:rPr>
                <w:b w:val="0"/>
                <w:lang w:val="en-AU"/>
              </w:rPr>
              <w:t>Burosumab</w:t>
            </w:r>
            <w:r w:rsidR="00F45F00" w:rsidRPr="00D4558F">
              <w:rPr>
                <w:b w:val="0"/>
                <w:lang w:val="en-AU"/>
              </w:rPr>
              <w:t xml:space="preserve"> is superior to conventional therapy in terms of efficacy and safety.</w:t>
            </w:r>
          </w:p>
        </w:tc>
      </w:tr>
    </w:tbl>
    <w:p w:rsidR="00F45F00" w:rsidRPr="00D4558F" w:rsidRDefault="00F45F00" w:rsidP="00F45F00">
      <w:pPr>
        <w:pStyle w:val="TableFigureFooter"/>
      </w:pPr>
      <w:r w:rsidRPr="00D4558F">
        <w:t>Source: Table 1-1, p14 of the submission.</w:t>
      </w:r>
    </w:p>
    <w:p w:rsidR="00F45F00" w:rsidRPr="00D4558F" w:rsidRDefault="00F45F00" w:rsidP="002F7E7C">
      <w:pPr>
        <w:pStyle w:val="TableFigureFooter"/>
        <w:spacing w:after="0"/>
      </w:pPr>
      <w:r w:rsidRPr="00D4558F">
        <w:t>Abbreviations: 1,25(OH)2D=1,25-dihydroxyvitamin D; 6MWT=six-minute walk test; AE=adverse event; ALP=alkaline phosphatase; PROMIS=Patient-Reported Outcomes Measurement Information System; RGI-C=Radiographic Global Impression of Change; RSS=Rickets Severity Score; SF-10=SF-10 Health Survey for Children; TmP/GFR=ratio of renal tubular maximum reabsorption rate of phosphate (TmP) to glomerular filtration rate (GFR); TPR=tubular phosphate reabsorption</w:t>
      </w:r>
      <w:r w:rsidR="00D4558F">
        <w:t>, PI=product information.</w:t>
      </w:r>
    </w:p>
    <w:p w:rsidR="002F7E7C" w:rsidRPr="00D4558F" w:rsidRDefault="002F7E7C" w:rsidP="002F7E7C">
      <w:pPr>
        <w:widowControl w:val="0"/>
        <w:spacing w:after="120"/>
        <w:ind w:left="170" w:hanging="170"/>
        <w:contextualSpacing/>
        <w:rPr>
          <w:rFonts w:ascii="Arial Narrow" w:hAnsi="Arial Narrow"/>
          <w:snapToGrid w:val="0"/>
          <w:sz w:val="18"/>
          <w:szCs w:val="22"/>
        </w:rPr>
      </w:pPr>
      <w:r w:rsidRPr="00D4558F">
        <w:rPr>
          <w:rFonts w:ascii="Arial Narrow" w:hAnsi="Arial Narrow"/>
          <w:snapToGrid w:val="0"/>
          <w:sz w:val="18"/>
          <w:szCs w:val="22"/>
          <w:vertAlign w:val="superscript"/>
        </w:rPr>
        <w:t>#</w:t>
      </w:r>
      <w:r w:rsidRPr="00D4558F">
        <w:rPr>
          <w:rFonts w:ascii="Arial Narrow" w:hAnsi="Arial Narrow"/>
          <w:snapToGrid w:val="0"/>
          <w:sz w:val="18"/>
          <w:szCs w:val="22"/>
        </w:rPr>
        <w:tab/>
        <w:t>Titrated in increments of 0.4 mg/kg up to a maximum of 2 mg/kg (or 90 mg in total) based on serum phosphorus levels.</w:t>
      </w:r>
    </w:p>
    <w:p w:rsidR="002F7E7C" w:rsidRPr="00D4558F" w:rsidRDefault="002F7E7C" w:rsidP="002F7E7C">
      <w:pPr>
        <w:widowControl w:val="0"/>
        <w:spacing w:after="120"/>
        <w:ind w:left="170" w:hanging="170"/>
        <w:contextualSpacing/>
        <w:rPr>
          <w:rFonts w:ascii="Arial Narrow" w:hAnsi="Arial Narrow"/>
          <w:snapToGrid w:val="0"/>
          <w:sz w:val="18"/>
          <w:szCs w:val="22"/>
        </w:rPr>
      </w:pPr>
      <w:r w:rsidRPr="00D4558F">
        <w:rPr>
          <w:rFonts w:ascii="Arial Narrow" w:hAnsi="Arial Narrow"/>
          <w:snapToGrid w:val="0"/>
          <w:sz w:val="18"/>
          <w:szCs w:val="22"/>
        </w:rPr>
        <w:t>*</w:t>
      </w:r>
      <w:r w:rsidRPr="00D4558F">
        <w:rPr>
          <w:rFonts w:ascii="Arial Narrow" w:hAnsi="Arial Narrow"/>
          <w:snapToGrid w:val="0"/>
          <w:sz w:val="18"/>
          <w:szCs w:val="22"/>
        </w:rPr>
        <w:tab/>
        <w:t>In Section 1 of the submission, the dosing regimen for phosphorus and calcitriol was not provided. In Section 3, conventional therapy comprised 4</w:t>
      </w:r>
      <w:r w:rsidR="00B80657">
        <w:rPr>
          <w:rFonts w:ascii="Arial Narrow" w:hAnsi="Arial Narrow"/>
          <w:snapToGrid w:val="0"/>
          <w:sz w:val="18"/>
          <w:szCs w:val="22"/>
        </w:rPr>
        <w:t xml:space="preserve"> </w:t>
      </w:r>
      <w:r w:rsidRPr="00D4558F">
        <w:rPr>
          <w:rFonts w:ascii="Arial Narrow" w:hAnsi="Arial Narrow"/>
          <w:snapToGrid w:val="0"/>
          <w:sz w:val="18"/>
          <w:szCs w:val="22"/>
        </w:rPr>
        <w:t>x</w:t>
      </w:r>
      <w:r w:rsidR="00B80657">
        <w:rPr>
          <w:rFonts w:ascii="Arial Narrow" w:hAnsi="Arial Narrow"/>
          <w:snapToGrid w:val="0"/>
          <w:sz w:val="18"/>
          <w:szCs w:val="22"/>
        </w:rPr>
        <w:t xml:space="preserve"> </w:t>
      </w:r>
      <w:r w:rsidRPr="00D4558F">
        <w:rPr>
          <w:rFonts w:ascii="Arial Narrow" w:hAnsi="Arial Narrow"/>
          <w:snapToGrid w:val="0"/>
          <w:sz w:val="18"/>
          <w:szCs w:val="22"/>
        </w:rPr>
        <w:t>500</w:t>
      </w:r>
      <w:r w:rsidR="00B80657">
        <w:rPr>
          <w:rFonts w:ascii="Arial Narrow" w:hAnsi="Arial Narrow"/>
          <w:snapToGrid w:val="0"/>
          <w:sz w:val="18"/>
          <w:szCs w:val="22"/>
        </w:rPr>
        <w:t xml:space="preserve"> </w:t>
      </w:r>
      <w:r w:rsidRPr="00D4558F">
        <w:rPr>
          <w:rFonts w:ascii="Arial Narrow" w:hAnsi="Arial Narrow"/>
          <w:snapToGrid w:val="0"/>
          <w:sz w:val="18"/>
          <w:szCs w:val="22"/>
        </w:rPr>
        <w:t>mg effervescent phosphorus tablets and 25</w:t>
      </w:r>
      <w:r w:rsidR="00B80657">
        <w:rPr>
          <w:rFonts w:ascii="Arial Narrow" w:hAnsi="Arial Narrow"/>
          <w:snapToGrid w:val="0"/>
          <w:sz w:val="18"/>
          <w:szCs w:val="22"/>
        </w:rPr>
        <w:t xml:space="preserve"> </w:t>
      </w:r>
      <w:r w:rsidRPr="00D4558F">
        <w:rPr>
          <w:rFonts w:ascii="Arial Narrow" w:hAnsi="Arial Narrow"/>
          <w:snapToGrid w:val="0"/>
          <w:sz w:val="18"/>
          <w:szCs w:val="22"/>
        </w:rPr>
        <w:t>nanogram/kg of calcitriol (p121 of the submission).</w:t>
      </w:r>
    </w:p>
    <w:p w:rsidR="005C25FF" w:rsidRPr="00D4558F" w:rsidRDefault="005C25FF" w:rsidP="004A6040">
      <w:pPr>
        <w:pStyle w:val="2-SectionHeading"/>
      </w:pPr>
      <w:bookmarkStart w:id="2" w:name="_Toc61864185"/>
      <w:r w:rsidRPr="00D4558F">
        <w:t>Background</w:t>
      </w:r>
      <w:bookmarkEnd w:id="2"/>
    </w:p>
    <w:p w:rsidR="005C25FF" w:rsidRPr="00D4558F" w:rsidRDefault="005C25FF" w:rsidP="004A6040">
      <w:pPr>
        <w:pStyle w:val="4-SubsectionHeading"/>
      </w:pPr>
      <w:bookmarkStart w:id="3" w:name="_Toc22897638"/>
      <w:bookmarkStart w:id="4" w:name="_Toc61864186"/>
      <w:r w:rsidRPr="00D4558F">
        <w:t>Registration status</w:t>
      </w:r>
      <w:bookmarkEnd w:id="3"/>
      <w:bookmarkEnd w:id="4"/>
    </w:p>
    <w:p w:rsidR="005C25FF" w:rsidRPr="00D4558F" w:rsidRDefault="00A4063C" w:rsidP="00A4063C">
      <w:pPr>
        <w:pStyle w:val="3-BodyText"/>
      </w:pPr>
      <w:r w:rsidRPr="00D4558F">
        <w:t>The submission was made under the TGA/PBAC parallel process</w:t>
      </w:r>
      <w:r w:rsidR="00002B2A">
        <w:t>.</w:t>
      </w:r>
      <w:r w:rsidR="00DF2713" w:rsidRPr="00DF2713">
        <w:t xml:space="preserve"> </w:t>
      </w:r>
      <w:r w:rsidR="003631B0">
        <w:t>Burosumab</w:t>
      </w:r>
      <w:r w:rsidR="00DF2713">
        <w:t xml:space="preserve"> has received </w:t>
      </w:r>
      <w:r w:rsidR="00DF2713" w:rsidRPr="00D4558F">
        <w:t>orphan drug designation and priority review status by the TGA.</w:t>
      </w:r>
    </w:p>
    <w:p w:rsidR="00E17297" w:rsidRDefault="00E17297" w:rsidP="00AE4D9C">
      <w:pPr>
        <w:pStyle w:val="3-BodyText"/>
      </w:pPr>
      <w:r>
        <w:lastRenderedPageBreak/>
        <w:t xml:space="preserve">The PBAC noted that the Delegate’s overview was received </w:t>
      </w:r>
      <w:r w:rsidR="00AE4D9C">
        <w:t>in</w:t>
      </w:r>
      <w:r>
        <w:t xml:space="preserve"> March 2021, with the proposed TGA indication being: “Crysvita</w:t>
      </w:r>
      <w:r w:rsidRPr="00D4558F">
        <w:t>®</w:t>
      </w:r>
      <w:r>
        <w:t xml:space="preserve"> is indicated for the treatment of X-linked hypophosphataemia (XLH) in adults, adolescents and children 1 year of age or older.”</w:t>
      </w:r>
    </w:p>
    <w:p w:rsidR="00B53825" w:rsidRPr="00B53825" w:rsidRDefault="00B53825" w:rsidP="00B53825">
      <w:pPr>
        <w:pStyle w:val="3-BodyText"/>
        <w:numPr>
          <w:ilvl w:val="0"/>
          <w:numId w:val="0"/>
        </w:numPr>
        <w:ind w:left="510" w:firstLine="170"/>
        <w:rPr>
          <w:i/>
        </w:rPr>
      </w:pPr>
      <w:r w:rsidRPr="00B53825">
        <w:rPr>
          <w:i/>
        </w:rPr>
        <w:t>For more detail on PBAC’s view, see section 7 PBAC outcome.</w:t>
      </w:r>
    </w:p>
    <w:p w:rsidR="00EB16F0" w:rsidRDefault="00B50DB8" w:rsidP="00EB16F0">
      <w:pPr>
        <w:pStyle w:val="2-SectionHeading"/>
      </w:pPr>
      <w:bookmarkStart w:id="5" w:name="_Toc61864187"/>
      <w:r w:rsidRPr="00D4558F">
        <w:t>Requested listing</w:t>
      </w:r>
      <w:bookmarkEnd w:id="5"/>
    </w:p>
    <w:p w:rsidR="00EB16F0" w:rsidRPr="00D4558F" w:rsidRDefault="00EB16F0" w:rsidP="00B80657">
      <w:pPr>
        <w:pStyle w:val="3-BodyText"/>
        <w:keepNext/>
        <w:numPr>
          <w:ilvl w:val="0"/>
          <w:numId w:val="0"/>
        </w:numPr>
        <w:spacing w:after="0"/>
        <w:rPr>
          <w:rFonts w:ascii="Arial Narrow" w:hAnsi="Arial Narrow"/>
          <w:b/>
          <w:sz w:val="20"/>
          <w:szCs w:val="20"/>
        </w:rPr>
      </w:pPr>
      <w:r w:rsidRPr="00D4558F">
        <w:rPr>
          <w:rFonts w:ascii="Arial Narrow" w:hAnsi="Arial Narrow"/>
          <w:b/>
          <w:sz w:val="20"/>
          <w:szCs w:val="20"/>
        </w:rPr>
        <w:t>Table 2</w:t>
      </w:r>
      <w:r w:rsidR="00B80657">
        <w:rPr>
          <w:rFonts w:ascii="Arial Narrow" w:hAnsi="Arial Narrow"/>
          <w:b/>
          <w:sz w:val="20"/>
          <w:szCs w:val="20"/>
        </w:rPr>
        <w:t>:</w:t>
      </w:r>
      <w:r w:rsidRPr="00D4558F">
        <w:rPr>
          <w:rFonts w:ascii="Arial Narrow" w:hAnsi="Arial Narrow"/>
          <w:b/>
          <w:sz w:val="20"/>
          <w:szCs w:val="20"/>
        </w:rPr>
        <w:t xml:space="preserve"> Essential components of the requested PBS listing</w:t>
      </w:r>
    </w:p>
    <w:tbl>
      <w:tblPr>
        <w:tblW w:w="9193" w:type="dxa"/>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1701"/>
        <w:gridCol w:w="74"/>
        <w:gridCol w:w="888"/>
        <w:gridCol w:w="887"/>
        <w:gridCol w:w="739"/>
        <w:gridCol w:w="1883"/>
        <w:gridCol w:w="1693"/>
        <w:gridCol w:w="1328"/>
      </w:tblGrid>
      <w:tr w:rsidR="00EB16F0" w:rsidRPr="00D4558F" w:rsidTr="00F234F5">
        <w:trPr>
          <w:trHeight w:val="689"/>
        </w:trPr>
        <w:tc>
          <w:tcPr>
            <w:tcW w:w="1775" w:type="dxa"/>
            <w:gridSpan w:val="2"/>
            <w:tcBorders>
              <w:bottom w:val="single" w:sz="4" w:space="0" w:color="auto"/>
            </w:tcBorders>
            <w:vAlign w:val="center"/>
          </w:tcPr>
          <w:p w:rsidR="00EB16F0" w:rsidRPr="00D4558F" w:rsidRDefault="00EB16F0" w:rsidP="00B80657">
            <w:pPr>
              <w:pStyle w:val="Tabletext"/>
              <w:keepNext/>
              <w:rPr>
                <w:b/>
                <w:bCs/>
              </w:rPr>
            </w:pPr>
            <w:r w:rsidRPr="00D4558F">
              <w:rPr>
                <w:b/>
              </w:rPr>
              <w:t>Name, restriction, manner of administration, form</w:t>
            </w:r>
          </w:p>
        </w:tc>
        <w:tc>
          <w:tcPr>
            <w:tcW w:w="888" w:type="dxa"/>
            <w:tcBorders>
              <w:bottom w:val="single" w:sz="4" w:space="0" w:color="auto"/>
            </w:tcBorders>
          </w:tcPr>
          <w:p w:rsidR="00EB16F0" w:rsidRPr="00D4558F" w:rsidRDefault="00EB16F0" w:rsidP="00B80657">
            <w:pPr>
              <w:pStyle w:val="Tabletext"/>
              <w:keepNext/>
              <w:jc w:val="center"/>
              <w:rPr>
                <w:b/>
                <w:bCs/>
              </w:rPr>
            </w:pPr>
            <w:r w:rsidRPr="00D4558F">
              <w:rPr>
                <w:b/>
              </w:rPr>
              <w:t>Maximum quantity (packs)</w:t>
            </w:r>
          </w:p>
        </w:tc>
        <w:tc>
          <w:tcPr>
            <w:tcW w:w="887" w:type="dxa"/>
            <w:tcBorders>
              <w:bottom w:val="single" w:sz="4" w:space="0" w:color="auto"/>
            </w:tcBorders>
          </w:tcPr>
          <w:p w:rsidR="00EB16F0" w:rsidRPr="00D4558F" w:rsidRDefault="00EB16F0" w:rsidP="00B80657">
            <w:pPr>
              <w:pStyle w:val="Tabletext"/>
              <w:keepNext/>
              <w:jc w:val="center"/>
              <w:rPr>
                <w:b/>
                <w:bCs/>
              </w:rPr>
            </w:pPr>
            <w:r w:rsidRPr="00D4558F">
              <w:rPr>
                <w:b/>
              </w:rPr>
              <w:t>Maximum quantity (units)</w:t>
            </w:r>
          </w:p>
        </w:tc>
        <w:tc>
          <w:tcPr>
            <w:tcW w:w="739" w:type="dxa"/>
            <w:tcBorders>
              <w:bottom w:val="single" w:sz="4" w:space="0" w:color="auto"/>
            </w:tcBorders>
          </w:tcPr>
          <w:p w:rsidR="00EB16F0" w:rsidRPr="00D4558F" w:rsidRDefault="00EB16F0" w:rsidP="00B80657">
            <w:pPr>
              <w:pStyle w:val="Tabletext"/>
              <w:keepNext/>
              <w:jc w:val="center"/>
              <w:rPr>
                <w:b/>
                <w:bCs/>
              </w:rPr>
            </w:pPr>
            <w:r w:rsidRPr="00D4558F">
              <w:rPr>
                <w:b/>
              </w:rPr>
              <w:t>No. of repeats</w:t>
            </w:r>
          </w:p>
        </w:tc>
        <w:tc>
          <w:tcPr>
            <w:tcW w:w="3576" w:type="dxa"/>
            <w:gridSpan w:val="2"/>
            <w:tcBorders>
              <w:bottom w:val="single" w:sz="4" w:space="0" w:color="auto"/>
            </w:tcBorders>
          </w:tcPr>
          <w:p w:rsidR="00EB16F0" w:rsidRPr="00D4558F" w:rsidRDefault="00EB16F0" w:rsidP="00B80657">
            <w:pPr>
              <w:pStyle w:val="Tabletext"/>
              <w:keepNext/>
              <w:jc w:val="center"/>
              <w:rPr>
                <w:b/>
              </w:rPr>
            </w:pPr>
            <w:r w:rsidRPr="00D4558F">
              <w:rPr>
                <w:b/>
              </w:rPr>
              <w:t xml:space="preserve">Dispensed price for </w:t>
            </w:r>
          </w:p>
          <w:p w:rsidR="00EB16F0" w:rsidRPr="00D4558F" w:rsidRDefault="00EB16F0" w:rsidP="00B80657">
            <w:pPr>
              <w:pStyle w:val="Tabletext"/>
              <w:keepNext/>
              <w:jc w:val="center"/>
              <w:rPr>
                <w:b/>
                <w:bCs/>
              </w:rPr>
            </w:pPr>
            <w:r w:rsidRPr="00D4558F">
              <w:rPr>
                <w:b/>
              </w:rPr>
              <w:t>maximum quantity</w:t>
            </w:r>
          </w:p>
        </w:tc>
        <w:tc>
          <w:tcPr>
            <w:tcW w:w="1328" w:type="dxa"/>
          </w:tcPr>
          <w:p w:rsidR="00EB16F0" w:rsidRPr="00D4558F" w:rsidRDefault="00EB16F0" w:rsidP="00B80657">
            <w:pPr>
              <w:pStyle w:val="Tabletext"/>
              <w:keepNext/>
              <w:jc w:val="center"/>
              <w:rPr>
                <w:b/>
                <w:bCs/>
              </w:rPr>
            </w:pPr>
            <w:r w:rsidRPr="00D4558F">
              <w:rPr>
                <w:b/>
              </w:rPr>
              <w:t>Proprietary name and manufacturer</w:t>
            </w:r>
          </w:p>
        </w:tc>
      </w:tr>
      <w:tr w:rsidR="00EB16F0" w:rsidRPr="00D4558F" w:rsidTr="00F234F5">
        <w:trPr>
          <w:trHeight w:val="672"/>
        </w:trPr>
        <w:tc>
          <w:tcPr>
            <w:tcW w:w="1775" w:type="dxa"/>
            <w:gridSpan w:val="2"/>
            <w:tcBorders>
              <w:bottom w:val="nil"/>
            </w:tcBorders>
            <w:vAlign w:val="bottom"/>
          </w:tcPr>
          <w:p w:rsidR="00EB16F0" w:rsidRPr="00D4558F" w:rsidRDefault="00EB16F0" w:rsidP="00B80657">
            <w:pPr>
              <w:pStyle w:val="Tabletext"/>
              <w:keepNext/>
              <w:rPr>
                <w:bCs/>
              </w:rPr>
            </w:pPr>
            <w:r w:rsidRPr="00D4558F">
              <w:t>BUROSUMAB</w:t>
            </w:r>
            <w:r w:rsidRPr="00D4558F">
              <w:rPr>
                <w:bCs/>
              </w:rPr>
              <w:t xml:space="preserve"> </w:t>
            </w:r>
          </w:p>
          <w:p w:rsidR="00EB16F0" w:rsidRPr="00D4558F" w:rsidRDefault="00EB16F0" w:rsidP="00B80657">
            <w:pPr>
              <w:pStyle w:val="Tabletext"/>
              <w:keepNext/>
            </w:pPr>
            <w:r w:rsidRPr="00D4558F">
              <w:rPr>
                <w:bCs/>
              </w:rPr>
              <w:t>10</w:t>
            </w:r>
            <w:r w:rsidR="00B80657">
              <w:rPr>
                <w:bCs/>
              </w:rPr>
              <w:t xml:space="preserve"> </w:t>
            </w:r>
            <w:r w:rsidRPr="00D4558F">
              <w:rPr>
                <w:bCs/>
              </w:rPr>
              <w:t>mg in 1</w:t>
            </w:r>
            <w:r w:rsidR="00B80657">
              <w:rPr>
                <w:bCs/>
              </w:rPr>
              <w:t xml:space="preserve"> </w:t>
            </w:r>
            <w:r w:rsidRPr="00D4558F">
              <w:rPr>
                <w:bCs/>
              </w:rPr>
              <w:t>mL*</w:t>
            </w:r>
          </w:p>
        </w:tc>
        <w:tc>
          <w:tcPr>
            <w:tcW w:w="888" w:type="dxa"/>
            <w:vMerge w:val="restart"/>
            <w:tcBorders>
              <w:bottom w:val="nil"/>
            </w:tcBorders>
            <w:vAlign w:val="center"/>
          </w:tcPr>
          <w:p w:rsidR="00EB16F0" w:rsidRPr="00D4558F" w:rsidRDefault="00EB16F0" w:rsidP="00B80657">
            <w:pPr>
              <w:pStyle w:val="Tabletext"/>
              <w:keepNext/>
              <w:jc w:val="center"/>
            </w:pPr>
            <w:r w:rsidRPr="00D4558F">
              <w:t>2</w:t>
            </w:r>
          </w:p>
        </w:tc>
        <w:tc>
          <w:tcPr>
            <w:tcW w:w="887" w:type="dxa"/>
            <w:vMerge w:val="restart"/>
            <w:tcBorders>
              <w:bottom w:val="nil"/>
            </w:tcBorders>
            <w:vAlign w:val="center"/>
          </w:tcPr>
          <w:p w:rsidR="00EB16F0" w:rsidRPr="00D4558F" w:rsidRDefault="00EB16F0" w:rsidP="00B80657">
            <w:pPr>
              <w:pStyle w:val="Tabletext"/>
              <w:keepNext/>
              <w:jc w:val="center"/>
            </w:pPr>
            <w:r w:rsidRPr="00D4558F">
              <w:t>2</w:t>
            </w:r>
          </w:p>
        </w:tc>
        <w:tc>
          <w:tcPr>
            <w:tcW w:w="739" w:type="dxa"/>
            <w:vMerge w:val="restart"/>
            <w:tcBorders>
              <w:bottom w:val="nil"/>
            </w:tcBorders>
            <w:vAlign w:val="center"/>
          </w:tcPr>
          <w:p w:rsidR="00EB16F0" w:rsidRPr="00D4558F" w:rsidRDefault="00EB16F0" w:rsidP="00B80657">
            <w:pPr>
              <w:pStyle w:val="Tabletext"/>
              <w:keepNext/>
              <w:jc w:val="center"/>
            </w:pPr>
            <w:r w:rsidRPr="00D4558F">
              <w:t>5</w:t>
            </w:r>
          </w:p>
        </w:tc>
        <w:tc>
          <w:tcPr>
            <w:tcW w:w="1883" w:type="dxa"/>
            <w:tcBorders>
              <w:bottom w:val="nil"/>
            </w:tcBorders>
            <w:vAlign w:val="center"/>
          </w:tcPr>
          <w:p w:rsidR="00EB16F0" w:rsidRPr="00D4558F" w:rsidRDefault="00EB16F0" w:rsidP="00B80657">
            <w:pPr>
              <w:pStyle w:val="Tabletext"/>
              <w:keepNext/>
            </w:pPr>
            <w:r w:rsidRPr="00D4558F">
              <w:t>Published:</w:t>
            </w:r>
          </w:p>
          <w:p w:rsidR="00EB16F0" w:rsidRPr="00D4558F" w:rsidRDefault="00EB16F0" w:rsidP="00B80657">
            <w:pPr>
              <w:pStyle w:val="Tabletext"/>
              <w:keepNext/>
            </w:pPr>
            <w:r w:rsidRPr="00D4558F">
              <w:t>$15,768.00 (public)</w:t>
            </w:r>
          </w:p>
          <w:p w:rsidR="00EB16F0" w:rsidRPr="00D4558F" w:rsidRDefault="00EB16F0" w:rsidP="00B80657">
            <w:pPr>
              <w:pStyle w:val="Tabletext"/>
              <w:keepNext/>
            </w:pPr>
            <w:r w:rsidRPr="00D4558F">
              <w:t>$15,815.74 (private)</w:t>
            </w:r>
          </w:p>
        </w:tc>
        <w:tc>
          <w:tcPr>
            <w:tcW w:w="1693" w:type="dxa"/>
            <w:tcBorders>
              <w:bottom w:val="nil"/>
            </w:tcBorders>
            <w:vAlign w:val="center"/>
          </w:tcPr>
          <w:p w:rsidR="00EB16F0" w:rsidRPr="00D4558F" w:rsidRDefault="00EB16F0" w:rsidP="00B80657">
            <w:pPr>
              <w:pStyle w:val="Tabletext"/>
              <w:keepNext/>
            </w:pPr>
            <w:r w:rsidRPr="00D4558F">
              <w:t>Effective:</w:t>
            </w:r>
          </w:p>
          <w:p w:rsidR="00EB16F0" w:rsidRPr="00D4558F" w:rsidRDefault="00EB16F0" w:rsidP="00B80657">
            <w:pPr>
              <w:pStyle w:val="Tabletext"/>
              <w:keepNext/>
            </w:pPr>
            <w:r w:rsidRPr="00D4558F">
              <w:t>$</w:t>
            </w:r>
            <w:r w:rsidR="00A47328">
              <w:rPr>
                <w:noProof/>
                <w:color w:val="000000"/>
                <w:highlight w:val="black"/>
              </w:rPr>
              <w:t>'''''''''''''''''''''''</w:t>
            </w:r>
            <w:r w:rsidRPr="00D4558F">
              <w:t xml:space="preserve"> (public)</w:t>
            </w:r>
          </w:p>
          <w:p w:rsidR="00EB16F0" w:rsidRPr="00D4558F" w:rsidRDefault="00EB16F0" w:rsidP="00B80657">
            <w:pPr>
              <w:pStyle w:val="Tabletext"/>
              <w:keepNext/>
            </w:pPr>
            <w:r w:rsidRPr="00D4558F">
              <w:t>$</w:t>
            </w:r>
            <w:r w:rsidR="00A47328">
              <w:rPr>
                <w:noProof/>
                <w:color w:val="000000"/>
                <w:highlight w:val="black"/>
              </w:rPr>
              <w:t>'''''''''''''''''''</w:t>
            </w:r>
            <w:r w:rsidRPr="00D4558F">
              <w:t xml:space="preserve"> (private)</w:t>
            </w:r>
          </w:p>
        </w:tc>
        <w:tc>
          <w:tcPr>
            <w:tcW w:w="1328" w:type="dxa"/>
            <w:vMerge w:val="restart"/>
            <w:vAlign w:val="center"/>
          </w:tcPr>
          <w:p w:rsidR="00EB16F0" w:rsidRPr="00D4558F" w:rsidRDefault="00EB16F0" w:rsidP="00B80657">
            <w:pPr>
              <w:pStyle w:val="Tabletext"/>
              <w:keepNext/>
              <w:jc w:val="center"/>
            </w:pPr>
            <w:r w:rsidRPr="00D4558F">
              <w:t>Crysvita®</w:t>
            </w:r>
          </w:p>
          <w:p w:rsidR="00EB16F0" w:rsidRPr="00D4558F" w:rsidRDefault="00EB16F0" w:rsidP="00B80657">
            <w:pPr>
              <w:pStyle w:val="Tabletext"/>
              <w:keepNext/>
              <w:jc w:val="center"/>
            </w:pPr>
            <w:r w:rsidRPr="00D4558F">
              <w:t>Kyowa Kirin</w:t>
            </w:r>
          </w:p>
          <w:p w:rsidR="00EB16F0" w:rsidRPr="00D4558F" w:rsidRDefault="00EB16F0" w:rsidP="00B80657">
            <w:pPr>
              <w:pStyle w:val="Tabletext"/>
              <w:keepNext/>
              <w:jc w:val="center"/>
            </w:pPr>
            <w:r w:rsidRPr="00D4558F">
              <w:t>Australia Pty Ltd</w:t>
            </w:r>
          </w:p>
        </w:tc>
      </w:tr>
      <w:tr w:rsidR="00EB16F0" w:rsidRPr="00D4558F" w:rsidTr="00F234F5">
        <w:trPr>
          <w:trHeight w:val="453"/>
        </w:trPr>
        <w:tc>
          <w:tcPr>
            <w:tcW w:w="1775" w:type="dxa"/>
            <w:gridSpan w:val="2"/>
            <w:tcBorders>
              <w:top w:val="nil"/>
              <w:bottom w:val="nil"/>
            </w:tcBorders>
            <w:vAlign w:val="center"/>
          </w:tcPr>
          <w:p w:rsidR="00EB16F0" w:rsidRPr="00D4558F" w:rsidRDefault="00EB16F0" w:rsidP="00B80657">
            <w:pPr>
              <w:pStyle w:val="Tabletext"/>
              <w:keepNext/>
            </w:pPr>
            <w:r w:rsidRPr="00D4558F">
              <w:t xml:space="preserve">BUROSUMAB </w:t>
            </w:r>
          </w:p>
          <w:p w:rsidR="00EB16F0" w:rsidRPr="00D4558F" w:rsidRDefault="00EB16F0" w:rsidP="00B80657">
            <w:pPr>
              <w:pStyle w:val="Tabletext"/>
              <w:keepNext/>
            </w:pPr>
            <w:r w:rsidRPr="00D4558F">
              <w:t>20</w:t>
            </w:r>
            <w:r w:rsidR="00B80657">
              <w:t xml:space="preserve"> </w:t>
            </w:r>
            <w:r w:rsidRPr="00D4558F">
              <w:t>mg in 1</w:t>
            </w:r>
            <w:r w:rsidR="00B80657">
              <w:t xml:space="preserve"> </w:t>
            </w:r>
            <w:r w:rsidRPr="00D4558F">
              <w:t>mL*</w:t>
            </w:r>
          </w:p>
        </w:tc>
        <w:tc>
          <w:tcPr>
            <w:tcW w:w="888" w:type="dxa"/>
            <w:vMerge/>
            <w:tcBorders>
              <w:top w:val="nil"/>
              <w:bottom w:val="nil"/>
            </w:tcBorders>
            <w:vAlign w:val="center"/>
          </w:tcPr>
          <w:p w:rsidR="00EB16F0" w:rsidRPr="00D4558F" w:rsidRDefault="00EB16F0" w:rsidP="00B80657">
            <w:pPr>
              <w:pStyle w:val="Tabletext"/>
              <w:keepNext/>
              <w:jc w:val="center"/>
            </w:pPr>
          </w:p>
        </w:tc>
        <w:tc>
          <w:tcPr>
            <w:tcW w:w="887" w:type="dxa"/>
            <w:vMerge/>
            <w:tcBorders>
              <w:top w:val="nil"/>
              <w:bottom w:val="nil"/>
            </w:tcBorders>
            <w:vAlign w:val="center"/>
          </w:tcPr>
          <w:p w:rsidR="00EB16F0" w:rsidRPr="00D4558F" w:rsidRDefault="00EB16F0" w:rsidP="00B80657">
            <w:pPr>
              <w:pStyle w:val="Tabletext"/>
              <w:keepNext/>
              <w:jc w:val="center"/>
            </w:pPr>
          </w:p>
        </w:tc>
        <w:tc>
          <w:tcPr>
            <w:tcW w:w="739" w:type="dxa"/>
            <w:vMerge/>
            <w:tcBorders>
              <w:top w:val="nil"/>
              <w:bottom w:val="nil"/>
            </w:tcBorders>
            <w:vAlign w:val="center"/>
          </w:tcPr>
          <w:p w:rsidR="00EB16F0" w:rsidRPr="00D4558F" w:rsidRDefault="00EB16F0" w:rsidP="00B80657">
            <w:pPr>
              <w:pStyle w:val="Tabletext"/>
              <w:keepNext/>
              <w:jc w:val="center"/>
            </w:pPr>
          </w:p>
        </w:tc>
        <w:tc>
          <w:tcPr>
            <w:tcW w:w="1883" w:type="dxa"/>
            <w:tcBorders>
              <w:top w:val="nil"/>
              <w:bottom w:val="nil"/>
            </w:tcBorders>
            <w:vAlign w:val="center"/>
          </w:tcPr>
          <w:p w:rsidR="00EB16F0" w:rsidRPr="00D4558F" w:rsidRDefault="00EB16F0" w:rsidP="00B80657">
            <w:pPr>
              <w:pStyle w:val="Tabletext"/>
              <w:keepNext/>
            </w:pPr>
            <w:r w:rsidRPr="00D4558F">
              <w:t>$31,536.00 (public)</w:t>
            </w:r>
          </w:p>
          <w:p w:rsidR="00EB16F0" w:rsidRPr="00D4558F" w:rsidRDefault="00EB16F0" w:rsidP="00B80657">
            <w:pPr>
              <w:pStyle w:val="Tabletext"/>
              <w:keepNext/>
            </w:pPr>
            <w:r w:rsidRPr="00D4558F">
              <w:t>$31,583.74 (private)</w:t>
            </w:r>
          </w:p>
        </w:tc>
        <w:tc>
          <w:tcPr>
            <w:tcW w:w="1693" w:type="dxa"/>
            <w:tcBorders>
              <w:top w:val="nil"/>
              <w:bottom w:val="nil"/>
            </w:tcBorders>
            <w:vAlign w:val="center"/>
          </w:tcPr>
          <w:p w:rsidR="00EB16F0" w:rsidRPr="00D4558F" w:rsidRDefault="00EB16F0" w:rsidP="00B80657">
            <w:pPr>
              <w:pStyle w:val="Tabletext"/>
              <w:keepNext/>
            </w:pPr>
            <w:r w:rsidRPr="00D4558F">
              <w:t>$</w:t>
            </w:r>
            <w:r w:rsidR="00A47328">
              <w:rPr>
                <w:noProof/>
                <w:color w:val="000000"/>
                <w:highlight w:val="black"/>
              </w:rPr>
              <w:t>'''''''''''''''''''''''''</w:t>
            </w:r>
            <w:r w:rsidRPr="00D4558F">
              <w:t xml:space="preserve"> (public)</w:t>
            </w:r>
          </w:p>
          <w:p w:rsidR="00EB16F0" w:rsidRPr="00D4558F" w:rsidRDefault="00EB16F0" w:rsidP="00B80657">
            <w:pPr>
              <w:pStyle w:val="Tabletext"/>
              <w:keepNext/>
            </w:pPr>
            <w:r w:rsidRPr="00D4558F">
              <w:t>$</w:t>
            </w:r>
            <w:r w:rsidR="00A47328">
              <w:rPr>
                <w:noProof/>
                <w:color w:val="000000"/>
                <w:highlight w:val="black"/>
              </w:rPr>
              <w:t>''''''''''''''''''''''</w:t>
            </w:r>
            <w:r w:rsidRPr="00D4558F">
              <w:t xml:space="preserve"> (private)</w:t>
            </w:r>
          </w:p>
        </w:tc>
        <w:tc>
          <w:tcPr>
            <w:tcW w:w="1328" w:type="dxa"/>
            <w:vMerge/>
            <w:vAlign w:val="center"/>
          </w:tcPr>
          <w:p w:rsidR="00EB16F0" w:rsidRPr="00D4558F" w:rsidRDefault="00EB16F0" w:rsidP="00B80657">
            <w:pPr>
              <w:pStyle w:val="Tabletext"/>
              <w:keepNext/>
              <w:jc w:val="center"/>
            </w:pPr>
          </w:p>
        </w:tc>
      </w:tr>
      <w:tr w:rsidR="00EB16F0" w:rsidRPr="00D4558F" w:rsidTr="00F234F5">
        <w:trPr>
          <w:trHeight w:val="453"/>
        </w:trPr>
        <w:tc>
          <w:tcPr>
            <w:tcW w:w="1775" w:type="dxa"/>
            <w:gridSpan w:val="2"/>
            <w:tcBorders>
              <w:top w:val="nil"/>
              <w:bottom w:val="single" w:sz="4" w:space="0" w:color="auto"/>
            </w:tcBorders>
            <w:vAlign w:val="center"/>
          </w:tcPr>
          <w:p w:rsidR="00EB16F0" w:rsidRPr="00D4558F" w:rsidRDefault="00EB16F0" w:rsidP="00B80657">
            <w:pPr>
              <w:pStyle w:val="Tabletext"/>
              <w:keepNext/>
            </w:pPr>
            <w:r w:rsidRPr="00D4558F">
              <w:t xml:space="preserve">BUROSUMAB </w:t>
            </w:r>
          </w:p>
          <w:p w:rsidR="00EB16F0" w:rsidRDefault="00EB16F0" w:rsidP="00B80657">
            <w:pPr>
              <w:pStyle w:val="Tabletext"/>
              <w:keepNext/>
            </w:pPr>
            <w:r w:rsidRPr="00D4558F">
              <w:t>30</w:t>
            </w:r>
            <w:r w:rsidR="00B80657">
              <w:t xml:space="preserve"> </w:t>
            </w:r>
            <w:r w:rsidRPr="00D4558F">
              <w:t>mg in 1</w:t>
            </w:r>
            <w:r w:rsidR="00B80657">
              <w:t xml:space="preserve"> </w:t>
            </w:r>
            <w:r w:rsidRPr="00D4558F">
              <w:t>mL*</w:t>
            </w:r>
          </w:p>
          <w:p w:rsidR="00B80657" w:rsidRPr="00D4558F" w:rsidRDefault="00B80657" w:rsidP="00B80657">
            <w:pPr>
              <w:pStyle w:val="Tabletext"/>
              <w:keepNext/>
            </w:pPr>
          </w:p>
        </w:tc>
        <w:tc>
          <w:tcPr>
            <w:tcW w:w="888" w:type="dxa"/>
            <w:vMerge/>
            <w:tcBorders>
              <w:top w:val="nil"/>
              <w:bottom w:val="single" w:sz="4" w:space="0" w:color="auto"/>
            </w:tcBorders>
            <w:vAlign w:val="center"/>
          </w:tcPr>
          <w:p w:rsidR="00EB16F0" w:rsidRPr="00D4558F" w:rsidRDefault="00EB16F0" w:rsidP="00B80657">
            <w:pPr>
              <w:pStyle w:val="Tabletext"/>
              <w:keepNext/>
              <w:jc w:val="center"/>
            </w:pPr>
          </w:p>
        </w:tc>
        <w:tc>
          <w:tcPr>
            <w:tcW w:w="887" w:type="dxa"/>
            <w:vMerge/>
            <w:tcBorders>
              <w:top w:val="nil"/>
              <w:bottom w:val="single" w:sz="4" w:space="0" w:color="auto"/>
            </w:tcBorders>
            <w:vAlign w:val="center"/>
          </w:tcPr>
          <w:p w:rsidR="00EB16F0" w:rsidRPr="00D4558F" w:rsidRDefault="00EB16F0" w:rsidP="00B80657">
            <w:pPr>
              <w:pStyle w:val="Tabletext"/>
              <w:keepNext/>
              <w:jc w:val="center"/>
            </w:pPr>
          </w:p>
        </w:tc>
        <w:tc>
          <w:tcPr>
            <w:tcW w:w="739" w:type="dxa"/>
            <w:vMerge/>
            <w:tcBorders>
              <w:top w:val="nil"/>
              <w:bottom w:val="single" w:sz="4" w:space="0" w:color="auto"/>
            </w:tcBorders>
            <w:vAlign w:val="center"/>
          </w:tcPr>
          <w:p w:rsidR="00EB16F0" w:rsidRPr="00D4558F" w:rsidRDefault="00EB16F0" w:rsidP="00B80657">
            <w:pPr>
              <w:pStyle w:val="Tabletext"/>
              <w:keepNext/>
              <w:jc w:val="center"/>
            </w:pPr>
          </w:p>
        </w:tc>
        <w:tc>
          <w:tcPr>
            <w:tcW w:w="1883" w:type="dxa"/>
            <w:tcBorders>
              <w:top w:val="nil"/>
              <w:bottom w:val="single" w:sz="4" w:space="0" w:color="auto"/>
            </w:tcBorders>
          </w:tcPr>
          <w:p w:rsidR="00EB16F0" w:rsidRPr="00D4558F" w:rsidRDefault="00EB16F0" w:rsidP="00B80657">
            <w:pPr>
              <w:pStyle w:val="Tabletext"/>
              <w:keepNext/>
            </w:pPr>
            <w:r w:rsidRPr="00D4558F">
              <w:t>$47,304.00 (public)</w:t>
            </w:r>
          </w:p>
          <w:p w:rsidR="00EB16F0" w:rsidRPr="00D4558F" w:rsidRDefault="00EB16F0" w:rsidP="00B80657">
            <w:pPr>
              <w:pStyle w:val="Tabletext"/>
              <w:keepNext/>
            </w:pPr>
            <w:r w:rsidRPr="00D4558F">
              <w:t>$47,351.74 (private)</w:t>
            </w:r>
          </w:p>
        </w:tc>
        <w:tc>
          <w:tcPr>
            <w:tcW w:w="1693" w:type="dxa"/>
            <w:tcBorders>
              <w:top w:val="nil"/>
              <w:bottom w:val="single" w:sz="4" w:space="0" w:color="auto"/>
            </w:tcBorders>
          </w:tcPr>
          <w:p w:rsidR="00EB16F0" w:rsidRPr="00D4558F" w:rsidRDefault="00EB16F0" w:rsidP="00B80657">
            <w:pPr>
              <w:pStyle w:val="Tabletext"/>
              <w:keepNext/>
            </w:pPr>
            <w:r w:rsidRPr="00D4558F">
              <w:t>$</w:t>
            </w:r>
            <w:r w:rsidR="00A47328">
              <w:rPr>
                <w:noProof/>
                <w:color w:val="000000"/>
                <w:highlight w:val="black"/>
              </w:rPr>
              <w:t>'''''''''''''''''''''''''</w:t>
            </w:r>
            <w:r w:rsidRPr="00D4558F">
              <w:t xml:space="preserve"> (public)</w:t>
            </w:r>
          </w:p>
          <w:p w:rsidR="00EB16F0" w:rsidRPr="00D4558F" w:rsidRDefault="00EB16F0" w:rsidP="00B80657">
            <w:pPr>
              <w:pStyle w:val="Tabletext"/>
              <w:keepNext/>
            </w:pPr>
            <w:r w:rsidRPr="00D4558F">
              <w:t>$</w:t>
            </w:r>
            <w:r w:rsidR="00A47328">
              <w:rPr>
                <w:noProof/>
                <w:color w:val="000000"/>
                <w:highlight w:val="black"/>
              </w:rPr>
              <w:t>'''''''''''''''''''''</w:t>
            </w:r>
            <w:r w:rsidRPr="00D4558F">
              <w:t xml:space="preserve"> (private)</w:t>
            </w:r>
          </w:p>
        </w:tc>
        <w:tc>
          <w:tcPr>
            <w:tcW w:w="1328" w:type="dxa"/>
            <w:vMerge/>
            <w:tcBorders>
              <w:bottom w:val="single" w:sz="4" w:space="0" w:color="auto"/>
            </w:tcBorders>
            <w:vAlign w:val="center"/>
          </w:tcPr>
          <w:p w:rsidR="00EB16F0" w:rsidRPr="00D4558F" w:rsidRDefault="00EB16F0" w:rsidP="00B80657">
            <w:pPr>
              <w:pStyle w:val="Tabletext"/>
              <w:keepNext/>
              <w:jc w:val="center"/>
            </w:pPr>
          </w:p>
        </w:tc>
      </w:tr>
      <w:tr w:rsidR="00612BA3" w:rsidRPr="00D4558F" w:rsidTr="00F234F5">
        <w:trPr>
          <w:trHeight w:val="218"/>
        </w:trPr>
        <w:tc>
          <w:tcPr>
            <w:tcW w:w="1701" w:type="dxa"/>
            <w:tcBorders>
              <w:left w:val="single" w:sz="4" w:space="0" w:color="auto"/>
              <w:bottom w:val="single" w:sz="4" w:space="0" w:color="auto"/>
              <w:right w:val="single" w:sz="4" w:space="0" w:color="auto"/>
            </w:tcBorders>
          </w:tcPr>
          <w:p w:rsidR="00612BA3" w:rsidRPr="00D4558F" w:rsidRDefault="00612BA3" w:rsidP="00B80657">
            <w:pPr>
              <w:pStyle w:val="Tabletext"/>
              <w:keepNext/>
            </w:pPr>
            <w:r w:rsidRPr="00D4558F">
              <w:rPr>
                <w:b/>
              </w:rPr>
              <w:t>Category / Program:</w:t>
            </w:r>
          </w:p>
        </w:tc>
        <w:tc>
          <w:tcPr>
            <w:tcW w:w="7492" w:type="dxa"/>
            <w:gridSpan w:val="7"/>
            <w:tcBorders>
              <w:left w:val="single" w:sz="4" w:space="0" w:color="auto"/>
              <w:bottom w:val="single" w:sz="4" w:space="0" w:color="auto"/>
              <w:right w:val="single" w:sz="4" w:space="0" w:color="auto"/>
            </w:tcBorders>
          </w:tcPr>
          <w:p w:rsidR="00612BA3" w:rsidRPr="00D4558F" w:rsidRDefault="00612BA3" w:rsidP="00B80657">
            <w:pPr>
              <w:pStyle w:val="Tabletext"/>
              <w:keepNext/>
            </w:pPr>
            <w:r w:rsidRPr="00D4558F">
              <w:t>Section 100 – Highly Specialised Drugs Program</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Prescriber type:</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fldChar w:fldCharType="begin">
                <w:ffData>
                  <w:name w:val="Check1"/>
                  <w:enabled/>
                  <w:calcOnExit w:val="0"/>
                  <w:checkBox>
                    <w:sizeAuto/>
                    <w:default w:val="1"/>
                  </w:checkBox>
                </w:ffData>
              </w:fldChar>
            </w:r>
            <w:r w:rsidRPr="00D4558F">
              <w:instrText xml:space="preserve"> FORMCHECKBOX </w:instrText>
            </w:r>
            <w:r w:rsidR="00230F9A">
              <w:fldChar w:fldCharType="separate"/>
            </w:r>
            <w:r w:rsidRPr="00D4558F">
              <w:fldChar w:fldCharType="end"/>
            </w:r>
            <w:r w:rsidRPr="00D4558F">
              <w:t>Medical Practitioners</w:t>
            </w:r>
          </w:p>
        </w:tc>
      </w:tr>
      <w:tr w:rsidR="00612BA3" w:rsidRPr="00D4558F" w:rsidTr="00F234F5">
        <w:trPr>
          <w:trHeight w:val="235"/>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Episodicity:</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Chronic</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Severity:</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NA</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Condition:</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X-Linked Hypophosphataemia</w:t>
            </w:r>
          </w:p>
        </w:tc>
      </w:tr>
      <w:tr w:rsidR="00612BA3" w:rsidRPr="00D4558F" w:rsidTr="00F234F5">
        <w:trPr>
          <w:trHeight w:val="235"/>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PBS Indication:</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X-Linked Hypophosphataemia</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Treatment phase:</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Initial and Continuing</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Restriction:</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fldChar w:fldCharType="begin">
                <w:ffData>
                  <w:name w:val=""/>
                  <w:enabled/>
                  <w:calcOnExit w:val="0"/>
                  <w:checkBox>
                    <w:sizeAuto/>
                    <w:default w:val="1"/>
                  </w:checkBox>
                </w:ffData>
              </w:fldChar>
            </w:r>
            <w:r w:rsidRPr="00D4558F">
              <w:instrText xml:space="preserve"> FORMCHECKBOX </w:instrText>
            </w:r>
            <w:r w:rsidR="00230F9A">
              <w:fldChar w:fldCharType="separate"/>
            </w:r>
            <w:r w:rsidRPr="00D4558F">
              <w:fldChar w:fldCharType="end"/>
            </w:r>
            <w:r w:rsidRPr="00D4558F">
              <w:t>Authority Required - In Writing</w:t>
            </w:r>
          </w:p>
        </w:tc>
      </w:tr>
      <w:tr w:rsidR="00612BA3" w:rsidRPr="00D4558F" w:rsidTr="00F234F5">
        <w:trPr>
          <w:trHeight w:val="689"/>
        </w:trPr>
        <w:tc>
          <w:tcPr>
            <w:tcW w:w="1701" w:type="dxa"/>
            <w:tcBorders>
              <w:left w:val="single" w:sz="4" w:space="0" w:color="auto"/>
              <w:right w:val="single" w:sz="4" w:space="0" w:color="auto"/>
            </w:tcBorders>
          </w:tcPr>
          <w:p w:rsidR="00612BA3" w:rsidRPr="00D4558F" w:rsidRDefault="00612BA3" w:rsidP="00B80657">
            <w:pPr>
              <w:pStyle w:val="TableText0"/>
              <w:widowControl w:val="0"/>
              <w:rPr>
                <w:b/>
              </w:rPr>
            </w:pPr>
            <w:r w:rsidRPr="00D4558F">
              <w:rPr>
                <w:b/>
              </w:rPr>
              <w:t>Treatment criteria:</w:t>
            </w:r>
          </w:p>
          <w:p w:rsidR="00612BA3" w:rsidRPr="00D4558F" w:rsidRDefault="00612BA3" w:rsidP="00B80657">
            <w:pPr>
              <w:pStyle w:val="Tabletext"/>
              <w:keepNext/>
            </w:pPr>
          </w:p>
        </w:tc>
        <w:tc>
          <w:tcPr>
            <w:tcW w:w="7492" w:type="dxa"/>
            <w:gridSpan w:val="7"/>
            <w:tcBorders>
              <w:left w:val="single" w:sz="4" w:space="0" w:color="auto"/>
              <w:right w:val="single" w:sz="4" w:space="0" w:color="auto"/>
            </w:tcBorders>
          </w:tcPr>
          <w:p w:rsidR="00612BA3" w:rsidRPr="00D4558F" w:rsidRDefault="00612BA3" w:rsidP="00B80657">
            <w:pPr>
              <w:pStyle w:val="TableText0"/>
              <w:widowControl w:val="0"/>
            </w:pPr>
            <w:r w:rsidRPr="00D4558F">
              <w:t>Patient must be treated by or under the supervision of a paediatric endocrinologist</w:t>
            </w:r>
          </w:p>
          <w:p w:rsidR="00612BA3" w:rsidRPr="00D4558F" w:rsidRDefault="00612BA3" w:rsidP="00B80657">
            <w:pPr>
              <w:pStyle w:val="TableText0"/>
              <w:widowControl w:val="0"/>
            </w:pPr>
            <w:r w:rsidRPr="00D4558F">
              <w:t>OR</w:t>
            </w:r>
          </w:p>
          <w:p w:rsidR="00612BA3" w:rsidRPr="00D4558F" w:rsidRDefault="00612BA3" w:rsidP="00B80657">
            <w:pPr>
              <w:pStyle w:val="Tabletext"/>
              <w:keepNext/>
            </w:pPr>
            <w:r w:rsidRPr="00D4558F">
              <w:rPr>
                <w:rFonts w:cstheme="majorBidi"/>
              </w:rPr>
              <w:t>Patient must be treated by or under the supervision of a paediatric nephrologist.</w:t>
            </w:r>
          </w:p>
        </w:tc>
      </w:tr>
      <w:tr w:rsidR="00612BA3" w:rsidRPr="00D4558F" w:rsidTr="00F234F5">
        <w:trPr>
          <w:trHeight w:val="197"/>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Clinical criteria:</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rPr>
                <w:rFonts w:cstheme="majorBidi"/>
              </w:rPr>
              <w:t>A diagnosis of X-linked hypophosphataemia must be confirmed in the patient’s medical records.</w:t>
            </w:r>
          </w:p>
        </w:tc>
      </w:tr>
      <w:tr w:rsidR="00612BA3" w:rsidRPr="00D4558F" w:rsidTr="00F234F5">
        <w:trPr>
          <w:trHeight w:val="218"/>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Population criteria:</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Patient must be aged less than 18 years</w:t>
            </w:r>
          </w:p>
        </w:tc>
      </w:tr>
      <w:tr w:rsidR="00612BA3" w:rsidRPr="00D4558F" w:rsidTr="00F234F5">
        <w:trPr>
          <w:trHeight w:val="855"/>
        </w:trPr>
        <w:tc>
          <w:tcPr>
            <w:tcW w:w="1701" w:type="dxa"/>
            <w:tcBorders>
              <w:left w:val="single" w:sz="4" w:space="0" w:color="auto"/>
              <w:right w:val="single" w:sz="4" w:space="0" w:color="auto"/>
            </w:tcBorders>
          </w:tcPr>
          <w:p w:rsidR="00612BA3" w:rsidRPr="00D4558F" w:rsidRDefault="00612BA3" w:rsidP="00B80657">
            <w:pPr>
              <w:pStyle w:val="Tabletext"/>
              <w:keepNext/>
            </w:pPr>
            <w:r w:rsidRPr="00D4558F">
              <w:rPr>
                <w:b/>
              </w:rPr>
              <w:t>Prescriber Instructions:</w:t>
            </w:r>
          </w:p>
        </w:tc>
        <w:tc>
          <w:tcPr>
            <w:tcW w:w="7492" w:type="dxa"/>
            <w:gridSpan w:val="7"/>
            <w:tcBorders>
              <w:left w:val="single" w:sz="4" w:space="0" w:color="auto"/>
              <w:right w:val="single" w:sz="4" w:space="0" w:color="auto"/>
            </w:tcBorders>
          </w:tcPr>
          <w:p w:rsidR="00612BA3" w:rsidRPr="00D4558F" w:rsidRDefault="00612BA3" w:rsidP="00B80657">
            <w:pPr>
              <w:pStyle w:val="Tabletext"/>
              <w:keepNext/>
            </w:pPr>
            <w:r w:rsidRPr="00D4558F">
              <w:t>At the time of authority application, medical practitioners must request the appropriate number of vials of appropriate strength to provide sufficient drug, based on the weight of the patient, for one administration. A separate authority prescription form must be completed for each strength requested. Up to a maximum of 3 items will be authorised for any 1 administration.</w:t>
            </w:r>
          </w:p>
        </w:tc>
      </w:tr>
    </w:tbl>
    <w:p w:rsidR="00EB16F0" w:rsidRPr="00D4558F" w:rsidRDefault="00EB16F0" w:rsidP="00EB16F0">
      <w:pPr>
        <w:pStyle w:val="TableFooter"/>
      </w:pPr>
      <w:r w:rsidRPr="00D4558F">
        <w:t>Source: Table</w:t>
      </w:r>
      <w:r w:rsidR="002E2A37" w:rsidRPr="00D4558F">
        <w:t>s</w:t>
      </w:r>
      <w:r w:rsidRPr="00D4558F">
        <w:t xml:space="preserve"> 1-4</w:t>
      </w:r>
      <w:r w:rsidR="002E2A37" w:rsidRPr="00D4558F">
        <w:t xml:space="preserve"> &amp; 1-5,</w:t>
      </w:r>
      <w:r w:rsidRPr="00D4558F">
        <w:t xml:space="preserve"> p24 of the submission. </w:t>
      </w:r>
    </w:p>
    <w:p w:rsidR="00EB16F0" w:rsidRPr="00D4558F" w:rsidRDefault="00EB16F0" w:rsidP="00EB16F0">
      <w:pPr>
        <w:ind w:left="165" w:hanging="165"/>
        <w:rPr>
          <w:rFonts w:ascii="Arial Narrow" w:hAnsi="Arial Narrow"/>
          <w:sz w:val="18"/>
        </w:rPr>
      </w:pPr>
      <w:r w:rsidRPr="00D4558F">
        <w:rPr>
          <w:rFonts w:ascii="Arial Narrow" w:hAnsi="Arial Narrow"/>
          <w:sz w:val="18"/>
        </w:rPr>
        <w:t>*</w:t>
      </w:r>
      <w:r w:rsidRPr="00D4558F">
        <w:rPr>
          <w:rFonts w:ascii="Arial Narrow" w:hAnsi="Arial Narrow"/>
          <w:sz w:val="18"/>
        </w:rPr>
        <w:tab/>
        <w:t>The submission erroneously indicated in Table 1-4 that burosumab 10/20/30</w:t>
      </w:r>
      <w:r w:rsidR="00B80657">
        <w:rPr>
          <w:rFonts w:ascii="Arial Narrow" w:hAnsi="Arial Narrow"/>
          <w:sz w:val="18"/>
        </w:rPr>
        <w:t xml:space="preserve"> </w:t>
      </w:r>
      <w:r w:rsidRPr="00D4558F">
        <w:rPr>
          <w:rFonts w:ascii="Arial Narrow" w:hAnsi="Arial Narrow"/>
          <w:sz w:val="18"/>
        </w:rPr>
        <w:t>mg vials were 5</w:t>
      </w:r>
      <w:r w:rsidR="00B80657">
        <w:rPr>
          <w:rFonts w:ascii="Arial Narrow" w:hAnsi="Arial Narrow"/>
          <w:sz w:val="18"/>
        </w:rPr>
        <w:t xml:space="preserve"> </w:t>
      </w:r>
      <w:r w:rsidRPr="00D4558F">
        <w:rPr>
          <w:rFonts w:ascii="Arial Narrow" w:hAnsi="Arial Narrow"/>
          <w:sz w:val="18"/>
        </w:rPr>
        <w:t>mL, however, the draft PI and other information states burosumab vials contain 1</w:t>
      </w:r>
      <w:r w:rsidR="00B80657">
        <w:rPr>
          <w:rFonts w:ascii="Arial Narrow" w:hAnsi="Arial Narrow"/>
          <w:sz w:val="18"/>
        </w:rPr>
        <w:t xml:space="preserve"> </w:t>
      </w:r>
      <w:r w:rsidRPr="00D4558F">
        <w:rPr>
          <w:rFonts w:ascii="Arial Narrow" w:hAnsi="Arial Narrow"/>
          <w:sz w:val="18"/>
        </w:rPr>
        <w:t xml:space="preserve">mL of solution. </w:t>
      </w:r>
    </w:p>
    <w:p w:rsidR="00617E12" w:rsidRPr="00D4558F" w:rsidRDefault="00617E12" w:rsidP="00617E12"/>
    <w:p w:rsidR="007F180D" w:rsidRPr="00B53825" w:rsidRDefault="00123466" w:rsidP="00736796">
      <w:pPr>
        <w:pStyle w:val="3-BodyText"/>
        <w:rPr>
          <w:color w:val="000000" w:themeColor="text1"/>
        </w:rPr>
      </w:pPr>
      <w:r w:rsidRPr="00A83FDA">
        <w:t xml:space="preserve">The requested PBS listing for </w:t>
      </w:r>
      <w:r w:rsidR="003631B0" w:rsidRPr="00A83FDA">
        <w:t>burosumab</w:t>
      </w:r>
      <w:r w:rsidRPr="00A83FDA">
        <w:t xml:space="preserve"> in children &lt;</w:t>
      </w:r>
      <w:r w:rsidR="00B80657" w:rsidRPr="00A83FDA">
        <w:t xml:space="preserve"> </w:t>
      </w:r>
      <w:r w:rsidRPr="00A83FDA">
        <w:t>18 years</w:t>
      </w:r>
      <w:r w:rsidR="00002B2A" w:rsidRPr="00A83FDA">
        <w:t xml:space="preserve"> of age</w:t>
      </w:r>
      <w:r w:rsidRPr="00A83FDA">
        <w:t xml:space="preserve"> </w:t>
      </w:r>
      <w:r w:rsidR="00002B2A" w:rsidRPr="00A83FDA">
        <w:t>does not align with the</w:t>
      </w:r>
      <w:r w:rsidRPr="00A83FDA">
        <w:t xml:space="preserve"> proposed </w:t>
      </w:r>
      <w:r w:rsidR="00B80657" w:rsidRPr="00A83FDA">
        <w:t xml:space="preserve">TGA </w:t>
      </w:r>
      <w:r w:rsidRPr="00A83FDA">
        <w:t>population (adults and children ≥</w:t>
      </w:r>
      <w:r w:rsidR="00B80657" w:rsidRPr="00A83FDA">
        <w:t xml:space="preserve"> </w:t>
      </w:r>
      <w:r w:rsidRPr="00A83FDA">
        <w:t xml:space="preserve">1 years of age). </w:t>
      </w:r>
      <w:r w:rsidR="007F180D" w:rsidRPr="00A83FDA">
        <w:rPr>
          <w:color w:val="000000" w:themeColor="text1"/>
        </w:rPr>
        <w:t xml:space="preserve">Studies supporting the submission </w:t>
      </w:r>
      <w:r w:rsidR="00211BA8" w:rsidRPr="00A83FDA">
        <w:rPr>
          <w:color w:val="000000" w:themeColor="text1"/>
        </w:rPr>
        <w:t>enrolled</w:t>
      </w:r>
      <w:r w:rsidR="007F180D" w:rsidRPr="00A83FDA">
        <w:rPr>
          <w:color w:val="000000" w:themeColor="text1"/>
        </w:rPr>
        <w:t xml:space="preserve"> children age</w:t>
      </w:r>
      <w:r w:rsidR="00211BA8" w:rsidRPr="00A83FDA">
        <w:rPr>
          <w:color w:val="000000" w:themeColor="text1"/>
        </w:rPr>
        <w:t>d between</w:t>
      </w:r>
      <w:r w:rsidR="007F180D" w:rsidRPr="00A83FDA">
        <w:rPr>
          <w:color w:val="000000" w:themeColor="text1"/>
        </w:rPr>
        <w:t xml:space="preserve"> 1 and 12 years</w:t>
      </w:r>
      <w:r w:rsidR="00211BA8" w:rsidRPr="00A83FDA">
        <w:rPr>
          <w:color w:val="000000" w:themeColor="text1"/>
        </w:rPr>
        <w:t>;</w:t>
      </w:r>
      <w:r w:rsidR="007F180D" w:rsidRPr="00A83FDA">
        <w:rPr>
          <w:color w:val="000000" w:themeColor="text1"/>
        </w:rPr>
        <w:t xml:space="preserve"> however</w:t>
      </w:r>
      <w:r w:rsidR="00211BA8" w:rsidRPr="00A83FDA">
        <w:rPr>
          <w:color w:val="000000" w:themeColor="text1"/>
        </w:rPr>
        <w:t>,</w:t>
      </w:r>
      <w:r w:rsidR="007F180D" w:rsidRPr="00A83FDA">
        <w:rPr>
          <w:color w:val="000000" w:themeColor="text1"/>
        </w:rPr>
        <w:t xml:space="preserve"> </w:t>
      </w:r>
      <w:r w:rsidR="003631B0" w:rsidRPr="00A83FDA">
        <w:rPr>
          <w:color w:val="000000" w:themeColor="text1"/>
        </w:rPr>
        <w:t>burosumab</w:t>
      </w:r>
      <w:r w:rsidR="007F180D" w:rsidRPr="00A83FDA">
        <w:rPr>
          <w:color w:val="000000" w:themeColor="text1"/>
        </w:rPr>
        <w:t xml:space="preserve"> has also been trialled in adult populations (e</w:t>
      </w:r>
      <w:r w:rsidR="00002B2A" w:rsidRPr="00A83FDA">
        <w:rPr>
          <w:color w:val="000000" w:themeColor="text1"/>
        </w:rPr>
        <w:t>.</w:t>
      </w:r>
      <w:r w:rsidR="007F180D" w:rsidRPr="00A83FDA">
        <w:rPr>
          <w:color w:val="000000" w:themeColor="text1"/>
        </w:rPr>
        <w:t>g</w:t>
      </w:r>
      <w:r w:rsidR="00002B2A" w:rsidRPr="00A83FDA">
        <w:rPr>
          <w:color w:val="000000" w:themeColor="text1"/>
        </w:rPr>
        <w:t>.</w:t>
      </w:r>
      <w:r w:rsidR="007F180D" w:rsidRPr="00A83FDA">
        <w:rPr>
          <w:color w:val="000000" w:themeColor="text1"/>
        </w:rPr>
        <w:t xml:space="preserve"> Insogna et al 2018)</w:t>
      </w:r>
      <w:r w:rsidR="007F180D" w:rsidRPr="00A83FDA">
        <w:rPr>
          <w:rStyle w:val="FootnoteReference"/>
          <w:iCs/>
          <w:color w:val="000000" w:themeColor="text1"/>
        </w:rPr>
        <w:footnoteReference w:id="1"/>
      </w:r>
      <w:r w:rsidR="00A25DCC" w:rsidRPr="00A83FDA">
        <w:rPr>
          <w:color w:val="000000" w:themeColor="text1"/>
        </w:rPr>
        <w:t xml:space="preserve"> and an open label, non-randomised study is underway to evaluate safety, pharmacodynamics and activity of </w:t>
      </w:r>
      <w:r w:rsidR="003631B0" w:rsidRPr="00A83FDA">
        <w:rPr>
          <w:color w:val="000000" w:themeColor="text1"/>
        </w:rPr>
        <w:t>burosumab</w:t>
      </w:r>
      <w:r w:rsidR="00A25DCC" w:rsidRPr="00A83FDA">
        <w:rPr>
          <w:color w:val="000000" w:themeColor="text1"/>
        </w:rPr>
        <w:t xml:space="preserve"> in children with XLH from birth to 1 year of age</w:t>
      </w:r>
      <w:r w:rsidR="00092ACF" w:rsidRPr="00A83FDA">
        <w:rPr>
          <w:color w:val="000000" w:themeColor="text1"/>
        </w:rPr>
        <w:t xml:space="preserve"> (CL207)</w:t>
      </w:r>
      <w:r w:rsidR="00A25DCC" w:rsidRPr="00A83FDA">
        <w:rPr>
          <w:color w:val="000000" w:themeColor="text1"/>
        </w:rPr>
        <w:t xml:space="preserve">. </w:t>
      </w:r>
      <w:r w:rsidR="007F180D" w:rsidRPr="00A83FDA">
        <w:rPr>
          <w:color w:val="000000" w:themeColor="text1"/>
        </w:rPr>
        <w:t>There is a lack of data informing safety and efficacy in children</w:t>
      </w:r>
      <w:r w:rsidR="00002B2A" w:rsidRPr="00A83FDA">
        <w:rPr>
          <w:color w:val="000000" w:themeColor="text1"/>
        </w:rPr>
        <w:t xml:space="preserve"> &lt;</w:t>
      </w:r>
      <w:r w:rsidR="00B400A4">
        <w:rPr>
          <w:color w:val="000000" w:themeColor="text1"/>
        </w:rPr>
        <w:t> </w:t>
      </w:r>
      <w:r w:rsidR="00002B2A" w:rsidRPr="00A83FDA">
        <w:rPr>
          <w:color w:val="000000" w:themeColor="text1"/>
        </w:rPr>
        <w:t xml:space="preserve">1 year of age and </w:t>
      </w:r>
      <w:r w:rsidR="007F180D" w:rsidRPr="00A83FDA">
        <w:rPr>
          <w:color w:val="000000" w:themeColor="text1"/>
        </w:rPr>
        <w:t>between 13 and 1</w:t>
      </w:r>
      <w:r w:rsidR="002F683E" w:rsidRPr="00A83FDA">
        <w:rPr>
          <w:color w:val="000000" w:themeColor="text1"/>
        </w:rPr>
        <w:t>7</w:t>
      </w:r>
      <w:r w:rsidR="007F180D" w:rsidRPr="00A83FDA">
        <w:rPr>
          <w:color w:val="000000" w:themeColor="text1"/>
        </w:rPr>
        <w:t xml:space="preserve"> years of age (inclusive).</w:t>
      </w:r>
      <w:r w:rsidR="005E1641">
        <w:rPr>
          <w:color w:val="000000" w:themeColor="text1"/>
        </w:rPr>
        <w:t xml:space="preserve"> </w:t>
      </w:r>
      <w:r w:rsidR="005E1641" w:rsidRPr="00B53825">
        <w:rPr>
          <w:color w:val="000000" w:themeColor="text1"/>
        </w:rPr>
        <w:t xml:space="preserve">The </w:t>
      </w:r>
      <w:r w:rsidR="00A05976">
        <w:rPr>
          <w:color w:val="000000" w:themeColor="text1"/>
        </w:rPr>
        <w:t>Pre-Sub-Committee Response (</w:t>
      </w:r>
      <w:r w:rsidR="005E1641" w:rsidRPr="00B53825">
        <w:rPr>
          <w:color w:val="000000" w:themeColor="text1"/>
        </w:rPr>
        <w:t>PSCR</w:t>
      </w:r>
      <w:r w:rsidR="00A05976">
        <w:rPr>
          <w:color w:val="000000" w:themeColor="text1"/>
        </w:rPr>
        <w:t>)</w:t>
      </w:r>
      <w:r w:rsidR="005E1641" w:rsidRPr="00B53825">
        <w:rPr>
          <w:color w:val="000000" w:themeColor="text1"/>
        </w:rPr>
        <w:t xml:space="preserve"> state</w:t>
      </w:r>
      <w:r w:rsidR="004C6604" w:rsidRPr="00B53825">
        <w:rPr>
          <w:color w:val="000000" w:themeColor="text1"/>
        </w:rPr>
        <w:t>d</w:t>
      </w:r>
      <w:r w:rsidR="005E1641" w:rsidRPr="00B53825">
        <w:rPr>
          <w:color w:val="000000" w:themeColor="text1"/>
        </w:rPr>
        <w:t xml:space="preserve"> that</w:t>
      </w:r>
      <w:r w:rsidR="004C6604" w:rsidRPr="00B53825">
        <w:rPr>
          <w:color w:val="000000" w:themeColor="text1"/>
        </w:rPr>
        <w:t xml:space="preserve"> although the optimal clinical place in therapy for burosumab would </w:t>
      </w:r>
      <w:r w:rsidR="00736796" w:rsidRPr="00B53825">
        <w:rPr>
          <w:color w:val="000000" w:themeColor="text1"/>
        </w:rPr>
        <w:t xml:space="preserve">ultimately </w:t>
      </w:r>
      <w:r w:rsidR="004C6604" w:rsidRPr="00B53825">
        <w:rPr>
          <w:color w:val="000000" w:themeColor="text1"/>
        </w:rPr>
        <w:t>be as chronic therapy for any patient with a confirmed diagnosis of XLH, irrespective of age,</w:t>
      </w:r>
      <w:r w:rsidR="005E1641" w:rsidRPr="00B53825">
        <w:rPr>
          <w:color w:val="000000" w:themeColor="text1"/>
        </w:rPr>
        <w:t xml:space="preserve"> it is paediatric patients who have the greatest clinical need and potential for benefit with burosumab treatment.</w:t>
      </w:r>
      <w:r w:rsidR="004C6604" w:rsidRPr="00B53825">
        <w:rPr>
          <w:color w:val="000000" w:themeColor="text1"/>
        </w:rPr>
        <w:t xml:space="preserve"> </w:t>
      </w:r>
      <w:r w:rsidR="00736796" w:rsidRPr="00B53825">
        <w:rPr>
          <w:color w:val="000000" w:themeColor="text1"/>
        </w:rPr>
        <w:t xml:space="preserve">The PSCR further proposed then expanding PBS access with </w:t>
      </w:r>
      <w:r w:rsidR="00736796" w:rsidRPr="00B53825">
        <w:rPr>
          <w:iCs/>
          <w:color w:val="000000" w:themeColor="text1"/>
        </w:rPr>
        <w:t>any extensions to the target population on their merits, as clinical experience/understanding, and evidence of effectiveness, safety and cost effectiveness mature.</w:t>
      </w:r>
    </w:p>
    <w:p w:rsidR="00123466" w:rsidRPr="00B53825" w:rsidRDefault="00123466" w:rsidP="004E421A">
      <w:pPr>
        <w:pStyle w:val="3-BodyText"/>
      </w:pPr>
      <w:r w:rsidRPr="00A83FDA">
        <w:t xml:space="preserve">A </w:t>
      </w:r>
      <w:r w:rsidR="00707C98" w:rsidRPr="00A83FDA">
        <w:t>simple clinical criterion</w:t>
      </w:r>
      <w:r w:rsidR="001624A8" w:rsidRPr="00A83FDA">
        <w:t xml:space="preserve"> was proposed in the restriction: </w:t>
      </w:r>
      <w:r w:rsidRPr="00A83FDA">
        <w:t>‘confirmed XLH</w:t>
      </w:r>
      <w:r w:rsidR="001624A8" w:rsidRPr="00A83FDA">
        <w:t xml:space="preserve"> in the patient’s medical records’</w:t>
      </w:r>
      <w:r w:rsidR="005C0813" w:rsidRPr="00A83FDA">
        <w:t>,</w:t>
      </w:r>
      <w:r w:rsidRPr="00A83FDA">
        <w:t xml:space="preserve"> </w:t>
      </w:r>
      <w:r w:rsidR="001624A8" w:rsidRPr="00A83FDA">
        <w:t xml:space="preserve">without mention of </w:t>
      </w:r>
      <w:r w:rsidRPr="00A83FDA">
        <w:t xml:space="preserve">recent </w:t>
      </w:r>
      <w:r w:rsidR="001624A8" w:rsidRPr="00A83FDA">
        <w:t xml:space="preserve">clinical, </w:t>
      </w:r>
      <w:r w:rsidRPr="00A83FDA">
        <w:t>radiographic</w:t>
      </w:r>
      <w:r w:rsidR="001624A8" w:rsidRPr="00A83FDA">
        <w:t xml:space="preserve"> or genetic information to support </w:t>
      </w:r>
      <w:r w:rsidR="00380BFB" w:rsidRPr="00A83FDA">
        <w:t xml:space="preserve">a </w:t>
      </w:r>
      <w:r w:rsidR="00707C98" w:rsidRPr="00A83FDA">
        <w:t>XLH</w:t>
      </w:r>
      <w:r w:rsidR="001624A8" w:rsidRPr="00A83FDA">
        <w:t xml:space="preserve"> diagnosis. The submission </w:t>
      </w:r>
      <w:r w:rsidR="00BA2B43" w:rsidRPr="00A83FDA">
        <w:t xml:space="preserve">justified this by stating </w:t>
      </w:r>
      <w:r w:rsidR="001624A8" w:rsidRPr="00A83FDA">
        <w:t xml:space="preserve">that the diagnosis of XLH is multifactorial with no single observation or test, </w:t>
      </w:r>
      <w:r w:rsidR="00BA2B43" w:rsidRPr="00A83FDA">
        <w:t xml:space="preserve">and is </w:t>
      </w:r>
      <w:r w:rsidR="001624A8" w:rsidRPr="00A83FDA">
        <w:t xml:space="preserve">already routine clinical practice in Australia. </w:t>
      </w:r>
      <w:r w:rsidR="00211BA8" w:rsidRPr="00A83FDA">
        <w:t>T</w:t>
      </w:r>
      <w:r w:rsidR="00380BFB" w:rsidRPr="00A83FDA">
        <w:t xml:space="preserve">o </w:t>
      </w:r>
      <w:r w:rsidR="007F180D" w:rsidRPr="00A83FDA">
        <w:t xml:space="preserve">ensure appropriate use and alignment with </w:t>
      </w:r>
      <w:r w:rsidR="00380BFB" w:rsidRPr="00A83FDA">
        <w:t xml:space="preserve">the clinical </w:t>
      </w:r>
      <w:r w:rsidR="007F180D" w:rsidRPr="00A83FDA">
        <w:t xml:space="preserve">evidence of </w:t>
      </w:r>
      <w:r w:rsidR="003631B0" w:rsidRPr="00A83FDA">
        <w:t>burosumab</w:t>
      </w:r>
      <w:r w:rsidR="007F180D" w:rsidRPr="00A83FDA">
        <w:t xml:space="preserve">, </w:t>
      </w:r>
      <w:r w:rsidR="00A16F76">
        <w:t xml:space="preserve">the evaluation suggested </w:t>
      </w:r>
      <w:r w:rsidR="00BA2B43" w:rsidRPr="00A83FDA">
        <w:t xml:space="preserve">the PBAC may wish to </w:t>
      </w:r>
      <w:r w:rsidR="007F180D" w:rsidRPr="00A83FDA">
        <w:t xml:space="preserve">seek confirmatory </w:t>
      </w:r>
      <w:r w:rsidR="00BA2B43" w:rsidRPr="00A83FDA">
        <w:t xml:space="preserve">evidence of </w:t>
      </w:r>
      <w:r w:rsidR="007F180D" w:rsidRPr="00A83FDA">
        <w:t>diagnosis</w:t>
      </w:r>
      <w:r w:rsidR="00BA2B43" w:rsidRPr="00A83FDA">
        <w:t xml:space="preserve">, </w:t>
      </w:r>
      <w:r w:rsidR="00EE7611" w:rsidRPr="00A83FDA">
        <w:t xml:space="preserve">which may </w:t>
      </w:r>
      <w:r w:rsidR="00BA2B43" w:rsidRPr="00A83FDA">
        <w:t>includ</w:t>
      </w:r>
      <w:r w:rsidR="00EE7611" w:rsidRPr="00A83FDA">
        <w:t>e</w:t>
      </w:r>
      <w:r w:rsidR="00BA2B43" w:rsidRPr="00A83FDA">
        <w:t>: serum phosphate level</w:t>
      </w:r>
      <w:r w:rsidR="00707C98" w:rsidRPr="00A83FDA">
        <w:t>s</w:t>
      </w:r>
      <w:r w:rsidR="00BA2B43" w:rsidRPr="00A83FDA">
        <w:t>, evidence of normal renal function, radiographic evidence of rickets and/or rickets severity, age criteria and confirmation of XLH via PHEX mutation testing</w:t>
      </w:r>
      <w:r w:rsidR="007F17F6">
        <w:t xml:space="preserve"> </w:t>
      </w:r>
      <w:r w:rsidR="00EC251A">
        <w:t>(</w:t>
      </w:r>
      <w:r w:rsidR="007F17F6" w:rsidRPr="00F234F5">
        <w:t xml:space="preserve">which was an inclusion </w:t>
      </w:r>
      <w:r w:rsidR="00C040DF" w:rsidRPr="00F234F5">
        <w:t>criteri</w:t>
      </w:r>
      <w:r w:rsidR="00C040DF">
        <w:t>on</w:t>
      </w:r>
      <w:r w:rsidR="00C040DF" w:rsidRPr="00F234F5">
        <w:t xml:space="preserve"> </w:t>
      </w:r>
      <w:r w:rsidR="00C040DF">
        <w:t>in</w:t>
      </w:r>
      <w:r w:rsidR="00C040DF" w:rsidRPr="00F234F5">
        <w:t xml:space="preserve"> </w:t>
      </w:r>
      <w:r w:rsidR="007F17F6" w:rsidRPr="00F234F5">
        <w:t>all the clinical studies presented in the submission</w:t>
      </w:r>
      <w:r w:rsidR="00EC251A">
        <w:t>)</w:t>
      </w:r>
      <w:r w:rsidR="00707C98" w:rsidRPr="00F234F5">
        <w:t>.</w:t>
      </w:r>
      <w:r w:rsidR="007F180D" w:rsidRPr="00A83FDA">
        <w:t xml:space="preserve"> If genetic confirmation of </w:t>
      </w:r>
      <w:r w:rsidR="00380BFB" w:rsidRPr="00A83FDA">
        <w:t xml:space="preserve">PHEX pathogenic variant is deemed necessary, then it might be appropriate for the sponsor to cover the cost of that testing.  The </w:t>
      </w:r>
      <w:r w:rsidR="00EE7611" w:rsidRPr="00A83FDA">
        <w:t>Canadian Agency for Drugs and Technologies in Health (C</w:t>
      </w:r>
      <w:r w:rsidR="00707C98" w:rsidRPr="00A83FDA">
        <w:t>ADTH</w:t>
      </w:r>
      <w:r w:rsidR="00EE7611" w:rsidRPr="00A83FDA">
        <w:t>)</w:t>
      </w:r>
      <w:r w:rsidR="00002B2A" w:rsidRPr="00A83FDA">
        <w:rPr>
          <w:rStyle w:val="FootnoteReference"/>
        </w:rPr>
        <w:t xml:space="preserve"> </w:t>
      </w:r>
      <w:r w:rsidR="00002B2A" w:rsidRPr="00A83FDA">
        <w:rPr>
          <w:rStyle w:val="FootnoteReference"/>
        </w:rPr>
        <w:footnoteReference w:id="2"/>
      </w:r>
      <w:r w:rsidR="00AA050A" w:rsidRPr="00A83FDA">
        <w:t xml:space="preserve"> recommend</w:t>
      </w:r>
      <w:r w:rsidR="00380BFB" w:rsidRPr="00A83FDA">
        <w:t xml:space="preserve">ed </w:t>
      </w:r>
      <w:r w:rsidR="003631B0" w:rsidRPr="00A83FDA">
        <w:t>burosumab</w:t>
      </w:r>
      <w:r w:rsidR="00380BFB" w:rsidRPr="00A83FDA">
        <w:t xml:space="preserve"> for listing provided patients satisfy </w:t>
      </w:r>
      <w:r w:rsidR="00EE7611" w:rsidRPr="00A83FDA">
        <w:t>specific initiation</w:t>
      </w:r>
      <w:r w:rsidR="00380BFB" w:rsidRPr="00A83FDA">
        <w:t xml:space="preserve"> and continuation</w:t>
      </w:r>
      <w:r w:rsidR="00EE7611" w:rsidRPr="00A83FDA">
        <w:t xml:space="preserve"> criteria</w:t>
      </w:r>
      <w:r w:rsidR="00380BFB" w:rsidRPr="00A83FDA">
        <w:t xml:space="preserve"> (including genetic testing).</w:t>
      </w:r>
      <w:r w:rsidR="005E1641">
        <w:t xml:space="preserve"> </w:t>
      </w:r>
      <w:r w:rsidR="005E1641" w:rsidRPr="00B53825">
        <w:t xml:space="preserve">The </w:t>
      </w:r>
      <w:r w:rsidR="00C330A4" w:rsidRPr="00B53825">
        <w:t>PSCR</w:t>
      </w:r>
      <w:r w:rsidR="00736796" w:rsidRPr="00B53825">
        <w:t xml:space="preserve"> </w:t>
      </w:r>
      <w:r w:rsidR="00C330A4" w:rsidRPr="00B53825">
        <w:t xml:space="preserve">reiterated that diagnosis of XLH is multifactorial, involving various clinical assessments, laboratory and radiological investigations, family history and genetic and immunogenic tests, with no single observation being definitive. The </w:t>
      </w:r>
      <w:r w:rsidR="005E1641" w:rsidRPr="00B53825">
        <w:t>PSCR stated that the recommended diagnos</w:t>
      </w:r>
      <w:r w:rsidR="00C330A4" w:rsidRPr="00B53825">
        <w:t>tic workup for XLH, including PH</w:t>
      </w:r>
      <w:r w:rsidR="005E1641" w:rsidRPr="00B53825">
        <w:t>EX testing, is routine in most Australian treatment centres and unlikely to change</w:t>
      </w:r>
      <w:r w:rsidR="00C330A4" w:rsidRPr="00B53825">
        <w:t xml:space="preserve">. The PSCR also noted that there are relevant mutations of the PHEX gene which are not captured by currently available tests and that an eligibility requirement for a positive PHEX mutation test may inappropriately exclude patients with </w:t>
      </w:r>
      <w:r w:rsidR="00C040DF">
        <w:t>a</w:t>
      </w:r>
      <w:r w:rsidR="00C330A4" w:rsidRPr="00B53825">
        <w:t xml:space="preserve"> diagnosis</w:t>
      </w:r>
      <w:r w:rsidR="00C040DF" w:rsidRPr="00C040DF">
        <w:t xml:space="preserve"> </w:t>
      </w:r>
      <w:r w:rsidR="00C040DF" w:rsidRPr="00B53825">
        <w:t>confirmed</w:t>
      </w:r>
      <w:r w:rsidR="00C040DF">
        <w:t xml:space="preserve"> by methods other than genetic analysis</w:t>
      </w:r>
      <w:r w:rsidR="005E1641" w:rsidRPr="00B53825">
        <w:t>.</w:t>
      </w:r>
      <w:r w:rsidR="00325A6F">
        <w:t xml:space="preserve"> The PBAC recommended that the restriction </w:t>
      </w:r>
      <w:r w:rsidR="00B32363">
        <w:t xml:space="preserve">include more clinically based criteria beyond ‘confirmed XLH in the patient’s medical records’ such as serum phosphate levels and radiographic evidence of rickets and include </w:t>
      </w:r>
      <w:r w:rsidR="00325A6F">
        <w:t>confirmation of a PHEX pathogenic variant.</w:t>
      </w:r>
    </w:p>
    <w:p w:rsidR="00246793" w:rsidRPr="00B53825" w:rsidRDefault="00246793" w:rsidP="00516124">
      <w:pPr>
        <w:pStyle w:val="3-BodyText"/>
      </w:pPr>
      <w:r w:rsidRPr="00A83FDA">
        <w:t xml:space="preserve">Population criteria for the PBS restriction stated patients must be &lt; 18 years. This age limit was selected in preference </w:t>
      </w:r>
      <w:r w:rsidR="006D7609" w:rsidRPr="00A83FDA">
        <w:t>to a more clinically orientated criterion</w:t>
      </w:r>
      <w:r w:rsidRPr="00A83FDA">
        <w:t xml:space="preserve"> such as prior to closure of growth plates (epiphyseal closure) </w:t>
      </w:r>
      <w:r w:rsidR="00211BA8" w:rsidRPr="00A83FDA">
        <w:t xml:space="preserve">which would allow </w:t>
      </w:r>
      <w:r w:rsidRPr="00A83FDA">
        <w:t>use</w:t>
      </w:r>
      <w:r w:rsidR="006D7609" w:rsidRPr="00A83FDA">
        <w:t xml:space="preserve"> </w:t>
      </w:r>
      <w:r w:rsidR="00211BA8" w:rsidRPr="00A83FDA">
        <w:t xml:space="preserve">to </w:t>
      </w:r>
      <w:r w:rsidR="006D7609" w:rsidRPr="00A83FDA">
        <w:t xml:space="preserve">continue </w:t>
      </w:r>
      <w:r w:rsidRPr="00A83FDA">
        <w:t xml:space="preserve">in </w:t>
      </w:r>
      <w:r w:rsidR="005C0813" w:rsidRPr="00A83FDA">
        <w:t>adolescents</w:t>
      </w:r>
      <w:r w:rsidR="00211BA8" w:rsidRPr="00A83FDA">
        <w:t xml:space="preserve"> </w:t>
      </w:r>
      <w:r w:rsidRPr="00A83FDA">
        <w:t>with growing skeletons</w:t>
      </w:r>
      <w:r w:rsidR="006D7609" w:rsidRPr="00A83FDA">
        <w:t xml:space="preserve">. Benefits of </w:t>
      </w:r>
      <w:r w:rsidR="003631B0" w:rsidRPr="00A83FDA">
        <w:t>burosumab</w:t>
      </w:r>
      <w:r w:rsidR="006D7609" w:rsidRPr="00A83FDA">
        <w:t xml:space="preserve"> for rickets and establishment of height diminish after growth plate closure</w:t>
      </w:r>
      <w:r w:rsidR="00211BA8" w:rsidRPr="00A83FDA">
        <w:t xml:space="preserve">. </w:t>
      </w:r>
      <w:r w:rsidRPr="00A83FDA">
        <w:t xml:space="preserve">The submission justified </w:t>
      </w:r>
      <w:r w:rsidR="00E46B13" w:rsidRPr="00A83FDA">
        <w:t xml:space="preserve">the </w:t>
      </w:r>
      <w:r w:rsidRPr="00A83FDA">
        <w:t xml:space="preserve">age cut-off </w:t>
      </w:r>
      <w:r w:rsidR="00E46B13" w:rsidRPr="00A83FDA">
        <w:t xml:space="preserve">arguing it is </w:t>
      </w:r>
      <w:r w:rsidRPr="00A83FDA">
        <w:t xml:space="preserve">sufficient to enable access to treatment for patients with variable growth potential and to provide equitability between </w:t>
      </w:r>
      <w:r w:rsidR="00C040DF">
        <w:t>sexes</w:t>
      </w:r>
      <w:r w:rsidRPr="00A83FDA">
        <w:t xml:space="preserve">. </w:t>
      </w:r>
      <w:r w:rsidR="00C040DF">
        <w:t>Sex</w:t>
      </w:r>
      <w:r w:rsidR="00C040DF" w:rsidRPr="00A83FDA">
        <w:t xml:space="preserve"> </w:t>
      </w:r>
      <w:r w:rsidRPr="00A83FDA">
        <w:t xml:space="preserve">differences indicate that epiphyseal closure may occur earlier in girls than in boys (15 vs 17 years, respectively), and that in some </w:t>
      </w:r>
      <w:r w:rsidR="00002B2A" w:rsidRPr="00A83FDA">
        <w:t>adolescents</w:t>
      </w:r>
      <w:r w:rsidRPr="00A83FDA">
        <w:t>, epiphyseal closure may occur beyond 18 years of age. On this basis, a more objective criteria such as ‘prior to epiphyseal closure’ may be preferred, or alternatively, use of both criteria (age cut off and epiphyseal closure</w:t>
      </w:r>
      <w:r w:rsidR="00E46B13" w:rsidRPr="00A83FDA">
        <w:t xml:space="preserve"> whichever occurs first)</w:t>
      </w:r>
      <w:r w:rsidRPr="00A83FDA">
        <w:t xml:space="preserve"> may be appropriate</w:t>
      </w:r>
      <w:r w:rsidR="004E6529">
        <w:t xml:space="preserve"> if </w:t>
      </w:r>
      <w:r w:rsidR="00EC251A">
        <w:t>an age-restricted listing was to be pursued</w:t>
      </w:r>
      <w:r w:rsidRPr="00A83FDA">
        <w:t>.</w:t>
      </w:r>
      <w:r w:rsidR="005E1641">
        <w:t xml:space="preserve"> </w:t>
      </w:r>
      <w:r w:rsidR="008750CC" w:rsidRPr="00B53825">
        <w:rPr>
          <w:iCs/>
          <w:color w:val="000000" w:themeColor="text1"/>
        </w:rPr>
        <w:t>The PSCR</w:t>
      </w:r>
      <w:r w:rsidR="00736796" w:rsidRPr="00B53825">
        <w:rPr>
          <w:iCs/>
          <w:color w:val="000000" w:themeColor="text1"/>
        </w:rPr>
        <w:t xml:space="preserve"> </w:t>
      </w:r>
      <w:r w:rsidR="008750CC" w:rsidRPr="00B53825">
        <w:rPr>
          <w:iCs/>
          <w:color w:val="000000" w:themeColor="text1"/>
        </w:rPr>
        <w:t xml:space="preserve">stated that the appropriate cut-offs for the initial target population were open to debate and that the age and clinical criteria of the proposed restriction presented in the submission were a pragmatic starting point and that more clinically based eligibility criteria, including concepts such as epiphyseal closure or skeletal growth have been employed in other jurisdictions. </w:t>
      </w:r>
      <w:r w:rsidR="008D0975" w:rsidRPr="00B53825">
        <w:rPr>
          <w:iCs/>
          <w:color w:val="000000" w:themeColor="text1"/>
        </w:rPr>
        <w:t>T</w:t>
      </w:r>
      <w:r w:rsidR="008750CC" w:rsidRPr="00B53825">
        <w:rPr>
          <w:iCs/>
          <w:color w:val="000000" w:themeColor="text1"/>
        </w:rPr>
        <w:t>he majority of rickets and growth efficacy effects are seen in children and adolescents</w:t>
      </w:r>
      <w:r w:rsidR="008D0975" w:rsidRPr="00B53825">
        <w:rPr>
          <w:iCs/>
          <w:color w:val="000000" w:themeColor="text1"/>
        </w:rPr>
        <w:t xml:space="preserve">; however, </w:t>
      </w:r>
      <w:r w:rsidR="006970DF" w:rsidRPr="00B53825">
        <w:rPr>
          <w:iCs/>
          <w:color w:val="000000" w:themeColor="text1"/>
        </w:rPr>
        <w:t xml:space="preserve">the ESC noted that, although the efficacy was uncertain, </w:t>
      </w:r>
      <w:r w:rsidR="008750CC" w:rsidRPr="00B53825">
        <w:rPr>
          <w:iCs/>
          <w:color w:val="000000" w:themeColor="text1"/>
        </w:rPr>
        <w:t>burosumab appeared to have continued benefits in adults in terms of normalisation of serum phosphate levels, improved physical functioning, fracture healing and reduced stiffness</w:t>
      </w:r>
      <w:r w:rsidR="00B61819" w:rsidRPr="00B53825">
        <w:rPr>
          <w:iCs/>
          <w:color w:val="000000" w:themeColor="text1"/>
        </w:rPr>
        <w:t xml:space="preserve"> (Insogna et al 2018)</w:t>
      </w:r>
      <w:r w:rsidR="008750CC" w:rsidRPr="00B53825">
        <w:rPr>
          <w:iCs/>
          <w:color w:val="000000" w:themeColor="text1"/>
        </w:rPr>
        <w:t>.</w:t>
      </w:r>
      <w:r w:rsidR="00A16F76">
        <w:rPr>
          <w:iCs/>
          <w:color w:val="000000" w:themeColor="text1"/>
        </w:rPr>
        <w:t xml:space="preserve"> The PBAC considered a single PBS listing covering all ages (consistent with the TGA indication), with a broadening of prescribers to cover the adult population, was preferred.  </w:t>
      </w:r>
    </w:p>
    <w:p w:rsidR="005E1641" w:rsidRPr="00B53825" w:rsidRDefault="002C36B3" w:rsidP="005E1641">
      <w:pPr>
        <w:pStyle w:val="3-BodyText"/>
      </w:pPr>
      <w:r w:rsidRPr="00A83FDA">
        <w:t xml:space="preserve">The submission did not propose any continuation criteria for </w:t>
      </w:r>
      <w:r w:rsidR="003631B0" w:rsidRPr="00A83FDA">
        <w:t>burosumab</w:t>
      </w:r>
      <w:r w:rsidRPr="00A83FDA">
        <w:t xml:space="preserve">, which may not be appropriate. </w:t>
      </w:r>
      <w:r w:rsidR="00E46B13" w:rsidRPr="00A83FDA">
        <w:t xml:space="preserve">There is a lack of long term follow up data </w:t>
      </w:r>
      <w:r w:rsidR="00047F4F" w:rsidRPr="00A83FDA">
        <w:t xml:space="preserve">in the presented </w:t>
      </w:r>
      <w:r w:rsidR="00E46B13" w:rsidRPr="00A83FDA">
        <w:t xml:space="preserve">clinical studies to determine long term benefit of </w:t>
      </w:r>
      <w:r w:rsidR="003631B0" w:rsidRPr="00A83FDA">
        <w:t>burosumab</w:t>
      </w:r>
      <w:r w:rsidR="00E46B13" w:rsidRPr="00A83FDA">
        <w:t xml:space="preserve"> (see Comparative Effectiveness). To ensure patients continue to benefit from </w:t>
      </w:r>
      <w:r w:rsidR="003631B0" w:rsidRPr="00A83FDA">
        <w:t>burosumab</w:t>
      </w:r>
      <w:r w:rsidR="00E46B13" w:rsidRPr="00A83FDA">
        <w:t xml:space="preserve">, </w:t>
      </w:r>
      <w:r w:rsidR="00A16F76">
        <w:t xml:space="preserve">the evaluation suggested </w:t>
      </w:r>
      <w:r w:rsidR="00E46B13" w:rsidRPr="00A83FDA">
        <w:t>t</w:t>
      </w:r>
      <w:r w:rsidRPr="00A83FDA">
        <w:t>he PBAC may wish to consider</w:t>
      </w:r>
      <w:r w:rsidR="00E46B13" w:rsidRPr="00A83FDA">
        <w:t xml:space="preserve"> </w:t>
      </w:r>
      <w:r w:rsidRPr="00A83FDA">
        <w:t>continuation criteria</w:t>
      </w:r>
      <w:r w:rsidR="00E46B13" w:rsidRPr="00A83FDA">
        <w:t xml:space="preserve"> </w:t>
      </w:r>
      <w:r w:rsidR="00E609BB" w:rsidRPr="00A83FDA">
        <w:t>such as:</w:t>
      </w:r>
      <w:r w:rsidR="00E46B13" w:rsidRPr="00A83FDA">
        <w:t xml:space="preserve"> </w:t>
      </w:r>
      <w:r w:rsidRPr="00A83FDA">
        <w:rPr>
          <w:rFonts w:cstheme="minorHAnsi"/>
        </w:rPr>
        <w:t xml:space="preserve">annual review </w:t>
      </w:r>
      <w:r w:rsidR="00E609BB" w:rsidRPr="00A83FDA">
        <w:rPr>
          <w:rFonts w:cstheme="minorHAnsi"/>
        </w:rPr>
        <w:t xml:space="preserve">of </w:t>
      </w:r>
      <w:r w:rsidRPr="00A83FDA">
        <w:rPr>
          <w:rFonts w:cstheme="minorHAnsi"/>
        </w:rPr>
        <w:t xml:space="preserve">rickets </w:t>
      </w:r>
      <w:r w:rsidR="00E609BB" w:rsidRPr="00A83FDA">
        <w:rPr>
          <w:rFonts w:cstheme="minorHAnsi"/>
        </w:rPr>
        <w:t>(</w:t>
      </w:r>
      <w:r w:rsidR="00FC71AE" w:rsidRPr="00A83FDA">
        <w:rPr>
          <w:rFonts w:cstheme="minorHAnsi"/>
        </w:rPr>
        <w:t xml:space="preserve">versus baseline initially then ongoing assessment for </w:t>
      </w:r>
      <w:r w:rsidR="00BA7727" w:rsidRPr="007C53EC">
        <w:rPr>
          <w:rFonts w:cstheme="minorHAnsi"/>
          <w:iCs/>
          <w:color w:val="222222"/>
        </w:rPr>
        <w:t xml:space="preserve">maintained </w:t>
      </w:r>
      <w:r w:rsidR="008B6C36" w:rsidRPr="007C53EC">
        <w:rPr>
          <w:rFonts w:cstheme="minorHAnsi"/>
          <w:iCs/>
          <w:color w:val="222222"/>
        </w:rPr>
        <w:t>i</w:t>
      </w:r>
      <w:r w:rsidR="008B6C36" w:rsidRPr="00A83FDA">
        <w:rPr>
          <w:rFonts w:cstheme="minorHAnsi"/>
          <w:iCs/>
          <w:color w:val="222222"/>
        </w:rPr>
        <w:t>mprovements</w:t>
      </w:r>
      <w:r w:rsidR="00FC71AE" w:rsidRPr="00A83FDA">
        <w:rPr>
          <w:rFonts w:cstheme="minorHAnsi"/>
        </w:rPr>
        <w:t xml:space="preserve">) </w:t>
      </w:r>
      <w:r w:rsidR="00E609BB" w:rsidRPr="00A83FDA">
        <w:rPr>
          <w:rFonts w:cstheme="minorHAnsi"/>
        </w:rPr>
        <w:t>and</w:t>
      </w:r>
      <w:r w:rsidR="00E609BB" w:rsidRPr="00A83FDA">
        <w:t xml:space="preserve"> review of worsening clinical symptom</w:t>
      </w:r>
      <w:r w:rsidR="007D5B55" w:rsidRPr="00A83FDA">
        <w:t>s</w:t>
      </w:r>
      <w:r w:rsidR="00E609BB" w:rsidRPr="00A83FDA">
        <w:t xml:space="preserve"> of XLH such hyperparathyroidism, nephrocalcinosis, or evidence of fracture or pseudofracture based on radiographic assessment.</w:t>
      </w:r>
      <w:r w:rsidR="00602105">
        <w:t xml:space="preserve"> </w:t>
      </w:r>
      <w:r w:rsidR="00602105" w:rsidRPr="00B53825">
        <w:t>The ESC agreed with the PSCR</w:t>
      </w:r>
      <w:r w:rsidR="00C7406E" w:rsidRPr="00B53825">
        <w:t xml:space="preserve"> </w:t>
      </w:r>
      <w:r w:rsidR="00602105" w:rsidRPr="00B53825">
        <w:t xml:space="preserve">which stated that any continuation criteria would need to reflect the maintained effects of burosumab, rather than </w:t>
      </w:r>
      <w:r w:rsidR="008D0975" w:rsidRPr="00B53825">
        <w:t xml:space="preserve">require </w:t>
      </w:r>
      <w:r w:rsidR="00602105" w:rsidRPr="00B53825">
        <w:t xml:space="preserve">ongoing year-on-year improvement. </w:t>
      </w:r>
      <w:r w:rsidR="00B32363">
        <w:t>The PBAC considered that th</w:t>
      </w:r>
      <w:r w:rsidR="00A16F76">
        <w:t>e ESC’s advice</w:t>
      </w:r>
      <w:r w:rsidR="00B32363">
        <w:t xml:space="preserve"> was reasonable.</w:t>
      </w:r>
    </w:p>
    <w:p w:rsidR="007D754D" w:rsidRPr="00A83FDA" w:rsidRDefault="007D754D" w:rsidP="007D754D">
      <w:pPr>
        <w:pStyle w:val="3-BodyText"/>
      </w:pPr>
      <w:r w:rsidRPr="00A83FDA">
        <w:t xml:space="preserve">There </w:t>
      </w:r>
      <w:r w:rsidRPr="0093453A">
        <w:t xml:space="preserve">are </w:t>
      </w:r>
      <w:r w:rsidR="00012355" w:rsidRPr="0093453A">
        <w:t>&lt; 500</w:t>
      </w:r>
      <w:r w:rsidR="004E421A" w:rsidRPr="0093453A">
        <w:t xml:space="preserve"> </w:t>
      </w:r>
      <w:r w:rsidR="004E421A" w:rsidRPr="00A83FDA">
        <w:t>patients currently enrolled in an Early Access Program (EAP)</w:t>
      </w:r>
      <w:r w:rsidRPr="00A83FDA">
        <w:t xml:space="preserve"> for </w:t>
      </w:r>
      <w:r w:rsidR="003631B0" w:rsidRPr="00A83FDA">
        <w:t>burosumab</w:t>
      </w:r>
      <w:r w:rsidR="004E421A" w:rsidRPr="00A83FDA">
        <w:t xml:space="preserve"> in Australia. A Grandfathering restriction</w:t>
      </w:r>
      <w:r w:rsidRPr="00A83FDA">
        <w:t xml:space="preserve"> was not requested for these patients as they currently meet the proposed restriction</w:t>
      </w:r>
      <w:r w:rsidR="00300B45">
        <w:t xml:space="preserve">. </w:t>
      </w:r>
      <w:r w:rsidR="00B32363">
        <w:t>T</w:t>
      </w:r>
      <w:r w:rsidRPr="00A83FDA">
        <w:t xml:space="preserve">he PBAC </w:t>
      </w:r>
      <w:r w:rsidR="00B32363">
        <w:t xml:space="preserve">considered that a </w:t>
      </w:r>
      <w:r w:rsidRPr="00A83FDA">
        <w:t xml:space="preserve">Grandfathering clause </w:t>
      </w:r>
      <w:r w:rsidR="00B32363">
        <w:t>would</w:t>
      </w:r>
      <w:r w:rsidRPr="00A83FDA">
        <w:t xml:space="preserve"> be required.</w:t>
      </w:r>
    </w:p>
    <w:p w:rsidR="00C53644" w:rsidRPr="00B53825" w:rsidRDefault="001C2987" w:rsidP="00A418AD">
      <w:pPr>
        <w:pStyle w:val="3-BodyText"/>
      </w:pPr>
      <w:r w:rsidRPr="00A83FDA">
        <w:t>The sponsor requested a S100</w:t>
      </w:r>
      <w:r w:rsidR="00211BA8" w:rsidRPr="00A83FDA">
        <w:t xml:space="preserve"> – Highly Specialised Drugs Program</w:t>
      </w:r>
      <w:r w:rsidRPr="00A83FDA">
        <w:t xml:space="preserve"> </w:t>
      </w:r>
      <w:r w:rsidR="00C53644" w:rsidRPr="00A83FDA">
        <w:t>(public and private hospitals)</w:t>
      </w:r>
      <w:r w:rsidR="00211BA8" w:rsidRPr="00A83FDA">
        <w:t xml:space="preserve"> - Authority Required (Written) </w:t>
      </w:r>
      <w:r w:rsidRPr="00A83FDA">
        <w:t xml:space="preserve">listing of </w:t>
      </w:r>
      <w:r w:rsidR="003631B0" w:rsidRPr="00A83FDA">
        <w:t>burosumab</w:t>
      </w:r>
      <w:r w:rsidRPr="00A83FDA">
        <w:t xml:space="preserve"> 10</w:t>
      </w:r>
      <w:r w:rsidR="00AE41D4" w:rsidRPr="00A83FDA">
        <w:t xml:space="preserve"> </w:t>
      </w:r>
      <w:r w:rsidRPr="00A83FDA">
        <w:t>mg, 20</w:t>
      </w:r>
      <w:r w:rsidR="00AE41D4" w:rsidRPr="00A83FDA">
        <w:t xml:space="preserve"> </w:t>
      </w:r>
      <w:r w:rsidRPr="00A83FDA">
        <w:t>mg and 30</w:t>
      </w:r>
      <w:r w:rsidR="00AE41D4" w:rsidRPr="00A83FDA">
        <w:t xml:space="preserve"> </w:t>
      </w:r>
      <w:r w:rsidRPr="00A83FDA">
        <w:t>mg vials</w:t>
      </w:r>
      <w:r w:rsidR="00C53644" w:rsidRPr="00A83FDA">
        <w:t xml:space="preserve"> </w:t>
      </w:r>
      <w:r w:rsidRPr="00A83FDA">
        <w:t xml:space="preserve">on the basis that XLH is a rare and complex condition requiring medical specialist management (usually in public hospitals). By way of precedent, the submission noted several other </w:t>
      </w:r>
      <w:r w:rsidR="00902033" w:rsidRPr="00A83FDA">
        <w:t>S100 listed</w:t>
      </w:r>
      <w:r w:rsidRPr="00A83FDA">
        <w:t xml:space="preserve"> </w:t>
      </w:r>
      <w:r w:rsidR="00DF2713" w:rsidRPr="00A83FDA">
        <w:t xml:space="preserve">drugs </w:t>
      </w:r>
      <w:r w:rsidRPr="00A83FDA">
        <w:t>for paediatric conditions: adalimumab/tocilizumab (subcutaneous administration with autoinjector pen) for severe active juvenile idiopathic arthritis, anakinra (subcutaneous administration) for cryopyrin associated periodic syndrome and ivacaftor (oral administration) for cystic fibrosis</w:t>
      </w:r>
      <w:r w:rsidR="00902033" w:rsidRPr="00A83FDA">
        <w:t xml:space="preserve">. </w:t>
      </w:r>
      <w:r w:rsidR="00C7406E">
        <w:t>T</w:t>
      </w:r>
      <w:r w:rsidR="00C53644" w:rsidRPr="00A83FDA">
        <w:t xml:space="preserve">he need for assisted administration (the pack does not come with an easy to use injector) could make it difficult for those in remote or rural areas to attend </w:t>
      </w:r>
      <w:r w:rsidR="00902033" w:rsidRPr="00A83FDA">
        <w:t xml:space="preserve">a </w:t>
      </w:r>
      <w:r w:rsidR="00C53644" w:rsidRPr="00A83FDA">
        <w:t xml:space="preserve">hospital on a fortnightly basis to receive injections. </w:t>
      </w:r>
      <w:r w:rsidR="00C7406E" w:rsidRPr="00B53825">
        <w:rPr>
          <w:rFonts w:ascii="Calibri" w:hAnsi="Calibri" w:cs="Calibri"/>
        </w:rPr>
        <w:t xml:space="preserve">The PBAC </w:t>
      </w:r>
      <w:r w:rsidR="002E3780">
        <w:rPr>
          <w:rFonts w:ascii="Calibri" w:hAnsi="Calibri" w:cs="Calibri"/>
        </w:rPr>
        <w:t xml:space="preserve">considered that </w:t>
      </w:r>
      <w:r w:rsidR="00C7406E" w:rsidRPr="00B53825">
        <w:rPr>
          <w:rFonts w:ascii="Calibri" w:hAnsi="Calibri" w:cs="Calibri"/>
        </w:rPr>
        <w:t xml:space="preserve">a Section 100 listing would be appropriate for initial </w:t>
      </w:r>
      <w:r w:rsidR="00EC251A">
        <w:rPr>
          <w:rFonts w:ascii="Calibri" w:hAnsi="Calibri" w:cs="Calibri"/>
        </w:rPr>
        <w:t>and</w:t>
      </w:r>
      <w:r w:rsidR="00C7406E" w:rsidRPr="00B53825">
        <w:rPr>
          <w:rFonts w:ascii="Calibri" w:hAnsi="Calibri" w:cs="Calibri"/>
        </w:rPr>
        <w:t xml:space="preserve"> continuing supply.</w:t>
      </w:r>
    </w:p>
    <w:p w:rsidR="00C53644" w:rsidRDefault="00C53644" w:rsidP="004E18E9">
      <w:pPr>
        <w:pStyle w:val="3-BodyText"/>
      </w:pPr>
      <w:r w:rsidRPr="00A83FDA">
        <w:t>A special pricing arrangement</w:t>
      </w:r>
      <w:r w:rsidR="00A86CC0" w:rsidRPr="00A83FDA">
        <w:t xml:space="preserve"> (SPA)</w:t>
      </w:r>
      <w:r w:rsidR="005C0813" w:rsidRPr="00A83FDA">
        <w:t>,</w:t>
      </w:r>
      <w:r w:rsidRPr="00A83FDA">
        <w:t xml:space="preserve"> </w:t>
      </w:r>
      <w:r w:rsidR="00047F4F" w:rsidRPr="00A83FDA">
        <w:t xml:space="preserve">which consisted of </w:t>
      </w:r>
      <w:r w:rsidRPr="00A83FDA">
        <w:t xml:space="preserve">a </w:t>
      </w:r>
      <w:r w:rsidR="00A47328">
        <w:rPr>
          <w:noProof/>
          <w:color w:val="000000"/>
          <w:highlight w:val="black"/>
        </w:rPr>
        <w:t>''''''</w:t>
      </w:r>
      <w:r w:rsidRPr="00A83FDA">
        <w:t xml:space="preserve">% rebate of the published </w:t>
      </w:r>
      <w:r w:rsidR="00025F1F" w:rsidRPr="00A83FDA">
        <w:t xml:space="preserve">approved </w:t>
      </w:r>
      <w:r w:rsidRPr="00A83FDA">
        <w:t>ex-manufacturer price (AEMP) for each vial strength</w:t>
      </w:r>
      <w:r w:rsidR="005C0813" w:rsidRPr="00A83FDA">
        <w:t>, was proposed</w:t>
      </w:r>
      <w:r w:rsidRPr="00A83FDA">
        <w:t>.</w:t>
      </w:r>
    </w:p>
    <w:p w:rsidR="00B53825" w:rsidRPr="00B53825" w:rsidRDefault="00B53825" w:rsidP="00B53825">
      <w:pPr>
        <w:pStyle w:val="3-BodyText"/>
        <w:numPr>
          <w:ilvl w:val="0"/>
          <w:numId w:val="0"/>
        </w:numPr>
        <w:ind w:left="720"/>
        <w:rPr>
          <w:i/>
        </w:rPr>
      </w:pPr>
      <w:r w:rsidRPr="00B53825">
        <w:rPr>
          <w:i/>
        </w:rPr>
        <w:t>For more detail on PBAC’s view, see section 7 PBAC outcome.</w:t>
      </w:r>
    </w:p>
    <w:p w:rsidR="00B50DB8" w:rsidRPr="00D4558F" w:rsidRDefault="00203181" w:rsidP="004E18E9">
      <w:pPr>
        <w:pStyle w:val="2-SectionHeading"/>
      </w:pPr>
      <w:bookmarkStart w:id="6" w:name="_Toc61864188"/>
      <w:r w:rsidRPr="00D4558F">
        <w:t xml:space="preserve">Population and </w:t>
      </w:r>
      <w:r w:rsidR="008E0D3C" w:rsidRPr="00D4558F">
        <w:t>d</w:t>
      </w:r>
      <w:r w:rsidRPr="00D4558F">
        <w:t>isease</w:t>
      </w:r>
      <w:bookmarkEnd w:id="6"/>
    </w:p>
    <w:p w:rsidR="00385D98" w:rsidRPr="00D4558F" w:rsidRDefault="00385D98" w:rsidP="00A418AD">
      <w:pPr>
        <w:pStyle w:val="3-BodyText"/>
      </w:pPr>
      <w:r w:rsidRPr="00D4558F">
        <w:t xml:space="preserve">XLH is a rare, lifelong and progressive, </w:t>
      </w:r>
      <w:r w:rsidR="001B4902">
        <w:t>X</w:t>
      </w:r>
      <w:r w:rsidRPr="00D4558F">
        <w:t>-linked inherited disorder characterised by low levels of phosphate in the blood. XLH is caused by mutations on the X chromosome (PHEX) gene. Excess levels of circulating fibroblast growth factor 23 (FGF23) result in reduced renal phosphate reabsorption and decreased production of active vitamin D leading to chronic hypophosphataemia</w:t>
      </w:r>
      <w:r w:rsidR="00844C71" w:rsidRPr="00D4558F">
        <w:t>.</w:t>
      </w:r>
      <w:r w:rsidR="00902033" w:rsidRPr="00D4558F">
        <w:t xml:space="preserve"> </w:t>
      </w:r>
      <w:r w:rsidRPr="00D4558F">
        <w:t xml:space="preserve">This leads to abnormal bone and tooth mineralisation, and debilitating musculoskeletal deficits. XLH usually manifests and is diagnosed during the first two years of life. In children, XLH causes osteomalacia and rickets, which can lead to lower-limb deformities, bowed or bent legs, stunted growth, and less commonly, cranial synostosis. Patients also experience spontaneous dental abscesses and occasionally sensorineural hearing deficit. Clinical manifestations of XLH in children lead to impaired mobility and physical function. Children experience delayed walking, waddling gait, bone pain and fatigue. Skeletal abnormalities and short stature acquired in childhood become irreversible after the completion of growth. Together, these factors, lead to emotional and social detriments, and reduced quality of life. </w:t>
      </w:r>
      <w:r w:rsidR="004D2936" w:rsidRPr="00D4558F">
        <w:t>The population targeted in the submission included patients &lt;</w:t>
      </w:r>
      <w:r w:rsidR="008C0930">
        <w:t xml:space="preserve"> </w:t>
      </w:r>
      <w:r w:rsidR="004D2936" w:rsidRPr="00D4558F">
        <w:t>18 years of age with XLH</w:t>
      </w:r>
      <w:r w:rsidR="007D754D">
        <w:t xml:space="preserve">. </w:t>
      </w:r>
      <w:r w:rsidR="003631B0">
        <w:t>Burosumab</w:t>
      </w:r>
      <w:r w:rsidR="007D754D">
        <w:t xml:space="preserve"> is expected to improve rickets and growth (height) in children and adolesc</w:t>
      </w:r>
      <w:r w:rsidR="002F683E">
        <w:t>ents with growing skeletons</w:t>
      </w:r>
      <w:r w:rsidR="006E4A8D">
        <w:t>;</w:t>
      </w:r>
      <w:r w:rsidR="007D754D">
        <w:t xml:space="preserve"> th</w:t>
      </w:r>
      <w:r w:rsidR="002F683E">
        <w:t>e</w:t>
      </w:r>
      <w:r w:rsidR="007D754D">
        <w:t xml:space="preserve">se effects diminish once growth plates </w:t>
      </w:r>
      <w:r w:rsidR="002F683E">
        <w:t xml:space="preserve">are </w:t>
      </w:r>
      <w:r w:rsidR="007D754D">
        <w:t>close</w:t>
      </w:r>
      <w:r w:rsidR="002F683E">
        <w:t>d</w:t>
      </w:r>
      <w:r w:rsidR="007D754D">
        <w:t xml:space="preserve"> (epiphyseal closure), although there are other benefits of </w:t>
      </w:r>
      <w:r w:rsidR="003631B0">
        <w:t>burosumab</w:t>
      </w:r>
      <w:r w:rsidR="007D754D">
        <w:t xml:space="preserve"> in adults such as normalisation of serum phosphate levels, improving physical functioning and reducing </w:t>
      </w:r>
      <w:r w:rsidR="00DF2713">
        <w:t xml:space="preserve">pain and </w:t>
      </w:r>
      <w:r w:rsidR="007D754D">
        <w:t>stiffness.</w:t>
      </w:r>
      <w:r w:rsidR="002F683E">
        <w:t xml:space="preserve"> There is no </w:t>
      </w:r>
      <w:r w:rsidR="00B7306B" w:rsidRPr="00B53825">
        <w:t>clinical trial</w:t>
      </w:r>
      <w:r w:rsidR="00B7306B">
        <w:rPr>
          <w:i/>
        </w:rPr>
        <w:t xml:space="preserve"> </w:t>
      </w:r>
      <w:r w:rsidR="002F683E">
        <w:t xml:space="preserve">evidence for </w:t>
      </w:r>
      <w:r w:rsidR="003631B0">
        <w:t>burosumab</w:t>
      </w:r>
      <w:r w:rsidR="002F683E">
        <w:t xml:space="preserve"> in children aged 13</w:t>
      </w:r>
      <w:r w:rsidR="00BA0DE2">
        <w:t xml:space="preserve"> to </w:t>
      </w:r>
      <w:r w:rsidR="002F683E">
        <w:t>17 years (inclusive).</w:t>
      </w:r>
    </w:p>
    <w:p w:rsidR="00844C71" w:rsidRPr="00D4558F" w:rsidRDefault="003631B0" w:rsidP="004E18E9">
      <w:pPr>
        <w:pStyle w:val="3-BodyText"/>
      </w:pPr>
      <w:r>
        <w:t>Burosumab</w:t>
      </w:r>
      <w:r w:rsidR="00844C71" w:rsidRPr="00D4558F">
        <w:t xml:space="preserve"> is a recombinant human monoclonal antibody (immunoglobulin G subclass (IgG1)) that binds to and inhibits the activity of fibroblast growth factor 23 (FGF23). By blocking FGF23 activity, there is increased renal tubular reabsorption of phosphate and serum concentration of 1,25 dihydroxy-Vitamin D</w:t>
      </w:r>
      <w:r w:rsidR="00396450" w:rsidRPr="00D4558F">
        <w:t>, which has shown to lead to improvements in bone mineral meta</w:t>
      </w:r>
      <w:r w:rsidR="00844C71" w:rsidRPr="00D4558F">
        <w:t xml:space="preserve">bolism and healing of rickets, </w:t>
      </w:r>
      <w:r w:rsidR="00396450" w:rsidRPr="00D4558F">
        <w:t xml:space="preserve">thereby </w:t>
      </w:r>
      <w:r w:rsidR="00844C71" w:rsidRPr="00D4558F">
        <w:t>increas</w:t>
      </w:r>
      <w:r w:rsidR="00396450" w:rsidRPr="00D4558F">
        <w:t>ing</w:t>
      </w:r>
      <w:r w:rsidR="00844C71" w:rsidRPr="00D4558F">
        <w:t xml:space="preserve"> growth, mobility, and physical functioning. </w:t>
      </w:r>
    </w:p>
    <w:p w:rsidR="002809F0" w:rsidRDefault="002809F0" w:rsidP="002809F0">
      <w:pPr>
        <w:pStyle w:val="3-BodyText"/>
      </w:pPr>
      <w:r w:rsidRPr="00D4558F">
        <w:t xml:space="preserve">It is proposed that </w:t>
      </w:r>
      <w:r w:rsidR="003631B0">
        <w:t>burosumab</w:t>
      </w:r>
      <w:r w:rsidRPr="00D4558F">
        <w:t xml:space="preserve"> would replace conventional therapy (oral phosphorus and calcitriol) as a treatment option in eligible patients, thus the main difference between current and proposed clinical management algorithms was simply the inclusion of </w:t>
      </w:r>
      <w:r w:rsidR="003631B0">
        <w:t>burosumab</w:t>
      </w:r>
      <w:r w:rsidR="002D5966" w:rsidRPr="00D4558F">
        <w:t xml:space="preserve"> as a treatment option. </w:t>
      </w:r>
      <w:r w:rsidR="002F683E">
        <w:t xml:space="preserve">The submission stated that in an ideal world, </w:t>
      </w:r>
      <w:r w:rsidR="003631B0">
        <w:t>burosumab</w:t>
      </w:r>
      <w:r w:rsidR="002F683E">
        <w:t xml:space="preserve"> use should also be extended to adults (not requested). </w:t>
      </w:r>
      <w:r w:rsidR="002F683E" w:rsidRPr="00A83FDA">
        <w:rPr>
          <w:iCs/>
        </w:rPr>
        <w:t>Serum</w:t>
      </w:r>
      <w:r w:rsidR="002F683E" w:rsidRPr="00A83FDA">
        <w:t xml:space="preserve"> </w:t>
      </w:r>
      <w:r w:rsidRPr="00A83FDA">
        <w:t xml:space="preserve">phosphate testing is required </w:t>
      </w:r>
      <w:r w:rsidR="002F683E" w:rsidRPr="00A83FDA">
        <w:t xml:space="preserve">every </w:t>
      </w:r>
      <w:r w:rsidRPr="00A83FDA">
        <w:t>4</w:t>
      </w:r>
      <w:r w:rsidR="002F683E" w:rsidRPr="00A83FDA">
        <w:t xml:space="preserve"> </w:t>
      </w:r>
      <w:r w:rsidRPr="00A83FDA">
        <w:t>week</w:t>
      </w:r>
      <w:r w:rsidR="002F683E" w:rsidRPr="00A83FDA">
        <w:t>s</w:t>
      </w:r>
      <w:r w:rsidRPr="00A83FDA">
        <w:t xml:space="preserve"> during the first 3 months of </w:t>
      </w:r>
      <w:r w:rsidR="003631B0" w:rsidRPr="00A83FDA">
        <w:t>burosumab</w:t>
      </w:r>
      <w:r w:rsidR="002F683E" w:rsidRPr="00A83FDA">
        <w:t xml:space="preserve"> </w:t>
      </w:r>
      <w:r w:rsidRPr="00A83FDA">
        <w:t>treatment and periodically thereafter</w:t>
      </w:r>
      <w:r w:rsidR="006E4A8D" w:rsidRPr="00A83FDA">
        <w:t>;</w:t>
      </w:r>
      <w:r w:rsidR="002F683E" w:rsidRPr="00A83FDA">
        <w:t xml:space="preserve"> this monitoring was </w:t>
      </w:r>
      <w:r w:rsidRPr="00A83FDA">
        <w:t>not included in the clinical management algorithm.</w:t>
      </w:r>
      <w:r w:rsidR="005E1641">
        <w:t xml:space="preserve"> </w:t>
      </w:r>
      <w:r w:rsidR="005E1641" w:rsidRPr="00B53825">
        <w:t>The PSCR  confirmed that the monitoring regimen is specified in the draft TGA Product Information</w:t>
      </w:r>
      <w:r w:rsidR="00B7306B" w:rsidRPr="00B53825">
        <w:t xml:space="preserve"> and is similar to monitoring recommended for conventional therapy and routine follow-up of patients with XLH</w:t>
      </w:r>
      <w:r w:rsidR="005E1641" w:rsidRPr="00B53825">
        <w:t>.</w:t>
      </w:r>
    </w:p>
    <w:p w:rsidR="00B53825" w:rsidRPr="00B53825" w:rsidRDefault="00B53825" w:rsidP="00B53825">
      <w:pPr>
        <w:pStyle w:val="3-BodyText"/>
        <w:numPr>
          <w:ilvl w:val="0"/>
          <w:numId w:val="0"/>
        </w:numPr>
        <w:ind w:left="720"/>
        <w:rPr>
          <w:i/>
        </w:rPr>
      </w:pPr>
      <w:r w:rsidRPr="00B53825">
        <w:rPr>
          <w:i/>
        </w:rPr>
        <w:t>For more detail on PBAC’s view, see section 7 PBAC outcome.</w:t>
      </w:r>
    </w:p>
    <w:p w:rsidR="00B50DB8" w:rsidRPr="00D4558F" w:rsidRDefault="00B50DB8" w:rsidP="004E18E9">
      <w:pPr>
        <w:pStyle w:val="2-SectionHeading"/>
      </w:pPr>
      <w:bookmarkStart w:id="7" w:name="_Toc61864189"/>
      <w:r w:rsidRPr="00D4558F">
        <w:t>Comparator</w:t>
      </w:r>
      <w:bookmarkEnd w:id="7"/>
    </w:p>
    <w:p w:rsidR="002C2775" w:rsidRDefault="00ED5BD4" w:rsidP="002E4F02">
      <w:pPr>
        <w:pStyle w:val="3-BodyText"/>
      </w:pPr>
      <w:r w:rsidRPr="00D4558F">
        <w:t xml:space="preserve">The submission nominated </w:t>
      </w:r>
      <w:r w:rsidR="002809F0" w:rsidRPr="00D4558F">
        <w:t>conventional therapy (oral phosphorus and calcitriol)</w:t>
      </w:r>
      <w:r w:rsidRPr="00D4558F">
        <w:t xml:space="preserve"> as the comparator. </w:t>
      </w:r>
      <w:r w:rsidR="002809F0" w:rsidRPr="00B53825">
        <w:t>Th</w:t>
      </w:r>
      <w:r w:rsidR="008750CC" w:rsidRPr="00B53825">
        <w:t xml:space="preserve">e </w:t>
      </w:r>
      <w:r w:rsidR="00BA5AAB">
        <w:t>PBAC</w:t>
      </w:r>
      <w:r w:rsidR="00BA5AAB" w:rsidRPr="00B53825">
        <w:t xml:space="preserve"> </w:t>
      </w:r>
      <w:r w:rsidR="008750CC" w:rsidRPr="00B53825">
        <w:t>considered th</w:t>
      </w:r>
      <w:r w:rsidR="002809F0" w:rsidRPr="00B53825">
        <w:t>is</w:t>
      </w:r>
      <w:r w:rsidR="002809F0" w:rsidRPr="00A83FDA">
        <w:t xml:space="preserve"> was appropriate. </w:t>
      </w:r>
    </w:p>
    <w:p w:rsidR="00B53825" w:rsidRPr="00B53825" w:rsidRDefault="00B53825" w:rsidP="00B53825">
      <w:pPr>
        <w:pStyle w:val="3-BodyText"/>
        <w:numPr>
          <w:ilvl w:val="0"/>
          <w:numId w:val="0"/>
        </w:numPr>
        <w:ind w:left="720"/>
        <w:rPr>
          <w:i/>
        </w:rPr>
      </w:pPr>
      <w:r w:rsidRPr="00B53825">
        <w:rPr>
          <w:i/>
        </w:rPr>
        <w:t>For more detail on PBAC’s view, see section 7 PBAC outcome.</w:t>
      </w:r>
    </w:p>
    <w:p w:rsidR="00223D5A" w:rsidRPr="00D4558F" w:rsidRDefault="00223D5A" w:rsidP="00223D5A">
      <w:pPr>
        <w:pStyle w:val="2-SectionHeading"/>
        <w:numPr>
          <w:ilvl w:val="0"/>
          <w:numId w:val="1"/>
        </w:numPr>
      </w:pPr>
      <w:bookmarkStart w:id="8" w:name="_Toc61864190"/>
      <w:bookmarkStart w:id="9" w:name="_Toc22897640"/>
      <w:r w:rsidRPr="00D4558F">
        <w:t>Consideration of the evidence</w:t>
      </w:r>
      <w:bookmarkEnd w:id="8"/>
    </w:p>
    <w:p w:rsidR="007C53EC" w:rsidRPr="00E17297" w:rsidRDefault="007C53EC" w:rsidP="004E3390">
      <w:pPr>
        <w:pStyle w:val="4-SubsectionHeading"/>
        <w:rPr>
          <w:snapToGrid w:val="0"/>
        </w:rPr>
      </w:pPr>
      <w:bookmarkStart w:id="10" w:name="_Toc61864191"/>
      <w:r w:rsidRPr="00E17297">
        <w:rPr>
          <w:snapToGrid w:val="0"/>
        </w:rPr>
        <w:t>Sponsor hearing</w:t>
      </w:r>
    </w:p>
    <w:p w:rsidR="007C53EC" w:rsidRPr="00300B45" w:rsidRDefault="007C53EC" w:rsidP="007C53EC">
      <w:pPr>
        <w:widowControl w:val="0"/>
        <w:numPr>
          <w:ilvl w:val="1"/>
          <w:numId w:val="1"/>
        </w:numPr>
        <w:spacing w:after="120"/>
        <w:rPr>
          <w:rFonts w:asciiTheme="minorHAnsi" w:hAnsiTheme="minorHAnsi"/>
          <w:bCs/>
          <w:snapToGrid w:val="0"/>
        </w:rPr>
      </w:pPr>
      <w:r w:rsidRPr="00300B45">
        <w:rPr>
          <w:rFonts w:asciiTheme="minorHAnsi" w:hAnsiTheme="minorHAnsi"/>
          <w:bCs/>
          <w:snapToGrid w:val="0"/>
        </w:rPr>
        <w:t>The sponsor requested a hearing for this item.  The clinician discussed the natural history of the disease</w:t>
      </w:r>
      <w:r w:rsidR="009F7BDD" w:rsidRPr="00300B45">
        <w:rPr>
          <w:rFonts w:asciiTheme="minorHAnsi" w:hAnsiTheme="minorHAnsi"/>
          <w:bCs/>
          <w:snapToGrid w:val="0"/>
        </w:rPr>
        <w:t>, described the symptoms of XLH</w:t>
      </w:r>
      <w:r w:rsidRPr="00300B45">
        <w:rPr>
          <w:rFonts w:asciiTheme="minorHAnsi" w:hAnsiTheme="minorHAnsi"/>
          <w:bCs/>
          <w:snapToGrid w:val="0"/>
        </w:rPr>
        <w:t xml:space="preserve">, how </w:t>
      </w:r>
      <w:r w:rsidR="009F7BDD" w:rsidRPr="00300B45">
        <w:rPr>
          <w:rFonts w:asciiTheme="minorHAnsi" w:hAnsiTheme="minorHAnsi"/>
          <w:bCs/>
          <w:snapToGrid w:val="0"/>
        </w:rPr>
        <w:t>burosumab</w:t>
      </w:r>
      <w:r w:rsidRPr="00300B45">
        <w:rPr>
          <w:rFonts w:asciiTheme="minorHAnsi" w:hAnsiTheme="minorHAnsi"/>
          <w:bCs/>
          <w:snapToGrid w:val="0"/>
        </w:rPr>
        <w:t xml:space="preserve"> would be used in practice, and </w:t>
      </w:r>
      <w:r w:rsidR="009F7BDD" w:rsidRPr="00300B45">
        <w:rPr>
          <w:rFonts w:asciiTheme="minorHAnsi" w:hAnsiTheme="minorHAnsi"/>
          <w:bCs/>
          <w:snapToGrid w:val="0"/>
        </w:rPr>
        <w:t>how it would improve patients quality of life</w:t>
      </w:r>
      <w:r w:rsidRPr="00300B45">
        <w:rPr>
          <w:rFonts w:asciiTheme="minorHAnsi" w:hAnsiTheme="minorHAnsi"/>
          <w:bCs/>
          <w:snapToGrid w:val="0"/>
        </w:rPr>
        <w:t>.  The PBAC considered that the hearing was informative as it provided a clinical perspective on treating this uncommon disease.</w:t>
      </w:r>
    </w:p>
    <w:p w:rsidR="007C53EC" w:rsidRPr="00300B45" w:rsidRDefault="007C53EC" w:rsidP="004E3390">
      <w:pPr>
        <w:pStyle w:val="4-SubsectionHeading"/>
        <w:rPr>
          <w:snapToGrid w:val="0"/>
        </w:rPr>
      </w:pPr>
      <w:r w:rsidRPr="00300B45">
        <w:rPr>
          <w:snapToGrid w:val="0"/>
        </w:rPr>
        <w:t>Consumer comments</w:t>
      </w:r>
    </w:p>
    <w:p w:rsidR="00CA768E" w:rsidRPr="00CA768E" w:rsidRDefault="00CA768E" w:rsidP="007C53EC">
      <w:pPr>
        <w:widowControl w:val="0"/>
        <w:numPr>
          <w:ilvl w:val="1"/>
          <w:numId w:val="1"/>
        </w:numPr>
        <w:spacing w:after="120"/>
        <w:rPr>
          <w:rFonts w:asciiTheme="minorHAnsi" w:hAnsiTheme="minorHAnsi"/>
          <w:bCs/>
          <w:snapToGrid w:val="0"/>
        </w:rPr>
      </w:pPr>
      <w:r>
        <w:rPr>
          <w:snapToGrid w:val="0"/>
          <w:lang w:val="en-US"/>
        </w:rPr>
        <w:t xml:space="preserve">The PBAC noted and welcomed the input from </w:t>
      </w:r>
      <w:r w:rsidRPr="00EF02F3">
        <w:rPr>
          <w:snapToGrid w:val="0"/>
          <w:lang w:val="en-US"/>
        </w:rPr>
        <w:t xml:space="preserve">a </w:t>
      </w:r>
      <w:r>
        <w:rPr>
          <w:snapToGrid w:val="0"/>
          <w:lang w:val="en-US"/>
        </w:rPr>
        <w:t xml:space="preserve">large number of individuals (148), health care professionals (9) and organisations (3) via the Consumer Comments facility on the PBS website.  </w:t>
      </w:r>
      <w:r w:rsidRPr="00EF02F3">
        <w:rPr>
          <w:iCs/>
          <w:lang w:val="en-US"/>
        </w:rPr>
        <w:t xml:space="preserve">Of the comments from individuals, the PBAC noted several were from individuals living with XLH, or supporting someone with XLH, who had direct experience of using </w:t>
      </w:r>
      <w:r w:rsidRPr="00EF02F3">
        <w:rPr>
          <w:iCs/>
          <w:snapToGrid w:val="0"/>
          <w:lang w:val="en-US"/>
        </w:rPr>
        <w:t>burosumab</w:t>
      </w:r>
      <w:r w:rsidRPr="00EF02F3">
        <w:rPr>
          <w:lang w:val="en-US"/>
        </w:rPr>
        <w:t xml:space="preserve">. </w:t>
      </w:r>
      <w:r w:rsidRPr="00EF02F3">
        <w:rPr>
          <w:snapToGrid w:val="0"/>
          <w:lang w:val="en-US"/>
        </w:rPr>
        <w:t xml:space="preserve">The comments described a range of benefits of treatment with burosumab including the ease of administration compared to currently available therapies, the effectiveness of the treatment, the tolerability of the treatment and the improved quality of life associated with the treatment. </w:t>
      </w:r>
      <w:r w:rsidRPr="00EF02F3">
        <w:rPr>
          <w:iCs/>
          <w:lang w:val="en-US"/>
        </w:rPr>
        <w:t xml:space="preserve">The PBAC also considered input from </w:t>
      </w:r>
      <w:r w:rsidR="00EF02F3">
        <w:rPr>
          <w:iCs/>
          <w:lang w:val="en-US"/>
        </w:rPr>
        <w:t xml:space="preserve">representatives of </w:t>
      </w:r>
      <w:r w:rsidRPr="00EF02F3">
        <w:rPr>
          <w:iCs/>
          <w:lang w:val="en-US"/>
        </w:rPr>
        <w:t>XLH Australia Incorporated that had been summarised by the Consumer Evidence and Engagement Unit</w:t>
      </w:r>
      <w:r w:rsidR="0053453F">
        <w:rPr>
          <w:iCs/>
          <w:lang w:val="en-US"/>
        </w:rPr>
        <w:t xml:space="preserve"> of the </w:t>
      </w:r>
      <w:r w:rsidR="0053453F" w:rsidRPr="0053453F">
        <w:rPr>
          <w:iCs/>
          <w:lang w:val="en-US"/>
        </w:rPr>
        <w:t>Department of Health</w:t>
      </w:r>
      <w:r w:rsidRPr="00EF02F3">
        <w:rPr>
          <w:iCs/>
          <w:lang w:val="en-US"/>
        </w:rPr>
        <w:t>.  This input outlined the impact of the condition on gross motor skills, mental health as well as issues around oral health, pain and need for corrective surgery.</w:t>
      </w:r>
      <w:r w:rsidRPr="00EF02F3">
        <w:rPr>
          <w:snapToGrid w:val="0"/>
          <w:lang w:val="en-US"/>
        </w:rPr>
        <w:t xml:space="preserve"> </w:t>
      </w:r>
      <w:r w:rsidRPr="00EF02F3">
        <w:rPr>
          <w:lang w:val="en-US"/>
        </w:rPr>
        <w:t xml:space="preserve">The PBAC also noted that the consumer input was strongly supportive of a broad PBS listing across all ages, including adults </w:t>
      </w:r>
      <w:r>
        <w:rPr>
          <w:lang w:val="en-US"/>
        </w:rPr>
        <w:t>with XLH.</w:t>
      </w:r>
    </w:p>
    <w:p w:rsidR="007C53EC" w:rsidRPr="00300B45" w:rsidRDefault="007C53EC" w:rsidP="007C53EC">
      <w:pPr>
        <w:widowControl w:val="0"/>
        <w:numPr>
          <w:ilvl w:val="1"/>
          <w:numId w:val="1"/>
        </w:numPr>
        <w:spacing w:after="120"/>
        <w:rPr>
          <w:rFonts w:asciiTheme="minorHAnsi" w:hAnsiTheme="minorHAnsi"/>
          <w:bCs/>
          <w:snapToGrid w:val="0"/>
        </w:rPr>
      </w:pPr>
      <w:r w:rsidRPr="00300B45">
        <w:rPr>
          <w:rFonts w:asciiTheme="minorHAnsi" w:hAnsiTheme="minorHAnsi"/>
          <w:bCs/>
          <w:snapToGrid w:val="0"/>
        </w:rPr>
        <w:t xml:space="preserve">The PBAC noted the advice received from </w:t>
      </w:r>
      <w:r w:rsidR="003E40EB" w:rsidRPr="00300B45">
        <w:rPr>
          <w:rFonts w:asciiTheme="minorHAnsi" w:hAnsiTheme="minorHAnsi"/>
          <w:bCs/>
          <w:snapToGrid w:val="0"/>
        </w:rPr>
        <w:t>the National Paediatric Medicines Forum (NPMF), the Australian and New Zealand Bone and Mineral Society (ANZBMS) and the Australasian Paediatric Endocrine Group (APEG)</w:t>
      </w:r>
      <w:r w:rsidRPr="00300B45">
        <w:rPr>
          <w:rFonts w:asciiTheme="minorHAnsi" w:hAnsiTheme="minorHAnsi"/>
          <w:bCs/>
          <w:snapToGrid w:val="0"/>
        </w:rPr>
        <w:t xml:space="preserve"> </w:t>
      </w:r>
      <w:r w:rsidR="0070273C" w:rsidRPr="00300B45">
        <w:rPr>
          <w:rFonts w:asciiTheme="minorHAnsi" w:hAnsiTheme="minorHAnsi"/>
          <w:bCs/>
          <w:snapToGrid w:val="0"/>
        </w:rPr>
        <w:t>strongly supporting the</w:t>
      </w:r>
      <w:r w:rsidRPr="00300B45">
        <w:rPr>
          <w:rFonts w:asciiTheme="minorHAnsi" w:hAnsiTheme="minorHAnsi"/>
          <w:bCs/>
          <w:snapToGrid w:val="0"/>
        </w:rPr>
        <w:t xml:space="preserve"> use of </w:t>
      </w:r>
      <w:r w:rsidR="003E40EB" w:rsidRPr="00300B45">
        <w:rPr>
          <w:rFonts w:asciiTheme="minorHAnsi" w:hAnsiTheme="minorHAnsi"/>
          <w:bCs/>
          <w:snapToGrid w:val="0"/>
        </w:rPr>
        <w:t>burosumab</w:t>
      </w:r>
      <w:r w:rsidRPr="00300B45">
        <w:rPr>
          <w:rFonts w:asciiTheme="minorHAnsi" w:hAnsiTheme="minorHAnsi"/>
          <w:bCs/>
          <w:snapToGrid w:val="0"/>
        </w:rPr>
        <w:t xml:space="preserve"> in clinical practice.  The PBAC specifically noted the advice that the use of </w:t>
      </w:r>
      <w:r w:rsidR="0070273C" w:rsidRPr="00300B45">
        <w:rPr>
          <w:rFonts w:asciiTheme="minorHAnsi" w:hAnsiTheme="minorHAnsi"/>
          <w:bCs/>
          <w:snapToGrid w:val="0"/>
        </w:rPr>
        <w:t>burosumab</w:t>
      </w:r>
      <w:r w:rsidRPr="00300B45">
        <w:rPr>
          <w:rFonts w:asciiTheme="minorHAnsi" w:hAnsiTheme="minorHAnsi"/>
          <w:bCs/>
          <w:snapToGrid w:val="0"/>
        </w:rPr>
        <w:t xml:space="preserve"> may </w:t>
      </w:r>
      <w:r w:rsidR="0070273C" w:rsidRPr="00300B45">
        <w:rPr>
          <w:rFonts w:asciiTheme="minorHAnsi" w:hAnsiTheme="minorHAnsi"/>
          <w:bCs/>
          <w:snapToGrid w:val="0"/>
        </w:rPr>
        <w:t>reverse the serious disabilities associated with XLH and significantly improve quality of life</w:t>
      </w:r>
      <w:r w:rsidRPr="00300B45">
        <w:rPr>
          <w:rFonts w:asciiTheme="minorHAnsi" w:hAnsiTheme="minorHAnsi"/>
          <w:bCs/>
          <w:snapToGrid w:val="0"/>
        </w:rPr>
        <w:t xml:space="preserve">.  The PBAC noted that this advice </w:t>
      </w:r>
      <w:r w:rsidR="00EF02F3">
        <w:rPr>
          <w:rFonts w:asciiTheme="minorHAnsi" w:hAnsiTheme="minorHAnsi"/>
          <w:bCs/>
          <w:snapToGrid w:val="0"/>
        </w:rPr>
        <w:t>complemented the evidence provided in the submission, although the benefit appeared to be greater for the radiological rather than patient reported outcomes in the trials.</w:t>
      </w:r>
    </w:p>
    <w:p w:rsidR="00B60939" w:rsidRPr="00300B45" w:rsidRDefault="00B60939" w:rsidP="002E4F02">
      <w:pPr>
        <w:pStyle w:val="4-SubsectionHeading"/>
      </w:pPr>
      <w:r w:rsidRPr="00300B45">
        <w:t xml:space="preserve">Clinical </w:t>
      </w:r>
      <w:r w:rsidR="00D5243B" w:rsidRPr="00300B45">
        <w:t>studies</w:t>
      </w:r>
      <w:bookmarkEnd w:id="9"/>
      <w:bookmarkEnd w:id="10"/>
    </w:p>
    <w:p w:rsidR="00201F25" w:rsidRPr="00D4558F" w:rsidRDefault="00201F25" w:rsidP="002E4F02">
      <w:pPr>
        <w:pStyle w:val="3-BodyText"/>
      </w:pPr>
      <w:r w:rsidRPr="00300B45">
        <w:t xml:space="preserve">The submission was based on one head-to-head randomised trial (CL301) comparing </w:t>
      </w:r>
      <w:r w:rsidR="003631B0" w:rsidRPr="00300B45">
        <w:t>burosumab</w:t>
      </w:r>
      <w:r w:rsidRPr="00D4558F">
        <w:t xml:space="preserve"> to conventional therapy (oral phosphorus plus calcitriol) and two non-comparative </w:t>
      </w:r>
      <w:r w:rsidR="002F683E">
        <w:t xml:space="preserve">studies </w:t>
      </w:r>
      <w:r w:rsidRPr="00D4558F">
        <w:t>(CL201 and CL205) as supportive evidence. CL201</w:t>
      </w:r>
      <w:r w:rsidR="002F683E">
        <w:t xml:space="preserve"> </w:t>
      </w:r>
      <w:r w:rsidR="000553CC">
        <w:t xml:space="preserve">was a </w:t>
      </w:r>
      <w:r w:rsidRPr="00D4558F">
        <w:t>dose finding s</w:t>
      </w:r>
      <w:r w:rsidR="00DF2713">
        <w:t>tud</w:t>
      </w:r>
      <w:r w:rsidR="000553CC">
        <w:t>y</w:t>
      </w:r>
      <w:r w:rsidR="00DF2713">
        <w:t xml:space="preserve"> </w:t>
      </w:r>
      <w:r w:rsidRPr="00D4558F">
        <w:t xml:space="preserve">of </w:t>
      </w:r>
      <w:r w:rsidR="003631B0">
        <w:t>burosumab</w:t>
      </w:r>
      <w:r w:rsidRPr="00D4558F">
        <w:t xml:space="preserve"> in patients who were treatment naïve or had previously received conventional therapy.</w:t>
      </w:r>
    </w:p>
    <w:p w:rsidR="00201F25" w:rsidRPr="00D4558F" w:rsidRDefault="00201F25" w:rsidP="00201F25">
      <w:pPr>
        <w:pStyle w:val="3-BodyText"/>
      </w:pPr>
      <w:r w:rsidRPr="00D4558F">
        <w:t xml:space="preserve">Details of the </w:t>
      </w:r>
      <w:r w:rsidR="002F683E">
        <w:t>studies</w:t>
      </w:r>
      <w:r w:rsidR="002F683E" w:rsidRPr="00D4558F">
        <w:t xml:space="preserve"> </w:t>
      </w:r>
      <w:r w:rsidRPr="00D4558F">
        <w:t>presented in the submission are provided in</w:t>
      </w:r>
      <w:r w:rsidR="00A039DE" w:rsidRPr="00D4558F">
        <w:t xml:space="preserve"> Table 3</w:t>
      </w:r>
      <w:r w:rsidRPr="00D4558F">
        <w:t xml:space="preserve"> below.</w:t>
      </w:r>
    </w:p>
    <w:p w:rsidR="00201F25" w:rsidRPr="00D4558F" w:rsidRDefault="00201F25" w:rsidP="00F33B50">
      <w:pPr>
        <w:pStyle w:val="TableFigureHeading"/>
      </w:pPr>
      <w:r w:rsidRPr="00D4558F">
        <w:rPr>
          <w:rStyle w:val="CommentReference"/>
          <w:b/>
          <w:szCs w:val="24"/>
        </w:rPr>
        <w:t xml:space="preserve">Table </w:t>
      </w:r>
      <w:r w:rsidR="00465CFA" w:rsidRPr="00D4558F">
        <w:rPr>
          <w:rStyle w:val="CommentReference"/>
          <w:b/>
          <w:szCs w:val="24"/>
        </w:rPr>
        <w:t>3</w:t>
      </w:r>
      <w:r w:rsidRPr="00D4558F">
        <w:rPr>
          <w:rStyle w:val="CommentReference"/>
          <w:b/>
          <w:szCs w:val="24"/>
        </w:rPr>
        <w:t xml:space="preserve">: </w:t>
      </w:r>
      <w:r w:rsidR="002F683E">
        <w:rPr>
          <w:rStyle w:val="CommentReference"/>
          <w:b/>
          <w:szCs w:val="24"/>
        </w:rPr>
        <w:t>Studies</w:t>
      </w:r>
      <w:r w:rsidRPr="00D4558F">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4"/>
        <w:gridCol w:w="6243"/>
        <w:gridCol w:w="1650"/>
      </w:tblGrid>
      <w:tr w:rsidR="00201F25" w:rsidRPr="00D4558F" w:rsidTr="00DF2286">
        <w:tc>
          <w:tcPr>
            <w:tcW w:w="623" w:type="pct"/>
            <w:vAlign w:val="center"/>
          </w:tcPr>
          <w:p w:rsidR="00201F25" w:rsidRPr="00D4558F" w:rsidRDefault="00201F25" w:rsidP="00F33B50">
            <w:pPr>
              <w:pStyle w:val="In-tableHeading"/>
              <w:rPr>
                <w:lang w:val="en-AU"/>
              </w:rPr>
            </w:pPr>
            <w:r w:rsidRPr="00D4558F">
              <w:rPr>
                <w:lang w:val="en-AU"/>
              </w:rPr>
              <w:t>Trial ID</w:t>
            </w:r>
          </w:p>
        </w:tc>
        <w:tc>
          <w:tcPr>
            <w:tcW w:w="3462" w:type="pct"/>
            <w:vAlign w:val="center"/>
          </w:tcPr>
          <w:p w:rsidR="00201F25" w:rsidRPr="00D4558F" w:rsidRDefault="00201F25" w:rsidP="00F33B50">
            <w:pPr>
              <w:pStyle w:val="In-tableHeading"/>
              <w:rPr>
                <w:lang w:val="en-AU"/>
              </w:rPr>
            </w:pPr>
            <w:r w:rsidRPr="00D4558F">
              <w:rPr>
                <w:lang w:val="en-AU"/>
              </w:rPr>
              <w:t>Protocol title/ Publication title</w:t>
            </w:r>
          </w:p>
        </w:tc>
        <w:tc>
          <w:tcPr>
            <w:tcW w:w="915" w:type="pct"/>
            <w:vAlign w:val="center"/>
          </w:tcPr>
          <w:p w:rsidR="00201F25" w:rsidRPr="00D4558F" w:rsidRDefault="00201F25" w:rsidP="00F33B50">
            <w:pPr>
              <w:pStyle w:val="In-tableHeading"/>
              <w:rPr>
                <w:lang w:val="en-AU"/>
              </w:rPr>
            </w:pPr>
            <w:r w:rsidRPr="00D4558F">
              <w:rPr>
                <w:lang w:val="en-AU"/>
              </w:rPr>
              <w:t>Publication citation</w:t>
            </w:r>
          </w:p>
        </w:tc>
      </w:tr>
      <w:tr w:rsidR="00201F25" w:rsidRPr="00D4558F" w:rsidTr="00DF2286">
        <w:tc>
          <w:tcPr>
            <w:tcW w:w="623" w:type="pct"/>
            <w:vMerge w:val="restart"/>
            <w:vAlign w:val="center"/>
          </w:tcPr>
          <w:p w:rsidR="00201F25" w:rsidRPr="00D4558F" w:rsidRDefault="00201F25" w:rsidP="00F33B50">
            <w:pPr>
              <w:pStyle w:val="TableText0"/>
            </w:pPr>
            <w:r w:rsidRPr="00D4558F">
              <w:t>CL301</w:t>
            </w:r>
          </w:p>
          <w:p w:rsidR="00201F25" w:rsidRPr="00D4558F" w:rsidRDefault="00201F25" w:rsidP="00F33B50">
            <w:pPr>
              <w:pStyle w:val="TableText0"/>
            </w:pPr>
            <w:r w:rsidRPr="00D4558F">
              <w:t>NCT02915705</w:t>
            </w:r>
          </w:p>
        </w:tc>
        <w:tc>
          <w:tcPr>
            <w:tcW w:w="3462" w:type="pct"/>
            <w:tcBorders>
              <w:bottom w:val="nil"/>
            </w:tcBorders>
            <w:vAlign w:val="center"/>
          </w:tcPr>
          <w:p w:rsidR="00201F25" w:rsidRDefault="00201F25" w:rsidP="00F33B50">
            <w:pPr>
              <w:pStyle w:val="TableText0"/>
              <w:rPr>
                <w:szCs w:val="18"/>
              </w:rPr>
            </w:pPr>
            <w:r w:rsidRPr="00D4558F">
              <w:rPr>
                <w:szCs w:val="18"/>
              </w:rPr>
              <w:t>UX023-CL301 Clinical Study Report (End of Study (EOS); up to 124 weeks) A Randomized, Open-Label, Phase 3 Study to Assess the Efficacy and Safety of KRN23 Versus Oral Phosphate and Active Vitamin D Treatment in Pediatric Patients with X-linked Hypophosphatemia (XLH).</w:t>
            </w:r>
          </w:p>
          <w:p w:rsidR="00047F4F" w:rsidRPr="00D4558F" w:rsidRDefault="00047F4F" w:rsidP="00F33B50">
            <w:pPr>
              <w:pStyle w:val="TableText0"/>
              <w:rPr>
                <w:szCs w:val="18"/>
              </w:rPr>
            </w:pPr>
          </w:p>
        </w:tc>
        <w:tc>
          <w:tcPr>
            <w:tcW w:w="915" w:type="pct"/>
            <w:tcBorders>
              <w:bottom w:val="nil"/>
            </w:tcBorders>
            <w:vAlign w:val="center"/>
          </w:tcPr>
          <w:p w:rsidR="00201F25" w:rsidRPr="00D4558F" w:rsidRDefault="00201F25" w:rsidP="00F33B50">
            <w:pPr>
              <w:pStyle w:val="TableText0"/>
            </w:pPr>
            <w:r w:rsidRPr="00D4558F">
              <w:rPr>
                <w:szCs w:val="18"/>
              </w:rPr>
              <w:t>16 December 2019</w:t>
            </w:r>
          </w:p>
        </w:tc>
      </w:tr>
      <w:tr w:rsidR="00201F25" w:rsidRPr="00D4558F" w:rsidTr="00DF2286">
        <w:trPr>
          <w:trHeight w:val="682"/>
        </w:trPr>
        <w:tc>
          <w:tcPr>
            <w:tcW w:w="623" w:type="pct"/>
            <w:vMerge/>
            <w:vAlign w:val="center"/>
          </w:tcPr>
          <w:p w:rsidR="00201F25" w:rsidRPr="00D4558F" w:rsidRDefault="00201F25" w:rsidP="00F33B50">
            <w:pPr>
              <w:pStyle w:val="TableText0"/>
            </w:pPr>
          </w:p>
        </w:tc>
        <w:tc>
          <w:tcPr>
            <w:tcW w:w="3462" w:type="pct"/>
            <w:tcBorders>
              <w:top w:val="nil"/>
            </w:tcBorders>
            <w:vAlign w:val="center"/>
          </w:tcPr>
          <w:p w:rsidR="00201F25" w:rsidRPr="00D4558F" w:rsidRDefault="00201F25" w:rsidP="00F33B50">
            <w:pPr>
              <w:pStyle w:val="TableText0"/>
              <w:rPr>
                <w:szCs w:val="18"/>
              </w:rPr>
            </w:pPr>
            <w:r w:rsidRPr="00D4558F">
              <w:rPr>
                <w:szCs w:val="18"/>
              </w:rPr>
              <w:t xml:space="preserve">Imel E, Glorieux FH, Whyte MP, </w:t>
            </w:r>
            <w:r w:rsidR="00F33B50">
              <w:rPr>
                <w:szCs w:val="18"/>
              </w:rPr>
              <w:t>et al</w:t>
            </w:r>
            <w:r w:rsidRPr="00D4558F">
              <w:rPr>
                <w:szCs w:val="18"/>
              </w:rPr>
              <w:t>. Burosumab versus conventional therapy in children with X-linked hypophosphataemia: a randomised, active-controlled, open-label, phase 3 trial.</w:t>
            </w:r>
          </w:p>
        </w:tc>
        <w:tc>
          <w:tcPr>
            <w:tcW w:w="915" w:type="pct"/>
            <w:tcBorders>
              <w:top w:val="nil"/>
            </w:tcBorders>
            <w:vAlign w:val="center"/>
          </w:tcPr>
          <w:p w:rsidR="00201F25" w:rsidRPr="00D4558F" w:rsidRDefault="00201F25" w:rsidP="00F33B50">
            <w:pPr>
              <w:pStyle w:val="TableText0"/>
              <w:rPr>
                <w:szCs w:val="18"/>
              </w:rPr>
            </w:pPr>
            <w:r w:rsidRPr="00D4558F">
              <w:rPr>
                <w:szCs w:val="18"/>
              </w:rPr>
              <w:t>The Lancet 2019; 393(10189):2416-2427</w:t>
            </w:r>
          </w:p>
        </w:tc>
      </w:tr>
      <w:tr w:rsidR="00201F25" w:rsidRPr="00D4558F" w:rsidTr="00DF2286">
        <w:tc>
          <w:tcPr>
            <w:tcW w:w="623" w:type="pct"/>
            <w:vMerge w:val="restart"/>
            <w:vAlign w:val="center"/>
          </w:tcPr>
          <w:p w:rsidR="00201F25" w:rsidRPr="00D4558F" w:rsidRDefault="00201F25" w:rsidP="00F33B50">
            <w:pPr>
              <w:pStyle w:val="TableText0"/>
            </w:pPr>
            <w:r w:rsidRPr="00D4558F">
              <w:t>CL201</w:t>
            </w:r>
          </w:p>
          <w:p w:rsidR="00201F25" w:rsidRPr="00D4558F" w:rsidRDefault="00201F25" w:rsidP="00F33B50">
            <w:pPr>
              <w:pStyle w:val="TableText0"/>
            </w:pPr>
            <w:r w:rsidRPr="00D4558F">
              <w:t>NCT02163577</w:t>
            </w:r>
          </w:p>
        </w:tc>
        <w:tc>
          <w:tcPr>
            <w:tcW w:w="3462" w:type="pct"/>
            <w:tcBorders>
              <w:bottom w:val="nil"/>
            </w:tcBorders>
            <w:vAlign w:val="center"/>
          </w:tcPr>
          <w:p w:rsidR="00201F25" w:rsidRDefault="00201F25" w:rsidP="00F33B50">
            <w:pPr>
              <w:pStyle w:val="TableText0"/>
            </w:pPr>
            <w:r w:rsidRPr="00D4558F">
              <w:t>UX023-CL201 Clinical Study Report (EOS, Week 160): A Randomized, Open-Label, Dose Finding, Phase 2 Study to Assess the Pharmacodynamics and Safety of the anti-FGF23 Antibody, KRN23, in Pediatric Patients with X-linked Hypophosphatemia (XLH).</w:t>
            </w:r>
          </w:p>
          <w:p w:rsidR="00047F4F" w:rsidRPr="00D4558F" w:rsidRDefault="00047F4F" w:rsidP="00F33B50">
            <w:pPr>
              <w:pStyle w:val="TableText0"/>
            </w:pPr>
          </w:p>
        </w:tc>
        <w:tc>
          <w:tcPr>
            <w:tcW w:w="915" w:type="pct"/>
            <w:tcBorders>
              <w:bottom w:val="nil"/>
            </w:tcBorders>
            <w:vAlign w:val="center"/>
          </w:tcPr>
          <w:p w:rsidR="00201F25" w:rsidRPr="00D4558F" w:rsidRDefault="00201F25" w:rsidP="00F33B50">
            <w:pPr>
              <w:pStyle w:val="TableText0"/>
            </w:pPr>
            <w:r w:rsidRPr="00D4558F">
              <w:t>5 April 2019</w:t>
            </w:r>
          </w:p>
        </w:tc>
      </w:tr>
      <w:tr w:rsidR="00201F25" w:rsidRPr="00D4558F" w:rsidTr="00DF2286">
        <w:trPr>
          <w:trHeight w:val="383"/>
        </w:trPr>
        <w:tc>
          <w:tcPr>
            <w:tcW w:w="623" w:type="pct"/>
            <w:vMerge/>
            <w:vAlign w:val="center"/>
          </w:tcPr>
          <w:p w:rsidR="00201F25" w:rsidRPr="00D4558F" w:rsidRDefault="00201F25" w:rsidP="00F33B50">
            <w:pPr>
              <w:pStyle w:val="TableText0"/>
            </w:pPr>
          </w:p>
        </w:tc>
        <w:tc>
          <w:tcPr>
            <w:tcW w:w="3462" w:type="pct"/>
            <w:tcBorders>
              <w:top w:val="nil"/>
            </w:tcBorders>
            <w:vAlign w:val="center"/>
          </w:tcPr>
          <w:p w:rsidR="00201F25" w:rsidRPr="00D4558F" w:rsidRDefault="00201F25" w:rsidP="00F33B50">
            <w:pPr>
              <w:pStyle w:val="TableText0"/>
              <w:rPr>
                <w:szCs w:val="18"/>
              </w:rPr>
            </w:pPr>
            <w:r w:rsidRPr="00D4558F">
              <w:rPr>
                <w:szCs w:val="18"/>
              </w:rPr>
              <w:t>Carpenter T, Whyte</w:t>
            </w:r>
            <w:r w:rsidR="00F33B50">
              <w:rPr>
                <w:szCs w:val="18"/>
              </w:rPr>
              <w:t xml:space="preserve"> M</w:t>
            </w:r>
            <w:r w:rsidRPr="00D4558F">
              <w:rPr>
                <w:szCs w:val="18"/>
              </w:rPr>
              <w:t xml:space="preserve">, Imel E, </w:t>
            </w:r>
            <w:r w:rsidR="00F33B50">
              <w:rPr>
                <w:szCs w:val="18"/>
              </w:rPr>
              <w:t>et al.</w:t>
            </w:r>
            <w:r w:rsidRPr="00D4558F">
              <w:rPr>
                <w:szCs w:val="18"/>
              </w:rPr>
              <w:t xml:space="preserve"> Burosumab Therapy in Children with X-Linked Hypophosphatemia.</w:t>
            </w:r>
          </w:p>
        </w:tc>
        <w:tc>
          <w:tcPr>
            <w:tcW w:w="915" w:type="pct"/>
            <w:tcBorders>
              <w:top w:val="nil"/>
            </w:tcBorders>
            <w:vAlign w:val="center"/>
          </w:tcPr>
          <w:p w:rsidR="00201F25" w:rsidRPr="00D4558F" w:rsidRDefault="00201F25" w:rsidP="00F33B50">
            <w:pPr>
              <w:pStyle w:val="TableText0"/>
              <w:rPr>
                <w:i/>
              </w:rPr>
            </w:pPr>
            <w:r w:rsidRPr="00D4558F">
              <w:rPr>
                <w:szCs w:val="18"/>
              </w:rPr>
              <w:t>New England Journal of Medicine 2018; 378(21):1987-1998</w:t>
            </w:r>
          </w:p>
        </w:tc>
      </w:tr>
      <w:tr w:rsidR="00201F25" w:rsidRPr="00D4558F" w:rsidTr="00DF2286">
        <w:tc>
          <w:tcPr>
            <w:tcW w:w="623" w:type="pct"/>
            <w:vMerge w:val="restart"/>
            <w:vAlign w:val="center"/>
          </w:tcPr>
          <w:p w:rsidR="00201F25" w:rsidRPr="00D4558F" w:rsidRDefault="00201F25" w:rsidP="00F33B50">
            <w:pPr>
              <w:pStyle w:val="TableText0"/>
            </w:pPr>
            <w:r w:rsidRPr="00D4558F">
              <w:t>CL205</w:t>
            </w:r>
          </w:p>
          <w:p w:rsidR="00201F25" w:rsidRPr="00D4558F" w:rsidRDefault="00201F25" w:rsidP="00F33B50">
            <w:pPr>
              <w:pStyle w:val="TableText0"/>
            </w:pPr>
            <w:r w:rsidRPr="00D4558F">
              <w:t>NCT02750618</w:t>
            </w:r>
          </w:p>
        </w:tc>
        <w:tc>
          <w:tcPr>
            <w:tcW w:w="3462" w:type="pct"/>
            <w:tcBorders>
              <w:bottom w:val="nil"/>
            </w:tcBorders>
            <w:vAlign w:val="center"/>
          </w:tcPr>
          <w:p w:rsidR="00201F25" w:rsidRDefault="00201F25" w:rsidP="00F33B50">
            <w:pPr>
              <w:pStyle w:val="TableText0"/>
            </w:pPr>
            <w:r w:rsidRPr="00D4558F">
              <w:t>UX023-CL205 Clinical Study Report (Week 64, EOS): An Open-Label, Phase 2 Study to Assess the Safety, Pharmacodynamics, and Efficacy of KRN23 in Children from 1 to 4 Years Old with X-linked Hypophosphatemia (XLH).</w:t>
            </w:r>
          </w:p>
          <w:p w:rsidR="00047F4F" w:rsidRPr="00D4558F" w:rsidRDefault="00047F4F" w:rsidP="00F33B50">
            <w:pPr>
              <w:pStyle w:val="TableText0"/>
            </w:pPr>
          </w:p>
        </w:tc>
        <w:tc>
          <w:tcPr>
            <w:tcW w:w="915" w:type="pct"/>
            <w:tcBorders>
              <w:bottom w:val="nil"/>
            </w:tcBorders>
            <w:vAlign w:val="center"/>
          </w:tcPr>
          <w:p w:rsidR="00201F25" w:rsidRPr="00D4558F" w:rsidRDefault="00201F25" w:rsidP="00F33B50">
            <w:pPr>
              <w:pStyle w:val="TableText0"/>
            </w:pPr>
            <w:r w:rsidRPr="00D4558F">
              <w:t>24 January 2020</w:t>
            </w:r>
          </w:p>
        </w:tc>
      </w:tr>
      <w:tr w:rsidR="00201F25" w:rsidRPr="00D4558F" w:rsidTr="00DF2286">
        <w:tc>
          <w:tcPr>
            <w:tcW w:w="623" w:type="pct"/>
            <w:vMerge/>
            <w:tcBorders>
              <w:bottom w:val="single" w:sz="4" w:space="0" w:color="auto"/>
            </w:tcBorders>
            <w:vAlign w:val="center"/>
          </w:tcPr>
          <w:p w:rsidR="00201F25" w:rsidRPr="00D4558F" w:rsidRDefault="00201F25" w:rsidP="00F33B50">
            <w:pPr>
              <w:pStyle w:val="TableText0"/>
            </w:pPr>
          </w:p>
        </w:tc>
        <w:tc>
          <w:tcPr>
            <w:tcW w:w="3462" w:type="pct"/>
            <w:tcBorders>
              <w:top w:val="nil"/>
              <w:bottom w:val="single" w:sz="4" w:space="0" w:color="auto"/>
            </w:tcBorders>
            <w:vAlign w:val="center"/>
          </w:tcPr>
          <w:p w:rsidR="00201F25" w:rsidRPr="00D4558F" w:rsidRDefault="00201F25" w:rsidP="00F33B50">
            <w:pPr>
              <w:pStyle w:val="TableText0"/>
              <w:rPr>
                <w:szCs w:val="18"/>
              </w:rPr>
            </w:pPr>
            <w:r w:rsidRPr="00D4558F">
              <w:rPr>
                <w:szCs w:val="18"/>
              </w:rPr>
              <w:t xml:space="preserve">Whyte M, Carpenter T, Gottesman G, </w:t>
            </w:r>
            <w:r w:rsidR="00F33B50">
              <w:rPr>
                <w:szCs w:val="18"/>
              </w:rPr>
              <w:t>et al</w:t>
            </w:r>
            <w:r w:rsidRPr="00D4558F">
              <w:rPr>
                <w:szCs w:val="18"/>
              </w:rPr>
              <w:t>. Efficacy and safety of burosumab in children aged 1–4 years with X-linked hypophosphataemia: a multicentre, open-label, phase 2 trial.</w:t>
            </w:r>
          </w:p>
        </w:tc>
        <w:tc>
          <w:tcPr>
            <w:tcW w:w="915" w:type="pct"/>
            <w:tcBorders>
              <w:top w:val="nil"/>
              <w:bottom w:val="single" w:sz="4" w:space="0" w:color="auto"/>
            </w:tcBorders>
            <w:vAlign w:val="center"/>
          </w:tcPr>
          <w:p w:rsidR="00201F25" w:rsidRPr="00D4558F" w:rsidRDefault="00201F25" w:rsidP="00F33B50">
            <w:pPr>
              <w:pStyle w:val="TableText0"/>
            </w:pPr>
            <w:r w:rsidRPr="00D4558F">
              <w:rPr>
                <w:szCs w:val="18"/>
              </w:rPr>
              <w:t>The Lancet Diabetes &amp; Endocrinology 2019; 7(3):189-199.</w:t>
            </w:r>
          </w:p>
        </w:tc>
      </w:tr>
    </w:tbl>
    <w:p w:rsidR="00201F25" w:rsidRPr="00D4558F" w:rsidRDefault="00201F25" w:rsidP="00201F25">
      <w:pPr>
        <w:pStyle w:val="TableFigureFooter"/>
        <w:rPr>
          <w:sz w:val="20"/>
        </w:rPr>
      </w:pPr>
      <w:r w:rsidRPr="00D4558F">
        <w:t>Source: Table 2.2, p31 of the submission.</w:t>
      </w:r>
    </w:p>
    <w:p w:rsidR="00201F25" w:rsidRPr="002A0BF0" w:rsidRDefault="00201F25" w:rsidP="004241E4">
      <w:pPr>
        <w:pStyle w:val="3-BodyText"/>
      </w:pPr>
      <w:r w:rsidRPr="002A0BF0">
        <w:t>The literature search identified one ongoing Phase 3</w:t>
      </w:r>
      <w:r w:rsidR="00482FDC" w:rsidRPr="002A0BF0">
        <w:t>,</w:t>
      </w:r>
      <w:r w:rsidRPr="002A0BF0">
        <w:t xml:space="preserve"> open-label</w:t>
      </w:r>
      <w:r w:rsidR="00482FDC" w:rsidRPr="002A0BF0">
        <w:t>,</w:t>
      </w:r>
      <w:r w:rsidRPr="002A0BF0">
        <w:t xml:space="preserve"> single arm</w:t>
      </w:r>
      <w:r w:rsidR="00482FDC" w:rsidRPr="002A0BF0">
        <w:t>,</w:t>
      </w:r>
      <w:r w:rsidRPr="002A0BF0">
        <w:t xml:space="preserve"> randomised </w:t>
      </w:r>
      <w:r w:rsidR="00482FDC" w:rsidRPr="002A0BF0">
        <w:t>study</w:t>
      </w:r>
      <w:r w:rsidRPr="002A0BF0">
        <w:t xml:space="preserve"> (KRN23-003, NCT02750618) of </w:t>
      </w:r>
      <w:r w:rsidR="003631B0" w:rsidRPr="002A0BF0">
        <w:t>burosumab</w:t>
      </w:r>
      <w:r w:rsidRPr="002A0BF0">
        <w:t xml:space="preserve"> treatment in children aged 1 to 12 years with XLH, which was excluded in the submission on the grounds that administration of the study treatment by self-administration was not consistent with the draft PI (i.e. </w:t>
      </w:r>
      <w:r w:rsidR="003631B0" w:rsidRPr="002A0BF0">
        <w:t>burosumab</w:t>
      </w:r>
      <w:r w:rsidRPr="002A0BF0">
        <w:t xml:space="preserve"> should be administered by a healthcare provider). The study assesses the safety, pharmacodynamics (PD) and efficacy of self-administering </w:t>
      </w:r>
      <w:r w:rsidR="003631B0" w:rsidRPr="002A0BF0">
        <w:t>burosumab</w:t>
      </w:r>
      <w:r w:rsidRPr="002A0BF0">
        <w:t xml:space="preserve"> every 2 weeks, and is potentially relevant given it reported comparable outcomes in paediatrics with XLH</w:t>
      </w:r>
      <w:r w:rsidR="00482FDC" w:rsidRPr="002A0BF0">
        <w:t xml:space="preserve"> (</w:t>
      </w:r>
      <w:r w:rsidR="00482FDC" w:rsidRPr="00C51D79">
        <w:t>see paragraph 6.2</w:t>
      </w:r>
      <w:r w:rsidR="00805FAA" w:rsidRPr="00C51D79">
        <w:t>6</w:t>
      </w:r>
      <w:r w:rsidR="00482FDC" w:rsidRPr="002A0BF0">
        <w:t xml:space="preserve"> for a summary of results from this study)</w:t>
      </w:r>
      <w:r w:rsidRPr="002A0BF0">
        <w:t>.</w:t>
      </w:r>
      <w:r w:rsidR="004241E4" w:rsidRPr="002A0BF0">
        <w:t xml:space="preserve"> </w:t>
      </w:r>
    </w:p>
    <w:p w:rsidR="00201F25" w:rsidRPr="00A83FDA" w:rsidRDefault="00201F25" w:rsidP="002E4F02">
      <w:pPr>
        <w:pStyle w:val="3-BodyText"/>
      </w:pPr>
      <w:r w:rsidRPr="002A0BF0">
        <w:t xml:space="preserve">The key features of the main </w:t>
      </w:r>
      <w:r w:rsidR="002F00C4" w:rsidRPr="002A0BF0">
        <w:t>studies</w:t>
      </w:r>
      <w:r w:rsidRPr="00A83FDA">
        <w:t xml:space="preserve"> are summarised in </w:t>
      </w:r>
      <w:r w:rsidR="004241E4" w:rsidRPr="00A83FDA">
        <w:t>T</w:t>
      </w:r>
      <w:r w:rsidRPr="00A83FDA">
        <w:t>able</w:t>
      </w:r>
      <w:r w:rsidR="00A039DE" w:rsidRPr="00A83FDA">
        <w:t xml:space="preserve"> 4</w:t>
      </w:r>
      <w:r w:rsidRPr="00A83FDA">
        <w:t xml:space="preserve"> below. </w:t>
      </w:r>
    </w:p>
    <w:p w:rsidR="00201F25" w:rsidRPr="00A83FDA" w:rsidRDefault="00201F25" w:rsidP="008C0930">
      <w:pPr>
        <w:pStyle w:val="TableFigureHeading"/>
        <w:rPr>
          <w:rStyle w:val="CommentReference"/>
          <w:b/>
          <w:szCs w:val="24"/>
        </w:rPr>
      </w:pPr>
      <w:r w:rsidRPr="00A83FDA">
        <w:rPr>
          <w:rStyle w:val="CommentReference"/>
          <w:b/>
          <w:szCs w:val="24"/>
        </w:rPr>
        <w:t xml:space="preserve">Table </w:t>
      </w:r>
      <w:r w:rsidR="00465CFA" w:rsidRPr="00A83FDA">
        <w:rPr>
          <w:rStyle w:val="CommentReference"/>
          <w:b/>
          <w:szCs w:val="24"/>
        </w:rPr>
        <w:t>4</w:t>
      </w:r>
      <w:r w:rsidRPr="00A83FDA">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0"/>
        <w:gridCol w:w="306"/>
        <w:gridCol w:w="1701"/>
        <w:gridCol w:w="849"/>
        <w:gridCol w:w="2209"/>
        <w:gridCol w:w="911"/>
        <w:gridCol w:w="1632"/>
        <w:gridCol w:w="869"/>
      </w:tblGrid>
      <w:tr w:rsidR="00201F25" w:rsidRPr="00A83FDA" w:rsidTr="00F33B50">
        <w:trPr>
          <w:cantSplit/>
          <w:tblHeader/>
        </w:trPr>
        <w:tc>
          <w:tcPr>
            <w:tcW w:w="299" w:type="pct"/>
            <w:shd w:val="clear" w:color="auto" w:fill="auto"/>
            <w:vAlign w:val="center"/>
          </w:tcPr>
          <w:p w:rsidR="00201F25" w:rsidRPr="00A83FDA" w:rsidRDefault="00201F25" w:rsidP="008C0930">
            <w:pPr>
              <w:pStyle w:val="In-tableHeading"/>
              <w:rPr>
                <w:lang w:val="en-AU"/>
              </w:rPr>
            </w:pPr>
            <w:r w:rsidRPr="00A83FDA">
              <w:rPr>
                <w:lang w:val="en-AU"/>
              </w:rPr>
              <w:t>Trial</w:t>
            </w:r>
          </w:p>
        </w:tc>
        <w:tc>
          <w:tcPr>
            <w:tcW w:w="170" w:type="pct"/>
            <w:shd w:val="clear" w:color="auto" w:fill="auto"/>
            <w:vAlign w:val="center"/>
          </w:tcPr>
          <w:p w:rsidR="00201F25" w:rsidRPr="00A83FDA" w:rsidRDefault="00201F25" w:rsidP="008C0930">
            <w:pPr>
              <w:pStyle w:val="In-tableHeading"/>
              <w:jc w:val="center"/>
              <w:rPr>
                <w:lang w:val="en-AU"/>
              </w:rPr>
            </w:pPr>
            <w:r w:rsidRPr="00A83FDA">
              <w:rPr>
                <w:lang w:val="en-AU"/>
              </w:rPr>
              <w:t>N</w:t>
            </w:r>
          </w:p>
        </w:tc>
        <w:tc>
          <w:tcPr>
            <w:tcW w:w="943" w:type="pct"/>
            <w:shd w:val="clear" w:color="auto" w:fill="auto"/>
            <w:vAlign w:val="center"/>
          </w:tcPr>
          <w:p w:rsidR="00201F25" w:rsidRPr="00A83FDA" w:rsidRDefault="00201F25" w:rsidP="00F33B50">
            <w:pPr>
              <w:pStyle w:val="In-tableHeading"/>
              <w:jc w:val="center"/>
              <w:rPr>
                <w:lang w:val="en-AU"/>
              </w:rPr>
            </w:pPr>
            <w:r w:rsidRPr="00A83FDA">
              <w:rPr>
                <w:lang w:val="en-AU"/>
              </w:rPr>
              <w:t>Design/duration</w:t>
            </w:r>
          </w:p>
        </w:tc>
        <w:tc>
          <w:tcPr>
            <w:tcW w:w="471" w:type="pct"/>
            <w:shd w:val="clear" w:color="auto" w:fill="auto"/>
            <w:vAlign w:val="center"/>
          </w:tcPr>
          <w:p w:rsidR="00201F25" w:rsidRPr="00A83FDA" w:rsidRDefault="00201F25" w:rsidP="008C0930">
            <w:pPr>
              <w:pStyle w:val="In-tableHeading"/>
              <w:jc w:val="center"/>
              <w:rPr>
                <w:lang w:val="en-AU"/>
              </w:rPr>
            </w:pPr>
            <w:r w:rsidRPr="00A83FDA">
              <w:rPr>
                <w:lang w:val="en-AU"/>
              </w:rPr>
              <w:t>Bias</w:t>
            </w:r>
          </w:p>
        </w:tc>
        <w:tc>
          <w:tcPr>
            <w:tcW w:w="1225" w:type="pct"/>
            <w:vAlign w:val="center"/>
          </w:tcPr>
          <w:p w:rsidR="00201F25" w:rsidRPr="00A83FDA" w:rsidRDefault="00201F25" w:rsidP="008C0930">
            <w:pPr>
              <w:pStyle w:val="In-tableHeading"/>
              <w:jc w:val="center"/>
              <w:rPr>
                <w:lang w:val="en-AU"/>
              </w:rPr>
            </w:pPr>
            <w:r w:rsidRPr="00A83FDA">
              <w:rPr>
                <w:lang w:val="en-AU"/>
              </w:rPr>
              <w:t>Treatment arms</w:t>
            </w:r>
          </w:p>
        </w:tc>
        <w:tc>
          <w:tcPr>
            <w:tcW w:w="505" w:type="pct"/>
            <w:shd w:val="clear" w:color="auto" w:fill="auto"/>
            <w:vAlign w:val="center"/>
          </w:tcPr>
          <w:p w:rsidR="00201F25" w:rsidRPr="00A83FDA" w:rsidRDefault="00201F25" w:rsidP="008C0930">
            <w:pPr>
              <w:pStyle w:val="In-tableHeading"/>
              <w:jc w:val="center"/>
              <w:rPr>
                <w:lang w:val="en-AU"/>
              </w:rPr>
            </w:pPr>
            <w:r w:rsidRPr="00A83FDA">
              <w:rPr>
                <w:lang w:val="en-AU"/>
              </w:rPr>
              <w:t>Population</w:t>
            </w:r>
          </w:p>
        </w:tc>
        <w:tc>
          <w:tcPr>
            <w:tcW w:w="905" w:type="pct"/>
            <w:shd w:val="clear" w:color="auto" w:fill="auto"/>
            <w:vAlign w:val="center"/>
          </w:tcPr>
          <w:p w:rsidR="00201F25" w:rsidRPr="00A83FDA" w:rsidRDefault="00201F25" w:rsidP="008C0930">
            <w:pPr>
              <w:pStyle w:val="In-tableHeading"/>
              <w:jc w:val="center"/>
              <w:rPr>
                <w:lang w:val="en-AU"/>
              </w:rPr>
            </w:pPr>
            <w:r w:rsidRPr="00A83FDA">
              <w:rPr>
                <w:lang w:val="en-AU"/>
              </w:rPr>
              <w:t>Outcome(s)</w:t>
            </w:r>
          </w:p>
        </w:tc>
        <w:tc>
          <w:tcPr>
            <w:tcW w:w="481" w:type="pct"/>
            <w:vAlign w:val="center"/>
          </w:tcPr>
          <w:p w:rsidR="00201F25" w:rsidRPr="00A83FDA" w:rsidRDefault="00201F25" w:rsidP="008C0930">
            <w:pPr>
              <w:pStyle w:val="In-tableHeading"/>
              <w:jc w:val="center"/>
              <w:rPr>
                <w:lang w:val="en-AU"/>
              </w:rPr>
            </w:pPr>
            <w:r w:rsidRPr="00A83FDA">
              <w:rPr>
                <w:lang w:val="en-AU"/>
              </w:rPr>
              <w:t>Modelled evaluation</w:t>
            </w:r>
          </w:p>
        </w:tc>
      </w:tr>
      <w:tr w:rsidR="00201F25" w:rsidRPr="00A83FDA" w:rsidTr="00DF2286">
        <w:trPr>
          <w:cantSplit/>
        </w:trPr>
        <w:tc>
          <w:tcPr>
            <w:tcW w:w="5000" w:type="pct"/>
            <w:gridSpan w:val="8"/>
            <w:vAlign w:val="center"/>
          </w:tcPr>
          <w:p w:rsidR="00201F25" w:rsidRPr="00A83FDA" w:rsidRDefault="00DD01CF" w:rsidP="008C0930">
            <w:pPr>
              <w:pStyle w:val="In-tableHeading"/>
              <w:rPr>
                <w:lang w:val="en-AU"/>
              </w:rPr>
            </w:pPr>
            <w:r w:rsidRPr="00A83FDA">
              <w:rPr>
                <w:lang w:val="en-AU"/>
              </w:rPr>
              <w:t>Burosumab</w:t>
            </w:r>
            <w:r w:rsidR="00201F25" w:rsidRPr="00A83FDA">
              <w:rPr>
                <w:lang w:val="en-AU"/>
              </w:rPr>
              <w:t xml:space="preserve"> vs conventional therapy (oral phosphorus plus calcitriol)</w:t>
            </w:r>
          </w:p>
        </w:tc>
      </w:tr>
      <w:tr w:rsidR="00201F25" w:rsidRPr="00A83FDA" w:rsidTr="00F33B50">
        <w:trPr>
          <w:cantSplit/>
        </w:trPr>
        <w:tc>
          <w:tcPr>
            <w:tcW w:w="299" w:type="pct"/>
            <w:shd w:val="clear" w:color="auto" w:fill="auto"/>
            <w:vAlign w:val="center"/>
          </w:tcPr>
          <w:p w:rsidR="00201F25" w:rsidRPr="00A83FDA" w:rsidRDefault="00201F25" w:rsidP="008C0930">
            <w:pPr>
              <w:pStyle w:val="TableText0"/>
            </w:pPr>
            <w:r w:rsidRPr="00A83FDA">
              <w:t>CL301</w:t>
            </w:r>
          </w:p>
        </w:tc>
        <w:tc>
          <w:tcPr>
            <w:tcW w:w="170" w:type="pct"/>
            <w:shd w:val="clear" w:color="auto" w:fill="auto"/>
            <w:vAlign w:val="center"/>
          </w:tcPr>
          <w:p w:rsidR="00201F25" w:rsidRPr="00A83FDA" w:rsidRDefault="00201F25" w:rsidP="008C0930">
            <w:pPr>
              <w:pStyle w:val="TableText0"/>
              <w:jc w:val="center"/>
            </w:pPr>
            <w:r w:rsidRPr="00A83FDA">
              <w:t>61</w:t>
            </w:r>
          </w:p>
        </w:tc>
        <w:tc>
          <w:tcPr>
            <w:tcW w:w="943" w:type="pct"/>
            <w:shd w:val="clear" w:color="auto" w:fill="auto"/>
            <w:vAlign w:val="center"/>
          </w:tcPr>
          <w:p w:rsidR="00F33B50" w:rsidRPr="00A83FDA" w:rsidRDefault="00201F25" w:rsidP="008C0930">
            <w:pPr>
              <w:pStyle w:val="TableText0"/>
              <w:jc w:val="center"/>
            </w:pPr>
            <w:r w:rsidRPr="00A83FDA">
              <w:t xml:space="preserve">R, MC, OL, </w:t>
            </w:r>
          </w:p>
          <w:p w:rsidR="00201F25" w:rsidRPr="00A83FDA" w:rsidRDefault="00201F25" w:rsidP="00F33B50">
            <w:pPr>
              <w:pStyle w:val="TableText0"/>
              <w:jc w:val="center"/>
            </w:pPr>
            <w:r w:rsidRPr="00A83FDA">
              <w:t>64</w:t>
            </w:r>
            <w:r w:rsidR="00F33B50" w:rsidRPr="00A83FDA">
              <w:t xml:space="preserve"> </w:t>
            </w:r>
            <w:r w:rsidRPr="00A83FDA">
              <w:t>wk</w:t>
            </w:r>
            <w:r w:rsidR="00F33B50" w:rsidRPr="00A83FDA">
              <w:t>s</w:t>
            </w:r>
            <w:r w:rsidR="00F33B50" w:rsidRPr="00A83FDA">
              <w:br/>
              <w:t>(</w:t>
            </w:r>
            <w:r w:rsidRPr="00A83FDA">
              <w:t>OL extension</w:t>
            </w:r>
            <w:r w:rsidR="00F33B50" w:rsidRPr="00A83FDA">
              <w:t xml:space="preserve">, </w:t>
            </w:r>
            <w:r w:rsidR="003606FF" w:rsidRPr="00A83FDA">
              <w:t>results up to 88</w:t>
            </w:r>
            <w:r w:rsidR="00B714FB" w:rsidRPr="00A83FDA">
              <w:t xml:space="preserve"> wks</w:t>
            </w:r>
            <w:r w:rsidR="003606FF" w:rsidRPr="00A83FDA">
              <w:rPr>
                <w:vertAlign w:val="superscript"/>
              </w:rPr>
              <w:t>e</w:t>
            </w:r>
            <w:r w:rsidR="00F33B50" w:rsidRPr="00A83FDA">
              <w:rPr>
                <w:vertAlign w:val="superscript"/>
              </w:rPr>
              <w:t>)</w:t>
            </w:r>
          </w:p>
        </w:tc>
        <w:tc>
          <w:tcPr>
            <w:tcW w:w="471" w:type="pct"/>
            <w:shd w:val="clear" w:color="auto" w:fill="auto"/>
            <w:vAlign w:val="center"/>
          </w:tcPr>
          <w:p w:rsidR="00201F25" w:rsidRPr="00A83FDA" w:rsidRDefault="00201F25" w:rsidP="008C0930">
            <w:pPr>
              <w:pStyle w:val="TableText0"/>
              <w:jc w:val="center"/>
            </w:pPr>
            <w:r w:rsidRPr="00A83FDA">
              <w:t>L</w:t>
            </w:r>
            <w:r w:rsidR="00F33B50" w:rsidRPr="00A83FDA">
              <w:t>ow-m</w:t>
            </w:r>
            <w:r w:rsidRPr="00A83FDA">
              <w:t>oderate</w:t>
            </w:r>
          </w:p>
        </w:tc>
        <w:tc>
          <w:tcPr>
            <w:tcW w:w="1225" w:type="pct"/>
            <w:vAlign w:val="center"/>
          </w:tcPr>
          <w:p w:rsidR="00201F25" w:rsidRPr="00A83FDA" w:rsidRDefault="00F33B50" w:rsidP="008C0930">
            <w:pPr>
              <w:pStyle w:val="TableText0"/>
            </w:pPr>
            <w:r w:rsidRPr="00A83FDA">
              <w:t>B</w:t>
            </w:r>
            <w:r w:rsidR="00DD01CF" w:rsidRPr="00A83FDA">
              <w:t>urosumab</w:t>
            </w:r>
            <w:r w:rsidR="00201F25" w:rsidRPr="00A83FDA">
              <w:t xml:space="preserve"> 0.8 mg/kg Q2W</w:t>
            </w:r>
            <w:r w:rsidR="00201F25" w:rsidRPr="00A83FDA">
              <w:rPr>
                <w:vertAlign w:val="superscript"/>
              </w:rPr>
              <w:t>a</w:t>
            </w:r>
          </w:p>
          <w:p w:rsidR="00201F25" w:rsidRPr="00A83FDA" w:rsidRDefault="00201F25" w:rsidP="008C0930">
            <w:pPr>
              <w:pStyle w:val="TableText0"/>
            </w:pPr>
            <w:r w:rsidRPr="00A83FDA">
              <w:t>Conventional therapy</w:t>
            </w:r>
            <w:r w:rsidRPr="00A83FDA">
              <w:rPr>
                <w:vertAlign w:val="superscript"/>
              </w:rPr>
              <w:t>b</w:t>
            </w:r>
          </w:p>
        </w:tc>
        <w:tc>
          <w:tcPr>
            <w:tcW w:w="505" w:type="pct"/>
            <w:shd w:val="clear" w:color="auto" w:fill="auto"/>
            <w:vAlign w:val="center"/>
          </w:tcPr>
          <w:p w:rsidR="00201F25" w:rsidRPr="00A83FDA" w:rsidRDefault="00F33B50" w:rsidP="00F33B50">
            <w:pPr>
              <w:pStyle w:val="TableText0"/>
              <w:jc w:val="center"/>
            </w:pPr>
            <w:r w:rsidRPr="00A83FDA">
              <w:t>A</w:t>
            </w:r>
            <w:r w:rsidR="00201F25" w:rsidRPr="00A83FDA">
              <w:t>ge 1-12; XLH</w:t>
            </w:r>
          </w:p>
        </w:tc>
        <w:tc>
          <w:tcPr>
            <w:tcW w:w="905" w:type="pct"/>
            <w:shd w:val="clear" w:color="auto" w:fill="auto"/>
            <w:vAlign w:val="center"/>
          </w:tcPr>
          <w:p w:rsidR="00201F25" w:rsidRPr="00A83FDA" w:rsidRDefault="00201F25" w:rsidP="008C0930">
            <w:pPr>
              <w:pStyle w:val="TableText0"/>
            </w:pPr>
            <w:r w:rsidRPr="00A83FDA">
              <w:t>1°: RGI-C (Wk 40)</w:t>
            </w:r>
          </w:p>
          <w:p w:rsidR="00201F25" w:rsidRPr="00A83FDA" w:rsidRDefault="00201F25" w:rsidP="008C0930">
            <w:pPr>
              <w:pStyle w:val="TableText0"/>
            </w:pPr>
            <w:r w:rsidRPr="00A83FDA">
              <w:t>2°: RSS, growth</w:t>
            </w:r>
          </w:p>
          <w:p w:rsidR="00201F25" w:rsidRPr="00A83FDA" w:rsidRDefault="00F33B50" w:rsidP="008C0930">
            <w:pPr>
              <w:pStyle w:val="TableText0"/>
            </w:pPr>
            <w:r w:rsidRPr="00A83FDA">
              <w:t>O</w:t>
            </w:r>
            <w:r w:rsidR="00201F25" w:rsidRPr="00A83FDA">
              <w:t>ther: 6MWT</w:t>
            </w:r>
            <w:r w:rsidR="00B714FB" w:rsidRPr="00A83FDA">
              <w:t>, PD, QoL</w:t>
            </w:r>
            <w:r w:rsidR="00F207E7" w:rsidRPr="00A83FDA">
              <w:t>, AEs</w:t>
            </w:r>
          </w:p>
        </w:tc>
        <w:tc>
          <w:tcPr>
            <w:tcW w:w="481" w:type="pct"/>
            <w:vAlign w:val="center"/>
          </w:tcPr>
          <w:p w:rsidR="00201F25" w:rsidRPr="00A83FDA" w:rsidRDefault="00201F25" w:rsidP="008C0930">
            <w:pPr>
              <w:pStyle w:val="TableText0"/>
              <w:jc w:val="center"/>
            </w:pPr>
            <w:r w:rsidRPr="00A83FDA">
              <w:t>RSS</w:t>
            </w:r>
          </w:p>
        </w:tc>
      </w:tr>
      <w:tr w:rsidR="00201F25" w:rsidRPr="00A83FDA" w:rsidTr="00DF2286">
        <w:trPr>
          <w:cantSplit/>
        </w:trPr>
        <w:tc>
          <w:tcPr>
            <w:tcW w:w="5000" w:type="pct"/>
            <w:gridSpan w:val="8"/>
            <w:vAlign w:val="center"/>
          </w:tcPr>
          <w:p w:rsidR="00201F25" w:rsidRPr="00A83FDA" w:rsidRDefault="00201F25" w:rsidP="008C0930">
            <w:pPr>
              <w:pStyle w:val="TableText0"/>
              <w:rPr>
                <w:b/>
              </w:rPr>
            </w:pPr>
            <w:r w:rsidRPr="00A83FDA">
              <w:rPr>
                <w:b/>
              </w:rPr>
              <w:t xml:space="preserve">Supportive </w:t>
            </w:r>
            <w:r w:rsidR="002F00C4" w:rsidRPr="00A83FDA">
              <w:rPr>
                <w:b/>
              </w:rPr>
              <w:t>studies</w:t>
            </w:r>
          </w:p>
        </w:tc>
      </w:tr>
      <w:tr w:rsidR="00201F25" w:rsidRPr="00A83FDA" w:rsidTr="00F33B50">
        <w:trPr>
          <w:cantSplit/>
        </w:trPr>
        <w:tc>
          <w:tcPr>
            <w:tcW w:w="299" w:type="pct"/>
            <w:shd w:val="clear" w:color="auto" w:fill="auto"/>
            <w:vAlign w:val="center"/>
          </w:tcPr>
          <w:p w:rsidR="00201F25" w:rsidRPr="00A83FDA" w:rsidRDefault="00201F25" w:rsidP="008C0930">
            <w:pPr>
              <w:pStyle w:val="TableText0"/>
            </w:pPr>
            <w:r w:rsidRPr="00A83FDA">
              <w:t>CL201</w:t>
            </w:r>
          </w:p>
        </w:tc>
        <w:tc>
          <w:tcPr>
            <w:tcW w:w="170" w:type="pct"/>
            <w:shd w:val="clear" w:color="auto" w:fill="auto"/>
            <w:vAlign w:val="center"/>
          </w:tcPr>
          <w:p w:rsidR="00201F25" w:rsidRPr="00A83FDA" w:rsidRDefault="00201F25" w:rsidP="008C0930">
            <w:pPr>
              <w:pStyle w:val="TableText0"/>
              <w:jc w:val="center"/>
            </w:pPr>
            <w:r w:rsidRPr="00A83FDA">
              <w:t>52</w:t>
            </w:r>
          </w:p>
        </w:tc>
        <w:tc>
          <w:tcPr>
            <w:tcW w:w="943" w:type="pct"/>
            <w:shd w:val="clear" w:color="auto" w:fill="auto"/>
            <w:vAlign w:val="center"/>
          </w:tcPr>
          <w:p w:rsidR="00F33B50" w:rsidRPr="00A83FDA" w:rsidRDefault="00201F25" w:rsidP="008C0930">
            <w:pPr>
              <w:pStyle w:val="TableText0"/>
              <w:jc w:val="center"/>
            </w:pPr>
            <w:r w:rsidRPr="00A83FDA">
              <w:t>R, MC, OL, parallel 64</w:t>
            </w:r>
            <w:r w:rsidR="00F33B50" w:rsidRPr="00A83FDA">
              <w:t xml:space="preserve"> </w:t>
            </w:r>
            <w:r w:rsidRPr="00A83FDA">
              <w:t>wk</w:t>
            </w:r>
            <w:r w:rsidR="00F33B50" w:rsidRPr="00A83FDA">
              <w:t>s</w:t>
            </w:r>
            <w:r w:rsidRPr="00A83FDA">
              <w:t xml:space="preserve"> </w:t>
            </w:r>
          </w:p>
          <w:p w:rsidR="00201F25" w:rsidRPr="00A83FDA" w:rsidRDefault="00F33B50" w:rsidP="00F33B50">
            <w:pPr>
              <w:pStyle w:val="TableText0"/>
              <w:jc w:val="center"/>
            </w:pPr>
            <w:r w:rsidRPr="00A83FDA">
              <w:t>(O</w:t>
            </w:r>
            <w:r w:rsidR="00201F25" w:rsidRPr="00A83FDA">
              <w:t>L extension</w:t>
            </w:r>
            <w:r w:rsidRPr="00A83FDA">
              <w:t xml:space="preserve">, results </w:t>
            </w:r>
            <w:r w:rsidR="00B714FB" w:rsidRPr="00A83FDA">
              <w:t>up to 160 wks for efficacy &amp; 214</w:t>
            </w:r>
            <w:r w:rsidRPr="00A83FDA">
              <w:t xml:space="preserve"> </w:t>
            </w:r>
            <w:r w:rsidR="00B714FB" w:rsidRPr="00A83FDA">
              <w:t xml:space="preserve">wks for safety)  </w:t>
            </w:r>
          </w:p>
        </w:tc>
        <w:tc>
          <w:tcPr>
            <w:tcW w:w="471" w:type="pct"/>
            <w:shd w:val="clear" w:color="auto" w:fill="auto"/>
            <w:vAlign w:val="center"/>
          </w:tcPr>
          <w:p w:rsidR="00201F25" w:rsidRPr="00A83FDA" w:rsidRDefault="00201F25" w:rsidP="008C0930">
            <w:pPr>
              <w:pStyle w:val="TableText0"/>
              <w:jc w:val="center"/>
            </w:pPr>
            <w:r w:rsidRPr="00A83FDA">
              <w:t>L</w:t>
            </w:r>
            <w:r w:rsidR="00F33B50" w:rsidRPr="00A83FDA">
              <w:t>ow-m</w:t>
            </w:r>
            <w:r w:rsidRPr="00A83FDA">
              <w:t>oderate</w:t>
            </w:r>
          </w:p>
        </w:tc>
        <w:tc>
          <w:tcPr>
            <w:tcW w:w="1225" w:type="pct"/>
            <w:vAlign w:val="center"/>
          </w:tcPr>
          <w:p w:rsidR="00201F25" w:rsidRPr="00A83FDA" w:rsidRDefault="00F33B50" w:rsidP="008C0930">
            <w:pPr>
              <w:pStyle w:val="TableText0"/>
            </w:pPr>
            <w:r w:rsidRPr="00A83FDA">
              <w:t>B</w:t>
            </w:r>
            <w:r w:rsidR="00DD01CF" w:rsidRPr="00A83FDA">
              <w:t>urosumab</w:t>
            </w:r>
            <w:r w:rsidR="00201F25" w:rsidRPr="00A83FDA">
              <w:t xml:space="preserve"> 0.1/0.2/0.3 mg/kg Q2W</w:t>
            </w:r>
            <w:r w:rsidR="00201F25" w:rsidRPr="00A83FDA">
              <w:rPr>
                <w:vertAlign w:val="superscript"/>
              </w:rPr>
              <w:t>c</w:t>
            </w:r>
          </w:p>
          <w:p w:rsidR="00201F25" w:rsidRPr="00A83FDA" w:rsidRDefault="00F33B50" w:rsidP="008C0930">
            <w:pPr>
              <w:pStyle w:val="TableText0"/>
            </w:pPr>
            <w:r w:rsidRPr="00A83FDA">
              <w:t>B</w:t>
            </w:r>
            <w:r w:rsidR="00DD01CF" w:rsidRPr="00A83FDA">
              <w:t>urosumab</w:t>
            </w:r>
            <w:r w:rsidR="00201F25" w:rsidRPr="00A83FDA">
              <w:t xml:space="preserve"> 0.2/0.4/0.6 mg/kg Q4W</w:t>
            </w:r>
            <w:r w:rsidR="00201F25" w:rsidRPr="00A83FDA">
              <w:rPr>
                <w:vertAlign w:val="superscript"/>
              </w:rPr>
              <w:t>c</w:t>
            </w:r>
          </w:p>
        </w:tc>
        <w:tc>
          <w:tcPr>
            <w:tcW w:w="505" w:type="pct"/>
            <w:shd w:val="clear" w:color="auto" w:fill="auto"/>
            <w:vAlign w:val="center"/>
          </w:tcPr>
          <w:p w:rsidR="00201F25" w:rsidRPr="00A83FDA" w:rsidRDefault="00F33B50" w:rsidP="008C0930">
            <w:pPr>
              <w:pStyle w:val="TableText0"/>
              <w:jc w:val="center"/>
            </w:pPr>
            <w:r w:rsidRPr="00A83FDA">
              <w:t>A</w:t>
            </w:r>
            <w:r w:rsidR="00201F25" w:rsidRPr="00A83FDA">
              <w:t>ge 5-12; XLH</w:t>
            </w:r>
          </w:p>
        </w:tc>
        <w:tc>
          <w:tcPr>
            <w:tcW w:w="905" w:type="pct"/>
            <w:shd w:val="clear" w:color="auto" w:fill="auto"/>
            <w:vAlign w:val="center"/>
          </w:tcPr>
          <w:p w:rsidR="00201F25" w:rsidRPr="00A83FDA" w:rsidRDefault="00201F25" w:rsidP="008C0930">
            <w:pPr>
              <w:pStyle w:val="TableText0"/>
            </w:pPr>
            <w:r w:rsidRPr="00A83FDA">
              <w:t>1°: RSS (Wk 40)</w:t>
            </w:r>
          </w:p>
          <w:p w:rsidR="00F207E7" w:rsidRPr="00A83FDA" w:rsidRDefault="00201F25" w:rsidP="008C0930">
            <w:pPr>
              <w:pStyle w:val="TableText0"/>
            </w:pPr>
            <w:r w:rsidRPr="00A83FDA">
              <w:t>2°: RGI-C, growth, 6MWT</w:t>
            </w:r>
          </w:p>
          <w:p w:rsidR="00201F25" w:rsidRPr="00A83FDA" w:rsidRDefault="00F207E7" w:rsidP="008C0930">
            <w:pPr>
              <w:pStyle w:val="TableText0"/>
            </w:pPr>
            <w:r w:rsidRPr="00A83FDA">
              <w:t xml:space="preserve">Other: </w:t>
            </w:r>
            <w:r w:rsidR="00B714FB" w:rsidRPr="00A83FDA">
              <w:t>PD, QoL</w:t>
            </w:r>
            <w:r w:rsidRPr="00A83FDA">
              <w:t>, AEs</w:t>
            </w:r>
          </w:p>
        </w:tc>
        <w:tc>
          <w:tcPr>
            <w:tcW w:w="481" w:type="pct"/>
            <w:vAlign w:val="center"/>
          </w:tcPr>
          <w:p w:rsidR="00201F25" w:rsidRPr="00A83FDA" w:rsidRDefault="00201F25" w:rsidP="008C0930">
            <w:pPr>
              <w:pStyle w:val="TableText0"/>
              <w:jc w:val="center"/>
            </w:pPr>
            <w:r w:rsidRPr="00A83FDA">
              <w:t>RSS</w:t>
            </w:r>
          </w:p>
        </w:tc>
      </w:tr>
      <w:tr w:rsidR="00201F25" w:rsidRPr="00A83FDA" w:rsidTr="00F33B50">
        <w:trPr>
          <w:cantSplit/>
        </w:trPr>
        <w:tc>
          <w:tcPr>
            <w:tcW w:w="299" w:type="pct"/>
            <w:shd w:val="clear" w:color="auto" w:fill="auto"/>
            <w:vAlign w:val="center"/>
          </w:tcPr>
          <w:p w:rsidR="00201F25" w:rsidRPr="00A83FDA" w:rsidRDefault="00201F25" w:rsidP="008C0930">
            <w:pPr>
              <w:pStyle w:val="TableText0"/>
            </w:pPr>
            <w:r w:rsidRPr="00A83FDA">
              <w:t>CL205</w:t>
            </w:r>
          </w:p>
        </w:tc>
        <w:tc>
          <w:tcPr>
            <w:tcW w:w="170" w:type="pct"/>
            <w:shd w:val="clear" w:color="auto" w:fill="auto"/>
            <w:vAlign w:val="center"/>
          </w:tcPr>
          <w:p w:rsidR="00201F25" w:rsidRPr="00A83FDA" w:rsidRDefault="00201F25" w:rsidP="008C0930">
            <w:pPr>
              <w:pStyle w:val="TableText0"/>
              <w:jc w:val="center"/>
            </w:pPr>
            <w:r w:rsidRPr="00A83FDA">
              <w:t>13</w:t>
            </w:r>
          </w:p>
        </w:tc>
        <w:tc>
          <w:tcPr>
            <w:tcW w:w="943" w:type="pct"/>
            <w:shd w:val="clear" w:color="auto" w:fill="auto"/>
            <w:vAlign w:val="center"/>
          </w:tcPr>
          <w:p w:rsidR="00F33B50" w:rsidRPr="00A83FDA" w:rsidRDefault="00201F25" w:rsidP="008C0930">
            <w:pPr>
              <w:pStyle w:val="TableText0"/>
              <w:jc w:val="center"/>
            </w:pPr>
            <w:r w:rsidRPr="00A83FDA">
              <w:t xml:space="preserve">MC, OL </w:t>
            </w:r>
          </w:p>
          <w:p w:rsidR="00F33B50" w:rsidRPr="00A83FDA" w:rsidRDefault="00201F25" w:rsidP="008C0930">
            <w:pPr>
              <w:pStyle w:val="TableText0"/>
              <w:jc w:val="center"/>
            </w:pPr>
            <w:r w:rsidRPr="00A83FDA">
              <w:t>64</w:t>
            </w:r>
            <w:r w:rsidR="00F33B50" w:rsidRPr="00A83FDA">
              <w:t xml:space="preserve"> </w:t>
            </w:r>
            <w:r w:rsidRPr="00A83FDA">
              <w:t>wk</w:t>
            </w:r>
            <w:r w:rsidR="00F33B50" w:rsidRPr="00A83FDA">
              <w:t>s</w:t>
            </w:r>
            <w:r w:rsidRPr="00A83FDA">
              <w:t xml:space="preserve"> </w:t>
            </w:r>
          </w:p>
          <w:p w:rsidR="00201F25" w:rsidRPr="00A83FDA" w:rsidRDefault="00F33B50" w:rsidP="00F33B50">
            <w:pPr>
              <w:pStyle w:val="TableText0"/>
              <w:jc w:val="center"/>
            </w:pPr>
            <w:r w:rsidRPr="00A83FDA">
              <w:t>(</w:t>
            </w:r>
            <w:r w:rsidR="00201F25" w:rsidRPr="00A83FDA">
              <w:t>OL extension</w:t>
            </w:r>
            <w:r w:rsidRPr="00A83FDA">
              <w:t>, results u</w:t>
            </w:r>
            <w:r w:rsidR="00B714FB" w:rsidRPr="00A83FDA">
              <w:t>p to 160 wks)</w:t>
            </w:r>
          </w:p>
        </w:tc>
        <w:tc>
          <w:tcPr>
            <w:tcW w:w="471" w:type="pct"/>
            <w:shd w:val="clear" w:color="auto" w:fill="auto"/>
            <w:vAlign w:val="center"/>
          </w:tcPr>
          <w:p w:rsidR="00201F25" w:rsidRPr="00A83FDA" w:rsidRDefault="00F33B50" w:rsidP="00F33B50">
            <w:pPr>
              <w:pStyle w:val="TableText0"/>
              <w:jc w:val="center"/>
            </w:pPr>
            <w:r w:rsidRPr="00A83FDA">
              <w:t>Low-mo</w:t>
            </w:r>
            <w:r w:rsidR="00201F25" w:rsidRPr="00A83FDA">
              <w:t>derate</w:t>
            </w:r>
          </w:p>
        </w:tc>
        <w:tc>
          <w:tcPr>
            <w:tcW w:w="1225" w:type="pct"/>
            <w:vAlign w:val="center"/>
          </w:tcPr>
          <w:p w:rsidR="00201F25" w:rsidRPr="00A83FDA" w:rsidRDefault="00F33B50" w:rsidP="008C0930">
            <w:pPr>
              <w:pStyle w:val="TableText0"/>
            </w:pPr>
            <w:r w:rsidRPr="00A83FDA">
              <w:t>B</w:t>
            </w:r>
            <w:r w:rsidR="00DD01CF" w:rsidRPr="00A83FDA">
              <w:t>urosumab</w:t>
            </w:r>
            <w:r w:rsidR="00201F25" w:rsidRPr="00A83FDA">
              <w:t xml:space="preserve"> 0.8 mg/kg Q2W</w:t>
            </w:r>
            <w:r w:rsidR="00201F25" w:rsidRPr="00A83FDA">
              <w:rPr>
                <w:vertAlign w:val="superscript"/>
              </w:rPr>
              <w:t>d</w:t>
            </w:r>
          </w:p>
        </w:tc>
        <w:tc>
          <w:tcPr>
            <w:tcW w:w="505" w:type="pct"/>
            <w:shd w:val="clear" w:color="auto" w:fill="auto"/>
            <w:vAlign w:val="center"/>
          </w:tcPr>
          <w:p w:rsidR="00201F25" w:rsidRPr="00A83FDA" w:rsidRDefault="00F33B50" w:rsidP="008C0930">
            <w:pPr>
              <w:pStyle w:val="TableText0"/>
              <w:jc w:val="center"/>
            </w:pPr>
            <w:r w:rsidRPr="00A83FDA">
              <w:t>A</w:t>
            </w:r>
            <w:r w:rsidR="00201F25" w:rsidRPr="00A83FDA">
              <w:t>ge 1-4; XLH</w:t>
            </w:r>
          </w:p>
        </w:tc>
        <w:tc>
          <w:tcPr>
            <w:tcW w:w="905" w:type="pct"/>
            <w:shd w:val="clear" w:color="auto" w:fill="auto"/>
            <w:vAlign w:val="center"/>
          </w:tcPr>
          <w:p w:rsidR="00201F25" w:rsidRPr="00A83FDA" w:rsidRDefault="00201F25" w:rsidP="008C0930">
            <w:pPr>
              <w:pStyle w:val="TableText0"/>
            </w:pPr>
            <w:r w:rsidRPr="00A83FDA">
              <w:t>1°: serum phosphorus (Wk 40)</w:t>
            </w:r>
          </w:p>
          <w:p w:rsidR="00201F25" w:rsidRPr="00A83FDA" w:rsidRDefault="00201F25" w:rsidP="008C0930">
            <w:pPr>
              <w:pStyle w:val="TableText0"/>
            </w:pPr>
            <w:r w:rsidRPr="00A83FDA">
              <w:t>2°: RGI-C, RSS</w:t>
            </w:r>
          </w:p>
          <w:p w:rsidR="00F207E7" w:rsidRPr="00A83FDA" w:rsidRDefault="00F207E7" w:rsidP="008C0930">
            <w:pPr>
              <w:pStyle w:val="TableText0"/>
            </w:pPr>
            <w:r w:rsidRPr="00A83FDA">
              <w:t>Other: PD, AEs</w:t>
            </w:r>
          </w:p>
        </w:tc>
        <w:tc>
          <w:tcPr>
            <w:tcW w:w="481" w:type="pct"/>
            <w:vAlign w:val="center"/>
          </w:tcPr>
          <w:p w:rsidR="00201F25" w:rsidRPr="00A83FDA" w:rsidRDefault="00201F25" w:rsidP="008C0930">
            <w:pPr>
              <w:pStyle w:val="TableText0"/>
              <w:jc w:val="center"/>
            </w:pPr>
            <w:r w:rsidRPr="00A83FDA">
              <w:t>RSS</w:t>
            </w:r>
          </w:p>
        </w:tc>
      </w:tr>
    </w:tbl>
    <w:p w:rsidR="00201F25" w:rsidRPr="00A83FDA" w:rsidRDefault="00201F25" w:rsidP="00201F25">
      <w:pPr>
        <w:pStyle w:val="TableFigureFooter"/>
      </w:pPr>
      <w:r w:rsidRPr="00A83FDA">
        <w:t>Source: Sections 2.3.1.1 to 2.3.1.3, pp34-36 of the submission.</w:t>
      </w:r>
    </w:p>
    <w:p w:rsidR="00201F25" w:rsidRPr="00A83FDA" w:rsidRDefault="00F33B50" w:rsidP="00201F25">
      <w:pPr>
        <w:pStyle w:val="TableFigureFooter"/>
      </w:pPr>
      <w:r w:rsidRPr="00A83FDA">
        <w:t>Abbreviations: DB</w:t>
      </w:r>
      <w:r w:rsidR="00201F25" w:rsidRPr="00A83FDA">
        <w:t>=double blind; MC=multi-centre; OL=open label; R=randomised; RGI-C=Radiographic Global Impression of Change; RSS=Rickets Severity Score; XLH=X-linked hypophosphataemia; 6MWT=Six-minute Walk Test; Q2W=every 2 weeks; Q4W=every 4 weeks; wk</w:t>
      </w:r>
      <w:r w:rsidR="00B714FB" w:rsidRPr="00A83FDA">
        <w:t>(s)</w:t>
      </w:r>
      <w:r w:rsidR="00201F25" w:rsidRPr="00A83FDA">
        <w:t>=week</w:t>
      </w:r>
      <w:r w:rsidR="00B714FB" w:rsidRPr="00A83FDA">
        <w:t>(s)</w:t>
      </w:r>
      <w:r w:rsidR="005D47FC" w:rsidRPr="00A83FDA">
        <w:t>;</w:t>
      </w:r>
    </w:p>
    <w:p w:rsidR="00201F25" w:rsidRPr="00A83FDA" w:rsidRDefault="00201F25" w:rsidP="00201F25">
      <w:pPr>
        <w:pStyle w:val="TableFigureFooter"/>
        <w:tabs>
          <w:tab w:val="left" w:pos="142"/>
        </w:tabs>
        <w:ind w:left="140" w:hanging="140"/>
      </w:pPr>
      <w:r w:rsidRPr="00A83FDA">
        <w:t>a</w:t>
      </w:r>
      <w:r w:rsidRPr="00A83FDA">
        <w:tab/>
        <w:t>B</w:t>
      </w:r>
      <w:r w:rsidR="003631B0" w:rsidRPr="00A83FDA">
        <w:t>urosumab</w:t>
      </w:r>
      <w:r w:rsidRPr="00A83FDA">
        <w:t xml:space="preserve"> initiated at 0·8 mg/kg Q2W injected subcutaneously by a health-care professional at the study site or during a home health visit, and increased to 1·2 mg/kg Q2W if two consecutive pre-dose fasting serum phosphorus concentrations were &lt;1.03 mmol/L (3.2 mg/dL) and serum phosphorus increased by &lt;0.16 mmol/L (0·5 mg/dL) from baseline on a single measurement.</w:t>
      </w:r>
    </w:p>
    <w:p w:rsidR="00201F25" w:rsidRPr="00A83FDA" w:rsidRDefault="00201F25" w:rsidP="00201F25">
      <w:pPr>
        <w:pStyle w:val="TableFigureFooter"/>
        <w:tabs>
          <w:tab w:val="left" w:pos="142"/>
        </w:tabs>
        <w:ind w:left="140" w:hanging="140"/>
      </w:pPr>
      <w:r w:rsidRPr="00A83FDA">
        <w:t>b</w:t>
      </w:r>
      <w:r w:rsidRPr="00A83FDA">
        <w:tab/>
        <w:t>Oral phosphate dose is 20-60 mg/kg per day divided into three to five doses per day, and alfacalcidol 40-60 ng/kg per day or calcitriol 20-30 ng/kg per day.  Depending on the formulation, the active vitamin D could be given one to three times a day.</w:t>
      </w:r>
    </w:p>
    <w:p w:rsidR="00201F25" w:rsidRPr="00A83FDA" w:rsidRDefault="00201F25" w:rsidP="00201F25">
      <w:pPr>
        <w:pStyle w:val="TableFigureFooter"/>
        <w:tabs>
          <w:tab w:val="left" w:pos="142"/>
        </w:tabs>
        <w:ind w:left="140" w:hanging="140"/>
      </w:pPr>
      <w:r w:rsidRPr="00A83FDA">
        <w:t>c</w:t>
      </w:r>
      <w:r w:rsidRPr="00A83FDA">
        <w:tab/>
        <w:t xml:space="preserve">Patients were enrolled sequentially into cohorts defined by the initial dose of </w:t>
      </w:r>
      <w:r w:rsidR="003631B0" w:rsidRPr="00A83FDA">
        <w:t>burosumab</w:t>
      </w:r>
      <w:r w:rsidRPr="00A83FDA">
        <w:t>.  Within each cohort, patients were randomized to Q2W or Q4W regimen i.e. Dose Cohort 1 received initial doses of 0.1 mg/kg Q2W or 0.2 mg/kg Q4W, Dose Cohort 2 received initial doses of 0.2 mg/kg Q2W or 0.4 mg/kg Q4W; Dose Cohort 3 received initial doses of 0.3 mg/kg Q2W or 0.6 mg/kg Q4W. During the titration period (16 week), dose was adjusted every 4 weeks in 0.3mg/kg increments to meet serum phosphorus targets.</w:t>
      </w:r>
    </w:p>
    <w:p w:rsidR="00201F25" w:rsidRPr="00A83FDA" w:rsidRDefault="00201F25" w:rsidP="00201F25">
      <w:pPr>
        <w:pStyle w:val="TableFigureFooter"/>
        <w:tabs>
          <w:tab w:val="left" w:pos="142"/>
        </w:tabs>
        <w:ind w:left="140" w:hanging="140"/>
      </w:pPr>
      <w:r w:rsidRPr="00A83FDA">
        <w:t>d</w:t>
      </w:r>
      <w:r w:rsidRPr="00A83FDA">
        <w:tab/>
      </w:r>
      <w:r w:rsidR="003631B0" w:rsidRPr="00A83FDA">
        <w:t>Burosumab</w:t>
      </w:r>
      <w:r w:rsidRPr="00A83FDA">
        <w:t xml:space="preserve"> initiated at 0·8 mg/kg Q2W and dose was increased to 1.2 mg/kg at any time during the study when a patient met all the dose-adjustment criteria: 2 consecutive serum phosphorus measurements below the normal range; serum phosphorus increased by &lt;0.5 mg/dL from Baseline; and the patient had not missed a dose of study drug that would have accounted for the decrease in serum phosphorus.</w:t>
      </w:r>
    </w:p>
    <w:p w:rsidR="003606FF" w:rsidRPr="00A83FDA" w:rsidRDefault="003606FF" w:rsidP="003606FF">
      <w:pPr>
        <w:pStyle w:val="TableFigureFooter"/>
        <w:tabs>
          <w:tab w:val="left" w:pos="142"/>
        </w:tabs>
        <w:ind w:left="140" w:hanging="140"/>
      </w:pPr>
      <w:r w:rsidRPr="00A83FDA">
        <w:t>e</w:t>
      </w:r>
      <w:r w:rsidRPr="00A83FDA">
        <w:tab/>
        <w:t>the submission reported (p34) that data are now available to a maximum of 124 weeks of treatment and follow up, however results up to only 88 weeks are presented in the submission.</w:t>
      </w:r>
    </w:p>
    <w:p w:rsidR="003606FF" w:rsidRPr="00D4558F" w:rsidRDefault="003606FF" w:rsidP="00201F25">
      <w:pPr>
        <w:pStyle w:val="TableFigureFooter"/>
        <w:tabs>
          <w:tab w:val="left" w:pos="142"/>
        </w:tabs>
        <w:ind w:left="140" w:hanging="140"/>
        <w:rPr>
          <w:i/>
        </w:rPr>
      </w:pPr>
    </w:p>
    <w:p w:rsidR="00201F25" w:rsidRPr="00C51D79" w:rsidRDefault="00860947" w:rsidP="00463978">
      <w:pPr>
        <w:pStyle w:val="3-BodyText"/>
      </w:pPr>
      <w:r w:rsidRPr="002A0BF0">
        <w:t>All studies were multicentre (CL301 included one study site in Australia)</w:t>
      </w:r>
      <w:r w:rsidR="005C0813" w:rsidRPr="002A0BF0">
        <w:t xml:space="preserve"> and had an</w:t>
      </w:r>
      <w:r w:rsidR="00DF22B8" w:rsidRPr="002A0BF0">
        <w:t xml:space="preserve"> </w:t>
      </w:r>
      <w:r w:rsidRPr="002A0BF0">
        <w:t xml:space="preserve">open-label </w:t>
      </w:r>
      <w:r w:rsidR="00DF22B8" w:rsidRPr="002A0BF0">
        <w:t>design</w:t>
      </w:r>
      <w:r w:rsidR="00CB3492" w:rsidRPr="002A0BF0">
        <w:t xml:space="preserve">. </w:t>
      </w:r>
      <w:r w:rsidR="00DF22B8" w:rsidRPr="002A0BF0">
        <w:t xml:space="preserve">The duration of </w:t>
      </w:r>
      <w:r w:rsidR="00422771" w:rsidRPr="002A0BF0">
        <w:t xml:space="preserve">formal </w:t>
      </w:r>
      <w:r w:rsidR="00DF22B8" w:rsidRPr="002A0BF0">
        <w:t>treatment in all studies w</w:t>
      </w:r>
      <w:r w:rsidR="00A25DCC" w:rsidRPr="002A0BF0">
        <w:t>as</w:t>
      </w:r>
      <w:r w:rsidR="00DF22B8" w:rsidRPr="002A0BF0">
        <w:t xml:space="preserve"> 64 weeks</w:t>
      </w:r>
      <w:r w:rsidR="003C295C" w:rsidRPr="002A0BF0">
        <w:t>, followed by open label</w:t>
      </w:r>
      <w:r w:rsidR="00B67D82" w:rsidRPr="002A0BF0">
        <w:t xml:space="preserve"> </w:t>
      </w:r>
      <w:r w:rsidRPr="002A0BF0">
        <w:t>extension</w:t>
      </w:r>
      <w:r w:rsidR="00CF7D0B" w:rsidRPr="002A0BF0">
        <w:t xml:space="preserve"> </w:t>
      </w:r>
      <w:r w:rsidR="003606FF" w:rsidRPr="002A0BF0">
        <w:t xml:space="preserve">where all patients received </w:t>
      </w:r>
      <w:r w:rsidR="003631B0" w:rsidRPr="002A0BF0">
        <w:t>burosumab</w:t>
      </w:r>
      <w:r w:rsidR="003606FF" w:rsidRPr="002A0BF0">
        <w:t>. T</w:t>
      </w:r>
      <w:r w:rsidR="00B714FB" w:rsidRPr="002A0BF0">
        <w:t xml:space="preserve">he primary </w:t>
      </w:r>
      <w:r w:rsidR="003606FF" w:rsidRPr="002A0BF0">
        <w:t xml:space="preserve">assessment of outcomes was at </w:t>
      </w:r>
      <w:r w:rsidR="00B714FB" w:rsidRPr="002A0BF0">
        <w:t xml:space="preserve">40 </w:t>
      </w:r>
      <w:r w:rsidR="00CF7D0B" w:rsidRPr="002A0BF0">
        <w:t xml:space="preserve">weeks </w:t>
      </w:r>
      <w:r w:rsidR="003C295C" w:rsidRPr="002A0BF0">
        <w:t>with an additional assessment at</w:t>
      </w:r>
      <w:r w:rsidR="00CF7D0B" w:rsidRPr="002A0BF0">
        <w:t xml:space="preserve"> </w:t>
      </w:r>
      <w:r w:rsidR="00B714FB" w:rsidRPr="002A0BF0">
        <w:t>64 weeks</w:t>
      </w:r>
      <w:r w:rsidR="003C295C" w:rsidRPr="002A0BF0">
        <w:t>.</w:t>
      </w:r>
      <w:r w:rsidR="00B714FB" w:rsidRPr="002A0BF0">
        <w:t xml:space="preserve"> </w:t>
      </w:r>
      <w:r w:rsidR="003C295C" w:rsidRPr="002A0BF0">
        <w:t xml:space="preserve">While extended follow up </w:t>
      </w:r>
      <w:r w:rsidR="00CB3492" w:rsidRPr="002A0BF0">
        <w:t xml:space="preserve">data to 88 weeks </w:t>
      </w:r>
      <w:r w:rsidR="003C295C" w:rsidRPr="002A0BF0">
        <w:t xml:space="preserve">is available </w:t>
      </w:r>
      <w:r w:rsidR="00CB3492" w:rsidRPr="002A0BF0">
        <w:t>from CL301</w:t>
      </w:r>
      <w:r w:rsidR="003C295C" w:rsidRPr="002A0BF0">
        <w:t xml:space="preserve">, </w:t>
      </w:r>
      <w:r w:rsidR="00CB3492" w:rsidRPr="002A0BF0">
        <w:t xml:space="preserve">the </w:t>
      </w:r>
      <w:r w:rsidR="003C295C" w:rsidRPr="002A0BF0">
        <w:t>d</w:t>
      </w:r>
      <w:r w:rsidR="00DF22B8" w:rsidRPr="002A0BF0">
        <w:t xml:space="preserve">ata beyond </w:t>
      </w:r>
      <w:r w:rsidR="00CB3492" w:rsidRPr="002A0BF0">
        <w:t xml:space="preserve">the </w:t>
      </w:r>
      <w:r w:rsidR="00DF22B8" w:rsidRPr="002A0BF0">
        <w:t>64 week</w:t>
      </w:r>
      <w:r w:rsidR="00CB3492" w:rsidRPr="002A0BF0">
        <w:t xml:space="preserve"> randomised period</w:t>
      </w:r>
      <w:r w:rsidR="003C295C" w:rsidRPr="002A0BF0">
        <w:t xml:space="preserve"> is contaminated by cross over and included only 6</w:t>
      </w:r>
      <w:r w:rsidR="007275F1" w:rsidRPr="002A0BF0">
        <w:t xml:space="preserve"> patients originally randomised to </w:t>
      </w:r>
      <w:r w:rsidR="003631B0" w:rsidRPr="002A0BF0">
        <w:t>burosumab</w:t>
      </w:r>
      <w:r w:rsidRPr="002A0BF0">
        <w:t xml:space="preserve">. </w:t>
      </w:r>
      <w:r w:rsidR="00257915" w:rsidRPr="002A0BF0">
        <w:t>CL201 included two treatment extension periods</w:t>
      </w:r>
      <w:r w:rsidR="00414DC6" w:rsidRPr="002A0BF0">
        <w:t>:</w:t>
      </w:r>
      <w:r w:rsidR="00744799" w:rsidRPr="002A0BF0">
        <w:t xml:space="preserve"> </w:t>
      </w:r>
      <w:r w:rsidR="00257915" w:rsidRPr="002A0BF0">
        <w:t>(</w:t>
      </w:r>
      <w:r w:rsidR="007275F1" w:rsidRPr="002A0BF0">
        <w:t>i</w:t>
      </w:r>
      <w:r w:rsidR="00414DC6" w:rsidRPr="002A0BF0">
        <w:t>)</w:t>
      </w:r>
      <w:r w:rsidR="00257915" w:rsidRPr="002A0BF0">
        <w:t xml:space="preserve"> all patients receive </w:t>
      </w:r>
      <w:r w:rsidR="003631B0" w:rsidRPr="002A0BF0">
        <w:t>burosumab</w:t>
      </w:r>
      <w:r w:rsidR="00257915" w:rsidRPr="002A0BF0">
        <w:t xml:space="preserve"> </w:t>
      </w:r>
      <w:r w:rsidR="002F00C4" w:rsidRPr="002A0BF0">
        <w:t>every 2 weeks (</w:t>
      </w:r>
      <w:r w:rsidR="00257915" w:rsidRPr="002A0BF0">
        <w:t>Q2W</w:t>
      </w:r>
      <w:r w:rsidR="002F00C4" w:rsidRPr="002A0BF0">
        <w:t>)</w:t>
      </w:r>
      <w:r w:rsidR="00257915" w:rsidRPr="002A0BF0">
        <w:t xml:space="preserve"> </w:t>
      </w:r>
      <w:r w:rsidR="00BF5526" w:rsidRPr="002A0BF0">
        <w:t>from Week 64</w:t>
      </w:r>
      <w:r w:rsidR="00463978" w:rsidRPr="002A0BF0">
        <w:t xml:space="preserve"> to Week 160 for efficacy</w:t>
      </w:r>
      <w:r w:rsidR="00744799" w:rsidRPr="002A0BF0">
        <w:t xml:space="preserve">, and </w:t>
      </w:r>
      <w:r w:rsidR="00414DC6" w:rsidRPr="002A0BF0">
        <w:t>(</w:t>
      </w:r>
      <w:r w:rsidR="007275F1" w:rsidRPr="002A0BF0">
        <w:t>ii</w:t>
      </w:r>
      <w:r w:rsidR="00414DC6" w:rsidRPr="002A0BF0">
        <w:t>)</w:t>
      </w:r>
      <w:r w:rsidR="00257915" w:rsidRPr="002A0BF0">
        <w:t xml:space="preserve"> patients continue </w:t>
      </w:r>
      <w:r w:rsidR="003631B0" w:rsidRPr="002A0BF0">
        <w:t>burosumab</w:t>
      </w:r>
      <w:r w:rsidR="00257915" w:rsidRPr="002A0BF0">
        <w:t xml:space="preserve"> up to Week 214</w:t>
      </w:r>
      <w:r w:rsidR="00BF5526" w:rsidRPr="002A0BF0">
        <w:t xml:space="preserve"> for safety</w:t>
      </w:r>
      <w:r w:rsidR="00257915" w:rsidRPr="002A0BF0">
        <w:t xml:space="preserve">. </w:t>
      </w:r>
      <w:r w:rsidRPr="002A0BF0">
        <w:t>Patients in the included studies were between 1 and 12 years</w:t>
      </w:r>
      <w:r w:rsidR="00CB3492" w:rsidRPr="002A0BF0">
        <w:t>. T</w:t>
      </w:r>
      <w:r w:rsidRPr="002A0BF0">
        <w:t xml:space="preserve">here was no </w:t>
      </w:r>
      <w:r w:rsidR="00B714FB" w:rsidRPr="002A0BF0">
        <w:t xml:space="preserve">clinical </w:t>
      </w:r>
      <w:r w:rsidR="006E4428" w:rsidRPr="002A0BF0">
        <w:t xml:space="preserve">trial </w:t>
      </w:r>
      <w:r w:rsidRPr="002A0BF0">
        <w:t xml:space="preserve">evidence presented for patients younger than 1 </w:t>
      </w:r>
      <w:r w:rsidR="00414DC6" w:rsidRPr="002A0BF0">
        <w:t>y</w:t>
      </w:r>
      <w:r w:rsidRPr="002A0BF0">
        <w:t xml:space="preserve">ear of age or </w:t>
      </w:r>
      <w:r w:rsidR="00CB3492" w:rsidRPr="002A0BF0">
        <w:t xml:space="preserve">for </w:t>
      </w:r>
      <w:r w:rsidRPr="002A0BF0">
        <w:t>those between the ages of 13 and 17 years</w:t>
      </w:r>
      <w:r w:rsidR="00047F4F" w:rsidRPr="002A0BF0">
        <w:t xml:space="preserve"> (inclusive)</w:t>
      </w:r>
      <w:r w:rsidRPr="002A0BF0">
        <w:t>.</w:t>
      </w:r>
      <w:r w:rsidR="005E1641" w:rsidRPr="002A0BF0">
        <w:t xml:space="preserve"> </w:t>
      </w:r>
      <w:r w:rsidR="005E1641" w:rsidRPr="00B53825">
        <w:t>The PSCR noted that several real world studies</w:t>
      </w:r>
      <w:r w:rsidR="00562837" w:rsidRPr="00B53825">
        <w:t xml:space="preserve">, which were not of the same quality as the evidence pertaining to patients aged 1 to 12, </w:t>
      </w:r>
      <w:r w:rsidR="005E1641" w:rsidRPr="00B53825">
        <w:t xml:space="preserve">were available for patients aged between 13 and 17 which provided reassurance that an improvement in key biochemical parameters </w:t>
      </w:r>
      <w:r w:rsidR="004371AE" w:rsidRPr="00B53825">
        <w:t>wa</w:t>
      </w:r>
      <w:r w:rsidR="00562837" w:rsidRPr="00B53825">
        <w:t>s observed across childhood and adolescence</w:t>
      </w:r>
      <w:r w:rsidR="004371AE" w:rsidRPr="00B53825">
        <w:t xml:space="preserve"> (see </w:t>
      </w:r>
      <w:r w:rsidR="004371AE" w:rsidRPr="00C51D79">
        <w:t>paragraph 6.</w:t>
      </w:r>
      <w:r w:rsidR="00805FAA" w:rsidRPr="00C51D79">
        <w:t>27</w:t>
      </w:r>
      <w:r w:rsidR="004371AE" w:rsidRPr="00C51D79">
        <w:t>)</w:t>
      </w:r>
      <w:r w:rsidR="00562837" w:rsidRPr="00C51D79">
        <w:t>.</w:t>
      </w:r>
    </w:p>
    <w:p w:rsidR="00201F25" w:rsidRPr="002A0BF0" w:rsidRDefault="00CE41CD" w:rsidP="002E4F02">
      <w:pPr>
        <w:pStyle w:val="3-BodyText"/>
      </w:pPr>
      <w:r w:rsidRPr="002A0BF0">
        <w:t xml:space="preserve">The dose regimen for CL301 and CL205 was based on data from CL201, which established that </w:t>
      </w:r>
      <w:r w:rsidR="003631B0" w:rsidRPr="002A0BF0">
        <w:t>burosumab</w:t>
      </w:r>
      <w:r w:rsidRPr="002A0BF0">
        <w:t xml:space="preserve"> 0.8 mg/kg </w:t>
      </w:r>
      <w:r w:rsidR="002F00C4" w:rsidRPr="002A0BF0">
        <w:t xml:space="preserve">every 2 weeks (Q2W) </w:t>
      </w:r>
      <w:r w:rsidRPr="002A0BF0">
        <w:t>administered for 40 weeks increased biochemical parameters associated with XLH</w:t>
      </w:r>
      <w:r w:rsidR="00FD1D77" w:rsidRPr="002A0BF0">
        <w:t>.</w:t>
      </w:r>
    </w:p>
    <w:p w:rsidR="00734C23" w:rsidRPr="00A83FDA" w:rsidRDefault="00DF22B8" w:rsidP="002E4F02">
      <w:pPr>
        <w:pStyle w:val="3-BodyText"/>
      </w:pPr>
      <w:r w:rsidRPr="002A0BF0">
        <w:t>There were differences in the baseline characteristics of patients across the studies (given differences in</w:t>
      </w:r>
      <w:r w:rsidR="00734C23" w:rsidRPr="002A0BF0">
        <w:t xml:space="preserve"> eligibility criteria</w:t>
      </w:r>
      <w:r w:rsidRPr="002A0BF0">
        <w:t>)</w:t>
      </w:r>
      <w:r w:rsidR="00734C23" w:rsidRPr="002A0BF0">
        <w:t xml:space="preserve"> in terms of patients’ age (younger in CL205), physical characteristics (smaller in CL205), duration of prior conventional therapy (longer in CL201) and RSS total score</w:t>
      </w:r>
      <w:r w:rsidRPr="002A0BF0">
        <w:t xml:space="preserve"> </w:t>
      </w:r>
      <w:r w:rsidR="00734C23" w:rsidRPr="002A0BF0">
        <w:t>(higher mean score in CL30</w:t>
      </w:r>
      <w:r w:rsidR="00833A4C" w:rsidRPr="002A0BF0">
        <w:t>1</w:t>
      </w:r>
      <w:r w:rsidRPr="002A0BF0">
        <w:t xml:space="preserve"> indicating more severe rickets</w:t>
      </w:r>
      <w:r w:rsidR="00734C23" w:rsidRPr="002A0BF0">
        <w:t>). In CL201, 3 (6%) patients were enrolled without radiographic rickets (RSS=0). The proportion of patients with RSS ≥</w:t>
      </w:r>
      <w:r w:rsidR="00414DC6" w:rsidRPr="002A0BF0">
        <w:t xml:space="preserve"> </w:t>
      </w:r>
      <w:r w:rsidR="00734C23" w:rsidRPr="002A0BF0">
        <w:t xml:space="preserve">1.5 in the </w:t>
      </w:r>
      <w:r w:rsidR="003631B0" w:rsidRPr="002A0BF0">
        <w:t>burosumab</w:t>
      </w:r>
      <w:r w:rsidR="00734C23" w:rsidRPr="002A0BF0">
        <w:t xml:space="preserve"> Q2W arm w</w:t>
      </w:r>
      <w:r w:rsidR="00CB3492" w:rsidRPr="002A0BF0">
        <w:t>as</w:t>
      </w:r>
      <w:r w:rsidR="00734C23" w:rsidRPr="002A0BF0">
        <w:t xml:space="preserve"> </w:t>
      </w:r>
      <w:r w:rsidR="003631B0" w:rsidRPr="002A0BF0">
        <w:t>65.4% (17/26)</w:t>
      </w:r>
      <w:r w:rsidR="00734C23" w:rsidRPr="002A0BF0">
        <w:t xml:space="preserve"> </w:t>
      </w:r>
      <w:r w:rsidR="00CB3492" w:rsidRPr="002A0BF0">
        <w:t>in</w:t>
      </w:r>
      <w:r w:rsidR="00734C23" w:rsidRPr="002A0BF0">
        <w:t xml:space="preserve"> CL205 and </w:t>
      </w:r>
      <w:r w:rsidR="003631B0" w:rsidRPr="002A0BF0">
        <w:t>92% (12/13)</w:t>
      </w:r>
      <w:r w:rsidR="00734C23" w:rsidRPr="002A0BF0">
        <w:t xml:space="preserve"> </w:t>
      </w:r>
      <w:r w:rsidR="00CB3492" w:rsidRPr="002A0BF0">
        <w:t>in</w:t>
      </w:r>
      <w:r w:rsidR="00734C23" w:rsidRPr="002A0BF0">
        <w:t xml:space="preserve"> CL201, </w:t>
      </w:r>
      <w:r w:rsidR="00CB3492" w:rsidRPr="002A0BF0">
        <w:t xml:space="preserve">with </w:t>
      </w:r>
      <w:r w:rsidR="00734C23" w:rsidRPr="002A0BF0">
        <w:t>the proportion of patients with RSS ≥</w:t>
      </w:r>
      <w:r w:rsidR="00CB3492" w:rsidRPr="002A0BF0">
        <w:t xml:space="preserve"> </w:t>
      </w:r>
      <w:r w:rsidR="00734C23" w:rsidRPr="002A0BF0">
        <w:t>2 w</w:t>
      </w:r>
      <w:r w:rsidR="00CB3492" w:rsidRPr="002A0BF0">
        <w:t>as</w:t>
      </w:r>
      <w:r w:rsidR="00734C23" w:rsidRPr="002A0BF0">
        <w:t xml:space="preserve"> not reported </w:t>
      </w:r>
      <w:r w:rsidR="00CB3492" w:rsidRPr="002A0BF0">
        <w:t>in</w:t>
      </w:r>
      <w:r w:rsidR="00734C23" w:rsidRPr="002A0BF0">
        <w:t xml:space="preserve"> CL201 and </w:t>
      </w:r>
      <w:r w:rsidR="003631B0" w:rsidRPr="002A0BF0">
        <w:t>76.9% (10/13)</w:t>
      </w:r>
      <w:r w:rsidR="00734C23" w:rsidRPr="002A0BF0">
        <w:t xml:space="preserve"> in CL205. In CL301, all patients </w:t>
      </w:r>
      <w:r w:rsidR="00CB3492" w:rsidRPr="002A0BF0">
        <w:t xml:space="preserve">had an </w:t>
      </w:r>
      <w:r w:rsidR="00734C23" w:rsidRPr="002A0BF0">
        <w:t>RSS ≥</w:t>
      </w:r>
      <w:r w:rsidR="00414DC6" w:rsidRPr="002A0BF0">
        <w:t xml:space="preserve"> </w:t>
      </w:r>
      <w:r w:rsidR="00734C23" w:rsidRPr="002A0BF0">
        <w:t>2</w:t>
      </w:r>
      <w:r w:rsidR="00CB3492" w:rsidRPr="002A0BF0">
        <w:t xml:space="preserve"> at study enrolment</w:t>
      </w:r>
      <w:r w:rsidR="00734C23" w:rsidRPr="00A83FDA">
        <w:t>.</w:t>
      </w:r>
    </w:p>
    <w:p w:rsidR="00FD1D77" w:rsidRPr="00A83FDA" w:rsidRDefault="00FD1D77" w:rsidP="002E4F02">
      <w:pPr>
        <w:pStyle w:val="3-BodyText"/>
      </w:pPr>
      <w:r w:rsidRPr="00A83FDA">
        <w:t xml:space="preserve">The overall risk of bias </w:t>
      </w:r>
      <w:r w:rsidR="00CB3492" w:rsidRPr="00A83FDA">
        <w:t>in</w:t>
      </w:r>
      <w:r w:rsidRPr="00A83FDA">
        <w:t xml:space="preserve"> the </w:t>
      </w:r>
      <w:r w:rsidR="00CB3492" w:rsidRPr="00A83FDA">
        <w:t xml:space="preserve">three </w:t>
      </w:r>
      <w:r w:rsidRPr="00A83FDA">
        <w:t>included studies was low to moderate due to the open-label design. The evaluation of subjective outcomes such as patient reported outcomes (pain, fatigue or physical function) or adverse events (AEs) may be affected by reporting bias, particularly for within-group comparisons to baseline. The assessment of the RSS and RGI-C outcomes were conducted by independent radiologist</w:t>
      </w:r>
      <w:r w:rsidR="0013700C" w:rsidRPr="00A83FDA">
        <w:t>s</w:t>
      </w:r>
      <w:r w:rsidRPr="00A83FDA">
        <w:t xml:space="preserve"> blinded to patient identity, treatment assignment and timing of radiographs, which </w:t>
      </w:r>
      <w:r w:rsidR="00204B70" w:rsidRPr="00A83FDA">
        <w:t xml:space="preserve">would </w:t>
      </w:r>
      <w:r w:rsidRPr="00A83FDA">
        <w:t xml:space="preserve">limit bias to these outcomes. Other efficacy outcomes such as biochemical PD parameters and growth </w:t>
      </w:r>
      <w:r w:rsidR="00204B70" w:rsidRPr="00A83FDA">
        <w:t xml:space="preserve">(in height or recumbent length) </w:t>
      </w:r>
      <w:r w:rsidRPr="00A83FDA">
        <w:t>were objective assessments.</w:t>
      </w:r>
    </w:p>
    <w:p w:rsidR="00B60939" w:rsidRPr="00D4558F" w:rsidRDefault="00B60939" w:rsidP="00EC5836">
      <w:pPr>
        <w:pStyle w:val="4-SubsectionHeading"/>
      </w:pPr>
      <w:bookmarkStart w:id="11" w:name="_Toc22897641"/>
      <w:bookmarkStart w:id="12" w:name="_Toc61864192"/>
      <w:r w:rsidRPr="00D4558F">
        <w:t>Comparative effectiveness</w:t>
      </w:r>
      <w:bookmarkEnd w:id="11"/>
      <w:bookmarkEnd w:id="12"/>
    </w:p>
    <w:p w:rsidR="003E536A" w:rsidRPr="00A83FDA" w:rsidRDefault="00FB06E9" w:rsidP="00EC5836">
      <w:pPr>
        <w:pStyle w:val="3-BodyText"/>
      </w:pPr>
      <w:r w:rsidRPr="00A83FDA">
        <w:t xml:space="preserve">The submission stated the main goal of treatment in XLH with </w:t>
      </w:r>
      <w:r w:rsidR="003631B0" w:rsidRPr="00A83FDA">
        <w:t>burosumab</w:t>
      </w:r>
      <w:r w:rsidRPr="00A83FDA">
        <w:t xml:space="preserve"> was to address the pathophysiology of excess FGF23 and improve phosphate homeostasis, consequently improv</w:t>
      </w:r>
      <w:r w:rsidR="00D32DBC" w:rsidRPr="00A83FDA">
        <w:t>ing</w:t>
      </w:r>
      <w:r w:rsidRPr="00A83FDA">
        <w:t xml:space="preserve"> bone health, physical function, mobility and pain and reduc</w:t>
      </w:r>
      <w:r w:rsidR="00D32DBC" w:rsidRPr="00A83FDA">
        <w:t>ing</w:t>
      </w:r>
      <w:r w:rsidRPr="00A83FDA">
        <w:t xml:space="preserve"> complications. Therefore, the submission nominated the relevant outcomes</w:t>
      </w:r>
      <w:r w:rsidR="0013700C" w:rsidRPr="00A83FDA">
        <w:t xml:space="preserve"> to be</w:t>
      </w:r>
      <w:r w:rsidRPr="00A83FDA">
        <w:t xml:space="preserve">: </w:t>
      </w:r>
      <w:r w:rsidR="00CB3492" w:rsidRPr="00A83FDA">
        <w:t>(</w:t>
      </w:r>
      <w:r w:rsidRPr="00A83FDA">
        <w:t>i) clinical assessment of rickets (RSS and RGI-C) and growth (changes in stand</w:t>
      </w:r>
      <w:r w:rsidR="00CB3492" w:rsidRPr="00A83FDA">
        <w:t>ing height or recumbent length);</w:t>
      </w:r>
      <w:r w:rsidRPr="00A83FDA">
        <w:t xml:space="preserve"> </w:t>
      </w:r>
      <w:r w:rsidR="00CB3492" w:rsidRPr="00A83FDA">
        <w:t>(</w:t>
      </w:r>
      <w:r w:rsidRPr="00A83FDA">
        <w:t>ii) biochemical assessment of phosphate homeostasis and bone mineralisation (serum phosphate, serum 1,25(OH)2D, ALP and renal phosphate reabsorption (TmP/GFR)</w:t>
      </w:r>
      <w:r w:rsidR="00CB3492" w:rsidRPr="00A83FDA">
        <w:t>;</w:t>
      </w:r>
      <w:r w:rsidRPr="00A83FDA">
        <w:t xml:space="preserve"> and </w:t>
      </w:r>
      <w:r w:rsidR="00CB3492" w:rsidRPr="00A83FDA">
        <w:t>(</w:t>
      </w:r>
      <w:r w:rsidRPr="00A83FDA">
        <w:t>iii) mobility and physical function assessment (six-minute walk test, 6MWT).</w:t>
      </w:r>
    </w:p>
    <w:p w:rsidR="00FB06E9" w:rsidRPr="00A83FDA" w:rsidRDefault="003E536A" w:rsidP="00EC5836">
      <w:pPr>
        <w:pStyle w:val="3-BodyText"/>
      </w:pPr>
      <w:r w:rsidRPr="00A83FDA">
        <w:t xml:space="preserve">All </w:t>
      </w:r>
      <w:r w:rsidR="00E90114" w:rsidRPr="00A83FDA">
        <w:t>studies</w:t>
      </w:r>
      <w:r w:rsidRPr="00A83FDA">
        <w:t xml:space="preserve"> presented RSS and RGI-C as </w:t>
      </w:r>
      <w:r w:rsidR="0013700C" w:rsidRPr="00A83FDA">
        <w:t xml:space="preserve">a </w:t>
      </w:r>
      <w:r w:rsidRPr="00A83FDA">
        <w:t>primary or secondary efficacy outcome</w:t>
      </w:r>
      <w:r w:rsidR="00D32DBC" w:rsidRPr="00A83FDA">
        <w:t xml:space="preserve"> and reported results </w:t>
      </w:r>
      <w:r w:rsidRPr="00A83FDA">
        <w:t>at Week 40</w:t>
      </w:r>
      <w:r w:rsidR="00D32DBC" w:rsidRPr="00A83FDA">
        <w:t xml:space="preserve"> and</w:t>
      </w:r>
      <w:r w:rsidRPr="00A83FDA">
        <w:t xml:space="preserve"> Week 64. </w:t>
      </w:r>
      <w:r w:rsidR="00D32DBC" w:rsidRPr="00A83FDA">
        <w:t>R</w:t>
      </w:r>
      <w:r w:rsidR="00FB06E9" w:rsidRPr="00A83FDA">
        <w:t>ickets severity</w:t>
      </w:r>
      <w:r w:rsidR="00D32DBC" w:rsidRPr="00A83FDA">
        <w:t>,</w:t>
      </w:r>
      <w:r w:rsidR="00FB06E9" w:rsidRPr="00A83FDA">
        <w:t xml:space="preserve"> assessed by the RSS</w:t>
      </w:r>
      <w:r w:rsidR="00D32DBC" w:rsidRPr="00A83FDA">
        <w:t>,</w:t>
      </w:r>
      <w:r w:rsidR="00FB06E9" w:rsidRPr="00A83FDA">
        <w:t xml:space="preserve"> </w:t>
      </w:r>
      <w:r w:rsidR="00D32DBC" w:rsidRPr="00A83FDA">
        <w:t>wa</w:t>
      </w:r>
      <w:r w:rsidR="00FB06E9" w:rsidRPr="00A83FDA">
        <w:t xml:space="preserve">s the only trial outcome </w:t>
      </w:r>
      <w:r w:rsidR="00D32DBC" w:rsidRPr="00A83FDA">
        <w:t>included</w:t>
      </w:r>
      <w:r w:rsidR="00FB06E9" w:rsidRPr="00A83FDA">
        <w:t xml:space="preserve"> in the submission</w:t>
      </w:r>
      <w:r w:rsidR="00204B70" w:rsidRPr="00A83FDA">
        <w:t>’s</w:t>
      </w:r>
      <w:r w:rsidR="00FB06E9" w:rsidRPr="00A83FDA">
        <w:t xml:space="preserve"> modelled economic evaluation (see Economic Analysis).</w:t>
      </w:r>
    </w:p>
    <w:p w:rsidR="00734C23" w:rsidRPr="00B53825" w:rsidRDefault="00FB06E9" w:rsidP="008C52B9">
      <w:pPr>
        <w:pStyle w:val="3-BodyText"/>
        <w:rPr>
          <w:iCs/>
        </w:rPr>
      </w:pPr>
      <w:r w:rsidRPr="00A83FDA">
        <w:rPr>
          <w:iCs/>
        </w:rPr>
        <w:t>The NICE UK</w:t>
      </w:r>
      <w:bookmarkStart w:id="13" w:name="_Ref60911601"/>
      <w:r w:rsidR="00AA050A" w:rsidRPr="00A83FDA">
        <w:rPr>
          <w:rStyle w:val="FootnoteReference"/>
          <w:iCs/>
        </w:rPr>
        <w:footnoteReference w:id="3"/>
      </w:r>
      <w:bookmarkEnd w:id="13"/>
      <w:r w:rsidRPr="00A83FDA">
        <w:rPr>
          <w:iCs/>
        </w:rPr>
        <w:t xml:space="preserve"> noted that RSS and RGI-C are measures </w:t>
      </w:r>
      <w:r w:rsidR="00D32DBC" w:rsidRPr="00A83FDA">
        <w:rPr>
          <w:iCs/>
        </w:rPr>
        <w:t xml:space="preserve">which </w:t>
      </w:r>
      <w:r w:rsidRPr="00A83FDA">
        <w:rPr>
          <w:iCs/>
        </w:rPr>
        <w:t xml:space="preserve">quantify the clinical effectiveness of </w:t>
      </w:r>
      <w:r w:rsidR="003631B0" w:rsidRPr="00A83FDA">
        <w:rPr>
          <w:iCs/>
        </w:rPr>
        <w:t>burosumab</w:t>
      </w:r>
      <w:r w:rsidRPr="00A83FDA">
        <w:rPr>
          <w:iCs/>
        </w:rPr>
        <w:t xml:space="preserve"> in children</w:t>
      </w:r>
      <w:r w:rsidR="00D32DBC" w:rsidRPr="00A83FDA">
        <w:rPr>
          <w:iCs/>
        </w:rPr>
        <w:t>,</w:t>
      </w:r>
      <w:r w:rsidRPr="00A83FDA">
        <w:rPr>
          <w:iCs/>
        </w:rPr>
        <w:t xml:space="preserve"> but </w:t>
      </w:r>
      <w:r w:rsidR="00D32DBC" w:rsidRPr="00A83FDA">
        <w:rPr>
          <w:iCs/>
        </w:rPr>
        <w:t xml:space="preserve">that </w:t>
      </w:r>
      <w:r w:rsidRPr="00A83FDA">
        <w:rPr>
          <w:iCs/>
        </w:rPr>
        <w:t>other outcomes are also relevant to capture manifestation of XLH beyond rickets.</w:t>
      </w:r>
      <w:r w:rsidRPr="00A83FDA">
        <w:t xml:space="preserve"> </w:t>
      </w:r>
      <w:r w:rsidRPr="00A83FDA">
        <w:rPr>
          <w:iCs/>
        </w:rPr>
        <w:t>RSS and RGI-C focus</w:t>
      </w:r>
      <w:r w:rsidR="00204B70" w:rsidRPr="00A83FDA">
        <w:rPr>
          <w:iCs/>
        </w:rPr>
        <w:t xml:space="preserve"> on </w:t>
      </w:r>
      <w:r w:rsidRPr="00A83FDA">
        <w:rPr>
          <w:iCs/>
        </w:rPr>
        <w:t xml:space="preserve">bone manifestations of XLH and </w:t>
      </w:r>
      <w:r w:rsidR="00204B70" w:rsidRPr="00A83FDA">
        <w:rPr>
          <w:iCs/>
        </w:rPr>
        <w:t xml:space="preserve">do not </w:t>
      </w:r>
      <w:r w:rsidRPr="00A83FDA">
        <w:rPr>
          <w:iCs/>
        </w:rPr>
        <w:t xml:space="preserve">capture </w:t>
      </w:r>
      <w:r w:rsidR="00204B70" w:rsidRPr="00A83FDA">
        <w:rPr>
          <w:iCs/>
        </w:rPr>
        <w:t xml:space="preserve">other important aspects of XLH such as </w:t>
      </w:r>
      <w:r w:rsidRPr="00A83FDA">
        <w:rPr>
          <w:iCs/>
        </w:rPr>
        <w:t xml:space="preserve">changes in </w:t>
      </w:r>
      <w:r w:rsidR="00204B70" w:rsidRPr="00A83FDA">
        <w:rPr>
          <w:iCs/>
        </w:rPr>
        <w:t xml:space="preserve">the </w:t>
      </w:r>
      <w:r w:rsidRPr="00A83FDA">
        <w:rPr>
          <w:iCs/>
        </w:rPr>
        <w:t>metabolic manifestations of XLH</w:t>
      </w:r>
      <w:r w:rsidR="00204B70" w:rsidRPr="00A83FDA">
        <w:rPr>
          <w:iCs/>
        </w:rPr>
        <w:t xml:space="preserve">, </w:t>
      </w:r>
      <w:r w:rsidRPr="00A83FDA">
        <w:rPr>
          <w:iCs/>
        </w:rPr>
        <w:t xml:space="preserve">XLH symptoms </w:t>
      </w:r>
      <w:r w:rsidR="00204B70" w:rsidRPr="00A83FDA">
        <w:rPr>
          <w:iCs/>
        </w:rPr>
        <w:t>or</w:t>
      </w:r>
      <w:r w:rsidRPr="00A83FDA">
        <w:rPr>
          <w:iCs/>
        </w:rPr>
        <w:t xml:space="preserve"> progression</w:t>
      </w:r>
      <w:r w:rsidR="008C52B9" w:rsidRPr="00A83FDA">
        <w:rPr>
          <w:iCs/>
        </w:rPr>
        <w:t xml:space="preserve"> such as pain, fatigue and dental problems</w:t>
      </w:r>
      <w:r w:rsidRPr="00A83FDA">
        <w:rPr>
          <w:iCs/>
        </w:rPr>
        <w:t xml:space="preserve">. In addition, </w:t>
      </w:r>
      <w:r w:rsidR="00204B70" w:rsidRPr="00A83FDA">
        <w:rPr>
          <w:iCs/>
        </w:rPr>
        <w:t>while RSS capture</w:t>
      </w:r>
      <w:r w:rsidR="00D32DBC" w:rsidRPr="00A83FDA">
        <w:rPr>
          <w:iCs/>
        </w:rPr>
        <w:t>s</w:t>
      </w:r>
      <w:r w:rsidR="00204B70" w:rsidRPr="00A83FDA">
        <w:rPr>
          <w:iCs/>
        </w:rPr>
        <w:t xml:space="preserve"> changes in rickets it does not capture changes in </w:t>
      </w:r>
      <w:r w:rsidRPr="00A83FDA">
        <w:rPr>
          <w:iCs/>
        </w:rPr>
        <w:t>bone defects (</w:t>
      </w:r>
      <w:r w:rsidR="00204B70" w:rsidRPr="00A83FDA">
        <w:rPr>
          <w:iCs/>
        </w:rPr>
        <w:t xml:space="preserve">such as </w:t>
      </w:r>
      <w:r w:rsidRPr="00A83FDA">
        <w:rPr>
          <w:iCs/>
        </w:rPr>
        <w:t xml:space="preserve">bowing of arms and legs) </w:t>
      </w:r>
      <w:r w:rsidR="008C52B9" w:rsidRPr="00A83FDA">
        <w:rPr>
          <w:iCs/>
        </w:rPr>
        <w:t>which is an important XLH symptomology, and can affect a patient’s ability to walk, pain level, growth, fatigue, dental problems and quality of life.</w:t>
      </w:r>
      <w:r w:rsidR="00C82470">
        <w:rPr>
          <w:iCs/>
        </w:rPr>
        <w:t xml:space="preserve"> </w:t>
      </w:r>
      <w:r w:rsidR="00C82470" w:rsidRPr="00B53825">
        <w:rPr>
          <w:iCs/>
        </w:rPr>
        <w:t>The PSCR</w:t>
      </w:r>
      <w:r w:rsidR="007B6E67" w:rsidRPr="00B53825">
        <w:rPr>
          <w:iCs/>
        </w:rPr>
        <w:t xml:space="preserve"> </w:t>
      </w:r>
      <w:r w:rsidR="00C82470" w:rsidRPr="00B53825">
        <w:rPr>
          <w:iCs/>
        </w:rPr>
        <w:t xml:space="preserve"> noted that NICE also considered that “in the absence of an alternative measure….RSS was an acceptable and measurable proxy for disease severity and progression in people with XLH”.</w:t>
      </w:r>
    </w:p>
    <w:p w:rsidR="00FB06E9" w:rsidRPr="00A83FDA" w:rsidRDefault="00FB06E9" w:rsidP="00EC5836">
      <w:pPr>
        <w:pStyle w:val="3-BodyText"/>
      </w:pPr>
      <w:r w:rsidRPr="00A83FDA">
        <w:t>RSS assessment is performed at isolated time points</w:t>
      </w:r>
      <w:r w:rsidR="00D32DBC" w:rsidRPr="00A83FDA">
        <w:t>,</w:t>
      </w:r>
      <w:r w:rsidRPr="00A83FDA">
        <w:t xml:space="preserve"> thus is limited by comparison with </w:t>
      </w:r>
      <w:r w:rsidR="008C52B9" w:rsidRPr="00A83FDA">
        <w:t xml:space="preserve">available </w:t>
      </w:r>
      <w:r w:rsidRPr="00A83FDA">
        <w:t>prior radiographs, which may prevent detecti</w:t>
      </w:r>
      <w:r w:rsidR="00D32DBC" w:rsidRPr="00A83FDA">
        <w:t>on of</w:t>
      </w:r>
      <w:r w:rsidRPr="00A83FDA">
        <w:t xml:space="preserve"> small changes. </w:t>
      </w:r>
      <w:r w:rsidR="00D32DBC" w:rsidRPr="00A83FDA">
        <w:t>T</w:t>
      </w:r>
      <w:r w:rsidRPr="00A83FDA">
        <w:t>he RGI-C assess</w:t>
      </w:r>
      <w:r w:rsidR="00D32DBC" w:rsidRPr="00A83FDA">
        <w:t>es</w:t>
      </w:r>
      <w:r w:rsidRPr="00A83FDA">
        <w:t xml:space="preserve"> change</w:t>
      </w:r>
      <w:r w:rsidR="008C52B9" w:rsidRPr="00A83FDA">
        <w:t>s</w:t>
      </w:r>
      <w:r w:rsidRPr="00A83FDA">
        <w:t xml:space="preserve"> in a side-by-side comparison of radiographs. While the RSS is a quantitative measure, the RGI-C provides a complementary qualitative evaluation of radiographic changes, with significant correlations between the two scales (Whyte et al 2018).</w:t>
      </w:r>
      <w:bookmarkStart w:id="14" w:name="_Ref60911630"/>
      <w:r w:rsidR="00AA050A" w:rsidRPr="00A83FDA">
        <w:rPr>
          <w:rStyle w:val="FootnoteReference"/>
        </w:rPr>
        <w:footnoteReference w:id="4"/>
      </w:r>
      <w:bookmarkEnd w:id="14"/>
      <w:r w:rsidRPr="00A83FDA">
        <w:t xml:space="preserve"> </w:t>
      </w:r>
    </w:p>
    <w:p w:rsidR="00734C23" w:rsidRPr="001C5CE3" w:rsidRDefault="00A37A58" w:rsidP="00516124">
      <w:pPr>
        <w:pStyle w:val="3-BodyText"/>
      </w:pPr>
      <w:r w:rsidRPr="00A83FDA">
        <w:t xml:space="preserve">The RSS was constructed to measure rickets severity in the wrists and knees based on the degree of metaphyseal fraying and cupping and the proportion of growth plate affected. It is a 10-point scale (four points for the wrists and six points for the knees), in which higher scores indicate more severe rickets. </w:t>
      </w:r>
      <w:r w:rsidR="00FB06E9" w:rsidRPr="00A83FDA">
        <w:t>A study investigating the relationship between the RSS and the severity of clinical and biochemical abnormalities in XLH (Thatcher et al 2019) found that higher RSS is associated with greater biochemical, clinical, and functional impairments in children with XLH</w:t>
      </w:r>
      <w:r w:rsidR="00D32DBC" w:rsidRPr="00A83FDA">
        <w:t xml:space="preserve">. </w:t>
      </w:r>
      <w:r w:rsidR="00DD01CF" w:rsidRPr="00A83FDA">
        <w:t>However,</w:t>
      </w:r>
      <w:r w:rsidR="00FB06E9" w:rsidRPr="00A83FDA">
        <w:t xml:space="preserve"> at the lower end of the scale (e.g. RSS</w:t>
      </w:r>
      <w:r w:rsidR="005C31CE" w:rsidRPr="00A83FDA">
        <w:t xml:space="preserve"> </w:t>
      </w:r>
      <w:r w:rsidRPr="00A83FDA">
        <w:t>=</w:t>
      </w:r>
      <w:r w:rsidR="005C31CE" w:rsidRPr="00A83FDA">
        <w:t xml:space="preserve"> </w:t>
      </w:r>
      <w:r w:rsidR="00FB06E9" w:rsidRPr="00A83FDA">
        <w:t xml:space="preserve">0.5), the RSS may not have adequate sensitivity to detect small changes in XLH due to the 0.5-point increments in the scoring method. Variable thickness of lucency and the proportion of growth plate involvement are given the same score with the RSS, and the assessment software may not </w:t>
      </w:r>
      <w:r w:rsidR="00FB06E9" w:rsidRPr="001C5CE3">
        <w:t>allow for &lt;</w:t>
      </w:r>
      <w:r w:rsidR="00D32DBC" w:rsidRPr="001C5CE3">
        <w:t xml:space="preserve"> </w:t>
      </w:r>
      <w:r w:rsidR="00FB06E9" w:rsidRPr="001C5CE3">
        <w:t xml:space="preserve">0.5 increments in the RSS. </w:t>
      </w:r>
    </w:p>
    <w:p w:rsidR="00734C23" w:rsidRPr="00A83FDA" w:rsidRDefault="00FB06E9" w:rsidP="00DF2286">
      <w:pPr>
        <w:pStyle w:val="3-BodyText"/>
      </w:pPr>
      <w:r w:rsidRPr="001C5CE3">
        <w:t>The submission noted that in CL201, RSS response was defined as change from baseline in RSS ≥</w:t>
      </w:r>
      <w:r w:rsidR="00D32DBC" w:rsidRPr="001C5CE3">
        <w:t xml:space="preserve"> </w:t>
      </w:r>
      <w:r w:rsidRPr="001C5CE3">
        <w:t>-1.0</w:t>
      </w:r>
      <w:r w:rsidR="00D32DBC" w:rsidRPr="001C5CE3">
        <w:t>. T</w:t>
      </w:r>
      <w:r w:rsidRPr="001C5CE3">
        <w:t xml:space="preserve">he clinical importance of this change was unclear given RSS was validated for nutritional rickets and there remain uncertainties around the applicability of RSS in XLH. </w:t>
      </w:r>
      <w:r w:rsidR="003E536A" w:rsidRPr="001C5CE3">
        <w:t>Across the</w:t>
      </w:r>
      <w:r w:rsidR="003E536A" w:rsidRPr="00A83FDA">
        <w:t xml:space="preserve"> </w:t>
      </w:r>
      <w:r w:rsidR="002F00C4" w:rsidRPr="00A83FDA">
        <w:t>studies</w:t>
      </w:r>
      <w:r w:rsidR="003E536A" w:rsidRPr="00A83FDA">
        <w:t xml:space="preserve"> RGI-C response was defined as change in RGI-C global scores ≥</w:t>
      </w:r>
      <w:r w:rsidR="00D32DBC" w:rsidRPr="00A83FDA">
        <w:t xml:space="preserve"> </w:t>
      </w:r>
      <w:r w:rsidR="003E536A" w:rsidRPr="00A83FDA">
        <w:t xml:space="preserve">+2.0, which is described as substantial healing of rickets (Thatcher et al 2019) to indicate improvement of radiographic abnormalities. </w:t>
      </w:r>
      <w:r w:rsidRPr="00A83FDA">
        <w:t xml:space="preserve">There is no evidence of </w:t>
      </w:r>
      <w:r w:rsidR="00C533BA" w:rsidRPr="00A83FDA">
        <w:t>established</w:t>
      </w:r>
      <w:r w:rsidR="00D66553" w:rsidRPr="00A83FDA">
        <w:t xml:space="preserve"> minimally clinically important differences</w:t>
      </w:r>
      <w:r w:rsidR="00482FDC" w:rsidRPr="00A83FDA">
        <w:t xml:space="preserve"> </w:t>
      </w:r>
      <w:r w:rsidR="00D66553" w:rsidRPr="00A83FDA">
        <w:t>(</w:t>
      </w:r>
      <w:r w:rsidRPr="00A83FDA">
        <w:t>MCID</w:t>
      </w:r>
      <w:r w:rsidR="00C533BA" w:rsidRPr="00A83FDA">
        <w:t>s</w:t>
      </w:r>
      <w:r w:rsidR="00D66553" w:rsidRPr="00A83FDA">
        <w:t>)</w:t>
      </w:r>
      <w:r w:rsidRPr="00A83FDA">
        <w:t xml:space="preserve"> for RSS</w:t>
      </w:r>
      <w:r w:rsidR="003E536A" w:rsidRPr="00A83FDA">
        <w:t xml:space="preserve"> and RGI-C</w:t>
      </w:r>
      <w:r w:rsidRPr="00A83FDA">
        <w:t>.</w:t>
      </w:r>
      <w:r w:rsidR="00C04ED3">
        <w:t xml:space="preserve"> The pre-PBAC response stated that validation studies suggested that a change of -1.0 in the RSS and a score of +2.0 in the RGI-C would be considered clinically important.</w:t>
      </w:r>
    </w:p>
    <w:p w:rsidR="003E536A" w:rsidRPr="00A83FDA" w:rsidRDefault="003E536A" w:rsidP="00DF2286">
      <w:pPr>
        <w:pStyle w:val="3-BodyText"/>
      </w:pPr>
      <w:r w:rsidRPr="00A83FDA">
        <w:t xml:space="preserve">Table </w:t>
      </w:r>
      <w:r w:rsidR="00465CFA" w:rsidRPr="00A83FDA">
        <w:t>5</w:t>
      </w:r>
      <w:r w:rsidRPr="00A83FDA">
        <w:t xml:space="preserve"> presents the key efficacy outcomes reported in CL301, CL201 and CL205.</w:t>
      </w:r>
    </w:p>
    <w:p w:rsidR="003E536A" w:rsidRPr="00D4558F" w:rsidRDefault="003E536A" w:rsidP="003E536A">
      <w:pPr>
        <w:rPr>
          <w:rFonts w:ascii="Arial Narrow" w:hAnsi="Arial Narrow"/>
          <w:b/>
          <w:sz w:val="20"/>
          <w:szCs w:val="20"/>
        </w:rPr>
      </w:pPr>
      <w:r w:rsidRPr="00D4558F">
        <w:rPr>
          <w:rFonts w:ascii="Arial Narrow" w:hAnsi="Arial Narrow"/>
          <w:b/>
          <w:sz w:val="20"/>
          <w:szCs w:val="20"/>
        </w:rPr>
        <w:t xml:space="preserve">Table </w:t>
      </w:r>
      <w:r w:rsidR="00465CFA" w:rsidRPr="00D4558F">
        <w:rPr>
          <w:rFonts w:ascii="Arial Narrow" w:hAnsi="Arial Narrow"/>
          <w:b/>
          <w:sz w:val="20"/>
          <w:szCs w:val="20"/>
        </w:rPr>
        <w:t>5</w:t>
      </w:r>
      <w:r w:rsidRPr="00D4558F">
        <w:rPr>
          <w:rFonts w:ascii="Arial Narrow" w:hAnsi="Arial Narrow"/>
          <w:b/>
          <w:sz w:val="20"/>
          <w:szCs w:val="20"/>
        </w:rPr>
        <w:t>: Change from baseline in RGI-C global score and RSS total score and RGI-C and RSS responder at Week 40 and Week 64 in CL301, CL201 and CL205 (ITT)</w:t>
      </w:r>
    </w:p>
    <w:tbl>
      <w:tblPr>
        <w:tblStyle w:val="TableGrid"/>
        <w:tblW w:w="0" w:type="auto"/>
        <w:tblCellMar>
          <w:left w:w="28" w:type="dxa"/>
          <w:right w:w="28" w:type="dxa"/>
        </w:tblCellMar>
        <w:tblLook w:val="04A0" w:firstRow="1" w:lastRow="0" w:firstColumn="1" w:lastColumn="0" w:noHBand="0" w:noVBand="1"/>
        <w:tblCaption w:val="Table 5: Change from baseline in RGI-C global score and RSS total score and RGI-C and RSS responder at Week 40 and Week 64 in CL301, CL201 and CL205 (ITT)"/>
      </w:tblPr>
      <w:tblGrid>
        <w:gridCol w:w="2972"/>
        <w:gridCol w:w="1559"/>
        <w:gridCol w:w="1418"/>
        <w:gridCol w:w="1559"/>
        <w:gridCol w:w="1509"/>
      </w:tblGrid>
      <w:tr w:rsidR="003E536A" w:rsidRPr="00D4558F" w:rsidTr="00E21643">
        <w:trPr>
          <w:tblHeader/>
        </w:trPr>
        <w:tc>
          <w:tcPr>
            <w:tcW w:w="2972" w:type="dxa"/>
            <w:vMerge w:val="restart"/>
            <w:vAlign w:val="center"/>
          </w:tcPr>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Outcome</w:t>
            </w:r>
          </w:p>
        </w:tc>
        <w:tc>
          <w:tcPr>
            <w:tcW w:w="2977" w:type="dxa"/>
            <w:gridSpan w:val="2"/>
            <w:vAlign w:val="center"/>
          </w:tcPr>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CL301</w:t>
            </w:r>
          </w:p>
        </w:tc>
        <w:tc>
          <w:tcPr>
            <w:tcW w:w="1559" w:type="dxa"/>
            <w:vAlign w:val="center"/>
          </w:tcPr>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CL201</w:t>
            </w:r>
          </w:p>
        </w:tc>
        <w:tc>
          <w:tcPr>
            <w:tcW w:w="1509" w:type="dxa"/>
            <w:vAlign w:val="center"/>
          </w:tcPr>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CL205</w:t>
            </w:r>
          </w:p>
        </w:tc>
      </w:tr>
      <w:tr w:rsidR="003E536A" w:rsidRPr="00D4558F" w:rsidTr="00E21643">
        <w:trPr>
          <w:tblHeader/>
        </w:trPr>
        <w:tc>
          <w:tcPr>
            <w:tcW w:w="2972" w:type="dxa"/>
            <w:vMerge/>
            <w:vAlign w:val="center"/>
          </w:tcPr>
          <w:p w:rsidR="003E536A" w:rsidRPr="00D4558F" w:rsidRDefault="003E536A" w:rsidP="00DF2286">
            <w:pPr>
              <w:jc w:val="center"/>
              <w:rPr>
                <w:rFonts w:ascii="Arial Narrow" w:hAnsi="Arial Narrow"/>
                <w:b/>
                <w:sz w:val="20"/>
                <w:szCs w:val="20"/>
              </w:rPr>
            </w:pPr>
          </w:p>
        </w:tc>
        <w:tc>
          <w:tcPr>
            <w:tcW w:w="1559" w:type="dxa"/>
            <w:vAlign w:val="center"/>
          </w:tcPr>
          <w:p w:rsidR="003E536A" w:rsidRPr="00D4558F" w:rsidRDefault="00DD01CF" w:rsidP="00DF2286">
            <w:pPr>
              <w:jc w:val="center"/>
              <w:rPr>
                <w:rFonts w:ascii="Arial Narrow" w:hAnsi="Arial Narrow"/>
                <w:b/>
                <w:sz w:val="20"/>
                <w:szCs w:val="20"/>
              </w:rPr>
            </w:pPr>
            <w:r>
              <w:rPr>
                <w:rFonts w:ascii="Arial Narrow" w:hAnsi="Arial Narrow"/>
                <w:b/>
                <w:sz w:val="20"/>
                <w:szCs w:val="20"/>
              </w:rPr>
              <w:t>burosumab</w:t>
            </w:r>
            <w:r w:rsidR="003E536A" w:rsidRPr="00D4558F">
              <w:rPr>
                <w:rFonts w:ascii="Arial Narrow" w:hAnsi="Arial Narrow"/>
                <w:b/>
                <w:sz w:val="20"/>
                <w:szCs w:val="20"/>
              </w:rPr>
              <w:t xml:space="preserve"> Q2W</w:t>
            </w:r>
          </w:p>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N=29</w:t>
            </w:r>
          </w:p>
        </w:tc>
        <w:tc>
          <w:tcPr>
            <w:tcW w:w="1418" w:type="dxa"/>
            <w:vAlign w:val="center"/>
          </w:tcPr>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Conventional</w:t>
            </w:r>
          </w:p>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N=32</w:t>
            </w:r>
          </w:p>
        </w:tc>
        <w:tc>
          <w:tcPr>
            <w:tcW w:w="1559" w:type="dxa"/>
            <w:vAlign w:val="center"/>
          </w:tcPr>
          <w:p w:rsidR="003E536A" w:rsidRPr="00D4558F" w:rsidRDefault="00DD01CF" w:rsidP="00DF2286">
            <w:pPr>
              <w:jc w:val="center"/>
              <w:rPr>
                <w:rFonts w:ascii="Arial Narrow" w:hAnsi="Arial Narrow"/>
                <w:b/>
                <w:sz w:val="20"/>
                <w:szCs w:val="20"/>
              </w:rPr>
            </w:pPr>
            <w:r>
              <w:rPr>
                <w:rFonts w:ascii="Arial Narrow" w:hAnsi="Arial Narrow"/>
                <w:b/>
                <w:sz w:val="20"/>
                <w:szCs w:val="20"/>
              </w:rPr>
              <w:t>burosumab</w:t>
            </w:r>
            <w:r w:rsidR="003E536A" w:rsidRPr="00D4558F">
              <w:rPr>
                <w:rFonts w:ascii="Arial Narrow" w:hAnsi="Arial Narrow"/>
                <w:b/>
                <w:sz w:val="20"/>
                <w:szCs w:val="20"/>
              </w:rPr>
              <w:t xml:space="preserve"> Q2W</w:t>
            </w:r>
          </w:p>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N=26</w:t>
            </w:r>
          </w:p>
        </w:tc>
        <w:tc>
          <w:tcPr>
            <w:tcW w:w="1509" w:type="dxa"/>
            <w:vAlign w:val="center"/>
          </w:tcPr>
          <w:p w:rsidR="003E536A" w:rsidRPr="00D4558F" w:rsidRDefault="00DD01CF" w:rsidP="00DF2286">
            <w:pPr>
              <w:jc w:val="center"/>
              <w:rPr>
                <w:rFonts w:ascii="Arial Narrow" w:hAnsi="Arial Narrow"/>
                <w:b/>
                <w:sz w:val="20"/>
                <w:szCs w:val="20"/>
              </w:rPr>
            </w:pPr>
            <w:r>
              <w:rPr>
                <w:rFonts w:ascii="Arial Narrow" w:hAnsi="Arial Narrow"/>
                <w:b/>
                <w:sz w:val="20"/>
                <w:szCs w:val="20"/>
              </w:rPr>
              <w:t>burosumab</w:t>
            </w:r>
            <w:r w:rsidR="003E536A" w:rsidRPr="00D4558F">
              <w:rPr>
                <w:rFonts w:ascii="Arial Narrow" w:hAnsi="Arial Narrow"/>
                <w:b/>
                <w:sz w:val="20"/>
                <w:szCs w:val="20"/>
              </w:rPr>
              <w:t xml:space="preserve"> Q2W</w:t>
            </w:r>
          </w:p>
          <w:p w:rsidR="003E536A" w:rsidRPr="00D4558F" w:rsidRDefault="003E536A" w:rsidP="00DF2286">
            <w:pPr>
              <w:jc w:val="center"/>
              <w:rPr>
                <w:rFonts w:ascii="Arial Narrow" w:hAnsi="Arial Narrow"/>
                <w:b/>
                <w:sz w:val="20"/>
                <w:szCs w:val="20"/>
              </w:rPr>
            </w:pPr>
            <w:r w:rsidRPr="00D4558F">
              <w:rPr>
                <w:rFonts w:ascii="Arial Narrow" w:hAnsi="Arial Narrow"/>
                <w:b/>
                <w:sz w:val="20"/>
                <w:szCs w:val="20"/>
              </w:rPr>
              <w:t>N=13</w:t>
            </w:r>
          </w:p>
        </w:tc>
      </w:tr>
      <w:tr w:rsidR="003E536A" w:rsidRPr="00D4558F" w:rsidTr="00DF2286">
        <w:tc>
          <w:tcPr>
            <w:tcW w:w="9017" w:type="dxa"/>
            <w:gridSpan w:val="5"/>
            <w:shd w:val="clear" w:color="auto" w:fill="D9D9D9" w:themeFill="background1" w:themeFillShade="D9"/>
          </w:tcPr>
          <w:p w:rsidR="003E536A" w:rsidRPr="00D4558F" w:rsidRDefault="003E536A" w:rsidP="00DF2286">
            <w:pPr>
              <w:rPr>
                <w:rFonts w:ascii="Arial Narrow" w:hAnsi="Arial Narrow"/>
                <w:b/>
                <w:sz w:val="20"/>
                <w:szCs w:val="20"/>
              </w:rPr>
            </w:pPr>
            <w:r w:rsidRPr="00D4558F">
              <w:rPr>
                <w:rFonts w:ascii="Arial Narrow" w:hAnsi="Arial Narrow"/>
                <w:b/>
                <w:sz w:val="20"/>
                <w:szCs w:val="20"/>
              </w:rPr>
              <w:t>RGI-C global score</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40, LS mean (SE)</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+1.92 (0.11)</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+0.77 (0.11)</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+1.67 (0.12)</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+2.21 (0.071)</w:t>
            </w:r>
          </w:p>
        </w:tc>
      </w:tr>
      <w:tr w:rsidR="00BA0DE2" w:rsidRPr="00D4558F" w:rsidTr="002149B4">
        <w:tc>
          <w:tcPr>
            <w:tcW w:w="2972" w:type="dxa"/>
            <w:vAlign w:val="center"/>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Difference (95%</w:t>
            </w:r>
            <w:r>
              <w:rPr>
                <w:rFonts w:ascii="Arial Narrow" w:hAnsi="Arial Narrow"/>
                <w:sz w:val="20"/>
                <w:szCs w:val="20"/>
              </w:rPr>
              <w:t xml:space="preserve"> </w:t>
            </w:r>
            <w:r w:rsidRPr="00D4558F">
              <w:rPr>
                <w:rFonts w:ascii="Arial Narrow" w:hAnsi="Arial Narrow"/>
                <w:sz w:val="20"/>
                <w:szCs w:val="20"/>
              </w:rPr>
              <w:t>CI)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1.14 (0.83, 1.45)</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64, LS mean (SE)</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+2.06 (0.072)</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+1.03 (0.14)</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+1.56 (0.11)</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+2.23 (0.11)</w:t>
            </w:r>
          </w:p>
        </w:tc>
      </w:tr>
      <w:tr w:rsidR="00BA0DE2" w:rsidRPr="00D4558F" w:rsidTr="002149B4">
        <w:tc>
          <w:tcPr>
            <w:tcW w:w="2972" w:type="dxa"/>
            <w:vAlign w:val="center"/>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Difference (95%</w:t>
            </w:r>
            <w:r>
              <w:rPr>
                <w:rFonts w:ascii="Arial Narrow" w:hAnsi="Arial Narrow"/>
                <w:sz w:val="20"/>
                <w:szCs w:val="20"/>
              </w:rPr>
              <w:t xml:space="preserve"> </w:t>
            </w:r>
            <w:r w:rsidRPr="00D4558F">
              <w:rPr>
                <w:rFonts w:ascii="Arial Narrow" w:hAnsi="Arial Narrow"/>
                <w:sz w:val="20"/>
                <w:szCs w:val="20"/>
              </w:rPr>
              <w:t>CI)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1.02 (0.72, 1.33)</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3E536A" w:rsidRPr="00D4558F" w:rsidTr="00DF2286">
        <w:tc>
          <w:tcPr>
            <w:tcW w:w="9017" w:type="dxa"/>
            <w:gridSpan w:val="5"/>
            <w:shd w:val="clear" w:color="auto" w:fill="D9D9D9" w:themeFill="background1" w:themeFillShade="D9"/>
            <w:vAlign w:val="center"/>
          </w:tcPr>
          <w:p w:rsidR="003E536A" w:rsidRPr="00D4558F" w:rsidRDefault="003E536A" w:rsidP="00DF2286">
            <w:pPr>
              <w:jc w:val="left"/>
              <w:rPr>
                <w:rFonts w:ascii="Arial Narrow" w:hAnsi="Arial Narrow"/>
                <w:b/>
                <w:sz w:val="20"/>
                <w:szCs w:val="20"/>
              </w:rPr>
            </w:pPr>
            <w:r w:rsidRPr="00D4558F">
              <w:rPr>
                <w:rFonts w:ascii="Arial Narrow" w:hAnsi="Arial Narrow"/>
                <w:b/>
                <w:sz w:val="20"/>
                <w:szCs w:val="20"/>
              </w:rPr>
              <w:t>RGI-C response (RGI-C global score ≥</w:t>
            </w:r>
            <w:r w:rsidR="000278BA">
              <w:rPr>
                <w:rFonts w:ascii="Arial Narrow" w:hAnsi="Arial Narrow"/>
                <w:b/>
                <w:sz w:val="20"/>
                <w:szCs w:val="20"/>
              </w:rPr>
              <w:t xml:space="preserve"> </w:t>
            </w:r>
            <w:r w:rsidRPr="00D4558F">
              <w:rPr>
                <w:rFonts w:ascii="Arial Narrow" w:hAnsi="Arial Narrow"/>
                <w:b/>
                <w:sz w:val="20"/>
                <w:szCs w:val="20"/>
              </w:rPr>
              <w:t>+ 2.0, substantial healing)</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40, n (%)</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21 (72.4)</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 (6.3)</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18 (69.2)</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12 (92.3)</w:t>
            </w:r>
          </w:p>
        </w:tc>
      </w:tr>
      <w:tr w:rsidR="00BA0DE2" w:rsidRPr="00D4558F" w:rsidTr="002149B4">
        <w:tc>
          <w:tcPr>
            <w:tcW w:w="2972" w:type="dxa"/>
          </w:tcPr>
          <w:p w:rsidR="00BA0DE2" w:rsidRPr="00D4558F" w:rsidRDefault="00BA0DE2" w:rsidP="00DF2286">
            <w:pPr>
              <w:ind w:left="114"/>
              <w:rPr>
                <w:rFonts w:ascii="Arial Narrow" w:hAnsi="Arial Narrow"/>
                <w:sz w:val="20"/>
                <w:szCs w:val="20"/>
              </w:rPr>
            </w:pPr>
            <w:r w:rsidRPr="00D4558F">
              <w:rPr>
                <w:rFonts w:ascii="Arial Narrow" w:hAnsi="Arial Narrow"/>
                <w:sz w:val="20"/>
                <w:szCs w:val="20"/>
              </w:rPr>
              <w:t>Difference %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sz w:val="20"/>
                <w:szCs w:val="20"/>
              </w:rPr>
            </w:pPr>
            <w:r w:rsidRPr="00D4558F">
              <w:rPr>
                <w:rFonts w:ascii="Arial Narrow" w:hAnsi="Arial Narrow"/>
                <w:sz w:val="20"/>
                <w:szCs w:val="20"/>
              </w:rPr>
              <w:t>66.2</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BA0DE2" w:rsidRPr="00D4558F" w:rsidTr="002149B4">
        <w:tc>
          <w:tcPr>
            <w:tcW w:w="2972" w:type="dxa"/>
          </w:tcPr>
          <w:p w:rsidR="00BA0DE2" w:rsidRPr="00D4558F" w:rsidRDefault="00BA0DE2" w:rsidP="00DF2286">
            <w:pPr>
              <w:ind w:left="114"/>
              <w:rPr>
                <w:rFonts w:ascii="Arial Narrow" w:hAnsi="Arial Narrow"/>
                <w:sz w:val="20"/>
                <w:szCs w:val="20"/>
              </w:rPr>
            </w:pPr>
            <w:r w:rsidRPr="00D4558F">
              <w:rPr>
                <w:rFonts w:ascii="Arial Narrow" w:hAnsi="Arial Narrow"/>
                <w:sz w:val="20"/>
                <w:szCs w:val="20"/>
              </w:rPr>
              <w:t>OR (95% CI)</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39.1 (7.2, 211.7)</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64, n (%)</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25 (86.2)</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6 (18.8)</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15 (57.7)</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10 (76.9)</w:t>
            </w:r>
          </w:p>
        </w:tc>
      </w:tr>
      <w:tr w:rsidR="00BA0DE2" w:rsidRPr="00D4558F" w:rsidTr="002149B4">
        <w:tc>
          <w:tcPr>
            <w:tcW w:w="2972" w:type="dxa"/>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Difference %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sz w:val="20"/>
                <w:szCs w:val="20"/>
              </w:rPr>
            </w:pPr>
            <w:r w:rsidRPr="00D4558F">
              <w:rPr>
                <w:rFonts w:ascii="Arial Narrow" w:hAnsi="Arial Narrow"/>
                <w:sz w:val="20"/>
                <w:szCs w:val="20"/>
              </w:rPr>
              <w:t>67.5</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BA0DE2" w:rsidRPr="00D4558F" w:rsidTr="002149B4">
        <w:tc>
          <w:tcPr>
            <w:tcW w:w="2972" w:type="dxa"/>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OR (95%</w:t>
            </w:r>
            <w:r>
              <w:rPr>
                <w:rFonts w:ascii="Arial Narrow" w:hAnsi="Arial Narrow"/>
                <w:sz w:val="20"/>
                <w:szCs w:val="20"/>
              </w:rPr>
              <w:t xml:space="preserve"> </w:t>
            </w:r>
            <w:r w:rsidRPr="00D4558F">
              <w:rPr>
                <w:rFonts w:ascii="Arial Narrow" w:hAnsi="Arial Narrow"/>
                <w:sz w:val="20"/>
                <w:szCs w:val="20"/>
              </w:rPr>
              <w:t>CI)</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34.1 (5.6, 206.3)</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3E536A" w:rsidRPr="00D4558F" w:rsidTr="00DF2286">
        <w:tc>
          <w:tcPr>
            <w:tcW w:w="9017" w:type="dxa"/>
            <w:gridSpan w:val="5"/>
            <w:shd w:val="clear" w:color="auto" w:fill="D9D9D9" w:themeFill="background1" w:themeFillShade="D9"/>
            <w:vAlign w:val="center"/>
          </w:tcPr>
          <w:p w:rsidR="003E536A" w:rsidRPr="00D4558F" w:rsidRDefault="003E536A" w:rsidP="00DF2286">
            <w:pPr>
              <w:jc w:val="left"/>
              <w:rPr>
                <w:rFonts w:ascii="Arial Narrow" w:hAnsi="Arial Narrow"/>
                <w:b/>
                <w:i/>
                <w:sz w:val="20"/>
                <w:szCs w:val="20"/>
              </w:rPr>
            </w:pPr>
            <w:r w:rsidRPr="00D4558F">
              <w:rPr>
                <w:rFonts w:ascii="Arial Narrow" w:hAnsi="Arial Narrow"/>
                <w:b/>
                <w:i/>
                <w:sz w:val="20"/>
                <w:szCs w:val="20"/>
              </w:rPr>
              <w:t>RGI-C response (RGI-C global score ≥</w:t>
            </w:r>
            <w:r w:rsidR="000278BA">
              <w:rPr>
                <w:rFonts w:ascii="Arial Narrow" w:hAnsi="Arial Narrow"/>
                <w:b/>
                <w:i/>
                <w:sz w:val="20"/>
                <w:szCs w:val="20"/>
              </w:rPr>
              <w:t xml:space="preserve"> </w:t>
            </w:r>
            <w:r w:rsidRPr="00D4558F">
              <w:rPr>
                <w:rFonts w:ascii="Arial Narrow" w:hAnsi="Arial Narrow"/>
                <w:b/>
                <w:i/>
                <w:sz w:val="20"/>
                <w:szCs w:val="20"/>
              </w:rPr>
              <w:t>+ 1.0, minimal healing)</w:t>
            </w:r>
          </w:p>
        </w:tc>
      </w:tr>
      <w:tr w:rsidR="003E536A" w:rsidRPr="00C74623" w:rsidTr="00DF2286">
        <w:tc>
          <w:tcPr>
            <w:tcW w:w="2972" w:type="dxa"/>
          </w:tcPr>
          <w:p w:rsidR="003E536A" w:rsidRPr="00C74623" w:rsidRDefault="003E536A" w:rsidP="00DF2286">
            <w:pPr>
              <w:rPr>
                <w:rFonts w:ascii="Arial Narrow" w:hAnsi="Arial Narrow"/>
                <w:sz w:val="20"/>
                <w:szCs w:val="20"/>
              </w:rPr>
            </w:pPr>
            <w:r w:rsidRPr="00C74623">
              <w:rPr>
                <w:rFonts w:ascii="Arial Narrow" w:hAnsi="Arial Narrow"/>
                <w:sz w:val="20"/>
                <w:szCs w:val="20"/>
              </w:rPr>
              <w:t>Week 40,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29 (100.0)</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17 (53.1)</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11 (88.5)</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12 (92.3)</w:t>
            </w:r>
          </w:p>
        </w:tc>
      </w:tr>
      <w:tr w:rsidR="003E536A" w:rsidRPr="00C74623" w:rsidTr="00DF2286">
        <w:tc>
          <w:tcPr>
            <w:tcW w:w="2972" w:type="dxa"/>
          </w:tcPr>
          <w:p w:rsidR="003E536A" w:rsidRPr="00C74623" w:rsidRDefault="003E536A" w:rsidP="00DF2286">
            <w:pPr>
              <w:rPr>
                <w:rFonts w:ascii="Arial Narrow" w:hAnsi="Arial Narrow"/>
                <w:sz w:val="20"/>
                <w:szCs w:val="20"/>
              </w:rPr>
            </w:pPr>
            <w:r w:rsidRPr="00C74623">
              <w:rPr>
                <w:rFonts w:ascii="Arial Narrow" w:hAnsi="Arial Narrow"/>
                <w:sz w:val="20"/>
                <w:szCs w:val="20"/>
              </w:rPr>
              <w:t>Week 64,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29 (100.0)</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21 (65.6)</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21 (80.8)</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13 (100.0)</w:t>
            </w:r>
          </w:p>
        </w:tc>
      </w:tr>
      <w:tr w:rsidR="003E536A" w:rsidRPr="00D4558F" w:rsidTr="00DF2286">
        <w:tc>
          <w:tcPr>
            <w:tcW w:w="9017" w:type="dxa"/>
            <w:gridSpan w:val="5"/>
            <w:shd w:val="clear" w:color="auto" w:fill="D9D9D9" w:themeFill="background1" w:themeFillShade="D9"/>
            <w:vAlign w:val="center"/>
          </w:tcPr>
          <w:p w:rsidR="003E536A" w:rsidRPr="00D4558F" w:rsidRDefault="003E536A" w:rsidP="00DF2286">
            <w:pPr>
              <w:jc w:val="left"/>
              <w:rPr>
                <w:rFonts w:ascii="Arial Narrow" w:hAnsi="Arial Narrow"/>
                <w:b/>
                <w:sz w:val="20"/>
                <w:szCs w:val="20"/>
              </w:rPr>
            </w:pPr>
            <w:bookmarkStart w:id="15" w:name="_Hlk60745524"/>
            <w:r w:rsidRPr="00D4558F">
              <w:rPr>
                <w:rFonts w:ascii="Arial Narrow" w:hAnsi="Arial Narrow"/>
                <w:b/>
                <w:sz w:val="20"/>
                <w:szCs w:val="20"/>
              </w:rPr>
              <w:t>RSS total score</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Baseline, mean (SD)</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3.17 (0.98)</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3.19 (1.14)</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1.92 (1.17)</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2.92 (1.37)</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40, mean (SD)</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1.13 (0.72)</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2.47 (1.09)</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0.75 (0.55)</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1.19 (0.52)</w:t>
            </w:r>
          </w:p>
        </w:tc>
      </w:tr>
      <w:tr w:rsidR="003E536A" w:rsidRPr="00D4558F" w:rsidTr="00DF2286">
        <w:tc>
          <w:tcPr>
            <w:tcW w:w="2972" w:type="dxa"/>
            <w:vAlign w:val="center"/>
          </w:tcPr>
          <w:p w:rsidR="003E536A" w:rsidRPr="00D4558F" w:rsidRDefault="003E536A" w:rsidP="00DF2286">
            <w:pPr>
              <w:ind w:left="114"/>
              <w:jc w:val="left"/>
              <w:rPr>
                <w:rFonts w:ascii="Arial Narrow" w:hAnsi="Arial Narrow"/>
                <w:sz w:val="20"/>
                <w:szCs w:val="20"/>
              </w:rPr>
            </w:pPr>
            <w:r w:rsidRPr="00D4558F">
              <w:rPr>
                <w:rFonts w:ascii="Arial Narrow" w:hAnsi="Arial Narrow"/>
                <w:sz w:val="20"/>
                <w:szCs w:val="20"/>
              </w:rPr>
              <w:t xml:space="preserve">LS mean (SE) change from baseline </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-2.04 (0.15)</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-0.71 (0.14)</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-1.06 (0.10)</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-1.75 (0.12)</w:t>
            </w:r>
          </w:p>
        </w:tc>
      </w:tr>
      <w:tr w:rsidR="00BA0DE2" w:rsidRPr="00D4558F" w:rsidTr="002149B4">
        <w:tc>
          <w:tcPr>
            <w:tcW w:w="2972" w:type="dxa"/>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Difference (95%</w:t>
            </w:r>
            <w:r>
              <w:rPr>
                <w:rFonts w:ascii="Arial Narrow" w:hAnsi="Arial Narrow"/>
                <w:sz w:val="20"/>
                <w:szCs w:val="20"/>
              </w:rPr>
              <w:t xml:space="preserve"> </w:t>
            </w:r>
            <w:r w:rsidRPr="00D4558F">
              <w:rPr>
                <w:rFonts w:ascii="Arial Narrow" w:hAnsi="Arial Narrow"/>
                <w:sz w:val="20"/>
                <w:szCs w:val="20"/>
              </w:rPr>
              <w:t>CI)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-1.34 (-1.74, -0.94)</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64, mean (SD)</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0.95 (0.72)</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2.17 (0.95)</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0.81 (0.60)</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0.92 (0.49)</w:t>
            </w:r>
          </w:p>
        </w:tc>
      </w:tr>
      <w:tr w:rsidR="003E536A" w:rsidRPr="00D4558F" w:rsidTr="00DF2286">
        <w:tc>
          <w:tcPr>
            <w:tcW w:w="2972" w:type="dxa"/>
            <w:vAlign w:val="center"/>
          </w:tcPr>
          <w:p w:rsidR="003E536A" w:rsidRPr="00D4558F" w:rsidRDefault="003E536A" w:rsidP="00DF2286">
            <w:pPr>
              <w:ind w:left="114"/>
              <w:jc w:val="left"/>
              <w:rPr>
                <w:rFonts w:ascii="Arial Narrow" w:hAnsi="Arial Narrow"/>
                <w:sz w:val="20"/>
                <w:szCs w:val="20"/>
              </w:rPr>
            </w:pPr>
            <w:r w:rsidRPr="00D4558F">
              <w:rPr>
                <w:rFonts w:ascii="Arial Narrow" w:hAnsi="Arial Narrow"/>
                <w:sz w:val="20"/>
                <w:szCs w:val="20"/>
              </w:rPr>
              <w:t xml:space="preserve">LS mean (SE) change from baseline </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-2.23 (0.12)</w:t>
            </w:r>
          </w:p>
        </w:tc>
        <w:tc>
          <w:tcPr>
            <w:tcW w:w="1418"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-1.01 (0.15)</w:t>
            </w:r>
          </w:p>
        </w:tc>
        <w:tc>
          <w:tcPr>
            <w:tcW w:w="155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-1.00 (0.11)</w:t>
            </w:r>
          </w:p>
        </w:tc>
        <w:tc>
          <w:tcPr>
            <w:tcW w:w="1509" w:type="dxa"/>
            <w:vAlign w:val="center"/>
          </w:tcPr>
          <w:p w:rsidR="003E536A" w:rsidRPr="00D4558F" w:rsidRDefault="003E536A" w:rsidP="00DF2286">
            <w:pPr>
              <w:jc w:val="center"/>
              <w:rPr>
                <w:rFonts w:ascii="Arial Narrow" w:hAnsi="Arial Narrow"/>
                <w:sz w:val="20"/>
                <w:szCs w:val="20"/>
              </w:rPr>
            </w:pPr>
            <w:r w:rsidRPr="00D4558F">
              <w:rPr>
                <w:rFonts w:ascii="Arial Narrow" w:hAnsi="Arial Narrow"/>
                <w:sz w:val="20"/>
                <w:szCs w:val="20"/>
              </w:rPr>
              <w:t>-2.02 (0.12)</w:t>
            </w:r>
          </w:p>
        </w:tc>
      </w:tr>
      <w:tr w:rsidR="00BA0DE2" w:rsidRPr="00D4558F" w:rsidTr="002149B4">
        <w:tc>
          <w:tcPr>
            <w:tcW w:w="2972" w:type="dxa"/>
          </w:tcPr>
          <w:p w:rsidR="00BA0DE2" w:rsidRPr="00D4558F" w:rsidRDefault="00BA0DE2" w:rsidP="00DF2286">
            <w:pPr>
              <w:ind w:left="114"/>
              <w:jc w:val="left"/>
              <w:rPr>
                <w:rFonts w:ascii="Arial Narrow" w:hAnsi="Arial Narrow"/>
                <w:sz w:val="20"/>
                <w:szCs w:val="20"/>
              </w:rPr>
            </w:pPr>
            <w:r w:rsidRPr="00D4558F">
              <w:rPr>
                <w:rFonts w:ascii="Arial Narrow" w:hAnsi="Arial Narrow"/>
                <w:sz w:val="20"/>
                <w:szCs w:val="20"/>
              </w:rPr>
              <w:t>Difference (95%</w:t>
            </w:r>
            <w:r>
              <w:rPr>
                <w:rFonts w:ascii="Arial Narrow" w:hAnsi="Arial Narrow"/>
                <w:sz w:val="20"/>
                <w:szCs w:val="20"/>
              </w:rPr>
              <w:t xml:space="preserve"> </w:t>
            </w:r>
            <w:r w:rsidRPr="00D4558F">
              <w:rPr>
                <w:rFonts w:ascii="Arial Narrow" w:hAnsi="Arial Narrow"/>
                <w:sz w:val="20"/>
                <w:szCs w:val="20"/>
              </w:rPr>
              <w:t>CI) v</w:t>
            </w:r>
            <w:r>
              <w:rPr>
                <w:rFonts w:ascii="Arial Narrow" w:hAnsi="Arial Narrow"/>
                <w:sz w:val="20"/>
                <w:szCs w:val="20"/>
              </w:rPr>
              <w:t>s</w:t>
            </w:r>
            <w:r w:rsidRPr="00D4558F">
              <w:rPr>
                <w:rFonts w:ascii="Arial Narrow" w:hAnsi="Arial Narrow"/>
                <w:sz w:val="20"/>
                <w:szCs w:val="20"/>
              </w:rPr>
              <w:t xml:space="preserve"> conventional</w:t>
            </w:r>
          </w:p>
        </w:tc>
        <w:tc>
          <w:tcPr>
            <w:tcW w:w="2977" w:type="dxa"/>
            <w:gridSpan w:val="2"/>
            <w:vAlign w:val="center"/>
          </w:tcPr>
          <w:p w:rsidR="00BA0DE2" w:rsidRPr="00D4558F" w:rsidRDefault="00BA0DE2" w:rsidP="00DF2286">
            <w:pPr>
              <w:jc w:val="center"/>
              <w:rPr>
                <w:rFonts w:ascii="Arial Narrow" w:hAnsi="Arial Narrow"/>
                <w:b/>
                <w:sz w:val="20"/>
                <w:szCs w:val="20"/>
              </w:rPr>
            </w:pPr>
            <w:r w:rsidRPr="00D4558F">
              <w:rPr>
                <w:rFonts w:ascii="Arial Narrow" w:hAnsi="Arial Narrow"/>
                <w:b/>
                <w:sz w:val="20"/>
                <w:szCs w:val="20"/>
              </w:rPr>
              <w:t>-1.21 (-1.59, -0.83)</w:t>
            </w:r>
          </w:p>
        </w:tc>
        <w:tc>
          <w:tcPr>
            <w:tcW w:w="3068" w:type="dxa"/>
            <w:gridSpan w:val="2"/>
            <w:vAlign w:val="center"/>
          </w:tcPr>
          <w:p w:rsidR="00BA0DE2" w:rsidRPr="00D4558F" w:rsidRDefault="00BA0DE2" w:rsidP="00BA0DE2">
            <w:pPr>
              <w:jc w:val="center"/>
              <w:rPr>
                <w:rFonts w:ascii="Arial Narrow" w:hAnsi="Arial Narrow"/>
                <w:sz w:val="20"/>
                <w:szCs w:val="20"/>
              </w:rPr>
            </w:pPr>
            <w:r w:rsidRPr="00D4558F">
              <w:rPr>
                <w:rFonts w:ascii="Arial Narrow" w:hAnsi="Arial Narrow"/>
                <w:sz w:val="20"/>
                <w:szCs w:val="20"/>
              </w:rPr>
              <w:t>-</w:t>
            </w:r>
          </w:p>
        </w:tc>
      </w:tr>
      <w:bookmarkEnd w:id="15"/>
      <w:tr w:rsidR="003E536A" w:rsidRPr="00D4558F" w:rsidTr="00DF2286">
        <w:tc>
          <w:tcPr>
            <w:tcW w:w="9017" w:type="dxa"/>
            <w:gridSpan w:val="5"/>
            <w:shd w:val="clear" w:color="auto" w:fill="D9D9D9" w:themeFill="background1" w:themeFillShade="D9"/>
            <w:vAlign w:val="center"/>
          </w:tcPr>
          <w:p w:rsidR="003E536A" w:rsidRPr="00D4558F" w:rsidRDefault="003E536A" w:rsidP="00DF2286">
            <w:pPr>
              <w:jc w:val="left"/>
              <w:rPr>
                <w:rFonts w:ascii="Arial Narrow" w:hAnsi="Arial Narrow"/>
                <w:b/>
                <w:sz w:val="20"/>
                <w:szCs w:val="20"/>
              </w:rPr>
            </w:pPr>
            <w:r w:rsidRPr="00D4558F">
              <w:rPr>
                <w:rFonts w:ascii="Arial Narrow" w:hAnsi="Arial Narrow"/>
                <w:b/>
                <w:sz w:val="20"/>
                <w:szCs w:val="20"/>
              </w:rPr>
              <w:t>RSS response (reduction in RSS total scores from baseline ≥</w:t>
            </w:r>
            <w:r w:rsidR="000278BA">
              <w:rPr>
                <w:rFonts w:ascii="Arial Narrow" w:hAnsi="Arial Narrow"/>
                <w:b/>
                <w:sz w:val="20"/>
                <w:szCs w:val="20"/>
              </w:rPr>
              <w:t xml:space="preserve"> </w:t>
            </w:r>
            <w:r w:rsidRPr="00D4558F">
              <w:rPr>
                <w:rFonts w:ascii="Arial Narrow" w:hAnsi="Arial Narrow"/>
                <w:b/>
                <w:sz w:val="20"/>
                <w:szCs w:val="20"/>
              </w:rPr>
              <w:t>1.0 points in patients with RSS ≥</w:t>
            </w:r>
            <w:r w:rsidR="000278BA">
              <w:rPr>
                <w:rFonts w:ascii="Arial Narrow" w:hAnsi="Arial Narrow"/>
                <w:b/>
                <w:sz w:val="20"/>
                <w:szCs w:val="20"/>
              </w:rPr>
              <w:t xml:space="preserve"> </w:t>
            </w:r>
            <w:r w:rsidRPr="00D4558F">
              <w:rPr>
                <w:rFonts w:ascii="Arial Narrow" w:hAnsi="Arial Narrow"/>
                <w:b/>
                <w:sz w:val="20"/>
                <w:szCs w:val="20"/>
              </w:rPr>
              <w:t>1.0 at baseline)</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40,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27 (96.4)</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14 (43.8)</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16 (80.0)</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10 (76.9)^</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64,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29 (100.0)</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16 (50.0)</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16 (80.0)</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10 (76.9)^</w:t>
            </w:r>
          </w:p>
        </w:tc>
      </w:tr>
      <w:tr w:rsidR="003E536A" w:rsidRPr="00D4558F" w:rsidTr="00DF2286">
        <w:tc>
          <w:tcPr>
            <w:tcW w:w="9017" w:type="dxa"/>
            <w:gridSpan w:val="5"/>
            <w:shd w:val="clear" w:color="auto" w:fill="D9D9D9" w:themeFill="background1" w:themeFillShade="D9"/>
            <w:vAlign w:val="center"/>
          </w:tcPr>
          <w:p w:rsidR="003E536A" w:rsidRPr="00C74623" w:rsidRDefault="003E536A" w:rsidP="00DF2286">
            <w:pPr>
              <w:jc w:val="left"/>
              <w:rPr>
                <w:rFonts w:ascii="Arial Narrow" w:hAnsi="Arial Narrow"/>
                <w:sz w:val="20"/>
                <w:szCs w:val="20"/>
              </w:rPr>
            </w:pPr>
            <w:r w:rsidRPr="00C74623">
              <w:rPr>
                <w:rFonts w:ascii="Arial Narrow" w:hAnsi="Arial Narrow"/>
                <w:b/>
                <w:sz w:val="20"/>
                <w:szCs w:val="20"/>
              </w:rPr>
              <w:t>RSS total score = 0 (completely healed)</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Baseline</w:t>
            </w:r>
            <w:r w:rsidR="00BA0DE2">
              <w:rPr>
                <w:rFonts w:ascii="Arial Narrow" w:hAnsi="Arial Narrow"/>
                <w:sz w:val="20"/>
                <w:szCs w:val="20"/>
              </w:rPr>
              <w:t>,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1 (3.8)</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40</w:t>
            </w:r>
            <w:r w:rsidR="00BA0DE2">
              <w:rPr>
                <w:rFonts w:ascii="Arial Narrow" w:hAnsi="Arial Narrow"/>
                <w:sz w:val="20"/>
                <w:szCs w:val="20"/>
              </w:rPr>
              <w:t>,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7 (26.9)</w:t>
            </w:r>
          </w:p>
        </w:tc>
        <w:tc>
          <w:tcPr>
            <w:tcW w:w="150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r>
      <w:tr w:rsidR="003E536A" w:rsidRPr="00D4558F" w:rsidTr="00DF2286">
        <w:tc>
          <w:tcPr>
            <w:tcW w:w="2972" w:type="dxa"/>
          </w:tcPr>
          <w:p w:rsidR="003E536A" w:rsidRPr="00D4558F" w:rsidRDefault="003E536A" w:rsidP="00DF2286">
            <w:pPr>
              <w:rPr>
                <w:rFonts w:ascii="Arial Narrow" w:hAnsi="Arial Narrow"/>
                <w:sz w:val="20"/>
                <w:szCs w:val="20"/>
              </w:rPr>
            </w:pPr>
            <w:r w:rsidRPr="00D4558F">
              <w:rPr>
                <w:rFonts w:ascii="Arial Narrow" w:hAnsi="Arial Narrow"/>
                <w:sz w:val="20"/>
                <w:szCs w:val="20"/>
              </w:rPr>
              <w:t>Week 64</w:t>
            </w:r>
            <w:r w:rsidR="00BA0DE2">
              <w:rPr>
                <w:rFonts w:ascii="Arial Narrow" w:hAnsi="Arial Narrow"/>
                <w:sz w:val="20"/>
                <w:szCs w:val="20"/>
              </w:rPr>
              <w:t>, n (%)</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4 (13.8)</w:t>
            </w:r>
          </w:p>
        </w:tc>
        <w:tc>
          <w:tcPr>
            <w:tcW w:w="1418"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0</w:t>
            </w:r>
          </w:p>
        </w:tc>
        <w:tc>
          <w:tcPr>
            <w:tcW w:w="1559" w:type="dxa"/>
            <w:vAlign w:val="center"/>
          </w:tcPr>
          <w:p w:rsidR="003E536A" w:rsidRPr="00C74623" w:rsidRDefault="003E536A" w:rsidP="00DF2286">
            <w:pPr>
              <w:jc w:val="center"/>
              <w:rPr>
                <w:rFonts w:ascii="Arial Narrow" w:hAnsi="Arial Narrow"/>
                <w:sz w:val="20"/>
                <w:szCs w:val="20"/>
              </w:rPr>
            </w:pPr>
            <w:r w:rsidRPr="00C74623">
              <w:rPr>
                <w:rFonts w:ascii="Arial Narrow" w:hAnsi="Arial Narrow"/>
                <w:sz w:val="20"/>
                <w:szCs w:val="20"/>
              </w:rPr>
              <w:t>7 (26.9)</w:t>
            </w:r>
          </w:p>
        </w:tc>
        <w:tc>
          <w:tcPr>
            <w:tcW w:w="1509" w:type="dxa"/>
            <w:vAlign w:val="center"/>
          </w:tcPr>
          <w:p w:rsidR="003E536A" w:rsidRPr="00C74623" w:rsidRDefault="00050121" w:rsidP="00DF2286">
            <w:pPr>
              <w:jc w:val="center"/>
              <w:rPr>
                <w:rFonts w:ascii="Arial Narrow" w:hAnsi="Arial Narrow"/>
                <w:sz w:val="20"/>
                <w:szCs w:val="20"/>
              </w:rPr>
            </w:pPr>
            <w:r w:rsidRPr="00C74623">
              <w:rPr>
                <w:rFonts w:ascii="Arial Narrow" w:hAnsi="Arial Narrow"/>
                <w:sz w:val="20"/>
                <w:szCs w:val="20"/>
              </w:rPr>
              <w:t>0</w:t>
            </w:r>
          </w:p>
        </w:tc>
      </w:tr>
    </w:tbl>
    <w:p w:rsidR="003E536A" w:rsidRPr="00D4558F" w:rsidRDefault="003E536A" w:rsidP="003E536A">
      <w:pPr>
        <w:tabs>
          <w:tab w:val="left" w:pos="142"/>
        </w:tabs>
        <w:rPr>
          <w:rFonts w:ascii="Arial Narrow" w:hAnsi="Arial Narrow"/>
          <w:sz w:val="18"/>
          <w:szCs w:val="18"/>
        </w:rPr>
      </w:pPr>
      <w:r w:rsidRPr="00D4558F">
        <w:rPr>
          <w:rFonts w:ascii="Arial Narrow" w:hAnsi="Arial Narrow"/>
          <w:sz w:val="18"/>
          <w:szCs w:val="18"/>
        </w:rPr>
        <w:t>Source: Tables 2.20 to 2.25, pp61-66, Tables 2.28 to 2.30, pp78-81 and Tables 2.34 to 2.35, pp91-92 of the submission.</w:t>
      </w:r>
    </w:p>
    <w:p w:rsidR="003E536A" w:rsidRPr="00D4558F" w:rsidRDefault="003E536A" w:rsidP="003E536A">
      <w:pPr>
        <w:rPr>
          <w:rFonts w:ascii="Arial Narrow" w:hAnsi="Arial Narrow"/>
          <w:sz w:val="18"/>
          <w:szCs w:val="18"/>
        </w:rPr>
      </w:pPr>
      <w:r w:rsidRPr="00D4558F">
        <w:rPr>
          <w:rFonts w:ascii="Arial Narrow" w:hAnsi="Arial Narrow"/>
          <w:sz w:val="18"/>
          <w:szCs w:val="18"/>
        </w:rPr>
        <w:t xml:space="preserve">Abbreviations: ITT=intention-to-treat; LS=least squares; RGI-C=Radiographic Global Impression of Change; RSS=Rickets Severity Score; </w:t>
      </w:r>
    </w:p>
    <w:p w:rsidR="003E536A" w:rsidRPr="00D4558F" w:rsidRDefault="003E536A" w:rsidP="003E536A">
      <w:pPr>
        <w:tabs>
          <w:tab w:val="left" w:pos="142"/>
        </w:tabs>
        <w:ind w:left="140" w:hanging="140"/>
        <w:rPr>
          <w:rFonts w:ascii="Arial Narrow" w:hAnsi="Arial Narrow"/>
          <w:sz w:val="18"/>
          <w:szCs w:val="18"/>
        </w:rPr>
      </w:pPr>
      <w:r w:rsidRPr="00D4558F">
        <w:rPr>
          <w:rFonts w:ascii="Arial Narrow" w:hAnsi="Arial Narrow"/>
          <w:sz w:val="18"/>
          <w:szCs w:val="18"/>
        </w:rPr>
        <w:t>^</w:t>
      </w:r>
      <w:r w:rsidRPr="00D4558F">
        <w:rPr>
          <w:rFonts w:ascii="Arial Narrow" w:hAnsi="Arial Narrow"/>
          <w:sz w:val="18"/>
          <w:szCs w:val="18"/>
        </w:rPr>
        <w:tab/>
        <w:t>change from baseline in RSS total scores of ≥1.5 points</w:t>
      </w:r>
    </w:p>
    <w:p w:rsidR="003E536A" w:rsidRPr="00D4558F" w:rsidRDefault="003E536A" w:rsidP="003E536A">
      <w:pPr>
        <w:pStyle w:val="3-BodyText"/>
        <w:numPr>
          <w:ilvl w:val="0"/>
          <w:numId w:val="0"/>
        </w:numPr>
      </w:pPr>
    </w:p>
    <w:p w:rsidR="00494960" w:rsidRPr="00A83FDA" w:rsidRDefault="00494960" w:rsidP="00494960">
      <w:pPr>
        <w:pStyle w:val="3-BodyText"/>
      </w:pPr>
      <w:r w:rsidRPr="00A83FDA">
        <w:t>The results demonstrated</w:t>
      </w:r>
      <w:r w:rsidR="000278BA" w:rsidRPr="00A83FDA">
        <w:t xml:space="preserve"> that</w:t>
      </w:r>
      <w:r w:rsidRPr="00A83FDA">
        <w:t>:</w:t>
      </w:r>
    </w:p>
    <w:p w:rsidR="00494960" w:rsidRPr="00A83FDA" w:rsidRDefault="00251CEF" w:rsidP="00494960">
      <w:pPr>
        <w:pStyle w:val="ListParagraph"/>
      </w:pPr>
      <w:r>
        <w:t>T</w:t>
      </w:r>
      <w:r w:rsidR="00494960" w:rsidRPr="00A83FDA">
        <w:t>here w</w:t>
      </w:r>
      <w:r w:rsidR="00C533BA" w:rsidRPr="00A83FDA">
        <w:t>as</w:t>
      </w:r>
      <w:r w:rsidR="00494960" w:rsidRPr="00A83FDA">
        <w:t xml:space="preserve"> improved rickets healing </w:t>
      </w:r>
      <w:r w:rsidR="00C533BA" w:rsidRPr="00A83FDA">
        <w:t>in terms of the</w:t>
      </w:r>
      <w:r w:rsidR="00494960" w:rsidRPr="00A83FDA">
        <w:t xml:space="preserve"> RGI-C global score and reduction in rickets severity </w:t>
      </w:r>
      <w:r w:rsidR="00C533BA" w:rsidRPr="00A83FDA">
        <w:t xml:space="preserve">based </w:t>
      </w:r>
      <w:r w:rsidR="00494960" w:rsidRPr="00A83FDA">
        <w:t>on the RSS total score at Week</w:t>
      </w:r>
      <w:r w:rsidR="00C533BA" w:rsidRPr="00A83FDA">
        <w:t>s</w:t>
      </w:r>
      <w:r w:rsidR="00494960" w:rsidRPr="00A83FDA">
        <w:t xml:space="preserve"> 40 and 64 </w:t>
      </w:r>
      <w:r w:rsidR="00C533BA" w:rsidRPr="00A83FDA">
        <w:t>across</w:t>
      </w:r>
      <w:r w:rsidR="00494960" w:rsidRPr="00A83FDA">
        <w:t xml:space="preserve"> all treatment groups compared to baseline. The mean change</w:t>
      </w:r>
      <w:r w:rsidR="00C533BA" w:rsidRPr="00A83FDA">
        <w:t>s</w:t>
      </w:r>
      <w:r w:rsidR="00494960" w:rsidRPr="00A83FDA">
        <w:t xml:space="preserve"> from baseline in RGI-C and RSS at Week 40 for </w:t>
      </w:r>
      <w:r w:rsidR="00C533BA" w:rsidRPr="00A83FDA">
        <w:t xml:space="preserve">the </w:t>
      </w:r>
      <w:r w:rsidR="003631B0" w:rsidRPr="00A83FDA">
        <w:t>burosumab</w:t>
      </w:r>
      <w:r w:rsidR="00494960" w:rsidRPr="00A83FDA">
        <w:t xml:space="preserve"> Q2W group</w:t>
      </w:r>
      <w:r w:rsidR="00C533BA" w:rsidRPr="00A83FDA">
        <w:t>s</w:t>
      </w:r>
      <w:r w:rsidR="00494960" w:rsidRPr="00A83FDA">
        <w:t xml:space="preserve"> were broadly consistent across the included studies</w:t>
      </w:r>
      <w:r w:rsidR="00C533BA" w:rsidRPr="00A83FDA">
        <w:t>. R</w:t>
      </w:r>
      <w:r w:rsidR="00494960" w:rsidRPr="00A83FDA">
        <w:t xml:space="preserve">esults at Week 64 </w:t>
      </w:r>
      <w:r w:rsidR="00C533BA" w:rsidRPr="00A83FDA">
        <w:t xml:space="preserve">were more </w:t>
      </w:r>
      <w:r w:rsidR="00494960" w:rsidRPr="00A83FDA">
        <w:t>varied</w:t>
      </w:r>
      <w:r w:rsidR="00C533BA" w:rsidRPr="00A83FDA">
        <w:t>,</w:t>
      </w:r>
      <w:r w:rsidR="00494960" w:rsidRPr="00A83FDA">
        <w:t xml:space="preserve"> possibly due to heterogeneity between the studies.</w:t>
      </w:r>
    </w:p>
    <w:p w:rsidR="00E715CA" w:rsidRPr="00A83FDA" w:rsidRDefault="00251CEF" w:rsidP="00E06632">
      <w:pPr>
        <w:pStyle w:val="ListParagraph"/>
      </w:pPr>
      <w:r>
        <w:t>I</w:t>
      </w:r>
      <w:r w:rsidR="00494960" w:rsidRPr="00A83FDA">
        <w:t>n CL301, the (least squares mean) change from baseline in RGI-C and RSS at Week</w:t>
      </w:r>
      <w:r w:rsidR="00C533BA" w:rsidRPr="00A83FDA">
        <w:t>s</w:t>
      </w:r>
      <w:r w:rsidR="00494960" w:rsidRPr="00A83FDA">
        <w:t xml:space="preserve"> 40 and 64 were statistically significantly greater in </w:t>
      </w:r>
      <w:r w:rsidR="00C533BA" w:rsidRPr="00A83FDA">
        <w:t xml:space="preserve">the </w:t>
      </w:r>
      <w:r w:rsidR="003631B0" w:rsidRPr="00A83FDA">
        <w:t>burosumab</w:t>
      </w:r>
      <w:r w:rsidR="00494960" w:rsidRPr="00A83FDA">
        <w:t xml:space="preserve"> Q2W </w:t>
      </w:r>
      <w:r w:rsidR="00C533BA" w:rsidRPr="00A83FDA">
        <w:t xml:space="preserve">arm </w:t>
      </w:r>
      <w:r w:rsidR="00494960" w:rsidRPr="00A83FDA">
        <w:t xml:space="preserve">than </w:t>
      </w:r>
      <w:r w:rsidR="00C533BA" w:rsidRPr="00A83FDA">
        <w:t xml:space="preserve">in the </w:t>
      </w:r>
      <w:r w:rsidR="00494960" w:rsidRPr="00A83FDA">
        <w:t>conventional therapy</w:t>
      </w:r>
      <w:r w:rsidR="00C533BA" w:rsidRPr="00A83FDA">
        <w:t xml:space="preserve"> arm</w:t>
      </w:r>
      <w:r w:rsidR="00494960" w:rsidRPr="00A83FDA">
        <w:t xml:space="preserve">. The proportion of RGI-C responders </w:t>
      </w:r>
      <w:r w:rsidR="00C533BA" w:rsidRPr="00A83FDA">
        <w:t xml:space="preserve">reporting </w:t>
      </w:r>
      <w:r w:rsidR="00494960" w:rsidRPr="00A83FDA">
        <w:t xml:space="preserve">substantial healing (RGI-C </w:t>
      </w:r>
      <w:r w:rsidR="00494960" w:rsidRPr="00A83FDA">
        <w:rPr>
          <w:rFonts w:cstheme="minorHAnsi"/>
        </w:rPr>
        <w:t>≥</w:t>
      </w:r>
      <w:r w:rsidR="00BA602A" w:rsidRPr="00A83FDA">
        <w:rPr>
          <w:rFonts w:cstheme="minorHAnsi"/>
        </w:rPr>
        <w:t xml:space="preserve"> </w:t>
      </w:r>
      <w:r w:rsidR="00494960" w:rsidRPr="00A83FDA">
        <w:rPr>
          <w:rFonts w:cstheme="minorHAnsi"/>
        </w:rPr>
        <w:t>+</w:t>
      </w:r>
      <w:r w:rsidR="00494960" w:rsidRPr="00A83FDA">
        <w:t>2.0) at Week</w:t>
      </w:r>
      <w:r w:rsidR="00C533BA" w:rsidRPr="00A83FDA">
        <w:t>s</w:t>
      </w:r>
      <w:r w:rsidR="00494960" w:rsidRPr="00A83FDA">
        <w:t xml:space="preserve"> 40 and 64 w</w:t>
      </w:r>
      <w:r w:rsidR="00C533BA" w:rsidRPr="00A83FDA">
        <w:t>as</w:t>
      </w:r>
      <w:r w:rsidR="00E715CA" w:rsidRPr="00A83FDA">
        <w:t xml:space="preserve"> also</w:t>
      </w:r>
      <w:r w:rsidR="00494960" w:rsidRPr="00A83FDA">
        <w:t xml:space="preserve"> statistically significantly higher in </w:t>
      </w:r>
      <w:r w:rsidR="00C533BA" w:rsidRPr="00A83FDA">
        <w:t xml:space="preserve">the </w:t>
      </w:r>
      <w:r w:rsidR="003631B0" w:rsidRPr="00A83FDA">
        <w:t>burosumab</w:t>
      </w:r>
      <w:r w:rsidR="00494960" w:rsidRPr="00A83FDA">
        <w:t xml:space="preserve"> Q2W </w:t>
      </w:r>
      <w:r w:rsidR="00C533BA" w:rsidRPr="00A83FDA">
        <w:t xml:space="preserve">arm </w:t>
      </w:r>
      <w:r w:rsidR="00494960" w:rsidRPr="00A83FDA">
        <w:t xml:space="preserve">than </w:t>
      </w:r>
      <w:r w:rsidR="00C533BA" w:rsidRPr="00A83FDA">
        <w:t xml:space="preserve">in the </w:t>
      </w:r>
      <w:r w:rsidR="00494960" w:rsidRPr="00A83FDA">
        <w:t>conventional therapy</w:t>
      </w:r>
      <w:r w:rsidR="00C533BA" w:rsidRPr="00A83FDA">
        <w:t xml:space="preserve"> arm</w:t>
      </w:r>
      <w:r w:rsidR="00494960" w:rsidRPr="00A83FDA">
        <w:t>.</w:t>
      </w:r>
      <w:r w:rsidR="00C533BA" w:rsidRPr="00A83FDA">
        <w:t xml:space="preserve"> </w:t>
      </w:r>
      <w:r w:rsidR="00494960" w:rsidRPr="00A83FDA">
        <w:t xml:space="preserve">The proportion of RGI-C responders (substantial and minimal healing) and RSS responders (reduction from baseline in RSS of </w:t>
      </w:r>
      <w:r w:rsidR="00494960" w:rsidRPr="00A83FDA">
        <w:rPr>
          <w:rFonts w:cstheme="minorHAnsi"/>
        </w:rPr>
        <w:t>≥</w:t>
      </w:r>
      <w:r w:rsidR="00BA602A" w:rsidRPr="00A83FDA">
        <w:rPr>
          <w:rFonts w:cstheme="minorHAnsi"/>
        </w:rPr>
        <w:t xml:space="preserve"> </w:t>
      </w:r>
      <w:r w:rsidR="00494960" w:rsidRPr="00A83FDA">
        <w:t>1.0 points) at Week</w:t>
      </w:r>
      <w:r w:rsidR="00C533BA" w:rsidRPr="00A83FDA">
        <w:t>s</w:t>
      </w:r>
      <w:r w:rsidR="00494960" w:rsidRPr="00A83FDA">
        <w:t xml:space="preserve"> 40 and 64 in </w:t>
      </w:r>
      <w:r w:rsidR="00C533BA" w:rsidRPr="00A83FDA">
        <w:t xml:space="preserve">the </w:t>
      </w:r>
      <w:r w:rsidR="003631B0" w:rsidRPr="00A83FDA">
        <w:t>burosumab</w:t>
      </w:r>
      <w:r w:rsidR="00494960" w:rsidRPr="00A83FDA">
        <w:t xml:space="preserve"> Q2W </w:t>
      </w:r>
      <w:r w:rsidR="00C533BA" w:rsidRPr="00A83FDA">
        <w:t xml:space="preserve">arm </w:t>
      </w:r>
      <w:r w:rsidR="00494960" w:rsidRPr="00A83FDA">
        <w:t xml:space="preserve">was numerically higher than </w:t>
      </w:r>
      <w:r w:rsidR="00E715CA" w:rsidRPr="00A83FDA">
        <w:t xml:space="preserve">in the </w:t>
      </w:r>
      <w:r w:rsidR="00494960" w:rsidRPr="00A83FDA">
        <w:t>conventional therapy</w:t>
      </w:r>
      <w:r w:rsidR="00E715CA" w:rsidRPr="00A83FDA">
        <w:t xml:space="preserve"> arm</w:t>
      </w:r>
      <w:r w:rsidR="00494960" w:rsidRPr="00A83FDA">
        <w:t xml:space="preserve">. </w:t>
      </w:r>
    </w:p>
    <w:p w:rsidR="00494960" w:rsidRPr="00A83FDA" w:rsidRDefault="00494960" w:rsidP="00E06632">
      <w:pPr>
        <w:pStyle w:val="ListParagraph"/>
      </w:pPr>
      <w:r w:rsidRPr="00A83FDA">
        <w:t>There w</w:t>
      </w:r>
      <w:r w:rsidR="00BA0DE2" w:rsidRPr="00A83FDA">
        <w:t>ere</w:t>
      </w:r>
      <w:r w:rsidRPr="00A83FDA">
        <w:t xml:space="preserve"> a proportion of patients completely healed (RSS total score = 0) in </w:t>
      </w:r>
      <w:r w:rsidR="00AF6EA4" w:rsidRPr="00A83FDA">
        <w:t xml:space="preserve">the </w:t>
      </w:r>
      <w:r w:rsidR="003631B0" w:rsidRPr="00A83FDA">
        <w:t>burosumab</w:t>
      </w:r>
      <w:r w:rsidRPr="00A83FDA">
        <w:t xml:space="preserve"> Q2W group</w:t>
      </w:r>
      <w:r w:rsidR="00AF6EA4" w:rsidRPr="00A83FDA">
        <w:t>s</w:t>
      </w:r>
      <w:r w:rsidRPr="00A83FDA">
        <w:t xml:space="preserve"> (13.8% </w:t>
      </w:r>
      <w:r w:rsidR="00AF6EA4" w:rsidRPr="00A83FDA">
        <w:t xml:space="preserve">versus 0% in the conventional therapy arm in CL301, </w:t>
      </w:r>
      <w:r w:rsidRPr="00A83FDA">
        <w:t xml:space="preserve">and 26.9% in CL201). </w:t>
      </w:r>
    </w:p>
    <w:p w:rsidR="00494960" w:rsidRPr="00A83FDA" w:rsidRDefault="00494960" w:rsidP="001D667A">
      <w:pPr>
        <w:pStyle w:val="3-BodyText"/>
        <w:numPr>
          <w:ilvl w:val="0"/>
          <w:numId w:val="0"/>
        </w:numPr>
        <w:ind w:left="720"/>
      </w:pPr>
      <w:r w:rsidRPr="00A83FDA">
        <w:t>Although the mean change</w:t>
      </w:r>
      <w:r w:rsidR="00BA602A" w:rsidRPr="00A83FDA">
        <w:t>s</w:t>
      </w:r>
      <w:r w:rsidRPr="00A83FDA">
        <w:t xml:space="preserve"> in RGI-C and RSS in </w:t>
      </w:r>
      <w:r w:rsidR="00AF6EA4" w:rsidRPr="00A83FDA">
        <w:t xml:space="preserve">the </w:t>
      </w:r>
      <w:r w:rsidR="003631B0" w:rsidRPr="00A83FDA">
        <w:t>burosumab</w:t>
      </w:r>
      <w:r w:rsidRPr="00A83FDA">
        <w:t xml:space="preserve"> Q2W</w:t>
      </w:r>
      <w:r w:rsidR="00AF6EA4" w:rsidRPr="00A83FDA">
        <w:t xml:space="preserve"> arm</w:t>
      </w:r>
      <w:r w:rsidRPr="00A83FDA">
        <w:t xml:space="preserve"> compared to </w:t>
      </w:r>
      <w:r w:rsidR="00AF6EA4" w:rsidRPr="00A83FDA">
        <w:t xml:space="preserve">the </w:t>
      </w:r>
      <w:r w:rsidRPr="00A83FDA">
        <w:t>conventional therapy</w:t>
      </w:r>
      <w:r w:rsidR="00AF6EA4" w:rsidRPr="00A83FDA">
        <w:t xml:space="preserve"> arm of CL301</w:t>
      </w:r>
      <w:r w:rsidRPr="00A83FDA">
        <w:t xml:space="preserve"> were statistically significant, it </w:t>
      </w:r>
      <w:r w:rsidR="00BA602A" w:rsidRPr="00A83FDA">
        <w:t>wa</w:t>
      </w:r>
      <w:r w:rsidRPr="00A83FDA">
        <w:t xml:space="preserve">s unclear whether these changes were clinically relevant given there is no </w:t>
      </w:r>
      <w:r w:rsidR="00BA0DE2" w:rsidRPr="00A83FDA">
        <w:t xml:space="preserve">established </w:t>
      </w:r>
      <w:r w:rsidRPr="00A83FDA">
        <w:t>MCID for either scale in XLH.</w:t>
      </w:r>
    </w:p>
    <w:p w:rsidR="0084606D" w:rsidRPr="00A83FDA" w:rsidRDefault="0084606D" w:rsidP="00DF2286">
      <w:pPr>
        <w:pStyle w:val="3-BodyText"/>
      </w:pPr>
      <w:r w:rsidRPr="00A83FDA">
        <w:t>In CL301, efficacy in terms of RGI-C and RSS between treatment groups w</w:t>
      </w:r>
      <w:r w:rsidR="00BA602A" w:rsidRPr="00A83FDA">
        <w:t>as</w:t>
      </w:r>
      <w:r w:rsidRPr="00A83FDA">
        <w:t xml:space="preserve"> </w:t>
      </w:r>
      <w:r w:rsidR="00AF6EA4" w:rsidRPr="00A83FDA">
        <w:t xml:space="preserve">also </w:t>
      </w:r>
      <w:r w:rsidRPr="00A83FDA">
        <w:t>analysed in pre-specified subgroups of baseline rickets severity (RSS total score ≤</w:t>
      </w:r>
      <w:r w:rsidR="00BA602A" w:rsidRPr="00A83FDA">
        <w:t xml:space="preserve"> </w:t>
      </w:r>
      <w:r w:rsidRPr="00A83FDA">
        <w:t>2.5 v</w:t>
      </w:r>
      <w:r w:rsidR="00BA602A" w:rsidRPr="00A83FDA">
        <w:t>ersus</w:t>
      </w:r>
      <w:r w:rsidRPr="00A83FDA">
        <w:t xml:space="preserve"> &gt;</w:t>
      </w:r>
      <w:r w:rsidR="00BA602A" w:rsidRPr="00A83FDA">
        <w:t xml:space="preserve"> </w:t>
      </w:r>
      <w:r w:rsidRPr="00A83FDA">
        <w:t>2.5) and age (&lt;</w:t>
      </w:r>
      <w:r w:rsidR="00BA602A" w:rsidRPr="00A83FDA">
        <w:t xml:space="preserve"> </w:t>
      </w:r>
      <w:r w:rsidRPr="00A83FDA">
        <w:t>5 years v</w:t>
      </w:r>
      <w:r w:rsidR="00BA602A" w:rsidRPr="00A83FDA">
        <w:t>ersus</w:t>
      </w:r>
      <w:r w:rsidRPr="00A83FDA">
        <w:t xml:space="preserve"> ≥</w:t>
      </w:r>
      <w:r w:rsidR="00BA602A" w:rsidRPr="00A83FDA">
        <w:t xml:space="preserve"> </w:t>
      </w:r>
      <w:r w:rsidRPr="00A83FDA">
        <w:t>5 years)</w:t>
      </w:r>
      <w:r w:rsidR="00BA602A" w:rsidRPr="00A83FDA">
        <w:t>. Results demonstrated</w:t>
      </w:r>
      <w:r w:rsidRPr="00A83FDA">
        <w:t xml:space="preserve"> that efficacy in the subgroups was similar to </w:t>
      </w:r>
      <w:r w:rsidR="00BA602A" w:rsidRPr="00A83FDA">
        <w:t xml:space="preserve">in </w:t>
      </w:r>
      <w:r w:rsidRPr="00A83FDA">
        <w:t>the overall study population.</w:t>
      </w:r>
    </w:p>
    <w:p w:rsidR="0084606D" w:rsidRPr="00A83FDA" w:rsidRDefault="00AF6EA4" w:rsidP="00DF2286">
      <w:pPr>
        <w:pStyle w:val="3-BodyText"/>
      </w:pPr>
      <w:r w:rsidRPr="00A83FDA">
        <w:t>R</w:t>
      </w:r>
      <w:r w:rsidR="0084606D" w:rsidRPr="00A83FDA">
        <w:t xml:space="preserve">esults </w:t>
      </w:r>
      <w:r w:rsidRPr="00A83FDA">
        <w:t xml:space="preserve">were also presented </w:t>
      </w:r>
      <w:r w:rsidR="00BA602A" w:rsidRPr="00A83FDA">
        <w:t xml:space="preserve">from </w:t>
      </w:r>
      <w:r w:rsidR="0084606D" w:rsidRPr="00A83FDA">
        <w:t xml:space="preserve">the </w:t>
      </w:r>
      <w:r w:rsidRPr="00A83FDA">
        <w:t xml:space="preserve">following </w:t>
      </w:r>
      <w:r w:rsidR="0084606D" w:rsidRPr="00A83FDA">
        <w:t>subgroup</w:t>
      </w:r>
      <w:r w:rsidR="00BA602A" w:rsidRPr="00A83FDA">
        <w:t>s</w:t>
      </w:r>
      <w:r w:rsidRPr="00A83FDA">
        <w:t>: CL301 -</w:t>
      </w:r>
      <w:r w:rsidR="0084606D" w:rsidRPr="00A83FDA">
        <w:t xml:space="preserve"> RSS ≥</w:t>
      </w:r>
      <w:r w:rsidR="00BA602A" w:rsidRPr="00A83FDA">
        <w:t xml:space="preserve"> </w:t>
      </w:r>
      <w:r w:rsidR="0084606D" w:rsidRPr="00A83FDA">
        <w:t>2.0 (</w:t>
      </w:r>
      <w:r w:rsidR="003631B0" w:rsidRPr="00A83FDA">
        <w:t>burosumab</w:t>
      </w:r>
      <w:r w:rsidR="0084606D" w:rsidRPr="00A83FDA">
        <w:t xml:space="preserve"> Q2W n=29 and conventional therapy n=26, post-hoc)</w:t>
      </w:r>
      <w:r w:rsidRPr="00A83FDA">
        <w:t>;</w:t>
      </w:r>
      <w:r w:rsidR="0084606D" w:rsidRPr="00A83FDA">
        <w:t xml:space="preserve"> </w:t>
      </w:r>
      <w:r w:rsidRPr="00A83FDA">
        <w:t xml:space="preserve">CL201 - </w:t>
      </w:r>
      <w:r w:rsidR="0084606D" w:rsidRPr="00A83FDA">
        <w:t>RSS ≥</w:t>
      </w:r>
      <w:r w:rsidR="00BA602A" w:rsidRPr="00A83FDA">
        <w:t xml:space="preserve"> </w:t>
      </w:r>
      <w:r w:rsidR="0084606D" w:rsidRPr="00A83FDA">
        <w:t>1.5 (</w:t>
      </w:r>
      <w:r w:rsidR="003631B0" w:rsidRPr="00A83FDA">
        <w:t>burosumab</w:t>
      </w:r>
      <w:r w:rsidR="0084606D" w:rsidRPr="00A83FDA">
        <w:t xml:space="preserve"> Q2W n=17, pre-specified)</w:t>
      </w:r>
      <w:r w:rsidRPr="00A83FDA">
        <w:t>;</w:t>
      </w:r>
      <w:r w:rsidR="0084606D" w:rsidRPr="00A83FDA">
        <w:t xml:space="preserve"> and </w:t>
      </w:r>
      <w:r w:rsidRPr="00A83FDA">
        <w:t xml:space="preserve">CL205 - </w:t>
      </w:r>
      <w:r w:rsidR="0084606D" w:rsidRPr="00A83FDA">
        <w:t>RSS ≥</w:t>
      </w:r>
      <w:r w:rsidR="00BA602A" w:rsidRPr="00A83FDA">
        <w:t xml:space="preserve"> </w:t>
      </w:r>
      <w:r w:rsidR="0084606D" w:rsidRPr="00A83FDA">
        <w:t>1.5 (</w:t>
      </w:r>
      <w:r w:rsidR="003631B0" w:rsidRPr="00A83FDA">
        <w:t>burosumab</w:t>
      </w:r>
      <w:r w:rsidR="0084606D" w:rsidRPr="00A83FDA">
        <w:t xml:space="preserve"> Q2W n=13, pre-specified)</w:t>
      </w:r>
      <w:r w:rsidRPr="00A83FDA">
        <w:t>. The results demonstrated</w:t>
      </w:r>
      <w:r w:rsidR="0084606D" w:rsidRPr="00A83FDA">
        <w:t xml:space="preserve"> that the efficacy in terms of RGI-C, RSS and serum ALP were comparable across the </w:t>
      </w:r>
      <w:r w:rsidR="002F00C4" w:rsidRPr="00A83FDA">
        <w:t>studies</w:t>
      </w:r>
      <w:r w:rsidR="0084606D" w:rsidRPr="00A83FDA">
        <w:t xml:space="preserve"> for patients with XLH aged 1</w:t>
      </w:r>
      <w:r w:rsidR="00BA0DE2" w:rsidRPr="00A83FDA">
        <w:t xml:space="preserve"> to </w:t>
      </w:r>
      <w:r w:rsidR="0084606D" w:rsidRPr="00A83FDA">
        <w:t>12 years.</w:t>
      </w:r>
    </w:p>
    <w:p w:rsidR="003E536A" w:rsidRPr="00A83FDA" w:rsidRDefault="0023761D" w:rsidP="00DF2286">
      <w:pPr>
        <w:pStyle w:val="3-BodyText"/>
      </w:pPr>
      <w:r w:rsidRPr="00A83FDA">
        <w:t xml:space="preserve">During the treatment extension period, the mean </w:t>
      </w:r>
      <w:r w:rsidR="00BF12E7" w:rsidRPr="00A83FDA">
        <w:t>change</w:t>
      </w:r>
      <w:r w:rsidR="00BA602A" w:rsidRPr="00A83FDA">
        <w:t>s</w:t>
      </w:r>
      <w:r w:rsidR="00BF12E7" w:rsidRPr="00A83FDA">
        <w:t xml:space="preserve"> in </w:t>
      </w:r>
      <w:r w:rsidRPr="00A83FDA">
        <w:t xml:space="preserve">RGI-C and RSS scores were maintained to Week </w:t>
      </w:r>
      <w:r w:rsidR="00BF12E7" w:rsidRPr="00A83FDA">
        <w:t>88 for CL301</w:t>
      </w:r>
      <w:r w:rsidR="007356A5" w:rsidRPr="00A83FDA">
        <w:t xml:space="preserve">, although the number of patients </w:t>
      </w:r>
      <w:r w:rsidR="00BA602A" w:rsidRPr="00A83FDA">
        <w:t xml:space="preserve">providing </w:t>
      </w:r>
      <w:r w:rsidR="007356A5" w:rsidRPr="00A83FDA">
        <w:t xml:space="preserve">results </w:t>
      </w:r>
      <w:r w:rsidR="00416B02" w:rsidRPr="00A83FDA">
        <w:t xml:space="preserve">for RGI-C and RSS </w:t>
      </w:r>
      <w:r w:rsidR="007356A5" w:rsidRPr="00A83FDA">
        <w:t>w</w:t>
      </w:r>
      <w:r w:rsidR="00AF6EA4" w:rsidRPr="00A83FDA">
        <w:t>as</w:t>
      </w:r>
      <w:r w:rsidR="00626AEF" w:rsidRPr="00A83FDA">
        <w:t xml:space="preserve"> </w:t>
      </w:r>
      <w:r w:rsidR="007356A5" w:rsidRPr="00A83FDA">
        <w:t xml:space="preserve">low </w:t>
      </w:r>
      <w:r w:rsidR="009C047C" w:rsidRPr="00A83FDA">
        <w:t>(</w:t>
      </w:r>
      <w:r w:rsidR="00FB6964" w:rsidRPr="00A83FDA">
        <w:t>20.7</w:t>
      </w:r>
      <w:r w:rsidR="007356A5" w:rsidRPr="00A83FDA">
        <w:t xml:space="preserve">% </w:t>
      </w:r>
      <w:r w:rsidR="00D672AF" w:rsidRPr="00A83FDA">
        <w:t xml:space="preserve">(n=6) </w:t>
      </w:r>
      <w:r w:rsidR="00BA602A" w:rsidRPr="00A83FDA">
        <w:t xml:space="preserve">in the </w:t>
      </w:r>
      <w:r w:rsidR="003631B0" w:rsidRPr="00A83FDA">
        <w:t>burosumab</w:t>
      </w:r>
      <w:r w:rsidR="00BA602A" w:rsidRPr="00A83FDA">
        <w:t xml:space="preserve"> to </w:t>
      </w:r>
      <w:r w:rsidR="003631B0" w:rsidRPr="00A83FDA">
        <w:t>burosumab</w:t>
      </w:r>
      <w:r w:rsidR="00BA602A" w:rsidRPr="00A83FDA">
        <w:t xml:space="preserve"> arm </w:t>
      </w:r>
      <w:r w:rsidR="00416B02" w:rsidRPr="00A83FDA">
        <w:t>and 46.9%</w:t>
      </w:r>
      <w:r w:rsidR="00D672AF" w:rsidRPr="00A83FDA">
        <w:t xml:space="preserve"> (n=15)</w:t>
      </w:r>
      <w:r w:rsidR="00416B02" w:rsidRPr="00A83FDA">
        <w:t xml:space="preserve"> </w:t>
      </w:r>
      <w:r w:rsidR="00BA602A" w:rsidRPr="00A83FDA">
        <w:t xml:space="preserve">in the conventional therapy to </w:t>
      </w:r>
      <w:r w:rsidR="003631B0" w:rsidRPr="00A83FDA">
        <w:t>burosumab</w:t>
      </w:r>
      <w:r w:rsidR="00BA602A" w:rsidRPr="00A83FDA">
        <w:t xml:space="preserve"> arm</w:t>
      </w:r>
      <w:r w:rsidRPr="00A83FDA">
        <w:t>.</w:t>
      </w:r>
      <w:r w:rsidR="00BF12E7" w:rsidRPr="00A83FDA">
        <w:t xml:space="preserve"> Changes in </w:t>
      </w:r>
      <w:r w:rsidR="00C62611" w:rsidRPr="00A83FDA">
        <w:t xml:space="preserve">RCI-C and </w:t>
      </w:r>
      <w:r w:rsidR="00BF12E7" w:rsidRPr="00A83FDA">
        <w:t>RSS scores w</w:t>
      </w:r>
      <w:r w:rsidR="00C62611" w:rsidRPr="00A83FDA">
        <w:t>ere</w:t>
      </w:r>
      <w:r w:rsidR="00BF12E7" w:rsidRPr="00A83FDA">
        <w:t xml:space="preserve"> also maintained to Week 160 in both CL201 and CL205.</w:t>
      </w:r>
    </w:p>
    <w:p w:rsidR="00393B6E" w:rsidRPr="00A83FDA" w:rsidRDefault="0084606D" w:rsidP="00393B6E">
      <w:pPr>
        <w:pStyle w:val="3-BodyText"/>
      </w:pPr>
      <w:r w:rsidRPr="00A83FDA">
        <w:t xml:space="preserve">The results for </w:t>
      </w:r>
      <w:r w:rsidR="00516124" w:rsidRPr="00A83FDA">
        <w:t xml:space="preserve">growth </w:t>
      </w:r>
      <w:r w:rsidR="00393B6E" w:rsidRPr="00A83FDA">
        <w:t>demonstrated increases from baseline in mean standing height/recumbent length Z score, growth velocity and 6MWT at Week</w:t>
      </w:r>
      <w:r w:rsidR="009C047C" w:rsidRPr="00A83FDA">
        <w:t>s</w:t>
      </w:r>
      <w:r w:rsidR="00393B6E" w:rsidRPr="00A83FDA">
        <w:t xml:space="preserve"> 40 and 64 in all treatment groups (except for CL205). In CL301, the (least squares mean) change from baseline in height/recumbent length Z score, growth velocity Z score and 6MWT distance walked at Week</w:t>
      </w:r>
      <w:r w:rsidR="00AF6EA4" w:rsidRPr="00A83FDA">
        <w:t>s</w:t>
      </w:r>
      <w:r w:rsidR="00393B6E" w:rsidRPr="00A83FDA">
        <w:t xml:space="preserve"> 40 and 64 were statistically significantly greater in </w:t>
      </w:r>
      <w:r w:rsidR="00AF6EA4" w:rsidRPr="00A83FDA">
        <w:t xml:space="preserve">the </w:t>
      </w:r>
      <w:r w:rsidR="003631B0" w:rsidRPr="00A83FDA">
        <w:t>burosumab</w:t>
      </w:r>
      <w:r w:rsidR="00393B6E" w:rsidRPr="00A83FDA">
        <w:t xml:space="preserve"> Q2W </w:t>
      </w:r>
      <w:r w:rsidR="00AF6EA4" w:rsidRPr="00A83FDA">
        <w:t xml:space="preserve">arm </w:t>
      </w:r>
      <w:r w:rsidR="00393B6E" w:rsidRPr="00A83FDA">
        <w:t xml:space="preserve">than </w:t>
      </w:r>
      <w:r w:rsidR="00AF6EA4" w:rsidRPr="00A83FDA">
        <w:t xml:space="preserve">in the </w:t>
      </w:r>
      <w:r w:rsidR="00393B6E" w:rsidRPr="00A83FDA">
        <w:t>conventional therapy</w:t>
      </w:r>
      <w:r w:rsidR="00AF6EA4" w:rsidRPr="00A83FDA">
        <w:t xml:space="preserve"> arm</w:t>
      </w:r>
      <w:r w:rsidR="00393B6E" w:rsidRPr="00A83FDA">
        <w:t xml:space="preserve">. In CL205, the effect of </w:t>
      </w:r>
      <w:r w:rsidR="003631B0" w:rsidRPr="00A83FDA">
        <w:t>burosumab</w:t>
      </w:r>
      <w:r w:rsidR="00393B6E" w:rsidRPr="00A83FDA">
        <w:t xml:space="preserve"> Q2W on change in growth could not be demonstrated (SD was larger than the mean) given the relatively short exposure in a small sample (N=13) of younger population (age 1-4) with variable growth patterns and variability in the assessments.</w:t>
      </w:r>
    </w:p>
    <w:p w:rsidR="00393B6E" w:rsidRPr="00A83FDA" w:rsidRDefault="00516124" w:rsidP="00DF2286">
      <w:pPr>
        <w:pStyle w:val="3-BodyText"/>
      </w:pPr>
      <w:r w:rsidRPr="00A83FDA">
        <w:t>In terms of changes in pharmacodynamic marker</w:t>
      </w:r>
      <w:r w:rsidR="00566A3F" w:rsidRPr="00A83FDA">
        <w:t>s</w:t>
      </w:r>
      <w:r w:rsidRPr="00A83FDA">
        <w:t>, a</w:t>
      </w:r>
      <w:r w:rsidR="00495AE9" w:rsidRPr="00A83FDA">
        <w:t xml:space="preserve">ll post-baseline mean levels of serum phosphorus, serum 1,25(OH)2D and phosphate reabsorption (except in CL205 which did not assess TmP/GFR) significantly increased and serum ALP (elevated in the presence of rickets) significantly decreased at Week 40 and Week 64 </w:t>
      </w:r>
      <w:r w:rsidR="00AF6EA4" w:rsidRPr="00A83FDA">
        <w:t xml:space="preserve">across </w:t>
      </w:r>
      <w:r w:rsidR="00495AE9" w:rsidRPr="00A83FDA">
        <w:t>all treatment groups. In CL301, the (least squares mean) change from baseline in serum phosphorus, serum 1,25(OH)2D, ALP and phosphate reabsorption (TmP/GFR) at Week</w:t>
      </w:r>
      <w:r w:rsidR="00AF6EA4" w:rsidRPr="00A83FDA">
        <w:t>s</w:t>
      </w:r>
      <w:r w:rsidR="00495AE9" w:rsidRPr="00A83FDA">
        <w:t xml:space="preserve"> 40 and 64 were statistically significantly greater in </w:t>
      </w:r>
      <w:r w:rsidR="00AF6EA4" w:rsidRPr="00A83FDA">
        <w:t xml:space="preserve">the </w:t>
      </w:r>
      <w:r w:rsidR="003631B0" w:rsidRPr="00A83FDA">
        <w:t>burosumab</w:t>
      </w:r>
      <w:r w:rsidR="00495AE9" w:rsidRPr="00A83FDA">
        <w:t xml:space="preserve"> Q2W </w:t>
      </w:r>
      <w:r w:rsidR="00AF6EA4" w:rsidRPr="00A83FDA">
        <w:t xml:space="preserve">arm </w:t>
      </w:r>
      <w:r w:rsidR="00495AE9" w:rsidRPr="00A83FDA">
        <w:t xml:space="preserve">than </w:t>
      </w:r>
      <w:r w:rsidR="00AF6EA4" w:rsidRPr="00A83FDA">
        <w:t xml:space="preserve">in the </w:t>
      </w:r>
      <w:r w:rsidR="00495AE9" w:rsidRPr="00A83FDA">
        <w:t>conventional therapy</w:t>
      </w:r>
      <w:r w:rsidR="00AF6EA4" w:rsidRPr="00A83FDA">
        <w:t xml:space="preserve"> arm</w:t>
      </w:r>
      <w:r w:rsidR="00495AE9" w:rsidRPr="00A83FDA">
        <w:t>.</w:t>
      </w:r>
    </w:p>
    <w:p w:rsidR="006061EE" w:rsidRPr="00A83FDA" w:rsidRDefault="00516124" w:rsidP="006061EE">
      <w:pPr>
        <w:pStyle w:val="3-BodyText"/>
      </w:pPr>
      <w:r w:rsidRPr="00A83FDA">
        <w:t>The submission also presented results of patient reported outcomes f</w:t>
      </w:r>
      <w:r w:rsidR="00AF6EA4" w:rsidRPr="00A83FDA">
        <w:t>rom</w:t>
      </w:r>
      <w:r w:rsidRPr="00A83FDA">
        <w:t xml:space="preserve"> CL301 and CL205. In CL301, </w:t>
      </w:r>
      <w:r w:rsidR="006061EE" w:rsidRPr="00A83FDA">
        <w:t xml:space="preserve">pain was assessed using the Faces Pain Scale – Revised (FPS-R) and PROMIS pain interference. There was no difference between </w:t>
      </w:r>
      <w:r w:rsidR="006A11AF" w:rsidRPr="00A83FDA">
        <w:t>treatment arms</w:t>
      </w:r>
      <w:r w:rsidR="006061EE" w:rsidRPr="00A83FDA">
        <w:t xml:space="preserve"> in FPS-R. However, </w:t>
      </w:r>
      <w:r w:rsidRPr="00A83FDA">
        <w:t xml:space="preserve">the reduction from baseline in PROMIS pain interference was </w:t>
      </w:r>
      <w:r w:rsidR="006A11AF" w:rsidRPr="00A83FDA">
        <w:t xml:space="preserve">statistically significantly </w:t>
      </w:r>
      <w:r w:rsidRPr="00A83FDA">
        <w:t xml:space="preserve">greater </w:t>
      </w:r>
      <w:r w:rsidR="006A11AF" w:rsidRPr="00A83FDA">
        <w:t xml:space="preserve">at 40 weeks </w:t>
      </w:r>
      <w:r w:rsidRPr="00A83FDA">
        <w:t xml:space="preserve">in </w:t>
      </w:r>
      <w:r w:rsidR="006A11AF" w:rsidRPr="00A83FDA">
        <w:t xml:space="preserve">the </w:t>
      </w:r>
      <w:r w:rsidR="003631B0" w:rsidRPr="00A83FDA">
        <w:t>burosumab</w:t>
      </w:r>
      <w:r w:rsidRPr="00A83FDA">
        <w:t xml:space="preserve"> Q2W </w:t>
      </w:r>
      <w:r w:rsidR="006A11AF" w:rsidRPr="00A83FDA">
        <w:t xml:space="preserve">arm </w:t>
      </w:r>
      <w:r w:rsidRPr="00A83FDA">
        <w:t xml:space="preserve">than </w:t>
      </w:r>
      <w:r w:rsidR="006A11AF" w:rsidRPr="00A83FDA">
        <w:t xml:space="preserve">with </w:t>
      </w:r>
      <w:r w:rsidRPr="00A83FDA">
        <w:t>conventional therapy. Improvement in PROMIS physical function mobility and fatigue domains at Week</w:t>
      </w:r>
      <w:r w:rsidR="006A11AF" w:rsidRPr="00A83FDA">
        <w:t>s</w:t>
      </w:r>
      <w:r w:rsidRPr="00A83FDA">
        <w:t xml:space="preserve"> 40 and 64 were not statistically different between </w:t>
      </w:r>
      <w:r w:rsidR="006A11AF" w:rsidRPr="00A83FDA">
        <w:t>treatment arms</w:t>
      </w:r>
      <w:r w:rsidRPr="00A83FDA">
        <w:t xml:space="preserve">. CL301 and CL201 reported greater improvement from baseline in SF10 physical score than psychosocial scores, and in CL301 the improvement in SF-10 physical score was greater in the </w:t>
      </w:r>
      <w:r w:rsidR="003631B0" w:rsidRPr="00A83FDA">
        <w:t>burosumab</w:t>
      </w:r>
      <w:r w:rsidRPr="00A83FDA">
        <w:t xml:space="preserve"> Q2W </w:t>
      </w:r>
      <w:r w:rsidR="006A11AF" w:rsidRPr="00A83FDA">
        <w:t xml:space="preserve">arm </w:t>
      </w:r>
      <w:r w:rsidRPr="00A83FDA">
        <w:t xml:space="preserve">than </w:t>
      </w:r>
      <w:r w:rsidR="006A11AF" w:rsidRPr="00A83FDA">
        <w:t xml:space="preserve">with </w:t>
      </w:r>
      <w:r w:rsidRPr="00A83FDA">
        <w:t>conventional therapy.</w:t>
      </w:r>
      <w:r w:rsidR="006061EE" w:rsidRPr="00A83FDA">
        <w:t xml:space="preserve"> In CL201, there were also increase</w:t>
      </w:r>
      <w:r w:rsidR="006A11AF" w:rsidRPr="00A83FDA">
        <w:t>s</w:t>
      </w:r>
      <w:r w:rsidR="006061EE" w:rsidRPr="00A83FDA">
        <w:t xml:space="preserve"> in sports and physical functioning scales and </w:t>
      </w:r>
      <w:r w:rsidR="006A11AF" w:rsidRPr="00A83FDA">
        <w:t xml:space="preserve">a </w:t>
      </w:r>
      <w:r w:rsidR="006061EE" w:rsidRPr="00A83FDA">
        <w:t xml:space="preserve">decrease in pain as assessed by the POSNA-PODCI, indicating improvement in functional ability and pain at Week 64 and up to Week 160. However, the clinical importance of the improvement in these outcomes is not known </w:t>
      </w:r>
      <w:r w:rsidR="00566A3F" w:rsidRPr="00A83FDA">
        <w:t xml:space="preserve">as </w:t>
      </w:r>
      <w:r w:rsidR="006061EE" w:rsidRPr="00A83FDA">
        <w:t xml:space="preserve">there </w:t>
      </w:r>
      <w:r w:rsidR="00566A3F" w:rsidRPr="00A83FDA">
        <w:t>wa</w:t>
      </w:r>
      <w:r w:rsidR="006061EE" w:rsidRPr="00A83FDA">
        <w:t xml:space="preserve">s no </w:t>
      </w:r>
      <w:r w:rsidR="00482FDC" w:rsidRPr="00A83FDA">
        <w:t xml:space="preserve">established </w:t>
      </w:r>
      <w:r w:rsidR="006061EE" w:rsidRPr="00A83FDA">
        <w:t>MCID for these scales in XLH.</w:t>
      </w:r>
    </w:p>
    <w:p w:rsidR="00495AE9" w:rsidRPr="00A83FDA" w:rsidRDefault="00495AE9" w:rsidP="007275F1">
      <w:pPr>
        <w:pStyle w:val="3-BodyText"/>
      </w:pPr>
      <w:r w:rsidRPr="00A83FDA">
        <w:t xml:space="preserve">The efficacy results from KRN23-003, a non-comparative study of </w:t>
      </w:r>
      <w:r w:rsidR="003631B0" w:rsidRPr="00A83FDA">
        <w:t>burosumab</w:t>
      </w:r>
      <w:r w:rsidRPr="00A83FDA">
        <w:t xml:space="preserve"> Q2W by self-administration in children aged 1</w:t>
      </w:r>
      <w:r w:rsidR="00482FDC" w:rsidRPr="00A83FDA">
        <w:t xml:space="preserve"> to </w:t>
      </w:r>
      <w:r w:rsidRPr="00A83FDA">
        <w:t xml:space="preserve">12 years with </w:t>
      </w:r>
      <w:r w:rsidRPr="002A0BF0">
        <w:t xml:space="preserve">XLH </w:t>
      </w:r>
      <w:r w:rsidR="00805FAA">
        <w:t xml:space="preserve">(see </w:t>
      </w:r>
      <w:r w:rsidR="00805FAA" w:rsidRPr="00C51D79">
        <w:t>paragraph 6.6</w:t>
      </w:r>
      <w:r w:rsidR="006A11AF" w:rsidRPr="00C51D79">
        <w:t>)</w:t>
      </w:r>
      <w:r w:rsidR="006A11AF" w:rsidRPr="00A83FDA">
        <w:t xml:space="preserve"> </w:t>
      </w:r>
      <w:r w:rsidRPr="00A83FDA">
        <w:t xml:space="preserve">demonstrated that for patients treated with </w:t>
      </w:r>
      <w:r w:rsidR="003631B0" w:rsidRPr="00A83FDA">
        <w:t>burosumab</w:t>
      </w:r>
      <w:r w:rsidRPr="00A83FDA">
        <w:t xml:space="preserve"> Q2W by self-administration there were </w:t>
      </w:r>
      <w:r w:rsidR="006A11AF" w:rsidRPr="00A83FDA">
        <w:t xml:space="preserve">non-significant </w:t>
      </w:r>
      <w:r w:rsidRPr="00A83FDA">
        <w:t>improvements in RGI-C and RSS from baseline at Week 40. However, the sample size of the study was small (N=15) and patients had milder disease compared to CL301 (e.g. mean RSS of 1.29 versus 3.2) and thus</w:t>
      </w:r>
      <w:r w:rsidR="006A11AF" w:rsidRPr="00A83FDA">
        <w:t>,</w:t>
      </w:r>
      <w:r w:rsidRPr="00A83FDA">
        <w:t xml:space="preserve"> less potential to demonstrate a difference</w:t>
      </w:r>
      <w:r w:rsidR="00DF2713" w:rsidRPr="00A83FDA">
        <w:t xml:space="preserve">. </w:t>
      </w:r>
      <w:r w:rsidR="00830D28" w:rsidRPr="00A83FDA">
        <w:t>T</w:t>
      </w:r>
      <w:r w:rsidR="006A11AF" w:rsidRPr="00A83FDA">
        <w:t>he study was conducted in Japan therefore may not be applicable to the Australian setting,</w:t>
      </w:r>
      <w:r w:rsidR="004F219B" w:rsidRPr="00A83FDA">
        <w:t xml:space="preserve"> and</w:t>
      </w:r>
      <w:r w:rsidR="006A11AF" w:rsidRPr="00A83FDA">
        <w:t xml:space="preserve"> t</w:t>
      </w:r>
      <w:r w:rsidR="00DF2713" w:rsidRPr="00A83FDA">
        <w:t>he study also indicated potential for the injection to be administered by patients or their carers given there were no noteworthy treatment emergent adverse events (TEAEs) reported after the start of self-administration</w:t>
      </w:r>
      <w:r w:rsidRPr="00A83FDA">
        <w:t>.</w:t>
      </w:r>
    </w:p>
    <w:p w:rsidR="004B48BB" w:rsidRPr="00A83FDA" w:rsidRDefault="004B48BB" w:rsidP="004B48BB">
      <w:pPr>
        <w:pStyle w:val="3-BodyText"/>
      </w:pPr>
      <w:r w:rsidRPr="00A83FDA">
        <w:t xml:space="preserve">The submission presented real world evidence from 7 clinical groups in the UK (2 sites), France, Israel, Spain, Saudi Arabia and Argentina. The evidence was presented in children and adolescents (aged 1-20 years) with XLH primarily in terms of PD outcomes as well as growth, function (6MWT) and quality of life. Overall, the data were generally consistent with the main </w:t>
      </w:r>
      <w:r w:rsidR="002F00C4" w:rsidRPr="00A83FDA">
        <w:t>study</w:t>
      </w:r>
      <w:r w:rsidRPr="00A83FDA">
        <w:t xml:space="preserve"> results presented in the submission. </w:t>
      </w:r>
      <w:r w:rsidR="007275F1" w:rsidRPr="00A83FDA">
        <w:t>Based on 12</w:t>
      </w:r>
      <w:r w:rsidR="00D672AF" w:rsidRPr="00A83FDA">
        <w:t>-</w:t>
      </w:r>
      <w:r w:rsidR="007275F1" w:rsidRPr="00A83FDA">
        <w:t xml:space="preserve">week response, </w:t>
      </w:r>
      <w:r w:rsidRPr="00A83FDA">
        <w:t>Dharmaraj et al 2019 indicate</w:t>
      </w:r>
      <w:r w:rsidR="00566A3F" w:rsidRPr="00A83FDA">
        <w:t>s</w:t>
      </w:r>
      <w:r w:rsidRPr="00A83FDA">
        <w:t xml:space="preserve"> that biochemical response</w:t>
      </w:r>
      <w:r w:rsidR="008C2AF9" w:rsidRPr="00A83FDA">
        <w:t>s</w:t>
      </w:r>
      <w:r w:rsidRPr="00A83FDA">
        <w:t xml:space="preserve"> in adolescents (aged 13</w:t>
      </w:r>
      <w:r w:rsidR="00482FDC" w:rsidRPr="00A83FDA">
        <w:t xml:space="preserve"> to </w:t>
      </w:r>
      <w:r w:rsidRPr="00A83FDA">
        <w:t xml:space="preserve">17 years) treated with </w:t>
      </w:r>
      <w:r w:rsidR="003631B0" w:rsidRPr="00A83FDA">
        <w:t>burosumab</w:t>
      </w:r>
      <w:r w:rsidRPr="00A83FDA">
        <w:t xml:space="preserve"> Q2W in the UK were consistent with data in children (aged under 4 years), and these results were comparable to the main </w:t>
      </w:r>
      <w:r w:rsidR="002F00C4" w:rsidRPr="00A83FDA">
        <w:t>studies</w:t>
      </w:r>
      <w:r w:rsidRPr="00A83FDA">
        <w:t xml:space="preserve"> which included only children 12 years and younger. However, Zhukouskaya et al 2019 demonstrated</w:t>
      </w:r>
      <w:r w:rsidR="007275F1" w:rsidRPr="00A83FDA">
        <w:t xml:space="preserve"> while</w:t>
      </w:r>
      <w:r w:rsidRPr="00A83FDA">
        <w:t xml:space="preserve"> biochemical response</w:t>
      </w:r>
      <w:r w:rsidR="008C2AF9" w:rsidRPr="00A83FDA">
        <w:t>s</w:t>
      </w:r>
      <w:r w:rsidRPr="00A83FDA">
        <w:t xml:space="preserve"> were similar between patients &lt;</w:t>
      </w:r>
      <w:r w:rsidR="00566A3F" w:rsidRPr="00A83FDA">
        <w:t xml:space="preserve"> </w:t>
      </w:r>
      <w:r w:rsidRPr="00A83FDA">
        <w:t>13 years and ≥</w:t>
      </w:r>
      <w:r w:rsidR="00566A3F" w:rsidRPr="00A83FDA">
        <w:t xml:space="preserve"> </w:t>
      </w:r>
      <w:r w:rsidRPr="00A83FDA">
        <w:t>13 years</w:t>
      </w:r>
      <w:r w:rsidR="006A11AF" w:rsidRPr="00A83FDA">
        <w:t>,</w:t>
      </w:r>
      <w:r w:rsidRPr="00A83FDA">
        <w:t xml:space="preserve"> the restoration of serum phosphate and phosphate renal reabsorption was slower in adolescents with XLH treated with </w:t>
      </w:r>
      <w:r w:rsidR="003631B0" w:rsidRPr="00A83FDA">
        <w:t>burosumab</w:t>
      </w:r>
      <w:r w:rsidRPr="00A83FDA">
        <w:t xml:space="preserve">. At 6 months, 27% of patients received maximal dose of </w:t>
      </w:r>
      <w:r w:rsidR="003631B0" w:rsidRPr="00A83FDA">
        <w:t>burosumab</w:t>
      </w:r>
      <w:r w:rsidRPr="00A83FDA">
        <w:t xml:space="preserve"> (2.0 mg/kg or 90</w:t>
      </w:r>
      <w:r w:rsidR="00566A3F" w:rsidRPr="00A83FDA">
        <w:t xml:space="preserve"> </w:t>
      </w:r>
      <w:r w:rsidRPr="00A83FDA">
        <w:t xml:space="preserve">mg) yet 61.5% of patients did not reach target serum phosphorus level. The study reported that higher doses of </w:t>
      </w:r>
      <w:r w:rsidR="003631B0" w:rsidRPr="00A83FDA">
        <w:t>burosumab</w:t>
      </w:r>
      <w:r w:rsidRPr="00A83FDA">
        <w:t xml:space="preserve"> were required to normalise phosphate metabolism in adolescents with XLH, with the mean (SD) final dose of </w:t>
      </w:r>
      <w:r w:rsidR="003631B0" w:rsidRPr="00A83FDA">
        <w:t>burosumab</w:t>
      </w:r>
      <w:r w:rsidRPr="00A83FDA">
        <w:t xml:space="preserve"> received at 9 months as 1.2 mg/kg </w:t>
      </w:r>
      <w:r w:rsidR="008C2AF9" w:rsidRPr="00A83FDA">
        <w:t xml:space="preserve">(0.5) </w:t>
      </w:r>
      <w:r w:rsidRPr="00A83FDA">
        <w:t xml:space="preserve">and 1.6 mg/kg </w:t>
      </w:r>
      <w:r w:rsidR="008C2AF9" w:rsidRPr="00A83FDA">
        <w:t xml:space="preserve">(0.2) </w:t>
      </w:r>
      <w:r w:rsidRPr="00A83FDA">
        <w:t>in patients aged &lt;</w:t>
      </w:r>
      <w:r w:rsidR="00566A3F" w:rsidRPr="00A83FDA">
        <w:t xml:space="preserve"> </w:t>
      </w:r>
      <w:r w:rsidRPr="00A83FDA">
        <w:t>13 years and ≥</w:t>
      </w:r>
      <w:r w:rsidR="00566A3F" w:rsidRPr="00A83FDA">
        <w:t xml:space="preserve"> </w:t>
      </w:r>
      <w:r w:rsidRPr="00A83FDA">
        <w:t>13 years, respectively.</w:t>
      </w:r>
    </w:p>
    <w:p w:rsidR="00B60939" w:rsidRPr="00D4558F" w:rsidRDefault="00B60939" w:rsidP="00D86231">
      <w:pPr>
        <w:pStyle w:val="4-SubsectionHeading"/>
      </w:pPr>
      <w:bookmarkStart w:id="16" w:name="_Toc22897642"/>
      <w:bookmarkStart w:id="17" w:name="_Toc61864193"/>
      <w:r w:rsidRPr="00D4558F">
        <w:t>Comparative harms</w:t>
      </w:r>
      <w:bookmarkEnd w:id="16"/>
      <w:bookmarkEnd w:id="17"/>
    </w:p>
    <w:p w:rsidR="00495AE9" w:rsidRPr="00D4558F" w:rsidRDefault="00495AE9" w:rsidP="00D86231">
      <w:pPr>
        <w:pStyle w:val="3-BodyText"/>
      </w:pPr>
      <w:r w:rsidRPr="00D4558F">
        <w:t xml:space="preserve">Table </w:t>
      </w:r>
      <w:r w:rsidR="00465CFA" w:rsidRPr="00D4558F">
        <w:t>6</w:t>
      </w:r>
      <w:r w:rsidRPr="00D4558F">
        <w:t xml:space="preserve"> summarises the key AEs for the treatment period to Week 64 for CL301 and including the treatment extension </w:t>
      </w:r>
      <w:r w:rsidR="007275F1">
        <w:t xml:space="preserve">results </w:t>
      </w:r>
      <w:r w:rsidRPr="00D4558F">
        <w:t xml:space="preserve">up to Week </w:t>
      </w:r>
      <w:r w:rsidRPr="00A17CC4">
        <w:t>214</w:t>
      </w:r>
      <w:r w:rsidR="00566A3F">
        <w:t xml:space="preserve"> </w:t>
      </w:r>
      <w:r w:rsidR="00223C2F">
        <w:t xml:space="preserve">for CL201 </w:t>
      </w:r>
      <w:r w:rsidR="007275F1">
        <w:t xml:space="preserve">and Week </w:t>
      </w:r>
      <w:r w:rsidRPr="00D4558F">
        <w:t>160 for CL205.</w:t>
      </w:r>
    </w:p>
    <w:p w:rsidR="00495AE9" w:rsidRPr="00D4558F" w:rsidRDefault="00495AE9" w:rsidP="008C2AF9">
      <w:pPr>
        <w:keepNext/>
        <w:rPr>
          <w:rFonts w:ascii="Arial Narrow" w:hAnsi="Arial Narrow"/>
          <w:b/>
          <w:sz w:val="20"/>
          <w:szCs w:val="20"/>
        </w:rPr>
      </w:pPr>
      <w:r w:rsidRPr="00D4558F">
        <w:rPr>
          <w:rFonts w:ascii="Arial Narrow" w:hAnsi="Arial Narrow"/>
          <w:b/>
          <w:sz w:val="20"/>
          <w:szCs w:val="20"/>
        </w:rPr>
        <w:t xml:space="preserve">Table </w:t>
      </w:r>
      <w:r w:rsidR="00465CFA" w:rsidRPr="00D4558F">
        <w:rPr>
          <w:rFonts w:ascii="Arial Narrow" w:hAnsi="Arial Narrow"/>
          <w:b/>
          <w:sz w:val="20"/>
          <w:szCs w:val="20"/>
        </w:rPr>
        <w:t>6</w:t>
      </w:r>
      <w:r w:rsidRPr="00D4558F">
        <w:rPr>
          <w:rFonts w:ascii="Arial Narrow" w:hAnsi="Arial Narrow"/>
          <w:b/>
          <w:sz w:val="20"/>
          <w:szCs w:val="20"/>
        </w:rPr>
        <w:t xml:space="preserve">: Summary of most common adverse events in the main </w:t>
      </w:r>
      <w:r w:rsidR="002F00C4">
        <w:rPr>
          <w:rFonts w:ascii="Arial Narrow" w:hAnsi="Arial Narrow"/>
          <w:b/>
          <w:sz w:val="20"/>
          <w:szCs w:val="20"/>
        </w:rPr>
        <w:t>studies</w:t>
      </w:r>
    </w:p>
    <w:tbl>
      <w:tblPr>
        <w:tblStyle w:val="TableGrid"/>
        <w:tblW w:w="0" w:type="auto"/>
        <w:tblCellMar>
          <w:left w:w="28" w:type="dxa"/>
          <w:right w:w="28" w:type="dxa"/>
        </w:tblCellMar>
        <w:tblLook w:val="04A0" w:firstRow="1" w:lastRow="0" w:firstColumn="1" w:lastColumn="0" w:noHBand="0" w:noVBand="1"/>
        <w:tblCaption w:val="Table 6: Summary of most common adverse events in the main studies"/>
      </w:tblPr>
      <w:tblGrid>
        <w:gridCol w:w="2972"/>
        <w:gridCol w:w="1559"/>
        <w:gridCol w:w="1560"/>
        <w:gridCol w:w="1414"/>
        <w:gridCol w:w="1512"/>
      </w:tblGrid>
      <w:tr w:rsidR="00495AE9" w:rsidRPr="00D4558F" w:rsidTr="00E21643">
        <w:trPr>
          <w:tblHeader/>
        </w:trPr>
        <w:tc>
          <w:tcPr>
            <w:tcW w:w="2972" w:type="dxa"/>
            <w:vMerge w:val="restart"/>
            <w:vAlign w:val="center"/>
          </w:tcPr>
          <w:p w:rsidR="00495AE9" w:rsidRPr="00D4558F" w:rsidRDefault="00495AE9" w:rsidP="008C2AF9">
            <w:pPr>
              <w:keepNext/>
              <w:jc w:val="left"/>
              <w:rPr>
                <w:rFonts w:ascii="Arial Narrow" w:hAnsi="Arial Narrow"/>
                <w:b/>
                <w:sz w:val="20"/>
                <w:szCs w:val="20"/>
              </w:rPr>
            </w:pPr>
            <w:r w:rsidRPr="00D4558F">
              <w:rPr>
                <w:rFonts w:ascii="Arial Narrow" w:hAnsi="Arial Narrow"/>
                <w:b/>
                <w:sz w:val="20"/>
                <w:szCs w:val="20"/>
              </w:rPr>
              <w:t>AEs</w:t>
            </w:r>
          </w:p>
        </w:tc>
        <w:tc>
          <w:tcPr>
            <w:tcW w:w="3119" w:type="dxa"/>
            <w:gridSpan w:val="2"/>
            <w:vAlign w:val="center"/>
          </w:tcPr>
          <w:p w:rsidR="009F306C" w:rsidRDefault="00495AE9" w:rsidP="008C2AF9">
            <w:pPr>
              <w:keepNext/>
              <w:jc w:val="center"/>
              <w:rPr>
                <w:rFonts w:ascii="Arial Narrow" w:hAnsi="Arial Narrow"/>
                <w:b/>
                <w:sz w:val="20"/>
                <w:szCs w:val="20"/>
              </w:rPr>
            </w:pPr>
            <w:r w:rsidRPr="00D4558F">
              <w:rPr>
                <w:rFonts w:ascii="Arial Narrow" w:hAnsi="Arial Narrow"/>
                <w:b/>
                <w:sz w:val="20"/>
                <w:szCs w:val="20"/>
              </w:rPr>
              <w:t>CL301</w:t>
            </w:r>
          </w:p>
          <w:p w:rsidR="00495AE9" w:rsidRPr="00D4558F" w:rsidRDefault="00516124" w:rsidP="008C2AF9">
            <w:pPr>
              <w:keepNext/>
              <w:jc w:val="center"/>
              <w:rPr>
                <w:rFonts w:ascii="Arial Narrow" w:hAnsi="Arial Narrow"/>
                <w:b/>
                <w:sz w:val="20"/>
                <w:szCs w:val="20"/>
              </w:rPr>
            </w:pPr>
            <w:r>
              <w:rPr>
                <w:rFonts w:ascii="Arial Narrow" w:hAnsi="Arial Narrow"/>
                <w:b/>
                <w:sz w:val="20"/>
                <w:szCs w:val="20"/>
              </w:rPr>
              <w:t>Week 64</w:t>
            </w:r>
            <w:r w:rsidR="00495AE9" w:rsidRPr="00D4558F">
              <w:rPr>
                <w:rFonts w:ascii="Arial Narrow" w:hAnsi="Arial Narrow"/>
                <w:b/>
                <w:sz w:val="20"/>
                <w:szCs w:val="20"/>
              </w:rPr>
              <w:t>^</w:t>
            </w:r>
          </w:p>
        </w:tc>
        <w:tc>
          <w:tcPr>
            <w:tcW w:w="1414" w:type="dxa"/>
            <w:vAlign w:val="center"/>
          </w:tcPr>
          <w:p w:rsidR="009F306C" w:rsidRDefault="00495AE9" w:rsidP="008C2AF9">
            <w:pPr>
              <w:keepNext/>
              <w:jc w:val="center"/>
              <w:rPr>
                <w:rFonts w:ascii="Arial Narrow" w:hAnsi="Arial Narrow"/>
                <w:b/>
                <w:sz w:val="20"/>
                <w:szCs w:val="20"/>
              </w:rPr>
            </w:pPr>
            <w:r w:rsidRPr="00D4558F">
              <w:rPr>
                <w:rFonts w:ascii="Arial Narrow" w:hAnsi="Arial Narrow"/>
                <w:b/>
                <w:sz w:val="20"/>
                <w:szCs w:val="20"/>
              </w:rPr>
              <w:t>CL201</w:t>
            </w:r>
          </w:p>
          <w:p w:rsidR="00495AE9" w:rsidRPr="00D4558F" w:rsidRDefault="009F306C" w:rsidP="008C2AF9">
            <w:pPr>
              <w:keepNext/>
              <w:jc w:val="center"/>
              <w:rPr>
                <w:rFonts w:ascii="Arial Narrow" w:hAnsi="Arial Narrow"/>
                <w:b/>
                <w:sz w:val="20"/>
                <w:szCs w:val="20"/>
              </w:rPr>
            </w:pPr>
            <w:r>
              <w:rPr>
                <w:rFonts w:ascii="Arial Narrow" w:hAnsi="Arial Narrow"/>
                <w:b/>
                <w:sz w:val="20"/>
                <w:szCs w:val="20"/>
              </w:rPr>
              <w:t>Week 214</w:t>
            </w:r>
            <w:r w:rsidRPr="009F306C">
              <w:rPr>
                <w:rFonts w:ascii="Arial Narrow" w:hAnsi="Arial Narrow"/>
                <w:b/>
                <w:sz w:val="20"/>
                <w:szCs w:val="20"/>
                <w:vertAlign w:val="superscript"/>
              </w:rPr>
              <w:t>a</w:t>
            </w:r>
          </w:p>
        </w:tc>
        <w:tc>
          <w:tcPr>
            <w:tcW w:w="1512" w:type="dxa"/>
            <w:vAlign w:val="center"/>
          </w:tcPr>
          <w:p w:rsidR="009F306C" w:rsidRDefault="00495AE9" w:rsidP="008C2AF9">
            <w:pPr>
              <w:keepNext/>
              <w:jc w:val="center"/>
              <w:rPr>
                <w:rFonts w:ascii="Arial Narrow" w:hAnsi="Arial Narrow"/>
                <w:b/>
                <w:sz w:val="20"/>
                <w:szCs w:val="20"/>
              </w:rPr>
            </w:pPr>
            <w:r w:rsidRPr="00D4558F">
              <w:rPr>
                <w:rFonts w:ascii="Arial Narrow" w:hAnsi="Arial Narrow"/>
                <w:b/>
                <w:sz w:val="20"/>
                <w:szCs w:val="20"/>
              </w:rPr>
              <w:t>CL205</w:t>
            </w:r>
          </w:p>
          <w:p w:rsidR="00495AE9" w:rsidRPr="00D4558F" w:rsidRDefault="009F306C" w:rsidP="008C2AF9">
            <w:pPr>
              <w:keepNext/>
              <w:jc w:val="center"/>
              <w:rPr>
                <w:rFonts w:ascii="Arial Narrow" w:hAnsi="Arial Narrow"/>
                <w:b/>
                <w:sz w:val="20"/>
                <w:szCs w:val="20"/>
              </w:rPr>
            </w:pPr>
            <w:r>
              <w:rPr>
                <w:rFonts w:ascii="Arial Narrow" w:hAnsi="Arial Narrow"/>
                <w:b/>
                <w:sz w:val="20"/>
                <w:szCs w:val="20"/>
              </w:rPr>
              <w:t>Week 160</w:t>
            </w:r>
            <w:r w:rsidR="00495AE9" w:rsidRPr="009F306C">
              <w:rPr>
                <w:rFonts w:ascii="Arial Narrow" w:hAnsi="Arial Narrow"/>
                <w:b/>
                <w:sz w:val="20"/>
                <w:szCs w:val="20"/>
                <w:vertAlign w:val="superscript"/>
              </w:rPr>
              <w:t>b</w:t>
            </w:r>
          </w:p>
        </w:tc>
      </w:tr>
      <w:tr w:rsidR="00495AE9" w:rsidRPr="00D4558F" w:rsidTr="00E21643">
        <w:trPr>
          <w:tblHeader/>
        </w:trPr>
        <w:tc>
          <w:tcPr>
            <w:tcW w:w="2972" w:type="dxa"/>
            <w:vMerge/>
          </w:tcPr>
          <w:p w:rsidR="00495AE9" w:rsidRPr="00D4558F" w:rsidRDefault="00495AE9" w:rsidP="008C2AF9">
            <w:pPr>
              <w:keepNext/>
              <w:rPr>
                <w:rFonts w:ascii="Arial Narrow" w:hAnsi="Arial Narrow"/>
                <w:sz w:val="20"/>
                <w:szCs w:val="20"/>
              </w:rPr>
            </w:pPr>
          </w:p>
        </w:tc>
        <w:tc>
          <w:tcPr>
            <w:tcW w:w="1559" w:type="dxa"/>
            <w:vAlign w:val="center"/>
          </w:tcPr>
          <w:p w:rsidR="00495AE9" w:rsidRPr="00D4558F" w:rsidRDefault="00DD03CB" w:rsidP="008C2AF9">
            <w:pPr>
              <w:keepNext/>
              <w:jc w:val="center"/>
              <w:rPr>
                <w:rFonts w:ascii="Arial Narrow" w:hAnsi="Arial Narrow"/>
                <w:b/>
                <w:sz w:val="20"/>
                <w:szCs w:val="20"/>
              </w:rPr>
            </w:pPr>
            <w:r>
              <w:rPr>
                <w:rFonts w:ascii="Arial Narrow" w:hAnsi="Arial Narrow"/>
                <w:b/>
                <w:sz w:val="20"/>
                <w:szCs w:val="20"/>
              </w:rPr>
              <w:t>B</w:t>
            </w:r>
            <w:r w:rsidR="00DD01CF">
              <w:rPr>
                <w:rFonts w:ascii="Arial Narrow" w:hAnsi="Arial Narrow"/>
                <w:b/>
                <w:sz w:val="20"/>
                <w:szCs w:val="20"/>
              </w:rPr>
              <w:t>urosumab</w:t>
            </w:r>
            <w:r w:rsidR="00495AE9" w:rsidRPr="00D4558F">
              <w:rPr>
                <w:rFonts w:ascii="Arial Narrow" w:hAnsi="Arial Narrow"/>
                <w:b/>
                <w:sz w:val="20"/>
                <w:szCs w:val="20"/>
              </w:rPr>
              <w:t xml:space="preserve"> Q2W (N=29)</w:t>
            </w:r>
          </w:p>
        </w:tc>
        <w:tc>
          <w:tcPr>
            <w:tcW w:w="1560" w:type="dxa"/>
            <w:vAlign w:val="center"/>
          </w:tcPr>
          <w:p w:rsidR="00495AE9" w:rsidRPr="00D4558F" w:rsidRDefault="00495AE9" w:rsidP="008C2AF9">
            <w:pPr>
              <w:keepNext/>
              <w:jc w:val="center"/>
              <w:rPr>
                <w:rFonts w:ascii="Arial Narrow" w:hAnsi="Arial Narrow"/>
                <w:b/>
                <w:sz w:val="20"/>
                <w:szCs w:val="20"/>
              </w:rPr>
            </w:pPr>
            <w:r w:rsidRPr="00D4558F">
              <w:rPr>
                <w:rFonts w:ascii="Arial Narrow" w:hAnsi="Arial Narrow"/>
                <w:b/>
                <w:sz w:val="20"/>
                <w:szCs w:val="20"/>
              </w:rPr>
              <w:t>Conventional (N=32)</w:t>
            </w:r>
          </w:p>
        </w:tc>
        <w:tc>
          <w:tcPr>
            <w:tcW w:w="1414" w:type="dxa"/>
            <w:vAlign w:val="center"/>
          </w:tcPr>
          <w:p w:rsidR="00495AE9" w:rsidRPr="00D4558F" w:rsidRDefault="00DD03CB" w:rsidP="008C2AF9">
            <w:pPr>
              <w:keepNext/>
              <w:jc w:val="center"/>
              <w:rPr>
                <w:rFonts w:ascii="Arial Narrow" w:hAnsi="Arial Narrow"/>
                <w:b/>
                <w:sz w:val="20"/>
                <w:szCs w:val="20"/>
              </w:rPr>
            </w:pPr>
            <w:r>
              <w:rPr>
                <w:rFonts w:ascii="Arial Narrow" w:hAnsi="Arial Narrow"/>
                <w:b/>
                <w:sz w:val="20"/>
                <w:szCs w:val="20"/>
              </w:rPr>
              <w:t>B</w:t>
            </w:r>
            <w:r w:rsidR="00DD01CF">
              <w:rPr>
                <w:rFonts w:ascii="Arial Narrow" w:hAnsi="Arial Narrow"/>
                <w:b/>
                <w:sz w:val="20"/>
                <w:szCs w:val="20"/>
              </w:rPr>
              <w:t>urosumab</w:t>
            </w:r>
            <w:r w:rsidR="00495AE9" w:rsidRPr="00D4558F">
              <w:rPr>
                <w:rFonts w:ascii="Arial Narrow" w:hAnsi="Arial Narrow"/>
                <w:b/>
                <w:sz w:val="20"/>
                <w:szCs w:val="20"/>
              </w:rPr>
              <w:t xml:space="preserve"> Q2W (N=26)</w:t>
            </w:r>
          </w:p>
        </w:tc>
        <w:tc>
          <w:tcPr>
            <w:tcW w:w="1512" w:type="dxa"/>
            <w:vAlign w:val="center"/>
          </w:tcPr>
          <w:p w:rsidR="00495AE9" w:rsidRPr="00D4558F" w:rsidRDefault="00DD03CB" w:rsidP="008C2AF9">
            <w:pPr>
              <w:keepNext/>
              <w:jc w:val="center"/>
              <w:rPr>
                <w:rFonts w:ascii="Arial Narrow" w:hAnsi="Arial Narrow"/>
                <w:b/>
                <w:sz w:val="20"/>
                <w:szCs w:val="20"/>
              </w:rPr>
            </w:pPr>
            <w:r>
              <w:rPr>
                <w:rFonts w:ascii="Arial Narrow" w:hAnsi="Arial Narrow"/>
                <w:b/>
                <w:sz w:val="20"/>
                <w:szCs w:val="20"/>
              </w:rPr>
              <w:t>B</w:t>
            </w:r>
            <w:r w:rsidR="00DD01CF">
              <w:rPr>
                <w:rFonts w:ascii="Arial Narrow" w:hAnsi="Arial Narrow"/>
                <w:b/>
                <w:sz w:val="20"/>
                <w:szCs w:val="20"/>
              </w:rPr>
              <w:t>urosumab</w:t>
            </w:r>
            <w:r w:rsidR="00495AE9" w:rsidRPr="00D4558F">
              <w:rPr>
                <w:rFonts w:ascii="Arial Narrow" w:hAnsi="Arial Narrow"/>
                <w:b/>
                <w:sz w:val="20"/>
                <w:szCs w:val="20"/>
              </w:rPr>
              <w:t xml:space="preserve"> Q2W (N=13)</w:t>
            </w:r>
          </w:p>
        </w:tc>
      </w:tr>
      <w:tr w:rsidR="00495AE9" w:rsidRPr="00D4558F" w:rsidTr="00DD01CF">
        <w:tc>
          <w:tcPr>
            <w:tcW w:w="2972" w:type="dxa"/>
          </w:tcPr>
          <w:p w:rsidR="00495AE9" w:rsidRPr="00D4558F" w:rsidRDefault="00495AE9" w:rsidP="008C2AF9">
            <w:pPr>
              <w:keepNext/>
              <w:rPr>
                <w:rFonts w:ascii="Arial Narrow" w:hAnsi="Arial Narrow"/>
                <w:sz w:val="20"/>
                <w:szCs w:val="20"/>
              </w:rPr>
            </w:pPr>
            <w:r w:rsidRPr="00D4558F">
              <w:rPr>
                <w:rFonts w:ascii="Arial Narrow" w:hAnsi="Arial Narrow"/>
                <w:sz w:val="20"/>
                <w:szCs w:val="20"/>
              </w:rPr>
              <w:t>Any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29 (100.0)</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27 (84.4)</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26 (100.0)</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13 (100.0)</w:t>
            </w:r>
          </w:p>
        </w:tc>
      </w:tr>
      <w:tr w:rsidR="00495AE9" w:rsidRPr="00D4558F" w:rsidTr="00DD01CF">
        <w:tc>
          <w:tcPr>
            <w:tcW w:w="2972" w:type="dxa"/>
          </w:tcPr>
          <w:p w:rsidR="00495AE9" w:rsidRPr="00D4558F" w:rsidRDefault="00495AE9" w:rsidP="008C2AF9">
            <w:pPr>
              <w:keepNext/>
              <w:rPr>
                <w:rFonts w:ascii="Arial Narrow" w:hAnsi="Arial Narrow"/>
                <w:sz w:val="20"/>
                <w:szCs w:val="20"/>
              </w:rPr>
            </w:pPr>
            <w:r w:rsidRPr="00D4558F">
              <w:rPr>
                <w:rFonts w:ascii="Arial Narrow" w:hAnsi="Arial Narrow"/>
                <w:sz w:val="20"/>
                <w:szCs w:val="20"/>
              </w:rPr>
              <w:t>Serious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3 (10.3)</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3 (9.4)</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 (7.7)</w:t>
            </w:r>
          </w:p>
        </w:tc>
      </w:tr>
      <w:tr w:rsidR="00495AE9" w:rsidRPr="00D4558F" w:rsidTr="00DD01CF">
        <w:tc>
          <w:tcPr>
            <w:tcW w:w="2972" w:type="dxa"/>
          </w:tcPr>
          <w:p w:rsidR="00495AE9" w:rsidRPr="00D4558F" w:rsidRDefault="00495AE9" w:rsidP="008C2AF9">
            <w:pPr>
              <w:keepNext/>
              <w:rPr>
                <w:rFonts w:ascii="Arial Narrow" w:hAnsi="Arial Narrow"/>
                <w:sz w:val="20"/>
                <w:szCs w:val="20"/>
              </w:rPr>
            </w:pPr>
            <w:r w:rsidRPr="00D4558F">
              <w:rPr>
                <w:rFonts w:ascii="Arial Narrow" w:hAnsi="Arial Narrow"/>
                <w:sz w:val="20"/>
                <w:szCs w:val="20"/>
              </w:rPr>
              <w:t>Treatment related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(58.6)</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8 (25.0)</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(65.4)</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5 (38.5)</w:t>
            </w:r>
          </w:p>
        </w:tc>
      </w:tr>
      <w:tr w:rsidR="00495AE9" w:rsidRPr="00D4558F" w:rsidTr="00DD01CF">
        <w:tc>
          <w:tcPr>
            <w:tcW w:w="2972" w:type="dxa"/>
          </w:tcPr>
          <w:p w:rsidR="00495AE9" w:rsidRPr="00D4558F" w:rsidRDefault="00495AE9" w:rsidP="008C2AF9">
            <w:pPr>
              <w:keepNext/>
              <w:rPr>
                <w:rFonts w:ascii="Arial Narrow" w:hAnsi="Arial Narrow"/>
                <w:sz w:val="20"/>
                <w:szCs w:val="20"/>
              </w:rPr>
            </w:pPr>
            <w:r w:rsidRPr="00D4558F">
              <w:rPr>
                <w:rFonts w:ascii="Arial Narrow" w:hAnsi="Arial Narrow"/>
                <w:sz w:val="20"/>
                <w:szCs w:val="20"/>
              </w:rPr>
              <w:t>Grade 3 or 4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4 (13.8)</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3 (9.4)</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 (3.8)</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 (15.4)</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Treatment discontinuation due to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Study discontinuation due to 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r>
      <w:tr w:rsidR="00495AE9" w:rsidRPr="00D4558F" w:rsidTr="00DD01CF">
        <w:tc>
          <w:tcPr>
            <w:tcW w:w="2972" w:type="dxa"/>
            <w:tcBorders>
              <w:bottom w:val="double" w:sz="4" w:space="0" w:color="auto"/>
            </w:tcBorders>
          </w:tcPr>
          <w:p w:rsidR="00495AE9" w:rsidRPr="00D4558F" w:rsidRDefault="00495AE9" w:rsidP="008C2AF9">
            <w:pPr>
              <w:keepNext/>
              <w:rPr>
                <w:rFonts w:ascii="Arial Narrow" w:hAnsi="Arial Narrow"/>
                <w:sz w:val="20"/>
                <w:szCs w:val="20"/>
              </w:rPr>
            </w:pPr>
            <w:r w:rsidRPr="00D4558F">
              <w:rPr>
                <w:rFonts w:ascii="Arial Narrow" w:hAnsi="Arial Narrow"/>
                <w:sz w:val="20"/>
                <w:szCs w:val="20"/>
              </w:rPr>
              <w:t>Death</w:t>
            </w:r>
          </w:p>
        </w:tc>
        <w:tc>
          <w:tcPr>
            <w:tcW w:w="1559" w:type="dxa"/>
            <w:tcBorders>
              <w:bottom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60" w:type="dxa"/>
            <w:tcBorders>
              <w:bottom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414" w:type="dxa"/>
            <w:tcBorders>
              <w:bottom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c>
          <w:tcPr>
            <w:tcW w:w="1512" w:type="dxa"/>
            <w:tcBorders>
              <w:bottom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0</w:t>
            </w:r>
          </w:p>
        </w:tc>
      </w:tr>
      <w:tr w:rsidR="00495AE9" w:rsidRPr="00D4558F" w:rsidTr="00DD01CF">
        <w:tc>
          <w:tcPr>
            <w:tcW w:w="2972" w:type="dxa"/>
            <w:tcBorders>
              <w:top w:val="double" w:sz="4" w:space="0" w:color="auto"/>
              <w:bottom w:val="single" w:sz="4" w:space="0" w:color="auto"/>
            </w:tcBorders>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General disorders and administration site conditions</w:t>
            </w:r>
          </w:p>
        </w:tc>
        <w:tc>
          <w:tcPr>
            <w:tcW w:w="1559" w:type="dxa"/>
            <w:tcBorders>
              <w:top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25 (86.2)</w:t>
            </w:r>
          </w:p>
        </w:tc>
        <w:tc>
          <w:tcPr>
            <w:tcW w:w="1560" w:type="dxa"/>
            <w:tcBorders>
              <w:top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9 (28.1)</w:t>
            </w:r>
          </w:p>
        </w:tc>
        <w:tc>
          <w:tcPr>
            <w:tcW w:w="1414" w:type="dxa"/>
            <w:tcBorders>
              <w:top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23 (88.5)</w:t>
            </w:r>
          </w:p>
        </w:tc>
        <w:tc>
          <w:tcPr>
            <w:tcW w:w="1512" w:type="dxa"/>
            <w:tcBorders>
              <w:top w:val="double" w:sz="4" w:space="0" w:color="auto"/>
            </w:tcBorders>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11 (84.6)</w:t>
            </w:r>
          </w:p>
        </w:tc>
      </w:tr>
      <w:tr w:rsidR="00495AE9" w:rsidRPr="00D4558F" w:rsidTr="00DD01CF">
        <w:tc>
          <w:tcPr>
            <w:tcW w:w="2972" w:type="dxa"/>
            <w:tcBorders>
              <w:bottom w:val="single" w:sz="4" w:space="0" w:color="auto"/>
            </w:tcBorders>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Gastrointestinal disorders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23 (79.3)</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(53.1)</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21 (80.8)</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12 (92.3)</w:t>
            </w:r>
          </w:p>
        </w:tc>
      </w:tr>
      <w:tr w:rsidR="00495AE9" w:rsidRPr="00D4558F" w:rsidTr="00DD01CF">
        <w:tc>
          <w:tcPr>
            <w:tcW w:w="2972" w:type="dxa"/>
            <w:tcBorders>
              <w:top w:val="single" w:sz="4" w:space="0" w:color="auto"/>
            </w:tcBorders>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Infections and infestations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23 (79.3)</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24 (75.0)</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25 (96.2)</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13 (100.0)</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Respiratory, thoracic and mediastinal disorders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21 (72.4)</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9 (28.1)</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24 (92.3)</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11 (84.6)</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Musculoskeletal and connective tissue disorders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(58.6)</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15 (46.9)</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(65.4)</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10 (76.9)</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Nervous system disorders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12 (41.4)</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9 (28.1)</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20 (76.9)</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7 (53.8)</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Skin and subcutaneous tissue disorders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11 (37.9)</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4 (12.5)</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14 (53.8)</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8 (61.5)</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Injury, poisoning and procedural complications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10 (34.5)</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2 (6.3)</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16 (61.5)</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11 (84.6)</w:t>
            </w:r>
          </w:p>
        </w:tc>
      </w:tr>
      <w:tr w:rsidR="00495AE9" w:rsidRPr="00D4558F" w:rsidTr="00DD01CF">
        <w:tc>
          <w:tcPr>
            <w:tcW w:w="2972" w:type="dxa"/>
            <w:vAlign w:val="center"/>
          </w:tcPr>
          <w:p w:rsidR="00495AE9" w:rsidRPr="00D4558F" w:rsidRDefault="00495AE9" w:rsidP="008C2AF9">
            <w:pPr>
              <w:keepNext/>
              <w:jc w:val="left"/>
              <w:rPr>
                <w:rFonts w:ascii="Arial Narrow" w:hAnsi="Arial Narrow"/>
                <w:sz w:val="20"/>
                <w:szCs w:val="20"/>
              </w:rPr>
            </w:pPr>
            <w:r w:rsidRPr="00D4558F">
              <w:rPr>
                <w:rFonts w:ascii="Arial Narrow" w:hAnsi="Arial Narrow"/>
                <w:sz w:val="20"/>
                <w:szCs w:val="20"/>
              </w:rPr>
              <w:t>Predefined injection site reaction TEAEs</w:t>
            </w:r>
          </w:p>
        </w:tc>
        <w:tc>
          <w:tcPr>
            <w:tcW w:w="1559"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15 (51.7)</w:t>
            </w:r>
          </w:p>
        </w:tc>
        <w:tc>
          <w:tcPr>
            <w:tcW w:w="1560"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w:t>
            </w:r>
          </w:p>
        </w:tc>
        <w:tc>
          <w:tcPr>
            <w:tcW w:w="1414"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17 (65.4)</w:t>
            </w:r>
          </w:p>
        </w:tc>
        <w:tc>
          <w:tcPr>
            <w:tcW w:w="1512" w:type="dxa"/>
            <w:vAlign w:val="center"/>
          </w:tcPr>
          <w:p w:rsidR="00495AE9" w:rsidRPr="00D4558F" w:rsidRDefault="00495AE9" w:rsidP="008C2AF9">
            <w:pPr>
              <w:keepNext/>
              <w:jc w:val="center"/>
              <w:rPr>
                <w:rFonts w:ascii="Arial Narrow" w:hAnsi="Arial Narrow"/>
                <w:sz w:val="20"/>
                <w:szCs w:val="20"/>
              </w:rPr>
            </w:pPr>
            <w:r w:rsidRPr="00D4558F">
              <w:rPr>
                <w:rFonts w:ascii="Arial Narrow" w:hAnsi="Arial Narrow"/>
                <w:sz w:val="20"/>
                <w:szCs w:val="20"/>
              </w:rPr>
              <w:t>5 (38.5)</w:t>
            </w:r>
          </w:p>
        </w:tc>
      </w:tr>
    </w:tbl>
    <w:p w:rsidR="00495AE9" w:rsidRPr="00D4558F" w:rsidRDefault="00495AE9" w:rsidP="00495AE9">
      <w:pPr>
        <w:rPr>
          <w:rFonts w:ascii="Arial Narrow" w:hAnsi="Arial Narrow"/>
          <w:sz w:val="18"/>
          <w:szCs w:val="18"/>
        </w:rPr>
      </w:pPr>
      <w:r w:rsidRPr="00D4558F">
        <w:rPr>
          <w:rFonts w:ascii="Arial Narrow" w:hAnsi="Arial Narrow"/>
          <w:sz w:val="18"/>
          <w:szCs w:val="18"/>
        </w:rPr>
        <w:t>Source: Tables 2.37 to 2.46, pp98-111 of the submission.</w:t>
      </w:r>
    </w:p>
    <w:p w:rsidR="00495AE9" w:rsidRPr="00D4558F" w:rsidRDefault="00495AE9" w:rsidP="00495AE9">
      <w:pPr>
        <w:rPr>
          <w:rFonts w:ascii="Arial Narrow" w:hAnsi="Arial Narrow"/>
          <w:sz w:val="18"/>
          <w:szCs w:val="18"/>
        </w:rPr>
      </w:pPr>
      <w:r w:rsidRPr="00D4558F">
        <w:rPr>
          <w:rFonts w:ascii="Arial Narrow" w:hAnsi="Arial Narrow"/>
          <w:sz w:val="18"/>
          <w:szCs w:val="18"/>
        </w:rPr>
        <w:t>Abbreviations: AE=adverse event; TEAE=treatment emergent adverse event; Q2W=every 2 weeks;</w:t>
      </w:r>
    </w:p>
    <w:p w:rsidR="00495AE9" w:rsidRPr="00D4558F" w:rsidRDefault="00495AE9" w:rsidP="00495AE9">
      <w:pPr>
        <w:tabs>
          <w:tab w:val="left" w:pos="142"/>
        </w:tabs>
        <w:rPr>
          <w:rFonts w:ascii="Arial Narrow" w:hAnsi="Arial Narrow"/>
          <w:sz w:val="18"/>
          <w:szCs w:val="18"/>
        </w:rPr>
      </w:pPr>
      <w:r w:rsidRPr="00D4558F">
        <w:rPr>
          <w:rFonts w:ascii="Arial Narrow" w:hAnsi="Arial Narrow"/>
          <w:sz w:val="18"/>
          <w:szCs w:val="18"/>
        </w:rPr>
        <w:t>^</w:t>
      </w:r>
      <w:r w:rsidRPr="00D4558F">
        <w:rPr>
          <w:rFonts w:ascii="Arial Narrow" w:hAnsi="Arial Narrow"/>
          <w:sz w:val="18"/>
          <w:szCs w:val="18"/>
        </w:rPr>
        <w:tab/>
        <w:t>Safety data for the treatment period (Weeks 0 to 64).</w:t>
      </w:r>
    </w:p>
    <w:p w:rsidR="00495AE9" w:rsidRPr="00D4558F" w:rsidRDefault="00495AE9" w:rsidP="00495AE9">
      <w:pPr>
        <w:tabs>
          <w:tab w:val="left" w:pos="142"/>
        </w:tabs>
        <w:rPr>
          <w:rFonts w:ascii="Arial Narrow" w:hAnsi="Arial Narrow"/>
          <w:sz w:val="18"/>
          <w:szCs w:val="18"/>
        </w:rPr>
      </w:pPr>
      <w:r w:rsidRPr="00D4558F">
        <w:rPr>
          <w:rFonts w:ascii="Arial Narrow" w:hAnsi="Arial Narrow"/>
          <w:sz w:val="18"/>
          <w:szCs w:val="18"/>
        </w:rPr>
        <w:t>a</w:t>
      </w:r>
      <w:r w:rsidRPr="00D4558F">
        <w:rPr>
          <w:rFonts w:ascii="Arial Narrow" w:hAnsi="Arial Narrow"/>
          <w:sz w:val="18"/>
          <w:szCs w:val="18"/>
        </w:rPr>
        <w:tab/>
        <w:t xml:space="preserve">Safety data were evaluated through the end of the study, up to 214 weeks (all patients received </w:t>
      </w:r>
      <w:r w:rsidR="00DD01CF">
        <w:rPr>
          <w:rFonts w:ascii="Arial Narrow" w:hAnsi="Arial Narrow"/>
          <w:sz w:val="18"/>
          <w:szCs w:val="18"/>
        </w:rPr>
        <w:t>burosumab</w:t>
      </w:r>
      <w:r w:rsidRPr="00D4558F">
        <w:rPr>
          <w:rFonts w:ascii="Arial Narrow" w:hAnsi="Arial Narrow"/>
          <w:sz w:val="18"/>
          <w:szCs w:val="18"/>
        </w:rPr>
        <w:t xml:space="preserve"> Q2W after Week 64).</w:t>
      </w:r>
    </w:p>
    <w:p w:rsidR="00495AE9" w:rsidRPr="00D4558F" w:rsidRDefault="00495AE9" w:rsidP="00495AE9">
      <w:pPr>
        <w:tabs>
          <w:tab w:val="left" w:pos="142"/>
        </w:tabs>
        <w:rPr>
          <w:rFonts w:ascii="Arial Narrow" w:hAnsi="Arial Narrow"/>
          <w:sz w:val="18"/>
          <w:szCs w:val="18"/>
        </w:rPr>
      </w:pPr>
      <w:r w:rsidRPr="00D4558F">
        <w:rPr>
          <w:rFonts w:ascii="Arial Narrow" w:hAnsi="Arial Narrow"/>
          <w:sz w:val="18"/>
          <w:szCs w:val="18"/>
        </w:rPr>
        <w:t>b</w:t>
      </w:r>
      <w:r w:rsidRPr="00D4558F">
        <w:rPr>
          <w:rFonts w:ascii="Arial Narrow" w:hAnsi="Arial Narrow"/>
          <w:sz w:val="18"/>
          <w:szCs w:val="18"/>
        </w:rPr>
        <w:tab/>
        <w:t xml:space="preserve">Safety data were evaluated through the end of the study, up to 160 weeks (patients continue to receive </w:t>
      </w:r>
      <w:r w:rsidR="00DD01CF">
        <w:rPr>
          <w:rFonts w:ascii="Arial Narrow" w:hAnsi="Arial Narrow"/>
          <w:sz w:val="18"/>
          <w:szCs w:val="18"/>
        </w:rPr>
        <w:t>burosumab</w:t>
      </w:r>
      <w:r w:rsidRPr="00D4558F">
        <w:rPr>
          <w:rFonts w:ascii="Arial Narrow" w:hAnsi="Arial Narrow"/>
          <w:sz w:val="18"/>
          <w:szCs w:val="18"/>
        </w:rPr>
        <w:t xml:space="preserve"> after Week 64).</w:t>
      </w:r>
    </w:p>
    <w:p w:rsidR="00495AE9" w:rsidRPr="00D4558F" w:rsidRDefault="00495AE9" w:rsidP="00495AE9">
      <w:pPr>
        <w:pStyle w:val="3-BodyText"/>
        <w:numPr>
          <w:ilvl w:val="0"/>
          <w:numId w:val="0"/>
        </w:numPr>
        <w:ind w:left="720"/>
      </w:pPr>
    </w:p>
    <w:p w:rsidR="00495AE9" w:rsidRPr="00A83FDA" w:rsidRDefault="00495AE9" w:rsidP="00D86231">
      <w:pPr>
        <w:pStyle w:val="3-BodyText"/>
      </w:pPr>
      <w:r w:rsidRPr="00A83FDA">
        <w:t xml:space="preserve">In CL301, </w:t>
      </w:r>
      <w:r w:rsidR="00463978" w:rsidRPr="00A83FDA">
        <w:t xml:space="preserve">after 64 weeks of follow up, </w:t>
      </w:r>
      <w:r w:rsidRPr="00A83FDA">
        <w:t xml:space="preserve">a higher proportion of patients on </w:t>
      </w:r>
      <w:r w:rsidR="003631B0" w:rsidRPr="00A83FDA">
        <w:t>burosumab</w:t>
      </w:r>
      <w:r w:rsidRPr="00A83FDA">
        <w:t xml:space="preserve"> Q2W compared to conventional therapy experienced any AEs, treatment-related AEs and injection site reactions. Across the treatment arms, the incidence of serious AEs was low</w:t>
      </w:r>
      <w:r w:rsidR="008C2AF9" w:rsidRPr="00A83FDA">
        <w:t>,</w:t>
      </w:r>
      <w:r w:rsidRPr="00A83FDA">
        <w:t xml:space="preserve"> most AEs were mild intensity, no patient experienced AEs leading to discontinuation and no deaths were reported. The proportion of patients experiencing AEs in the </w:t>
      </w:r>
      <w:r w:rsidR="003631B0" w:rsidRPr="00A83FDA">
        <w:t>burosumab</w:t>
      </w:r>
      <w:r w:rsidRPr="00A83FDA">
        <w:t xml:space="preserve"> Q2W </w:t>
      </w:r>
      <w:r w:rsidR="00482FDC" w:rsidRPr="00A83FDA">
        <w:t>arm</w:t>
      </w:r>
      <w:r w:rsidRPr="00A83FDA">
        <w:t xml:space="preserve"> </w:t>
      </w:r>
      <w:r w:rsidR="008C2AF9" w:rsidRPr="00A83FDA">
        <w:t xml:space="preserve">of CL301 </w:t>
      </w:r>
      <w:r w:rsidRPr="00A83FDA">
        <w:t>w</w:t>
      </w:r>
      <w:r w:rsidR="008C2AF9" w:rsidRPr="00A83FDA">
        <w:t>as</w:t>
      </w:r>
      <w:r w:rsidRPr="00A83FDA">
        <w:t xml:space="preserve"> generally similar </w:t>
      </w:r>
      <w:r w:rsidR="008C2AF9" w:rsidRPr="00A83FDA">
        <w:t xml:space="preserve">to the proportions in </w:t>
      </w:r>
      <w:r w:rsidRPr="00A83FDA">
        <w:t>CL201 and CL205.</w:t>
      </w:r>
    </w:p>
    <w:p w:rsidR="00495AE9" w:rsidRPr="00A83FDA" w:rsidRDefault="00495AE9" w:rsidP="00495AE9">
      <w:pPr>
        <w:pStyle w:val="3-BodyText"/>
      </w:pPr>
      <w:r w:rsidRPr="00A83FDA">
        <w:t>In the treatment extension period (</w:t>
      </w:r>
      <w:r w:rsidR="009F306C" w:rsidRPr="00A83FDA">
        <w:t xml:space="preserve">results reported at </w:t>
      </w:r>
      <w:r w:rsidRPr="00A83FDA">
        <w:t xml:space="preserve">Weeks 66 to 124) of CL301, 20/26 (77%) patients experienced AEs after switching to </w:t>
      </w:r>
      <w:r w:rsidR="003631B0" w:rsidRPr="00A83FDA">
        <w:t>burosumab</w:t>
      </w:r>
      <w:r w:rsidRPr="00A83FDA">
        <w:t xml:space="preserve"> Q2W from conventional therapy. However, there were no new safety concerns reported during the treatment extension period.</w:t>
      </w:r>
    </w:p>
    <w:p w:rsidR="00495AE9" w:rsidRDefault="00495AE9" w:rsidP="00DF2286">
      <w:pPr>
        <w:pStyle w:val="3-BodyText"/>
      </w:pPr>
      <w:r w:rsidRPr="00A83FDA">
        <w:t xml:space="preserve">The most common reported AEs were symptoms typical to paediatrics (i.e. pyrexia, cough, vomiting, nasopharyngitis, headache and </w:t>
      </w:r>
      <w:r w:rsidR="009F306C" w:rsidRPr="00A83FDA">
        <w:t>diarrhoea</w:t>
      </w:r>
      <w:r w:rsidRPr="00A83FDA">
        <w:t>), manifestation of XLH (</w:t>
      </w:r>
      <w:r w:rsidR="008C2AF9" w:rsidRPr="00A83FDA">
        <w:t xml:space="preserve">e.g. </w:t>
      </w:r>
      <w:r w:rsidRPr="00A83FDA">
        <w:t>arthralgia, pain in extremity, tooth abscess, vitamin decreased) and adverse drug reactions including injection site reactions.</w:t>
      </w:r>
    </w:p>
    <w:p w:rsidR="004F5E29" w:rsidRPr="00A83FDA" w:rsidRDefault="004F5E29" w:rsidP="00DF2286">
      <w:pPr>
        <w:pStyle w:val="3-BodyText"/>
      </w:pPr>
      <w:r>
        <w:t>The PBAC noted that burosumab was associated with more dental caries (31% vs 6%), tooth abscesses (28% vs 9%), diarrhoea (24% vs 6%), cough (51% vs 19%) and arthralgia (45% vs 31%) than conventional therapy.</w:t>
      </w:r>
    </w:p>
    <w:p w:rsidR="007F1017" w:rsidRPr="00D4558F" w:rsidRDefault="007F1017" w:rsidP="00D86231">
      <w:pPr>
        <w:pStyle w:val="4-SubsectionHeading"/>
      </w:pPr>
      <w:bookmarkStart w:id="18" w:name="_Toc22897643"/>
      <w:bookmarkStart w:id="19" w:name="_Toc61864194"/>
      <w:r w:rsidRPr="00D4558F">
        <w:t>Benefits/harms</w:t>
      </w:r>
      <w:bookmarkEnd w:id="18"/>
      <w:bookmarkEnd w:id="19"/>
    </w:p>
    <w:p w:rsidR="00495AE9" w:rsidRPr="00D4558F" w:rsidRDefault="00495AE9" w:rsidP="00DF2286">
      <w:pPr>
        <w:pStyle w:val="3-BodyText"/>
      </w:pPr>
      <w:r w:rsidRPr="00D4558F">
        <w:t xml:space="preserve">A summary of the comparative benefits and harms for </w:t>
      </w:r>
      <w:r w:rsidR="003631B0">
        <w:t>burosumab</w:t>
      </w:r>
      <w:r w:rsidRPr="00D4558F">
        <w:t xml:space="preserve"> versus conventional therapy is presented in Table </w:t>
      </w:r>
      <w:r w:rsidR="00465CFA" w:rsidRPr="00D4558F">
        <w:t>7</w:t>
      </w:r>
      <w:r w:rsidRPr="00D4558F">
        <w:t xml:space="preserve"> below.</w:t>
      </w:r>
      <w:r w:rsidR="00354194">
        <w:t xml:space="preserve"> All clinically relevant results are summarised, however the modelled economic evaluation was based solely on RSS results</w:t>
      </w:r>
      <w:r w:rsidR="006A2FEC">
        <w:t xml:space="preserve"> at Week 64</w:t>
      </w:r>
      <w:r w:rsidR="00354194">
        <w:t>.</w:t>
      </w:r>
    </w:p>
    <w:p w:rsidR="00B62715" w:rsidRPr="00D4558F" w:rsidRDefault="00B62715" w:rsidP="00D2155B">
      <w:pPr>
        <w:pStyle w:val="TableFigureHeading"/>
        <w:rPr>
          <w:rStyle w:val="CommentReference"/>
          <w:b/>
          <w:szCs w:val="24"/>
        </w:rPr>
      </w:pPr>
      <w:r w:rsidRPr="00D4558F">
        <w:rPr>
          <w:rStyle w:val="CommentReference"/>
          <w:b/>
          <w:szCs w:val="24"/>
        </w:rPr>
        <w:t xml:space="preserve">Table </w:t>
      </w:r>
      <w:r w:rsidR="00465CFA" w:rsidRPr="00D4558F">
        <w:rPr>
          <w:rStyle w:val="CommentReference"/>
          <w:b/>
          <w:szCs w:val="24"/>
        </w:rPr>
        <w:t>7</w:t>
      </w:r>
      <w:r w:rsidRPr="00D4558F">
        <w:rPr>
          <w:rStyle w:val="CommentReference"/>
          <w:b/>
          <w:szCs w:val="24"/>
        </w:rPr>
        <w:t xml:space="preserve">: Summary of comparative benefits and harms for </w:t>
      </w:r>
      <w:r w:rsidR="00DD01CF">
        <w:rPr>
          <w:rStyle w:val="CommentReference"/>
          <w:b/>
          <w:szCs w:val="24"/>
        </w:rPr>
        <w:t>burosumab</w:t>
      </w:r>
      <w:r w:rsidRPr="00D4558F">
        <w:rPr>
          <w:rStyle w:val="CommentReference"/>
          <w:b/>
          <w:szCs w:val="24"/>
        </w:rPr>
        <w:t xml:space="preserve"> </w:t>
      </w:r>
      <w:r w:rsidR="00DD01CF">
        <w:rPr>
          <w:rStyle w:val="CommentReference"/>
          <w:b/>
          <w:szCs w:val="24"/>
        </w:rPr>
        <w:t xml:space="preserve">Q2W </w:t>
      </w:r>
      <w:r w:rsidRPr="00D4558F">
        <w:rPr>
          <w:rStyle w:val="CommentReference"/>
          <w:b/>
          <w:szCs w:val="24"/>
        </w:rPr>
        <w:t xml:space="preserve">and </w:t>
      </w:r>
      <w:r w:rsidR="00BA4CFE" w:rsidRPr="00D4558F">
        <w:rPr>
          <w:rStyle w:val="CommentReference"/>
          <w:b/>
          <w:szCs w:val="24"/>
        </w:rPr>
        <w:t>conventional therapy</w:t>
      </w:r>
      <w:r w:rsidR="00B9141E">
        <w:rPr>
          <w:rStyle w:val="CommentReference"/>
          <w:b/>
          <w:szCs w:val="24"/>
        </w:rPr>
        <w:t xml:space="preserve"> – Trial CL301 </w:t>
      </w:r>
    </w:p>
    <w:tbl>
      <w:tblPr>
        <w:tblW w:w="5028" w:type="pct"/>
        <w:tblLayout w:type="fixed"/>
        <w:tblCellMar>
          <w:left w:w="28" w:type="dxa"/>
          <w:right w:w="28" w:type="dxa"/>
        </w:tblCellMar>
        <w:tblLook w:val="04A0" w:firstRow="1" w:lastRow="0" w:firstColumn="1" w:lastColumn="0" w:noHBand="0" w:noVBand="1"/>
      </w:tblPr>
      <w:tblGrid>
        <w:gridCol w:w="1981"/>
        <w:gridCol w:w="853"/>
        <w:gridCol w:w="141"/>
        <w:gridCol w:w="426"/>
        <w:gridCol w:w="709"/>
        <w:gridCol w:w="854"/>
        <w:gridCol w:w="705"/>
        <w:gridCol w:w="713"/>
        <w:gridCol w:w="281"/>
        <w:gridCol w:w="426"/>
        <w:gridCol w:w="707"/>
        <w:gridCol w:w="1271"/>
      </w:tblGrid>
      <w:tr w:rsidR="00B62715" w:rsidRPr="00D4558F" w:rsidTr="006A2FEC">
        <w:trPr>
          <w:cantSplit/>
        </w:trPr>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rsidR="00B62715" w:rsidRPr="00D4558F" w:rsidRDefault="00B62715" w:rsidP="00D2155B">
            <w:pPr>
              <w:pStyle w:val="In-tableHeading"/>
              <w:rPr>
                <w:lang w:val="en-AU"/>
              </w:rPr>
            </w:pPr>
            <w:r w:rsidRPr="00D4558F">
              <w:rPr>
                <w:lang w:val="en-AU"/>
              </w:rPr>
              <w:t>Benefits</w:t>
            </w:r>
          </w:p>
        </w:tc>
      </w:tr>
      <w:tr w:rsidR="00B62715" w:rsidRPr="00D4558F" w:rsidTr="006A2FEC">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B62715" w:rsidRPr="00D4558F" w:rsidRDefault="00F249BB" w:rsidP="00D2155B">
            <w:pPr>
              <w:pStyle w:val="In-tableHeading"/>
              <w:rPr>
                <w:lang w:val="en-AU"/>
              </w:rPr>
            </w:pPr>
            <w:r w:rsidRPr="00D4558F">
              <w:rPr>
                <w:lang w:val="en-AU"/>
              </w:rPr>
              <w:t>LS mean c</w:t>
            </w:r>
            <w:r w:rsidR="00B62715" w:rsidRPr="00D4558F">
              <w:rPr>
                <w:lang w:val="en-AU"/>
              </w:rPr>
              <w:t>hange from baseline</w:t>
            </w:r>
            <w:r w:rsidR="0084606D" w:rsidRPr="00D4558F">
              <w:rPr>
                <w:lang w:val="en-AU"/>
              </w:rPr>
              <w:t xml:space="preserve"> in</w:t>
            </w:r>
            <w:r w:rsidR="00B62715" w:rsidRPr="00D4558F">
              <w:rPr>
                <w:lang w:val="en-AU"/>
              </w:rPr>
              <w:t xml:space="preserve"> </w:t>
            </w:r>
            <w:r w:rsidR="0084606D" w:rsidRPr="00D4558F">
              <w:rPr>
                <w:lang w:val="en-AU"/>
              </w:rPr>
              <w:t>RSS and RGI-C</w:t>
            </w:r>
          </w:p>
        </w:tc>
      </w:tr>
      <w:tr w:rsidR="006A2FEC" w:rsidRPr="00D4558F" w:rsidTr="008D0975">
        <w:trPr>
          <w:cantSplit/>
          <w:trHeight w:val="225"/>
        </w:trPr>
        <w:tc>
          <w:tcPr>
            <w:tcW w:w="156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D4558F" w:rsidRDefault="0084606D" w:rsidP="00D2155B">
            <w:pPr>
              <w:pStyle w:val="TableText0"/>
            </w:pPr>
            <w:r w:rsidRPr="00D4558F">
              <w:t>CL301</w:t>
            </w:r>
            <w:r w:rsidR="006A2FEC">
              <w:t>^</w:t>
            </w:r>
          </w:p>
        </w:tc>
        <w:tc>
          <w:tcPr>
            <w:tcW w:w="1175" w:type="pct"/>
            <w:gridSpan w:val="4"/>
            <w:tcBorders>
              <w:top w:val="single" w:sz="4" w:space="0" w:color="auto"/>
              <w:left w:val="single" w:sz="4" w:space="0" w:color="auto"/>
              <w:bottom w:val="single" w:sz="4" w:space="0" w:color="auto"/>
              <w:right w:val="single" w:sz="4" w:space="0" w:color="auto"/>
            </w:tcBorders>
            <w:vAlign w:val="center"/>
          </w:tcPr>
          <w:p w:rsidR="00B62715" w:rsidRPr="00D4558F" w:rsidRDefault="00DD01CF" w:rsidP="00D2155B">
            <w:pPr>
              <w:pStyle w:val="In-tableHeading"/>
              <w:jc w:val="center"/>
              <w:rPr>
                <w:lang w:val="en-AU"/>
              </w:rPr>
            </w:pPr>
            <w:r>
              <w:rPr>
                <w:lang w:val="en-AU"/>
              </w:rPr>
              <w:t>Burosumab</w:t>
            </w:r>
          </w:p>
        </w:tc>
        <w:tc>
          <w:tcPr>
            <w:tcW w:w="1172" w:type="pct"/>
            <w:gridSpan w:val="4"/>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In-tableHeading"/>
              <w:jc w:val="center"/>
              <w:rPr>
                <w:lang w:val="en-AU"/>
              </w:rPr>
            </w:pPr>
            <w:r w:rsidRPr="00D4558F">
              <w:rPr>
                <w:lang w:val="en-AU"/>
              </w:rPr>
              <w:t>Conventional</w:t>
            </w:r>
          </w:p>
        </w:tc>
        <w:tc>
          <w:tcPr>
            <w:tcW w:w="1092" w:type="pct"/>
            <w:gridSpan w:val="2"/>
            <w:vMerge w:val="restart"/>
            <w:tcBorders>
              <w:top w:val="single" w:sz="4" w:space="0" w:color="auto"/>
              <w:left w:val="single" w:sz="4" w:space="0" w:color="auto"/>
              <w:bottom w:val="single" w:sz="4" w:space="0" w:color="auto"/>
              <w:right w:val="single" w:sz="4" w:space="0" w:color="auto"/>
            </w:tcBorders>
            <w:vAlign w:val="center"/>
          </w:tcPr>
          <w:p w:rsidR="00B62715" w:rsidRPr="00D4558F" w:rsidRDefault="00B62715" w:rsidP="0084606D">
            <w:pPr>
              <w:pStyle w:val="In-tableHeading"/>
              <w:jc w:val="center"/>
              <w:rPr>
                <w:lang w:val="en-AU"/>
              </w:rPr>
            </w:pPr>
            <w:r w:rsidRPr="00D4558F">
              <w:rPr>
                <w:lang w:val="en-AU"/>
              </w:rPr>
              <w:t>Mean difference</w:t>
            </w:r>
            <w:r w:rsidR="0084606D" w:rsidRPr="00D4558F">
              <w:rPr>
                <w:szCs w:val="18"/>
                <w:lang w:val="en-AU"/>
              </w:rPr>
              <w:t xml:space="preserve"> </w:t>
            </w:r>
            <w:r w:rsidR="008C2AF9">
              <w:rPr>
                <w:szCs w:val="18"/>
                <w:lang w:val="en-AU"/>
              </w:rPr>
              <w:br/>
            </w:r>
            <w:r w:rsidRPr="00D4558F">
              <w:rPr>
                <w:szCs w:val="18"/>
                <w:lang w:val="en-AU"/>
              </w:rPr>
              <w:t>(95% CI)</w:t>
            </w:r>
          </w:p>
        </w:tc>
      </w:tr>
      <w:tr w:rsidR="008C2AF9" w:rsidRPr="00D4558F" w:rsidTr="008D0975">
        <w:trPr>
          <w:cantSplit/>
          <w:trHeight w:val="225"/>
        </w:trPr>
        <w:tc>
          <w:tcPr>
            <w:tcW w:w="156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D4558F" w:rsidRDefault="00B62715" w:rsidP="00816361">
            <w:pPr>
              <w:keepNext/>
              <w:keepLines/>
              <w:rPr>
                <w:rFonts w:ascii="Arial Narrow" w:hAnsi="Arial Narrow"/>
                <w:color w:val="000000"/>
                <w:sz w:val="20"/>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B24DF6" w:rsidP="00D2155B">
            <w:pPr>
              <w:pStyle w:val="In-tableHeading"/>
              <w:jc w:val="center"/>
              <w:rPr>
                <w:lang w:val="en-AU"/>
              </w:rPr>
            </w:pPr>
            <w:r w:rsidRPr="00D4558F">
              <w:rPr>
                <w:lang w:val="en-AU"/>
              </w:rPr>
              <w:t>N</w:t>
            </w:r>
          </w:p>
        </w:tc>
        <w:tc>
          <w:tcPr>
            <w:tcW w:w="391" w:type="pct"/>
            <w:tcBorders>
              <w:top w:val="single" w:sz="4" w:space="0" w:color="auto"/>
              <w:left w:val="single" w:sz="4" w:space="0" w:color="auto"/>
              <w:bottom w:val="single" w:sz="4" w:space="0" w:color="auto"/>
              <w:right w:val="single" w:sz="4" w:space="0" w:color="auto"/>
            </w:tcBorders>
            <w:vAlign w:val="center"/>
          </w:tcPr>
          <w:p w:rsidR="00B62715" w:rsidRPr="00D4558F" w:rsidRDefault="00B62715" w:rsidP="00D2155B">
            <w:pPr>
              <w:pStyle w:val="In-tableHeading"/>
              <w:jc w:val="center"/>
              <w:rPr>
                <w:lang w:val="en-AU"/>
              </w:rPr>
            </w:pPr>
            <w:r w:rsidRPr="00D4558F">
              <w:rPr>
                <w:lang w:val="en-AU"/>
              </w:rPr>
              <w:t>Mean ∆ baseline</w:t>
            </w:r>
          </w:p>
        </w:tc>
        <w:tc>
          <w:tcPr>
            <w:tcW w:w="471" w:type="pct"/>
            <w:tcBorders>
              <w:top w:val="single" w:sz="4" w:space="0" w:color="auto"/>
              <w:left w:val="single" w:sz="4" w:space="0" w:color="auto"/>
              <w:bottom w:val="single" w:sz="4" w:space="0" w:color="auto"/>
              <w:right w:val="single" w:sz="4" w:space="0" w:color="auto"/>
            </w:tcBorders>
            <w:vAlign w:val="center"/>
          </w:tcPr>
          <w:p w:rsidR="00B62715" w:rsidRPr="00D4558F" w:rsidRDefault="00B62715" w:rsidP="00D2155B">
            <w:pPr>
              <w:pStyle w:val="In-tableHeading"/>
              <w:jc w:val="center"/>
              <w:rPr>
                <w:lang w:val="en-AU"/>
              </w:rPr>
            </w:pPr>
            <w:r w:rsidRPr="00D4558F">
              <w:rPr>
                <w:lang w:val="en-AU"/>
              </w:rPr>
              <w:t>S</w:t>
            </w:r>
            <w:r w:rsidR="0084606D" w:rsidRPr="00D4558F">
              <w:rPr>
                <w:lang w:val="en-AU"/>
              </w:rPr>
              <w:t>E</w:t>
            </w:r>
          </w:p>
        </w:tc>
        <w:tc>
          <w:tcPr>
            <w:tcW w:w="389" w:type="pct"/>
            <w:tcBorders>
              <w:top w:val="single" w:sz="4" w:space="0" w:color="auto"/>
              <w:left w:val="single" w:sz="4" w:space="0" w:color="auto"/>
              <w:bottom w:val="single" w:sz="4" w:space="0" w:color="auto"/>
              <w:right w:val="single" w:sz="4" w:space="0" w:color="auto"/>
            </w:tcBorders>
            <w:vAlign w:val="center"/>
          </w:tcPr>
          <w:p w:rsidR="00B62715" w:rsidRPr="00D4558F" w:rsidRDefault="00B24DF6" w:rsidP="00D2155B">
            <w:pPr>
              <w:pStyle w:val="In-tableHeading"/>
              <w:jc w:val="center"/>
              <w:rPr>
                <w:lang w:val="en-AU"/>
              </w:rPr>
            </w:pPr>
            <w:r w:rsidRPr="00D4558F">
              <w:rPr>
                <w:lang w:val="en-AU"/>
              </w:rPr>
              <w:t>N</w:t>
            </w:r>
          </w:p>
        </w:tc>
        <w:tc>
          <w:tcPr>
            <w:tcW w:w="393" w:type="pct"/>
            <w:tcBorders>
              <w:top w:val="single" w:sz="4" w:space="0" w:color="auto"/>
              <w:left w:val="single" w:sz="4" w:space="0" w:color="auto"/>
              <w:bottom w:val="single" w:sz="4" w:space="0" w:color="auto"/>
              <w:right w:val="single" w:sz="4" w:space="0" w:color="auto"/>
            </w:tcBorders>
            <w:vAlign w:val="center"/>
          </w:tcPr>
          <w:p w:rsidR="00B62715" w:rsidRPr="00D4558F" w:rsidRDefault="00B62715" w:rsidP="00D2155B">
            <w:pPr>
              <w:pStyle w:val="In-tableHeading"/>
              <w:jc w:val="center"/>
              <w:rPr>
                <w:lang w:val="en-AU"/>
              </w:rPr>
            </w:pPr>
            <w:r w:rsidRPr="00D4558F">
              <w:rPr>
                <w:lang w:val="en-AU"/>
              </w:rPr>
              <w:t>Mean ∆ baseline</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B62715" w:rsidP="00D2155B">
            <w:pPr>
              <w:pStyle w:val="In-tableHeading"/>
              <w:jc w:val="center"/>
              <w:rPr>
                <w:lang w:val="en-AU"/>
              </w:rPr>
            </w:pPr>
            <w:r w:rsidRPr="00D4558F">
              <w:rPr>
                <w:lang w:val="en-AU"/>
              </w:rPr>
              <w:t>S</w:t>
            </w:r>
            <w:r w:rsidR="0084606D" w:rsidRPr="00D4558F">
              <w:rPr>
                <w:lang w:val="en-AU"/>
              </w:rPr>
              <w:t>E</w:t>
            </w:r>
          </w:p>
        </w:tc>
        <w:tc>
          <w:tcPr>
            <w:tcW w:w="1092" w:type="pct"/>
            <w:gridSpan w:val="2"/>
            <w:vMerge/>
            <w:tcBorders>
              <w:top w:val="single" w:sz="4" w:space="0" w:color="auto"/>
              <w:left w:val="single" w:sz="4" w:space="0" w:color="auto"/>
              <w:bottom w:val="single" w:sz="4" w:space="0" w:color="auto"/>
              <w:right w:val="single" w:sz="4" w:space="0" w:color="auto"/>
            </w:tcBorders>
            <w:vAlign w:val="center"/>
          </w:tcPr>
          <w:p w:rsidR="00B62715" w:rsidRPr="00D4558F" w:rsidRDefault="00B62715" w:rsidP="00816361">
            <w:pPr>
              <w:keepNext/>
              <w:keepLines/>
              <w:jc w:val="center"/>
              <w:rPr>
                <w:rFonts w:ascii="Arial Narrow" w:hAnsi="Arial Narrow"/>
                <w:b/>
                <w:sz w:val="20"/>
                <w:szCs w:val="18"/>
              </w:rPr>
            </w:pPr>
          </w:p>
        </w:tc>
      </w:tr>
      <w:tr w:rsidR="008C2AF9" w:rsidRPr="00D4558F" w:rsidTr="008D0975">
        <w:trPr>
          <w:cantSplit/>
          <w:trHeight w:val="225"/>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CFE" w:rsidRPr="00D4558F" w:rsidRDefault="00BA4CFE" w:rsidP="006A2FEC">
            <w:pPr>
              <w:keepNext/>
              <w:keepLines/>
              <w:rPr>
                <w:rFonts w:ascii="Arial Narrow" w:hAnsi="Arial Narrow"/>
                <w:color w:val="000000"/>
                <w:sz w:val="20"/>
                <w:szCs w:val="18"/>
              </w:rPr>
            </w:pPr>
            <w:r w:rsidRPr="00D4558F">
              <w:rPr>
                <w:rFonts w:ascii="Arial Narrow" w:hAnsi="Arial Narrow"/>
                <w:color w:val="000000"/>
                <w:sz w:val="20"/>
                <w:szCs w:val="18"/>
              </w:rPr>
              <w:t>RGI-C, Wk 40</w:t>
            </w:r>
            <w:r w:rsidR="006A2FEC">
              <w:rPr>
                <w:rFonts w:ascii="Arial Narrow" w:hAnsi="Arial Narrow"/>
                <w:color w:val="000000"/>
                <w:sz w:val="20"/>
                <w:szCs w:val="18"/>
              </w:rPr>
              <w:t>^</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29</w:t>
            </w:r>
          </w:p>
        </w:tc>
        <w:tc>
          <w:tcPr>
            <w:tcW w:w="391"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+1.92</w:t>
            </w:r>
          </w:p>
        </w:tc>
        <w:tc>
          <w:tcPr>
            <w:tcW w:w="471"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0.11</w:t>
            </w:r>
          </w:p>
        </w:tc>
        <w:tc>
          <w:tcPr>
            <w:tcW w:w="389"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32</w:t>
            </w:r>
          </w:p>
        </w:tc>
        <w:tc>
          <w:tcPr>
            <w:tcW w:w="393"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+0.77</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0.11</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keepNext/>
              <w:keepLines/>
              <w:jc w:val="center"/>
              <w:rPr>
                <w:rFonts w:ascii="Arial Narrow" w:hAnsi="Arial Narrow"/>
                <w:sz w:val="20"/>
                <w:szCs w:val="18"/>
              </w:rPr>
            </w:pPr>
            <w:r w:rsidRPr="00D4558F">
              <w:rPr>
                <w:rFonts w:ascii="Arial Narrow" w:hAnsi="Arial Narrow"/>
                <w:b/>
                <w:sz w:val="20"/>
                <w:szCs w:val="20"/>
              </w:rPr>
              <w:t>1.14 (0.83, 1.45)</w:t>
            </w:r>
          </w:p>
        </w:tc>
      </w:tr>
      <w:tr w:rsidR="008C2AF9" w:rsidRPr="00D4558F" w:rsidTr="008D0975">
        <w:trPr>
          <w:cantSplit/>
          <w:trHeight w:val="225"/>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CFE" w:rsidRPr="00D4558F" w:rsidRDefault="00BA4CFE" w:rsidP="006A2FEC">
            <w:pPr>
              <w:keepNext/>
              <w:keepLines/>
              <w:rPr>
                <w:rFonts w:ascii="Arial Narrow" w:hAnsi="Arial Narrow"/>
                <w:color w:val="000000"/>
                <w:sz w:val="20"/>
                <w:szCs w:val="18"/>
              </w:rPr>
            </w:pPr>
            <w:r w:rsidRPr="00D4558F">
              <w:rPr>
                <w:rFonts w:ascii="Arial Narrow" w:hAnsi="Arial Narrow"/>
                <w:color w:val="000000"/>
                <w:sz w:val="20"/>
                <w:szCs w:val="18"/>
              </w:rPr>
              <w:t>RGI-C,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29</w:t>
            </w:r>
          </w:p>
        </w:tc>
        <w:tc>
          <w:tcPr>
            <w:tcW w:w="391"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+2.06</w:t>
            </w:r>
          </w:p>
        </w:tc>
        <w:tc>
          <w:tcPr>
            <w:tcW w:w="471"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0.072</w:t>
            </w:r>
          </w:p>
        </w:tc>
        <w:tc>
          <w:tcPr>
            <w:tcW w:w="389"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32</w:t>
            </w:r>
          </w:p>
        </w:tc>
        <w:tc>
          <w:tcPr>
            <w:tcW w:w="393" w:type="pct"/>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+1.03</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pStyle w:val="In-tableHeading"/>
              <w:jc w:val="center"/>
              <w:rPr>
                <w:b w:val="0"/>
                <w:lang w:val="en-AU"/>
              </w:rPr>
            </w:pPr>
            <w:r w:rsidRPr="00D4558F">
              <w:rPr>
                <w:b w:val="0"/>
                <w:lang w:val="en-AU"/>
              </w:rPr>
              <w:t>0.14</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BA4CFE" w:rsidRPr="00D4558F" w:rsidRDefault="00BA4CFE" w:rsidP="00BA4CFE">
            <w:pPr>
              <w:keepNext/>
              <w:keepLines/>
              <w:jc w:val="center"/>
              <w:rPr>
                <w:rFonts w:ascii="Arial Narrow" w:hAnsi="Arial Narrow"/>
                <w:sz w:val="20"/>
                <w:szCs w:val="18"/>
              </w:rPr>
            </w:pPr>
            <w:r w:rsidRPr="00D4558F">
              <w:rPr>
                <w:rFonts w:ascii="Arial Narrow" w:hAnsi="Arial Narrow"/>
                <w:b/>
                <w:sz w:val="20"/>
                <w:szCs w:val="20"/>
              </w:rPr>
              <w:t>1.02 (0.72, 1.33)</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715" w:rsidRPr="00D4558F" w:rsidRDefault="00BA4CFE" w:rsidP="00D2155B">
            <w:pPr>
              <w:pStyle w:val="TableText0"/>
            </w:pPr>
            <w:r w:rsidRPr="00D4558F">
              <w:t xml:space="preserve">RSS, </w:t>
            </w:r>
            <w:r w:rsidR="0084606D" w:rsidRPr="00D4558F">
              <w:t>Wk 40</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29</w:t>
            </w:r>
          </w:p>
        </w:tc>
        <w:tc>
          <w:tcPr>
            <w:tcW w:w="391" w:type="pct"/>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-2.04</w:t>
            </w:r>
          </w:p>
        </w:tc>
        <w:tc>
          <w:tcPr>
            <w:tcW w:w="471" w:type="pct"/>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0.15</w:t>
            </w:r>
          </w:p>
        </w:tc>
        <w:tc>
          <w:tcPr>
            <w:tcW w:w="389" w:type="pct"/>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32</w:t>
            </w:r>
          </w:p>
        </w:tc>
        <w:tc>
          <w:tcPr>
            <w:tcW w:w="393" w:type="pct"/>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-0.71</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pPr>
            <w:r w:rsidRPr="00D4558F">
              <w:t>0.14</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84606D" w:rsidP="00D2155B">
            <w:pPr>
              <w:pStyle w:val="TableText0"/>
              <w:jc w:val="center"/>
              <w:rPr>
                <w:b/>
              </w:rPr>
            </w:pPr>
            <w:r w:rsidRPr="00D4558F">
              <w:rPr>
                <w:b/>
              </w:rPr>
              <w:t>-1.34 (-1.74, -0.94)</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715" w:rsidRPr="00D4558F" w:rsidRDefault="00BA4CFE" w:rsidP="00D2155B">
            <w:pPr>
              <w:pStyle w:val="TableText0"/>
            </w:pPr>
            <w:r w:rsidRPr="00D4558F">
              <w:t xml:space="preserve">RSS, </w:t>
            </w:r>
            <w:r w:rsidR="0084606D" w:rsidRPr="00D4558F">
              <w:t>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t>29</w:t>
            </w:r>
          </w:p>
        </w:tc>
        <w:tc>
          <w:tcPr>
            <w:tcW w:w="391" w:type="pct"/>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rPr>
                <w:szCs w:val="20"/>
              </w:rPr>
              <w:t>-2.23</w:t>
            </w:r>
          </w:p>
        </w:tc>
        <w:tc>
          <w:tcPr>
            <w:tcW w:w="471" w:type="pct"/>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rPr>
                <w:szCs w:val="20"/>
              </w:rPr>
              <w:t>0.12</w:t>
            </w:r>
          </w:p>
        </w:tc>
        <w:tc>
          <w:tcPr>
            <w:tcW w:w="389" w:type="pct"/>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t>32</w:t>
            </w:r>
          </w:p>
        </w:tc>
        <w:tc>
          <w:tcPr>
            <w:tcW w:w="393" w:type="pct"/>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rPr>
                <w:szCs w:val="20"/>
              </w:rPr>
              <w:t>-1.01</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rPr>
                <w:szCs w:val="20"/>
              </w:rPr>
              <w:t>0.15</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B62715" w:rsidRPr="00D4558F" w:rsidRDefault="00BA4CFE" w:rsidP="00D2155B">
            <w:pPr>
              <w:pStyle w:val="TableText0"/>
              <w:jc w:val="center"/>
            </w:pPr>
            <w:r w:rsidRPr="00D4558F">
              <w:rPr>
                <w:b/>
                <w:szCs w:val="20"/>
              </w:rPr>
              <w:t>-1.21 (-1.59, -0.83)</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4558F" w:rsidRDefault="00D610F0" w:rsidP="007275F1">
            <w:pPr>
              <w:pStyle w:val="TableText0"/>
            </w:pPr>
            <w:r w:rsidRPr="0063079D">
              <w:t xml:space="preserve">Standing </w:t>
            </w:r>
            <w:r>
              <w:t>h</w:t>
            </w:r>
            <w:r w:rsidRPr="0063079D">
              <w:t>eight/</w:t>
            </w:r>
            <w:r>
              <w:t xml:space="preserve"> r</w:t>
            </w:r>
            <w:r w:rsidRPr="0063079D">
              <w:t xml:space="preserve">ecumbent </w:t>
            </w:r>
            <w:r>
              <w:t>l</w:t>
            </w:r>
            <w:r w:rsidRPr="0063079D">
              <w:t>ength Z Score</w:t>
            </w:r>
            <w:r>
              <w:t>,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+0.17</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0.066</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+0.02</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0.035</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6A2FEC">
            <w:pPr>
              <w:pStyle w:val="TableText0"/>
              <w:jc w:val="center"/>
              <w:rPr>
                <w:b/>
                <w:szCs w:val="20"/>
              </w:rPr>
            </w:pPr>
            <w:r w:rsidRPr="00D4558F">
              <w:rPr>
                <w:b/>
                <w:szCs w:val="20"/>
              </w:rPr>
              <w:t>+0.14</w:t>
            </w:r>
            <w:r w:rsidR="006A2FEC">
              <w:rPr>
                <w:b/>
                <w:szCs w:val="20"/>
              </w:rPr>
              <w:t xml:space="preserve"> </w:t>
            </w:r>
            <w:r w:rsidRPr="00D4558F">
              <w:rPr>
                <w:b/>
                <w:szCs w:val="20"/>
              </w:rPr>
              <w:t>(+0.00, +0.29)</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4558F" w:rsidRDefault="00D610F0" w:rsidP="007275F1">
            <w:pPr>
              <w:pStyle w:val="TableText0"/>
            </w:pPr>
            <w:r w:rsidRPr="0063079D">
              <w:t xml:space="preserve">Growth </w:t>
            </w:r>
            <w:r>
              <w:t>v</w:t>
            </w:r>
            <w:r w:rsidRPr="0063079D">
              <w:t xml:space="preserve">elocity of </w:t>
            </w:r>
            <w:r>
              <w:t>s</w:t>
            </w:r>
            <w:r w:rsidRPr="0063079D">
              <w:t xml:space="preserve">tanding </w:t>
            </w:r>
            <w:r>
              <w:t>h</w:t>
            </w:r>
            <w:r w:rsidRPr="0063079D">
              <w:t>eight/</w:t>
            </w:r>
            <w:r>
              <w:t xml:space="preserve"> r</w:t>
            </w:r>
            <w:r w:rsidRPr="0063079D">
              <w:t xml:space="preserve">ecumbent </w:t>
            </w:r>
            <w:r>
              <w:t>l</w:t>
            </w:r>
            <w:r w:rsidRPr="0063079D">
              <w:t>ength (Z Score)</w:t>
            </w:r>
            <w:r>
              <w:t>,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+1.</w:t>
            </w:r>
            <w:r>
              <w:rPr>
                <w:szCs w:val="20"/>
              </w:rPr>
              <w:t>53</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w:t>
            </w:r>
            <w:r>
              <w:rPr>
                <w:szCs w:val="20"/>
              </w:rPr>
              <w:t>26</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+0.41</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63079D">
              <w:rPr>
                <w:szCs w:val="20"/>
              </w:rPr>
              <w:t>0.27</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A17CC4">
            <w:pPr>
              <w:pStyle w:val="TableText0"/>
              <w:jc w:val="center"/>
              <w:rPr>
                <w:b/>
                <w:szCs w:val="20"/>
              </w:rPr>
            </w:pPr>
            <w:r w:rsidRPr="00D4558F">
              <w:rPr>
                <w:b/>
                <w:szCs w:val="20"/>
              </w:rPr>
              <w:t>+1.12</w:t>
            </w:r>
            <w:r w:rsidR="00A17CC4">
              <w:rPr>
                <w:b/>
                <w:szCs w:val="20"/>
              </w:rPr>
              <w:t xml:space="preserve"> </w:t>
            </w:r>
            <w:r w:rsidRPr="00D4558F">
              <w:rPr>
                <w:b/>
                <w:szCs w:val="20"/>
              </w:rPr>
              <w:t>(0.37, 1.88)</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4558F" w:rsidRDefault="00D610F0" w:rsidP="007275F1">
            <w:pPr>
              <w:pStyle w:val="TableText0"/>
            </w:pPr>
            <w:r w:rsidRPr="0063079D">
              <w:t>6MWT</w:t>
            </w:r>
            <w:r>
              <w:t>,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Pr>
                <w:szCs w:val="20"/>
              </w:rPr>
              <w:t>+75</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Pr>
                <w:szCs w:val="20"/>
              </w:rPr>
              <w:t>13</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Pr>
                <w:szCs w:val="20"/>
              </w:rPr>
              <w:t>+29</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Pr>
                <w:szCs w:val="20"/>
              </w:rPr>
              <w:t>17</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6A2FEC">
            <w:pPr>
              <w:pStyle w:val="TableText0"/>
              <w:jc w:val="center"/>
              <w:rPr>
                <w:b/>
                <w:szCs w:val="20"/>
              </w:rPr>
            </w:pPr>
            <w:r w:rsidRPr="00D4558F">
              <w:rPr>
                <w:b/>
                <w:szCs w:val="20"/>
              </w:rPr>
              <w:t>+46</w:t>
            </w:r>
            <w:r w:rsidR="006A2FEC">
              <w:rPr>
                <w:b/>
                <w:szCs w:val="20"/>
              </w:rPr>
              <w:t xml:space="preserve"> </w:t>
            </w:r>
            <w:r w:rsidRPr="00D4558F">
              <w:rPr>
                <w:b/>
                <w:szCs w:val="20"/>
              </w:rPr>
              <w:t>(2, 89)</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F2713" w:rsidRDefault="00D610F0" w:rsidP="007275F1">
            <w:pPr>
              <w:pStyle w:val="TableText0"/>
              <w:rPr>
                <w:lang w:val="de-DE"/>
              </w:rPr>
            </w:pPr>
            <w:r w:rsidRPr="00DF2713">
              <w:rPr>
                <w:lang w:val="de-DE"/>
              </w:rPr>
              <w:t>Serum phosphate (mg/dL),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+0.98</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0.061</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+0.24</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0.058</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b/>
                <w:szCs w:val="20"/>
              </w:rPr>
            </w:pPr>
            <w:r w:rsidRPr="00D4558F">
              <w:rPr>
                <w:b/>
                <w:szCs w:val="20"/>
              </w:rPr>
              <w:t>0.74 (0.58, 0.91)</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4558F" w:rsidRDefault="00D610F0" w:rsidP="007275F1">
            <w:pPr>
              <w:pStyle w:val="TableText0"/>
            </w:pPr>
            <w:r w:rsidRPr="00045632">
              <w:t>1,25(OH)2D (pg/mL)</w:t>
            </w:r>
            <w:r>
              <w:t>,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9.89</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2.24</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1.19</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2.79</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b/>
                <w:szCs w:val="20"/>
              </w:rPr>
            </w:pPr>
            <w:r w:rsidRPr="00D4558F">
              <w:rPr>
                <w:b/>
                <w:szCs w:val="20"/>
              </w:rPr>
              <w:t>8.70 (1.72, 15.68)</w:t>
            </w:r>
          </w:p>
        </w:tc>
      </w:tr>
      <w:tr w:rsidR="008C2AF9" w:rsidRPr="00D4558F" w:rsidTr="008D0975">
        <w:trPr>
          <w:cantSplit/>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0F0" w:rsidRPr="00D4558F" w:rsidRDefault="00D610F0" w:rsidP="007275F1">
            <w:pPr>
              <w:pStyle w:val="TableText0"/>
            </w:pPr>
            <w:r w:rsidRPr="00045632">
              <w:t>TmP/GFR (mg/dL)</w:t>
            </w:r>
            <w:r>
              <w:t>, Wk 64</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1.16</w:t>
            </w:r>
          </w:p>
        </w:tc>
        <w:tc>
          <w:tcPr>
            <w:tcW w:w="471"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0.13</w:t>
            </w:r>
          </w:p>
        </w:tc>
        <w:tc>
          <w:tcPr>
            <w:tcW w:w="389"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-0.09</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0.07</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D610F0" w:rsidRPr="00D4558F" w:rsidRDefault="00D610F0" w:rsidP="007275F1">
            <w:pPr>
              <w:pStyle w:val="TableText0"/>
              <w:jc w:val="center"/>
              <w:rPr>
                <w:b/>
                <w:szCs w:val="20"/>
              </w:rPr>
            </w:pPr>
            <w:r w:rsidRPr="00D4558F">
              <w:rPr>
                <w:b/>
                <w:szCs w:val="20"/>
              </w:rPr>
              <w:t>1.25 (0.96, 1.54)</w:t>
            </w:r>
          </w:p>
        </w:tc>
      </w:tr>
      <w:tr w:rsidR="008C2AF9" w:rsidRPr="00D4558F" w:rsidTr="008D0975">
        <w:trPr>
          <w:cantSplit/>
        </w:trPr>
        <w:tc>
          <w:tcPr>
            <w:tcW w:w="1562"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610F0" w:rsidRPr="00D4558F" w:rsidRDefault="00D610F0" w:rsidP="007275F1">
            <w:pPr>
              <w:pStyle w:val="TableText0"/>
            </w:pPr>
            <w:r w:rsidRPr="00045632">
              <w:t>ALP (U/L)</w:t>
            </w:r>
            <w:r>
              <w:t>, Wk 64</w:t>
            </w:r>
          </w:p>
        </w:tc>
        <w:tc>
          <w:tcPr>
            <w:tcW w:w="313" w:type="pct"/>
            <w:gridSpan w:val="2"/>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pPr>
            <w:r>
              <w:t>29</w:t>
            </w:r>
          </w:p>
        </w:tc>
        <w:tc>
          <w:tcPr>
            <w:tcW w:w="391" w:type="pct"/>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-174.62</w:t>
            </w:r>
          </w:p>
        </w:tc>
        <w:tc>
          <w:tcPr>
            <w:tcW w:w="471" w:type="pct"/>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13.43</w:t>
            </w:r>
          </w:p>
        </w:tc>
        <w:tc>
          <w:tcPr>
            <w:tcW w:w="389" w:type="pct"/>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pPr>
            <w:r>
              <w:t>32</w:t>
            </w:r>
          </w:p>
        </w:tc>
        <w:tc>
          <w:tcPr>
            <w:tcW w:w="393" w:type="pct"/>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-28.06</w:t>
            </w:r>
          </w:p>
        </w:tc>
        <w:tc>
          <w:tcPr>
            <w:tcW w:w="390" w:type="pct"/>
            <w:gridSpan w:val="2"/>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rPr>
                <w:szCs w:val="20"/>
              </w:rPr>
            </w:pPr>
            <w:r w:rsidRPr="00045632">
              <w:rPr>
                <w:szCs w:val="20"/>
              </w:rPr>
              <w:t>19.98</w:t>
            </w:r>
          </w:p>
        </w:tc>
        <w:tc>
          <w:tcPr>
            <w:tcW w:w="1092" w:type="pct"/>
            <w:gridSpan w:val="2"/>
            <w:tcBorders>
              <w:top w:val="single" w:sz="4" w:space="0" w:color="auto"/>
              <w:left w:val="single" w:sz="4" w:space="0" w:color="auto"/>
              <w:bottom w:val="double" w:sz="4" w:space="0" w:color="auto"/>
              <w:right w:val="single" w:sz="4" w:space="0" w:color="auto"/>
            </w:tcBorders>
            <w:vAlign w:val="center"/>
          </w:tcPr>
          <w:p w:rsidR="00D610F0" w:rsidRPr="00D4558F" w:rsidRDefault="00D610F0" w:rsidP="007275F1">
            <w:pPr>
              <w:pStyle w:val="TableText0"/>
              <w:jc w:val="center"/>
              <w:rPr>
                <w:b/>
                <w:szCs w:val="20"/>
              </w:rPr>
            </w:pPr>
            <w:r w:rsidRPr="00D4558F">
              <w:rPr>
                <w:b/>
                <w:szCs w:val="20"/>
              </w:rPr>
              <w:t>-146.56 (-191.61, 101.52)</w:t>
            </w:r>
          </w:p>
        </w:tc>
      </w:tr>
      <w:tr w:rsidR="0099451E" w:rsidRPr="00D4558F" w:rsidTr="006A2FEC">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99451E" w:rsidRPr="00D4558F" w:rsidRDefault="0099451E" w:rsidP="00D2155B">
            <w:pPr>
              <w:pStyle w:val="In-tableHeading"/>
              <w:rPr>
                <w:lang w:val="en-AU"/>
              </w:rPr>
            </w:pPr>
            <w:r w:rsidRPr="00D4558F">
              <w:rPr>
                <w:lang w:val="en-AU"/>
              </w:rPr>
              <w:t xml:space="preserve">Harms </w:t>
            </w:r>
            <w:r w:rsidR="00C858EF">
              <w:rPr>
                <w:lang w:val="en-AU"/>
              </w:rPr>
              <w:t>(Wk 64)</w:t>
            </w:r>
          </w:p>
        </w:tc>
      </w:tr>
      <w:tr w:rsidR="006A2FEC" w:rsidRPr="00D4558F" w:rsidTr="008D0975">
        <w:trPr>
          <w:trHeight w:val="70"/>
        </w:trPr>
        <w:tc>
          <w:tcPr>
            <w:tcW w:w="10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51E" w:rsidRPr="00D4558F" w:rsidRDefault="00BA4CFE" w:rsidP="00D2155B">
            <w:pPr>
              <w:pStyle w:val="In-tableHeading"/>
              <w:rPr>
                <w:b w:val="0"/>
                <w:lang w:val="en-AU"/>
              </w:rPr>
            </w:pPr>
            <w:r w:rsidRPr="00D4558F">
              <w:rPr>
                <w:b w:val="0"/>
                <w:lang w:val="en-AU"/>
              </w:rPr>
              <w:t>CL301</w:t>
            </w:r>
          </w:p>
        </w:tc>
        <w:tc>
          <w:tcPr>
            <w:tcW w:w="548" w:type="pct"/>
            <w:gridSpan w:val="2"/>
            <w:vMerge w:val="restart"/>
            <w:tcBorders>
              <w:top w:val="single" w:sz="4" w:space="0" w:color="auto"/>
              <w:left w:val="single" w:sz="4" w:space="0" w:color="auto"/>
              <w:bottom w:val="single" w:sz="4" w:space="0" w:color="auto"/>
              <w:right w:val="single" w:sz="4" w:space="0" w:color="auto"/>
            </w:tcBorders>
            <w:vAlign w:val="center"/>
          </w:tcPr>
          <w:p w:rsidR="0099451E" w:rsidRPr="00D4558F" w:rsidRDefault="00DD01CF" w:rsidP="001E34DF">
            <w:pPr>
              <w:pStyle w:val="In-tableHeading"/>
              <w:jc w:val="center"/>
              <w:rPr>
                <w:lang w:val="en-AU"/>
              </w:rPr>
            </w:pPr>
            <w:r>
              <w:rPr>
                <w:lang w:val="en-AU"/>
              </w:rPr>
              <w:t>Burosumab</w:t>
            </w:r>
            <w:r w:rsidR="00BA4CFE" w:rsidRPr="00D4558F">
              <w:rPr>
                <w:lang w:val="en-AU"/>
              </w:rPr>
              <w:t xml:space="preserve"> </w:t>
            </w:r>
          </w:p>
          <w:p w:rsidR="0099451E" w:rsidRPr="00D4558F" w:rsidRDefault="0099451E" w:rsidP="001E34DF">
            <w:pPr>
              <w:pStyle w:val="In-tableHeading"/>
              <w:jc w:val="center"/>
              <w:rPr>
                <w:lang w:val="en-AU"/>
              </w:rPr>
            </w:pPr>
            <w:r w:rsidRPr="00D4558F">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tcPr>
          <w:p w:rsidR="0099451E" w:rsidRPr="00D4558F" w:rsidRDefault="00BA4CFE" w:rsidP="001E34DF">
            <w:pPr>
              <w:pStyle w:val="In-tableHeading"/>
              <w:jc w:val="center"/>
              <w:rPr>
                <w:lang w:val="en-AU"/>
              </w:rPr>
            </w:pPr>
            <w:r w:rsidRPr="00D4558F">
              <w:rPr>
                <w:lang w:val="en-AU"/>
              </w:rPr>
              <w:t>Conventional</w:t>
            </w:r>
          </w:p>
          <w:p w:rsidR="0099451E" w:rsidRPr="00D4558F" w:rsidRDefault="0099451E" w:rsidP="001E34DF">
            <w:pPr>
              <w:pStyle w:val="In-tableHeading"/>
              <w:jc w:val="center"/>
              <w:rPr>
                <w:lang w:val="en-AU"/>
              </w:rPr>
            </w:pPr>
            <w:r w:rsidRPr="00D4558F">
              <w:rPr>
                <w:lang w:val="en-AU"/>
              </w:rPr>
              <w:t>n/N</w:t>
            </w:r>
          </w:p>
        </w:tc>
        <w:tc>
          <w:tcPr>
            <w:tcW w:w="860" w:type="pct"/>
            <w:gridSpan w:val="2"/>
            <w:vMerge w:val="restart"/>
            <w:tcBorders>
              <w:top w:val="single" w:sz="4" w:space="0" w:color="auto"/>
              <w:left w:val="single" w:sz="4" w:space="0" w:color="auto"/>
              <w:bottom w:val="single" w:sz="4" w:space="0" w:color="auto"/>
              <w:right w:val="single" w:sz="4" w:space="0" w:color="auto"/>
            </w:tcBorders>
            <w:vAlign w:val="center"/>
          </w:tcPr>
          <w:p w:rsidR="0099451E" w:rsidRPr="00D4558F" w:rsidRDefault="0099451E" w:rsidP="001E34DF">
            <w:pPr>
              <w:pStyle w:val="In-tableHeading"/>
              <w:jc w:val="center"/>
              <w:rPr>
                <w:lang w:val="en-AU"/>
              </w:rPr>
            </w:pPr>
            <w:r w:rsidRPr="00D4558F">
              <w:rPr>
                <w:lang w:val="en-AU"/>
              </w:rPr>
              <w:t>RR</w:t>
            </w:r>
          </w:p>
          <w:p w:rsidR="0099451E" w:rsidRPr="00D4558F" w:rsidRDefault="0099451E" w:rsidP="001E34DF">
            <w:pPr>
              <w:pStyle w:val="In-tableHeading"/>
              <w:jc w:val="center"/>
              <w:rPr>
                <w:lang w:val="en-AU"/>
              </w:rPr>
            </w:pPr>
            <w:r w:rsidRPr="00D4558F">
              <w:rPr>
                <w:lang w:val="en-AU"/>
              </w:rPr>
              <w:t>(95% CI)</w:t>
            </w:r>
          </w:p>
        </w:tc>
        <w:tc>
          <w:tcPr>
            <w:tcW w:w="1173" w:type="pct"/>
            <w:gridSpan w:val="4"/>
            <w:tcBorders>
              <w:top w:val="single" w:sz="4" w:space="0" w:color="auto"/>
              <w:left w:val="single" w:sz="4" w:space="0" w:color="auto"/>
              <w:bottom w:val="single" w:sz="4" w:space="0" w:color="auto"/>
              <w:right w:val="single" w:sz="4" w:space="0" w:color="auto"/>
            </w:tcBorders>
            <w:vAlign w:val="center"/>
          </w:tcPr>
          <w:p w:rsidR="0099451E" w:rsidRPr="00D4558F" w:rsidRDefault="0099451E" w:rsidP="001E34DF">
            <w:pPr>
              <w:pStyle w:val="In-tableHeading"/>
              <w:jc w:val="center"/>
              <w:rPr>
                <w:lang w:val="en-AU"/>
              </w:rPr>
            </w:pPr>
            <w:r w:rsidRPr="00D4558F">
              <w:rPr>
                <w:lang w:val="en-AU"/>
              </w:rPr>
              <w:t>Event rate/100 patients*</w:t>
            </w:r>
          </w:p>
        </w:tc>
        <w:tc>
          <w:tcPr>
            <w:tcW w:w="702" w:type="pct"/>
            <w:vMerge w:val="restart"/>
            <w:tcBorders>
              <w:top w:val="single" w:sz="4" w:space="0" w:color="auto"/>
              <w:left w:val="single" w:sz="4" w:space="0" w:color="auto"/>
              <w:bottom w:val="single" w:sz="4" w:space="0" w:color="auto"/>
              <w:right w:val="single" w:sz="4" w:space="0" w:color="auto"/>
            </w:tcBorders>
            <w:vAlign w:val="center"/>
          </w:tcPr>
          <w:p w:rsidR="0099451E" w:rsidRPr="00D4558F" w:rsidRDefault="0099451E" w:rsidP="001E34DF">
            <w:pPr>
              <w:pStyle w:val="In-tableHeading"/>
              <w:jc w:val="center"/>
              <w:rPr>
                <w:lang w:val="en-AU"/>
              </w:rPr>
            </w:pPr>
            <w:r w:rsidRPr="00D4558F">
              <w:rPr>
                <w:lang w:val="en-AU"/>
              </w:rPr>
              <w:t>RD</w:t>
            </w:r>
          </w:p>
          <w:p w:rsidR="0099451E" w:rsidRPr="00D4558F" w:rsidRDefault="0099451E" w:rsidP="001E34DF">
            <w:pPr>
              <w:pStyle w:val="In-tableHeading"/>
              <w:jc w:val="center"/>
              <w:rPr>
                <w:lang w:val="en-AU"/>
              </w:rPr>
            </w:pPr>
            <w:r w:rsidRPr="00D4558F">
              <w:rPr>
                <w:lang w:val="en-AU"/>
              </w:rPr>
              <w:t>(95% CI)</w:t>
            </w:r>
          </w:p>
        </w:tc>
      </w:tr>
      <w:tr w:rsidR="006A2FEC" w:rsidRPr="00D4558F" w:rsidTr="008D0975">
        <w:trPr>
          <w:trHeight w:val="390"/>
        </w:trPr>
        <w:tc>
          <w:tcPr>
            <w:tcW w:w="10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451E" w:rsidRPr="00D4558F" w:rsidRDefault="0099451E" w:rsidP="00D2155B">
            <w:pPr>
              <w:pStyle w:val="In-tableHeading"/>
              <w:rPr>
                <w:lang w:val="en-AU"/>
              </w:rPr>
            </w:pPr>
          </w:p>
        </w:tc>
        <w:tc>
          <w:tcPr>
            <w:tcW w:w="548" w:type="pct"/>
            <w:gridSpan w:val="2"/>
            <w:vMerge/>
            <w:tcBorders>
              <w:top w:val="single" w:sz="4" w:space="0" w:color="auto"/>
              <w:left w:val="single" w:sz="4" w:space="0" w:color="auto"/>
              <w:bottom w:val="single" w:sz="4" w:space="0" w:color="auto"/>
              <w:right w:val="single" w:sz="4" w:space="0" w:color="auto"/>
            </w:tcBorders>
            <w:vAlign w:val="center"/>
          </w:tcPr>
          <w:p w:rsidR="0099451E" w:rsidRPr="00D4558F" w:rsidRDefault="0099451E" w:rsidP="00D2155B">
            <w:pPr>
              <w:pStyle w:val="In-tableHeading"/>
              <w:rPr>
                <w:lang w:val="en-AU"/>
              </w:rPr>
            </w:pPr>
          </w:p>
        </w:tc>
        <w:tc>
          <w:tcPr>
            <w:tcW w:w="626" w:type="pct"/>
            <w:gridSpan w:val="2"/>
            <w:vMerge/>
            <w:tcBorders>
              <w:top w:val="single" w:sz="4" w:space="0" w:color="auto"/>
              <w:left w:val="single" w:sz="4" w:space="0" w:color="auto"/>
              <w:bottom w:val="single" w:sz="4" w:space="0" w:color="auto"/>
              <w:right w:val="single" w:sz="4" w:space="0" w:color="auto"/>
            </w:tcBorders>
            <w:vAlign w:val="center"/>
          </w:tcPr>
          <w:p w:rsidR="0099451E" w:rsidRPr="00D4558F" w:rsidRDefault="0099451E" w:rsidP="00D2155B">
            <w:pPr>
              <w:pStyle w:val="In-tableHeading"/>
              <w:rPr>
                <w:lang w:val="en-AU"/>
              </w:rPr>
            </w:pPr>
          </w:p>
        </w:tc>
        <w:tc>
          <w:tcPr>
            <w:tcW w:w="860" w:type="pct"/>
            <w:gridSpan w:val="2"/>
            <w:vMerge/>
            <w:tcBorders>
              <w:top w:val="single" w:sz="4" w:space="0" w:color="auto"/>
              <w:left w:val="single" w:sz="4" w:space="0" w:color="auto"/>
              <w:bottom w:val="single" w:sz="4" w:space="0" w:color="auto"/>
              <w:right w:val="single" w:sz="4" w:space="0" w:color="auto"/>
            </w:tcBorders>
            <w:vAlign w:val="center"/>
          </w:tcPr>
          <w:p w:rsidR="0099451E" w:rsidRPr="00D4558F" w:rsidRDefault="0099451E" w:rsidP="00D2155B">
            <w:pPr>
              <w:pStyle w:val="In-tableHeading"/>
              <w:rPr>
                <w:lang w:val="en-AU"/>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DD01CF" w:rsidP="001E34DF">
            <w:pPr>
              <w:pStyle w:val="In-tableHeading"/>
              <w:jc w:val="center"/>
              <w:rPr>
                <w:lang w:val="en-AU"/>
              </w:rPr>
            </w:pPr>
            <w:r>
              <w:rPr>
                <w:lang w:val="en-AU"/>
              </w:rPr>
              <w:t>Burosumab</w:t>
            </w:r>
            <w:r w:rsidR="00F249BB" w:rsidRPr="00D4558F">
              <w:rPr>
                <w:lang w:val="en-AU"/>
              </w:rPr>
              <w:t xml:space="preserve"> </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1E34DF">
            <w:pPr>
              <w:pStyle w:val="In-tableHeading"/>
              <w:jc w:val="center"/>
              <w:rPr>
                <w:lang w:val="en-AU"/>
              </w:rPr>
            </w:pPr>
            <w:r w:rsidRPr="00D4558F">
              <w:rPr>
                <w:lang w:val="en-AU"/>
              </w:rPr>
              <w:t>Conventional</w:t>
            </w:r>
          </w:p>
        </w:tc>
        <w:tc>
          <w:tcPr>
            <w:tcW w:w="702" w:type="pct"/>
            <w:vMerge/>
            <w:tcBorders>
              <w:top w:val="single" w:sz="4" w:space="0" w:color="auto"/>
              <w:left w:val="single" w:sz="4" w:space="0" w:color="auto"/>
              <w:bottom w:val="single" w:sz="4" w:space="0" w:color="auto"/>
              <w:right w:val="single" w:sz="4" w:space="0" w:color="auto"/>
            </w:tcBorders>
            <w:vAlign w:val="center"/>
          </w:tcPr>
          <w:p w:rsidR="0099451E" w:rsidRPr="00D4558F" w:rsidRDefault="0099451E" w:rsidP="00D2155B">
            <w:pPr>
              <w:pStyle w:val="In-tableHeading"/>
              <w:rPr>
                <w:lang w:val="en-AU"/>
              </w:rPr>
            </w:pPr>
          </w:p>
        </w:tc>
      </w:tr>
      <w:tr w:rsidR="006A2FEC"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D4558F" w:rsidRDefault="00BA4CFE" w:rsidP="001E34DF">
            <w:pPr>
              <w:pStyle w:val="TableText0"/>
            </w:pPr>
            <w:r w:rsidRPr="00D4558F">
              <w:t>Any AEs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BA4CFE" w:rsidP="00D2155B">
            <w:pPr>
              <w:pStyle w:val="TableText0"/>
              <w:jc w:val="center"/>
            </w:pPr>
            <w:r w:rsidRPr="00D4558F">
              <w:t>29/29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BA4CFE" w:rsidP="00D2155B">
            <w:pPr>
              <w:pStyle w:val="TableText0"/>
              <w:jc w:val="center"/>
            </w:pPr>
            <w:r w:rsidRPr="00D4558F">
              <w:t>27/32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1.18 (1.01, 1.38)</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100</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84.4</w:t>
            </w:r>
          </w:p>
        </w:tc>
        <w:tc>
          <w:tcPr>
            <w:tcW w:w="702" w:type="pct"/>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0.16 (0.02, 0.29)</w:t>
            </w:r>
          </w:p>
        </w:tc>
      </w:tr>
      <w:tr w:rsidR="006A2FEC"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D4558F" w:rsidRDefault="00BA4CFE" w:rsidP="001E34DF">
            <w:pPr>
              <w:pStyle w:val="TableText0"/>
            </w:pPr>
            <w:r w:rsidRPr="00D4558F">
              <w:rPr>
                <w:szCs w:val="20"/>
              </w:rPr>
              <w:t>Treatment related AEs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BA4CFE" w:rsidP="00D2155B">
            <w:pPr>
              <w:pStyle w:val="TableText0"/>
              <w:jc w:val="center"/>
            </w:pPr>
            <w:r w:rsidRPr="00D4558F">
              <w:t>17</w:t>
            </w:r>
            <w:r w:rsidR="00F249BB" w:rsidRPr="00D4558F">
              <w:t>/29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8/32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2.34 (1.20, 4.60)</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58.6</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25.0</w:t>
            </w:r>
          </w:p>
        </w:tc>
        <w:tc>
          <w:tcPr>
            <w:tcW w:w="702" w:type="pct"/>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0.34 (0.10, 0.57)</w:t>
            </w:r>
          </w:p>
        </w:tc>
      </w:tr>
      <w:tr w:rsidR="006A2FEC"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D4558F" w:rsidRDefault="00BA4CFE" w:rsidP="001E34DF">
            <w:pPr>
              <w:pStyle w:val="TableText0"/>
            </w:pPr>
            <w:r w:rsidRPr="00D4558F">
              <w:rPr>
                <w:szCs w:val="20"/>
              </w:rPr>
              <w:t>General disorders and administration site conditions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25/29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9/32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3.07 (1.73, 5.43)</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86.2</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pPr>
            <w:r w:rsidRPr="00D4558F">
              <w:t>28.1</w:t>
            </w:r>
          </w:p>
        </w:tc>
        <w:tc>
          <w:tcPr>
            <w:tcW w:w="702" w:type="pct"/>
            <w:tcBorders>
              <w:top w:val="single" w:sz="4" w:space="0" w:color="auto"/>
              <w:left w:val="single" w:sz="4" w:space="0" w:color="auto"/>
              <w:bottom w:val="single" w:sz="4" w:space="0" w:color="auto"/>
              <w:right w:val="single" w:sz="4" w:space="0" w:color="auto"/>
            </w:tcBorders>
            <w:vAlign w:val="center"/>
          </w:tcPr>
          <w:p w:rsidR="0099451E" w:rsidRPr="00D4558F" w:rsidRDefault="00F249BB" w:rsidP="00D2155B">
            <w:pPr>
              <w:pStyle w:val="TableText0"/>
              <w:jc w:val="center"/>
              <w:rPr>
                <w:b/>
              </w:rPr>
            </w:pPr>
            <w:r w:rsidRPr="00D4558F">
              <w:rPr>
                <w:b/>
              </w:rPr>
              <w:t>0.58 (0.38, 0.78)</w:t>
            </w:r>
          </w:p>
        </w:tc>
      </w:tr>
      <w:tr w:rsidR="002504E4"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2504E4" w:rsidRPr="00D4558F" w:rsidRDefault="002504E4" w:rsidP="004343FC">
            <w:pPr>
              <w:pStyle w:val="TableText0"/>
              <w:rPr>
                <w:szCs w:val="20"/>
              </w:rPr>
            </w:pPr>
            <w:r w:rsidRPr="004F219B">
              <w:rPr>
                <w:szCs w:val="20"/>
              </w:rPr>
              <w:t>Gastrointestinal disorders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23/29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17/32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CE473C">
              <w:rPr>
                <w:b/>
              </w:rPr>
              <w:t xml:space="preserve">1.49 </w:t>
            </w:r>
            <w:r>
              <w:rPr>
                <w:b/>
              </w:rPr>
              <w:t>(</w:t>
            </w:r>
            <w:r w:rsidRPr="00CE473C">
              <w:rPr>
                <w:b/>
              </w:rPr>
              <w:t>1.03, 2.17</w:t>
            </w:r>
            <w:r>
              <w:rPr>
                <w:b/>
              </w:rPr>
              <w:t>)</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79.3</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53.1</w:t>
            </w:r>
          </w:p>
        </w:tc>
        <w:tc>
          <w:tcPr>
            <w:tcW w:w="702" w:type="pct"/>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CE473C">
              <w:rPr>
                <w:b/>
              </w:rPr>
              <w:t xml:space="preserve">0.26 </w:t>
            </w:r>
            <w:r>
              <w:rPr>
                <w:b/>
              </w:rPr>
              <w:t>(</w:t>
            </w:r>
            <w:r w:rsidRPr="00CE473C">
              <w:rPr>
                <w:b/>
              </w:rPr>
              <w:t>0.03, 0.49</w:t>
            </w:r>
            <w:r>
              <w:rPr>
                <w:b/>
              </w:rPr>
              <w:t>)</w:t>
            </w:r>
          </w:p>
        </w:tc>
      </w:tr>
      <w:tr w:rsidR="002504E4"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2504E4" w:rsidRPr="00D4558F" w:rsidRDefault="002504E4" w:rsidP="004343FC">
            <w:pPr>
              <w:pStyle w:val="TableText0"/>
              <w:rPr>
                <w:szCs w:val="20"/>
              </w:rPr>
            </w:pPr>
            <w:r w:rsidRPr="004F219B">
              <w:rPr>
                <w:szCs w:val="20"/>
              </w:rPr>
              <w:t>Respiratory, thoracic and mediastinal disorders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21/29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9/32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2.57 </w:t>
            </w:r>
            <w:r>
              <w:rPr>
                <w:b/>
              </w:rPr>
              <w:t>(</w:t>
            </w:r>
            <w:r w:rsidRPr="00AB725C">
              <w:rPr>
                <w:b/>
              </w:rPr>
              <w:t>1.42, 4.68</w:t>
            </w:r>
            <w:r>
              <w:rPr>
                <w:b/>
              </w:rPr>
              <w:t>)</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72.4</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28.1</w:t>
            </w:r>
          </w:p>
        </w:tc>
        <w:tc>
          <w:tcPr>
            <w:tcW w:w="702" w:type="pct"/>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0.44 </w:t>
            </w:r>
            <w:r>
              <w:rPr>
                <w:b/>
              </w:rPr>
              <w:t>(</w:t>
            </w:r>
            <w:r w:rsidRPr="00AB725C">
              <w:rPr>
                <w:b/>
              </w:rPr>
              <w:t>0.22, 0.67</w:t>
            </w:r>
            <w:r>
              <w:rPr>
                <w:b/>
              </w:rPr>
              <w:t>)</w:t>
            </w:r>
          </w:p>
        </w:tc>
      </w:tr>
      <w:tr w:rsidR="002504E4"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2504E4" w:rsidRPr="004F219B" w:rsidRDefault="002504E4" w:rsidP="004343FC">
            <w:pPr>
              <w:pStyle w:val="TableText0"/>
              <w:rPr>
                <w:szCs w:val="20"/>
              </w:rPr>
            </w:pPr>
            <w:r w:rsidRPr="004F219B">
              <w:rPr>
                <w:szCs w:val="20"/>
              </w:rPr>
              <w:t>Skin and subcutaneous tissue disorders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11/29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4/32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3.03 </w:t>
            </w:r>
            <w:r>
              <w:rPr>
                <w:b/>
              </w:rPr>
              <w:t>(</w:t>
            </w:r>
            <w:r w:rsidRPr="00AB725C">
              <w:rPr>
                <w:b/>
              </w:rPr>
              <w:t>1.09, 8.48</w:t>
            </w:r>
            <w:r>
              <w:rPr>
                <w:b/>
              </w:rPr>
              <w:t>)</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37.9</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12.5</w:t>
            </w:r>
          </w:p>
        </w:tc>
        <w:tc>
          <w:tcPr>
            <w:tcW w:w="702" w:type="pct"/>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0.25 </w:t>
            </w:r>
            <w:r>
              <w:rPr>
                <w:b/>
              </w:rPr>
              <w:t>(</w:t>
            </w:r>
            <w:r w:rsidRPr="00AB725C">
              <w:rPr>
                <w:b/>
              </w:rPr>
              <w:t>0.04, 0.46</w:t>
            </w:r>
            <w:r>
              <w:rPr>
                <w:b/>
              </w:rPr>
              <w:t>)</w:t>
            </w:r>
          </w:p>
        </w:tc>
      </w:tr>
      <w:tr w:rsidR="002504E4"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2504E4" w:rsidRPr="004F219B" w:rsidRDefault="002504E4" w:rsidP="004343FC">
            <w:pPr>
              <w:pStyle w:val="TableText0"/>
              <w:rPr>
                <w:szCs w:val="20"/>
              </w:rPr>
            </w:pPr>
            <w:r w:rsidRPr="004F219B">
              <w:rPr>
                <w:szCs w:val="20"/>
              </w:rPr>
              <w:t>Injury, poisoning and procedural complications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10/29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2/32</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5.52 </w:t>
            </w:r>
            <w:r>
              <w:rPr>
                <w:b/>
              </w:rPr>
              <w:t>(</w:t>
            </w:r>
            <w:r w:rsidRPr="00AB725C">
              <w:rPr>
                <w:b/>
              </w:rPr>
              <w:t>1.32, 23.12</w:t>
            </w:r>
            <w:r>
              <w:rPr>
                <w:b/>
              </w:rPr>
              <w:t>)</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34.5</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6.3</w:t>
            </w:r>
          </w:p>
        </w:tc>
        <w:tc>
          <w:tcPr>
            <w:tcW w:w="702" w:type="pct"/>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0.28 </w:t>
            </w:r>
            <w:r>
              <w:rPr>
                <w:b/>
              </w:rPr>
              <w:t>(</w:t>
            </w:r>
            <w:r w:rsidRPr="00AB725C">
              <w:rPr>
                <w:b/>
              </w:rPr>
              <w:t>0.09, 0.47</w:t>
            </w:r>
            <w:r>
              <w:rPr>
                <w:b/>
              </w:rPr>
              <w:t>)</w:t>
            </w:r>
          </w:p>
        </w:tc>
      </w:tr>
      <w:tr w:rsidR="002504E4" w:rsidRPr="00D4558F" w:rsidTr="008D0975">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2504E4" w:rsidRPr="004F219B" w:rsidRDefault="002504E4" w:rsidP="004343FC">
            <w:pPr>
              <w:pStyle w:val="TableText0"/>
              <w:rPr>
                <w:szCs w:val="20"/>
              </w:rPr>
            </w:pPr>
            <w:r w:rsidRPr="00A34EA6">
              <w:rPr>
                <w:szCs w:val="20"/>
              </w:rPr>
              <w:t>Predefined injection site reaction TEAEs</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15/29</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0</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8D0975">
            <w:pPr>
              <w:pStyle w:val="TableText0"/>
              <w:jc w:val="center"/>
              <w:rPr>
                <w:b/>
              </w:rPr>
            </w:pPr>
            <w:r w:rsidRPr="00AB725C">
              <w:rPr>
                <w:b/>
              </w:rPr>
              <w:t xml:space="preserve">34.10 </w:t>
            </w:r>
            <w:r w:rsidR="00482FDC">
              <w:rPr>
                <w:b/>
              </w:rPr>
              <w:br/>
            </w:r>
            <w:r>
              <w:rPr>
                <w:b/>
              </w:rPr>
              <w:t>(</w:t>
            </w:r>
            <w:r w:rsidRPr="00AB725C">
              <w:rPr>
                <w:b/>
              </w:rPr>
              <w:t>2.13, 545.5</w:t>
            </w:r>
            <w:r w:rsidR="008D0975">
              <w:rPr>
                <w:b/>
              </w:rPr>
              <w:t>1</w:t>
            </w:r>
            <w:r>
              <w:rPr>
                <w:b/>
              </w:rPr>
              <w:t>)</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51.7</w:t>
            </w:r>
          </w:p>
        </w:tc>
        <w:tc>
          <w:tcPr>
            <w:tcW w:w="625" w:type="pct"/>
            <w:gridSpan w:val="2"/>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pPr>
            <w:r>
              <w:t>0</w:t>
            </w:r>
          </w:p>
        </w:tc>
        <w:tc>
          <w:tcPr>
            <w:tcW w:w="702" w:type="pct"/>
            <w:tcBorders>
              <w:top w:val="single" w:sz="4" w:space="0" w:color="auto"/>
              <w:left w:val="single" w:sz="4" w:space="0" w:color="auto"/>
              <w:bottom w:val="single" w:sz="4" w:space="0" w:color="auto"/>
              <w:right w:val="single" w:sz="4" w:space="0" w:color="auto"/>
            </w:tcBorders>
            <w:vAlign w:val="center"/>
          </w:tcPr>
          <w:p w:rsidR="002504E4" w:rsidRPr="00D4558F" w:rsidRDefault="002504E4" w:rsidP="004343FC">
            <w:pPr>
              <w:pStyle w:val="TableText0"/>
              <w:jc w:val="center"/>
              <w:rPr>
                <w:b/>
              </w:rPr>
            </w:pPr>
            <w:r w:rsidRPr="00AB725C">
              <w:rPr>
                <w:b/>
              </w:rPr>
              <w:t xml:space="preserve">0.52 </w:t>
            </w:r>
            <w:r>
              <w:rPr>
                <w:b/>
              </w:rPr>
              <w:t>(</w:t>
            </w:r>
            <w:r w:rsidRPr="00AB725C">
              <w:rPr>
                <w:b/>
              </w:rPr>
              <w:t>0.33, 0.70</w:t>
            </w:r>
            <w:r>
              <w:rPr>
                <w:b/>
              </w:rPr>
              <w:t>)</w:t>
            </w:r>
          </w:p>
        </w:tc>
      </w:tr>
    </w:tbl>
    <w:p w:rsidR="00620C25" w:rsidRPr="00D4558F" w:rsidRDefault="00620C25" w:rsidP="00620C25">
      <w:pPr>
        <w:pStyle w:val="TableFigureFooter"/>
        <w:rPr>
          <w:sz w:val="20"/>
        </w:rPr>
      </w:pPr>
      <w:r w:rsidRPr="00D4558F">
        <w:t xml:space="preserve">Source: </w:t>
      </w:r>
      <w:r w:rsidR="00F249BB" w:rsidRPr="00D4558F">
        <w:t>Compiled during the evaluation from Tables 2.20 and 2.25, pp61-66, Tables 2.28 to 2.30, pp78-81, Tables 2.34 to 2.35, pp91-92, and Tables 2.37 to 2.46, pp98-111 of the submission.</w:t>
      </w:r>
    </w:p>
    <w:p w:rsidR="00620C25" w:rsidRPr="00D4558F" w:rsidRDefault="00F249BB" w:rsidP="00620C25">
      <w:pPr>
        <w:pStyle w:val="TableFigureFooter"/>
      </w:pPr>
      <w:r w:rsidRPr="00D4558F">
        <w:t xml:space="preserve">Abbreviations: AE=adverse events; </w:t>
      </w:r>
      <w:r w:rsidR="00D610F0" w:rsidRPr="00D610F0">
        <w:t xml:space="preserve">ALP=alkaline phosphatase; </w:t>
      </w:r>
      <w:r w:rsidRPr="00D4558F">
        <w:rPr>
          <w:szCs w:val="18"/>
        </w:rPr>
        <w:t xml:space="preserve">LS=least squares; </w:t>
      </w:r>
      <w:r w:rsidRPr="00D4558F">
        <w:t xml:space="preserve">RGI-C=Radiographic Global Impression of Change; RSS=Rickets Severity Score; </w:t>
      </w:r>
      <w:r w:rsidR="00620C25" w:rsidRPr="00D4558F">
        <w:t>RD=risk difference; RR=</w:t>
      </w:r>
      <w:r w:rsidRPr="00D4558F">
        <w:t>r</w:t>
      </w:r>
      <w:r w:rsidR="00620C25" w:rsidRPr="00D4558F">
        <w:t>isk ratio</w:t>
      </w:r>
      <w:r w:rsidRPr="00D4558F">
        <w:t>;</w:t>
      </w:r>
      <w:r w:rsidR="00D610F0" w:rsidRPr="00D610F0">
        <w:t xml:space="preserve"> </w:t>
      </w:r>
      <w:r w:rsidR="00EB02C9">
        <w:t xml:space="preserve">TEAE=treatment emergent adverse event; </w:t>
      </w:r>
      <w:r w:rsidR="00D610F0" w:rsidRPr="00D610F0">
        <w:t>TmP/GFR=ratio of renal tubular maximum reabsorption rate of phosphate (TmP) to glomerular filtration rate (GFR); 25(OH)2D=1,25 dihydroxy-Vitamin D; 6MWT=Six-minute Walk Test;</w:t>
      </w:r>
      <w:r w:rsidRPr="00D4558F">
        <w:t xml:space="preserve"> Q2W=every 2 weeks;</w:t>
      </w:r>
    </w:p>
    <w:p w:rsidR="00223C2F" w:rsidRPr="00D4558F" w:rsidRDefault="00223C2F" w:rsidP="00223C2F">
      <w:pPr>
        <w:pStyle w:val="TableFigureFooter"/>
        <w:ind w:left="165" w:hanging="165"/>
      </w:pPr>
      <w:r>
        <w:rPr>
          <w:szCs w:val="18"/>
        </w:rPr>
        <w:t>^</w:t>
      </w:r>
      <w:r>
        <w:rPr>
          <w:szCs w:val="18"/>
        </w:rPr>
        <w:tab/>
        <w:t>Primary outcome of the trial.  Main timepoints for trial assessments were Wk 40 (primary outcome, safety), Wk64 (additional efficacy outcomes and safety).</w:t>
      </w:r>
    </w:p>
    <w:p w:rsidR="00B62715" w:rsidRDefault="00B62715" w:rsidP="006A2FEC">
      <w:pPr>
        <w:pStyle w:val="TableFigureFooter"/>
        <w:rPr>
          <w:szCs w:val="18"/>
        </w:rPr>
      </w:pPr>
      <w:r w:rsidRPr="00D4558F">
        <w:t>*</w:t>
      </w:r>
      <w:r w:rsidR="006A2FEC">
        <w:tab/>
      </w:r>
      <w:r w:rsidR="00F249BB" w:rsidRPr="00D4558F">
        <w:rPr>
          <w:szCs w:val="18"/>
        </w:rPr>
        <w:t>Safety data for the treatment period (Weeks 0 to 64).</w:t>
      </w:r>
    </w:p>
    <w:p w:rsidR="00BE13BF" w:rsidRPr="00A83FDA" w:rsidRDefault="00BE13BF" w:rsidP="00620C25">
      <w:pPr>
        <w:pStyle w:val="3-BodyText"/>
      </w:pPr>
      <w:r w:rsidRPr="00A83FDA">
        <w:t>On the basis of direct evidence presented in the submission</w:t>
      </w:r>
      <w:r w:rsidR="004B48BB" w:rsidRPr="00A83FDA">
        <w:t xml:space="preserve"> in children between ages 1 and 12 years</w:t>
      </w:r>
      <w:r w:rsidRPr="00A83FDA">
        <w:t xml:space="preserve">, for every 100 patients treated with </w:t>
      </w:r>
      <w:r w:rsidR="003631B0" w:rsidRPr="00A83FDA">
        <w:t>burosumab</w:t>
      </w:r>
      <w:r w:rsidRPr="00A83FDA">
        <w:t xml:space="preserve"> Q2W versus conventional therapy</w:t>
      </w:r>
      <w:r w:rsidR="00223C2F" w:rsidRPr="00A83FDA">
        <w:t xml:space="preserve"> would result in</w:t>
      </w:r>
      <w:r w:rsidRPr="00A83FDA">
        <w:t>:</w:t>
      </w:r>
    </w:p>
    <w:p w:rsidR="00B82FB3" w:rsidRPr="00A83FDA" w:rsidRDefault="00AE0B4F" w:rsidP="00BE13BF">
      <w:pPr>
        <w:pStyle w:val="ListParagraph"/>
      </w:pPr>
      <w:r w:rsidRPr="00A83FDA">
        <w:t xml:space="preserve">an </w:t>
      </w:r>
      <w:r w:rsidR="00223C2F" w:rsidRPr="00A83FDA">
        <w:t>a</w:t>
      </w:r>
      <w:r w:rsidR="00B82FB3" w:rsidRPr="00A83FDA">
        <w:t>pproximate 1.14 and 1.02 improvement in RGI-C score at Week 40 and Week 64, respectively.</w:t>
      </w:r>
      <w:r w:rsidR="00050121" w:rsidRPr="00A83FDA">
        <w:t xml:space="preserve"> However, it is not known whether </w:t>
      </w:r>
      <w:r w:rsidR="004E5A21" w:rsidRPr="00A83FDA">
        <w:t xml:space="preserve">these </w:t>
      </w:r>
      <w:r w:rsidR="00050121" w:rsidRPr="00A83FDA">
        <w:t xml:space="preserve">differences in RGI-C </w:t>
      </w:r>
      <w:r w:rsidR="00633AC7" w:rsidRPr="00A83FDA">
        <w:t>are</w:t>
      </w:r>
      <w:r w:rsidR="00050121" w:rsidRPr="00A83FDA">
        <w:t xml:space="preserve"> clinically meaningful.</w:t>
      </w:r>
    </w:p>
    <w:p w:rsidR="00B82FB3" w:rsidRPr="00A83FDA" w:rsidRDefault="00AE0B4F" w:rsidP="00B82FB3">
      <w:pPr>
        <w:pStyle w:val="ListParagraph"/>
      </w:pPr>
      <w:r w:rsidRPr="00A83FDA">
        <w:t xml:space="preserve">an </w:t>
      </w:r>
      <w:r w:rsidR="00223C2F" w:rsidRPr="00A83FDA">
        <w:t>a</w:t>
      </w:r>
      <w:r w:rsidR="00B82FB3" w:rsidRPr="00A83FDA">
        <w:t>pproximate 1.34 and 1.21 improvement (reduction) in RSS score at Week 40 and Week 64, respectively.</w:t>
      </w:r>
      <w:r w:rsidR="00050121" w:rsidRPr="00A83FDA">
        <w:t xml:space="preserve"> However, it is not known whether </w:t>
      </w:r>
      <w:r w:rsidR="004E5A21" w:rsidRPr="00A83FDA">
        <w:t xml:space="preserve">these </w:t>
      </w:r>
      <w:r w:rsidR="00050121" w:rsidRPr="00A83FDA">
        <w:t xml:space="preserve">differences in RSS </w:t>
      </w:r>
      <w:r w:rsidR="00633AC7" w:rsidRPr="00A83FDA">
        <w:t>are</w:t>
      </w:r>
      <w:r w:rsidR="00050121" w:rsidRPr="00A83FDA">
        <w:t xml:space="preserve"> clinically meaningful.</w:t>
      </w:r>
    </w:p>
    <w:p w:rsidR="00D610F0" w:rsidRPr="00A83FDA" w:rsidRDefault="00AE0B4F" w:rsidP="00D610F0">
      <w:pPr>
        <w:pStyle w:val="ListParagraph"/>
      </w:pPr>
      <w:r w:rsidRPr="00A83FDA">
        <w:t xml:space="preserve">an </w:t>
      </w:r>
      <w:r w:rsidR="00223C2F" w:rsidRPr="00A83FDA">
        <w:t>a</w:t>
      </w:r>
      <w:r w:rsidR="00D610F0" w:rsidRPr="00A83FDA">
        <w:t xml:space="preserve">pproximate +0.14 improvement in standing height/recumbent length (Z score) and +1.12 improvement in growth velocity of standing height/recumbent length (Z score) at Week 64. However, it is not known whether </w:t>
      </w:r>
      <w:r w:rsidR="004E5A21" w:rsidRPr="00A83FDA">
        <w:t xml:space="preserve">these </w:t>
      </w:r>
      <w:r w:rsidR="00D610F0" w:rsidRPr="00A83FDA">
        <w:t>differences in standing height/recumbent length and growth velocity are clinically meaningful.</w:t>
      </w:r>
    </w:p>
    <w:p w:rsidR="00D610F0" w:rsidRPr="00A83FDA" w:rsidRDefault="00AE0B4F" w:rsidP="00D610F0">
      <w:pPr>
        <w:pStyle w:val="ListParagraph"/>
      </w:pPr>
      <w:r w:rsidRPr="00A83FDA">
        <w:t>an a</w:t>
      </w:r>
      <w:r w:rsidR="00D610F0" w:rsidRPr="00A83FDA">
        <w:t>pproximate +46</w:t>
      </w:r>
      <w:r w:rsidR="0053453F">
        <w:t xml:space="preserve"> metre</w:t>
      </w:r>
      <w:r w:rsidR="00D610F0" w:rsidRPr="00A83FDA">
        <w:t xml:space="preserve"> improvement in 6MWT at Week 64. The mean difference in may potentially be clinically relevant given the estimate is higher than the MCID for 6MWT of 31</w:t>
      </w:r>
      <w:r w:rsidRPr="00A83FDA">
        <w:t xml:space="preserve"> </w:t>
      </w:r>
      <w:r w:rsidR="00D610F0" w:rsidRPr="00A83FDA">
        <w:t>m</w:t>
      </w:r>
      <w:r w:rsidRPr="00A83FDA">
        <w:t>etres</w:t>
      </w:r>
      <w:r w:rsidR="00D610F0" w:rsidRPr="00A83FDA">
        <w:t xml:space="preserve"> for children.</w:t>
      </w:r>
    </w:p>
    <w:p w:rsidR="00D610F0" w:rsidRPr="00A83FDA" w:rsidRDefault="00AE0B4F" w:rsidP="007275F1">
      <w:pPr>
        <w:pStyle w:val="ListParagraph"/>
      </w:pPr>
      <w:r w:rsidRPr="00A83FDA">
        <w:t>an a</w:t>
      </w:r>
      <w:r w:rsidR="00D610F0" w:rsidRPr="00A83FDA">
        <w:t xml:space="preserve">pproximate 0.74 mg/dL, 8.70 pg/mL, 1.25mg/dL and -1.46.56 U/L improvement in serum phosphorus, serum 1,25(OH)2D, phosphate reabsorption (TmP/GFR) and ALP respectively and at Week 64. However, it is not known whether </w:t>
      </w:r>
      <w:r w:rsidR="004E5A21" w:rsidRPr="00A83FDA">
        <w:t xml:space="preserve">these </w:t>
      </w:r>
      <w:r w:rsidR="00D610F0" w:rsidRPr="00A83FDA">
        <w:t>differences in PD outcomes are clinically meaningful.</w:t>
      </w:r>
    </w:p>
    <w:p w:rsidR="00BE13BF" w:rsidRPr="00A83FDA" w:rsidRDefault="00AE0B4F" w:rsidP="00BE13BF">
      <w:pPr>
        <w:pStyle w:val="ListParagraph"/>
      </w:pPr>
      <w:r w:rsidRPr="00A83FDA">
        <w:t>a</w:t>
      </w:r>
      <w:r w:rsidR="00BE13BF" w:rsidRPr="00A83FDA">
        <w:t>pproximately 16 more patients experienc</w:t>
      </w:r>
      <w:r w:rsidRPr="00A83FDA">
        <w:t>ing</w:t>
      </w:r>
      <w:r w:rsidR="00BE13BF" w:rsidRPr="00A83FDA">
        <w:t xml:space="preserve"> any AE</w:t>
      </w:r>
      <w:r w:rsidR="00C858EF" w:rsidRPr="00A83FDA">
        <w:t xml:space="preserve"> over 64 weeks</w:t>
      </w:r>
      <w:r w:rsidR="00B82FB3" w:rsidRPr="00A83FDA">
        <w:t>.</w:t>
      </w:r>
    </w:p>
    <w:p w:rsidR="00BE13BF" w:rsidRPr="00A83FDA" w:rsidRDefault="0024753C" w:rsidP="00B82FB3">
      <w:pPr>
        <w:pStyle w:val="ListParagraph"/>
      </w:pPr>
      <w:r w:rsidRPr="00A83FDA">
        <w:t>a</w:t>
      </w:r>
      <w:r w:rsidR="00BE13BF" w:rsidRPr="00A83FDA">
        <w:t>pproximately 34 more patients experienc</w:t>
      </w:r>
      <w:r w:rsidR="00AE0B4F" w:rsidRPr="00A83FDA">
        <w:t>ing</w:t>
      </w:r>
      <w:r w:rsidR="00BE13BF" w:rsidRPr="00A83FDA">
        <w:t xml:space="preserve"> treatment related AEs</w:t>
      </w:r>
      <w:r w:rsidR="00C858EF" w:rsidRPr="00A83FDA">
        <w:t xml:space="preserve"> over 64 weeks</w:t>
      </w:r>
      <w:r w:rsidR="00B82FB3" w:rsidRPr="00A83FDA">
        <w:t>.</w:t>
      </w:r>
    </w:p>
    <w:p w:rsidR="00BE13BF" w:rsidRPr="00A83FDA" w:rsidRDefault="00AE0B4F" w:rsidP="00B82FB3">
      <w:pPr>
        <w:pStyle w:val="ListParagraph"/>
      </w:pPr>
      <w:r w:rsidRPr="00A83FDA">
        <w:t>a</w:t>
      </w:r>
      <w:r w:rsidR="00BE13BF" w:rsidRPr="00A83FDA">
        <w:t>pproximately 58 more patients experienc</w:t>
      </w:r>
      <w:r w:rsidRPr="00A83FDA">
        <w:t>ing</w:t>
      </w:r>
      <w:r w:rsidR="00BE13BF" w:rsidRPr="00A83FDA">
        <w:t xml:space="preserve"> general disorders and administration site conditions</w:t>
      </w:r>
      <w:r w:rsidR="00C858EF" w:rsidRPr="00A83FDA">
        <w:t xml:space="preserve"> over 64 weeks</w:t>
      </w:r>
      <w:r w:rsidR="00BE13BF" w:rsidRPr="00A83FDA">
        <w:t>.</w:t>
      </w:r>
    </w:p>
    <w:p w:rsidR="002504E4" w:rsidRPr="00A83FDA" w:rsidRDefault="002504E4" w:rsidP="002504E4">
      <w:pPr>
        <w:pStyle w:val="ListParagraph"/>
      </w:pPr>
      <w:bookmarkStart w:id="20" w:name="_Toc22897644"/>
      <w:r w:rsidRPr="00A83FDA">
        <w:t>approximately 26 more patients experiencing gastrointestinal disorders over 64 weeks.</w:t>
      </w:r>
    </w:p>
    <w:p w:rsidR="002504E4" w:rsidRPr="00A83FDA" w:rsidRDefault="002504E4" w:rsidP="002504E4">
      <w:pPr>
        <w:pStyle w:val="ListParagraph"/>
      </w:pPr>
      <w:r w:rsidRPr="00A83FDA">
        <w:t>approximately 44 more patients experiencing respiratory, thoracic and mediastinal disorders over 64 weeks.</w:t>
      </w:r>
    </w:p>
    <w:p w:rsidR="002504E4" w:rsidRPr="00A83FDA" w:rsidRDefault="002504E4" w:rsidP="002504E4">
      <w:pPr>
        <w:pStyle w:val="ListParagraph"/>
      </w:pPr>
      <w:r w:rsidRPr="00A83FDA">
        <w:t>approximately 25 more patients experiencing skin and subcutaneous tissue disorders over 64 weeks.</w:t>
      </w:r>
    </w:p>
    <w:p w:rsidR="002504E4" w:rsidRPr="00A83FDA" w:rsidRDefault="002504E4" w:rsidP="002504E4">
      <w:pPr>
        <w:pStyle w:val="ListParagraph"/>
      </w:pPr>
      <w:r w:rsidRPr="00A83FDA">
        <w:t>approximately 28 more patients experiencing injury, poisoning and procedural complication over 64 weeks.</w:t>
      </w:r>
    </w:p>
    <w:p w:rsidR="002504E4" w:rsidRPr="00A83FDA" w:rsidRDefault="002504E4" w:rsidP="002504E4">
      <w:pPr>
        <w:pStyle w:val="ListParagraph"/>
      </w:pPr>
      <w:r w:rsidRPr="00A83FDA">
        <w:t>approximately 52 more patients experiencing predefined injection site reaction TEAEs over 64 weeks.</w:t>
      </w:r>
    </w:p>
    <w:p w:rsidR="00B60939" w:rsidRPr="00D4558F" w:rsidRDefault="00B60939" w:rsidP="00E9094A">
      <w:pPr>
        <w:pStyle w:val="4-SubsectionHeading"/>
      </w:pPr>
      <w:bookmarkStart w:id="21" w:name="_Toc61864195"/>
      <w:r w:rsidRPr="00D4558F">
        <w:t>Clinical claim</w:t>
      </w:r>
      <w:bookmarkEnd w:id="20"/>
      <w:bookmarkEnd w:id="21"/>
    </w:p>
    <w:p w:rsidR="00983112" w:rsidRPr="00A83FDA" w:rsidRDefault="005C7D97" w:rsidP="00DF2286">
      <w:pPr>
        <w:pStyle w:val="3-BodyText"/>
      </w:pPr>
      <w:r w:rsidRPr="00A83FDA">
        <w:t xml:space="preserve">The submission described </w:t>
      </w:r>
      <w:r w:rsidR="003631B0" w:rsidRPr="00A83FDA">
        <w:t>burosumab</w:t>
      </w:r>
      <w:r w:rsidRPr="00A83FDA">
        <w:t xml:space="preserve"> as superior in terms of effectiveness and superior (and different) in terms of safety compared to conventional therapy comprising oral phosphate and active vitamin D in patients with XLH.</w:t>
      </w:r>
    </w:p>
    <w:p w:rsidR="005C7D97" w:rsidRPr="00A83FDA" w:rsidRDefault="005C7D97" w:rsidP="00DF2286">
      <w:pPr>
        <w:pStyle w:val="3-BodyText"/>
      </w:pPr>
      <w:r w:rsidRPr="00496995">
        <w:t xml:space="preserve">The </w:t>
      </w:r>
      <w:r w:rsidR="004371AE" w:rsidRPr="00496995">
        <w:t>ESC considered that</w:t>
      </w:r>
      <w:r w:rsidR="004371AE">
        <w:t xml:space="preserve"> the </w:t>
      </w:r>
      <w:r w:rsidRPr="00A83FDA">
        <w:t xml:space="preserve">clinical claim for </w:t>
      </w:r>
      <w:r w:rsidR="0023378E" w:rsidRPr="00A83FDA">
        <w:t xml:space="preserve">effectiveness </w:t>
      </w:r>
      <w:r w:rsidRPr="00A83FDA">
        <w:t xml:space="preserve">of </w:t>
      </w:r>
      <w:r w:rsidR="003631B0" w:rsidRPr="00A83FDA">
        <w:t>burosumab</w:t>
      </w:r>
      <w:r w:rsidRPr="00A83FDA">
        <w:t xml:space="preserve"> was supported by the clinical evidence</w:t>
      </w:r>
      <w:r w:rsidR="00AE0B4F" w:rsidRPr="00A83FDA">
        <w:t xml:space="preserve">; </w:t>
      </w:r>
      <w:r w:rsidR="00983112" w:rsidRPr="00A83FDA">
        <w:t>however</w:t>
      </w:r>
      <w:r w:rsidR="00AE0B4F" w:rsidRPr="00A83FDA">
        <w:t xml:space="preserve">, the following </w:t>
      </w:r>
      <w:r w:rsidR="00983112" w:rsidRPr="00A83FDA">
        <w:t xml:space="preserve">caveats </w:t>
      </w:r>
      <w:r w:rsidR="00AE0B4F" w:rsidRPr="00A83FDA">
        <w:t>appl</w:t>
      </w:r>
      <w:r w:rsidR="00442BA0">
        <w:t>ied</w:t>
      </w:r>
      <w:r w:rsidRPr="00A83FDA">
        <w:t>:</w:t>
      </w:r>
    </w:p>
    <w:p w:rsidR="005C7D97" w:rsidRPr="00A83FDA" w:rsidRDefault="007B696B" w:rsidP="005C7D97">
      <w:pPr>
        <w:pStyle w:val="ListParagraph"/>
      </w:pPr>
      <w:r w:rsidRPr="00A83FDA">
        <w:t>T</w:t>
      </w:r>
      <w:r w:rsidR="005C7D97" w:rsidRPr="00A83FDA">
        <w:t xml:space="preserve">he </w:t>
      </w:r>
      <w:r w:rsidR="002F00C4" w:rsidRPr="00A83FDA">
        <w:t>studies</w:t>
      </w:r>
      <w:r w:rsidR="005C7D97" w:rsidRPr="00A83FDA">
        <w:t xml:space="preserve"> were small and</w:t>
      </w:r>
      <w:r w:rsidR="008C2AF9" w:rsidRPr="00A83FDA">
        <w:t xml:space="preserve"> were</w:t>
      </w:r>
      <w:r w:rsidR="005C7D97" w:rsidRPr="00A83FDA">
        <w:t xml:space="preserve"> limited to children aged 1-12 years, with XLH by RSS (</w:t>
      </w:r>
      <w:r w:rsidR="005C7D97" w:rsidRPr="00A83FDA">
        <w:rPr>
          <w:rFonts w:cstheme="minorHAnsi"/>
        </w:rPr>
        <w:t>≥</w:t>
      </w:r>
      <w:r w:rsidR="00AE0B4F" w:rsidRPr="00A83FDA">
        <w:rPr>
          <w:rFonts w:cstheme="minorHAnsi"/>
        </w:rPr>
        <w:t xml:space="preserve"> </w:t>
      </w:r>
      <w:r w:rsidR="005C7D97" w:rsidRPr="00A83FDA">
        <w:t>1.5) who have received prior conventional therapy.</w:t>
      </w:r>
      <w:r w:rsidR="00AE0B4F" w:rsidRPr="00A83FDA">
        <w:t xml:space="preserve"> The proposed population was for children under the age of 18 years.</w:t>
      </w:r>
    </w:p>
    <w:p w:rsidR="004371AE" w:rsidRPr="004371AE" w:rsidRDefault="00AE0B4F" w:rsidP="00C74623">
      <w:pPr>
        <w:pStyle w:val="ListParagraph"/>
      </w:pPr>
      <w:r w:rsidRPr="00A83FDA">
        <w:t>Although t</w:t>
      </w:r>
      <w:r w:rsidR="005C7D97" w:rsidRPr="00A83FDA">
        <w:t>he mean difference</w:t>
      </w:r>
      <w:r w:rsidRPr="00A83FDA">
        <w:t>s</w:t>
      </w:r>
      <w:r w:rsidR="005C7D97" w:rsidRPr="00A83FDA">
        <w:t xml:space="preserve"> in RGI-C and RSS at Weeks 40 and 64 were statistically significant for </w:t>
      </w:r>
      <w:r w:rsidR="003631B0" w:rsidRPr="00A83FDA">
        <w:t>burosumab</w:t>
      </w:r>
      <w:r w:rsidR="005C7D97" w:rsidRPr="00A83FDA">
        <w:t xml:space="preserve"> Q2W compared to conventional therapy, the differences may not be clinically meaningful given the lack of established MCID</w:t>
      </w:r>
      <w:r w:rsidR="008C2AF9" w:rsidRPr="00A83FDA">
        <w:t>s</w:t>
      </w:r>
      <w:r w:rsidR="005C7D97" w:rsidRPr="00A83FDA">
        <w:t>. Patient relevant outcomes (e.g. growth, function, pain and quality of life) were secondary outcomes.</w:t>
      </w:r>
    </w:p>
    <w:p w:rsidR="00300B45" w:rsidRDefault="00300B45" w:rsidP="00983112">
      <w:pPr>
        <w:pStyle w:val="3-BodyText"/>
      </w:pPr>
      <w:r>
        <w:t>The PBAC considered that the claim of superior comparative effectiveness was reasonable.</w:t>
      </w:r>
    </w:p>
    <w:p w:rsidR="005C7D97" w:rsidRPr="00D43B21" w:rsidRDefault="00983112" w:rsidP="00983112">
      <w:pPr>
        <w:pStyle w:val="3-BodyText"/>
      </w:pPr>
      <w:r w:rsidRPr="00A83FDA">
        <w:t xml:space="preserve">The clinical claim of superior safety may not be appropriate </w:t>
      </w:r>
      <w:r w:rsidR="00AE0B4F" w:rsidRPr="00A83FDA">
        <w:t>as</w:t>
      </w:r>
      <w:r w:rsidRPr="00A83FDA">
        <w:t xml:space="preserve"> the comparison in practice is an injection versus no injection, and significantly more patients treated with </w:t>
      </w:r>
      <w:r w:rsidR="003631B0" w:rsidRPr="00A83FDA">
        <w:t>burosumab</w:t>
      </w:r>
      <w:r w:rsidRPr="00A83FDA">
        <w:t xml:space="preserve"> experienced injection site reactions as well as treatment emergent AEs in the short </w:t>
      </w:r>
      <w:r w:rsidR="00AE0B4F" w:rsidRPr="00A83FDA">
        <w:t xml:space="preserve">term </w:t>
      </w:r>
      <w:r w:rsidRPr="00A83FDA">
        <w:t xml:space="preserve">(as evident in the clinical studies). </w:t>
      </w:r>
      <w:r w:rsidR="004B48BB" w:rsidRPr="00A83FDA" w:rsidDel="00C74623">
        <w:rPr>
          <w:iCs/>
        </w:rPr>
        <w:t>However,</w:t>
      </w:r>
      <w:r w:rsidR="005C7D97" w:rsidRPr="00A83FDA" w:rsidDel="00C74623">
        <w:rPr>
          <w:iCs/>
        </w:rPr>
        <w:t xml:space="preserve"> </w:t>
      </w:r>
      <w:r w:rsidR="004B48BB" w:rsidRPr="00A83FDA" w:rsidDel="00C74623">
        <w:rPr>
          <w:iCs/>
        </w:rPr>
        <w:t xml:space="preserve">in the </w:t>
      </w:r>
      <w:r w:rsidR="005C7D97" w:rsidRPr="00A83FDA" w:rsidDel="00C74623">
        <w:rPr>
          <w:iCs/>
        </w:rPr>
        <w:t>long</w:t>
      </w:r>
      <w:r w:rsidRPr="00A83FDA" w:rsidDel="00C74623">
        <w:rPr>
          <w:iCs/>
        </w:rPr>
        <w:t xml:space="preserve"> </w:t>
      </w:r>
      <w:r w:rsidR="00AE0B4F" w:rsidRPr="00A83FDA" w:rsidDel="00C74623">
        <w:rPr>
          <w:iCs/>
        </w:rPr>
        <w:t>term</w:t>
      </w:r>
      <w:r w:rsidRPr="00A83FDA" w:rsidDel="00C74623">
        <w:rPr>
          <w:iCs/>
        </w:rPr>
        <w:t>,</w:t>
      </w:r>
      <w:r w:rsidR="005C7D97" w:rsidRPr="00A83FDA" w:rsidDel="00C74623">
        <w:rPr>
          <w:iCs/>
        </w:rPr>
        <w:t xml:space="preserve"> high doses of phosphate and/or calcitriol are known to be associated with complications such as nephrocalcinosis and secondary hyperparathyroidism.</w:t>
      </w:r>
      <w:r w:rsidRPr="00A83FDA" w:rsidDel="00C74623">
        <w:rPr>
          <w:iCs/>
        </w:rPr>
        <w:t xml:space="preserve"> </w:t>
      </w:r>
      <w:r w:rsidR="00571ED2" w:rsidRPr="00522259">
        <w:rPr>
          <w:iCs/>
        </w:rPr>
        <w:t xml:space="preserve">The ESC noted that </w:t>
      </w:r>
      <w:r w:rsidR="00571ED2">
        <w:rPr>
          <w:iCs/>
        </w:rPr>
        <w:t>s</w:t>
      </w:r>
      <w:r w:rsidRPr="00A83FDA">
        <w:rPr>
          <w:iCs/>
        </w:rPr>
        <w:t xml:space="preserve">afety findings in the paediatric studies showed manageable AEs with no safety concerns for </w:t>
      </w:r>
      <w:r w:rsidR="003631B0" w:rsidRPr="00A83FDA">
        <w:rPr>
          <w:iCs/>
        </w:rPr>
        <w:t>burosumab</w:t>
      </w:r>
      <w:r w:rsidRPr="00A83FDA">
        <w:rPr>
          <w:iCs/>
        </w:rPr>
        <w:t xml:space="preserve">. Injection site reactions were the most prevalent treatment emergent AE and were generally mild, manageable, and of short duration. There was also no evidence of hypercalcaemia, hyperparathyroidism, or nephrocalcinosis associated with </w:t>
      </w:r>
      <w:r w:rsidR="003631B0" w:rsidRPr="00A83FDA">
        <w:rPr>
          <w:iCs/>
        </w:rPr>
        <w:t>burosumab</w:t>
      </w:r>
      <w:r w:rsidRPr="00A83FDA">
        <w:rPr>
          <w:iCs/>
        </w:rPr>
        <w:t xml:space="preserve"> treatment in either clinical or post marketing surveillance data.</w:t>
      </w:r>
    </w:p>
    <w:p w:rsidR="00D43B21" w:rsidRPr="00C74623" w:rsidRDefault="00D43B21" w:rsidP="00983112">
      <w:pPr>
        <w:pStyle w:val="3-BodyText"/>
      </w:pPr>
      <w:r>
        <w:t>The PBAC considered that the claim of superior (and different) comparative safety was not adequately supported by the data.</w:t>
      </w:r>
    </w:p>
    <w:p w:rsidR="004B58BB" w:rsidRDefault="00C74623" w:rsidP="00D43B21">
      <w:pPr>
        <w:pStyle w:val="3-BodyText"/>
      </w:pPr>
      <w:r w:rsidRPr="004B58BB">
        <w:rPr>
          <w:iCs/>
        </w:rPr>
        <w:t xml:space="preserve">The ESC noted that despite extension studies providing some outcome data to Week 160, the long term efficacy and safety of burosumab was uncertain. The ESC considered that this was a particular concern given that </w:t>
      </w:r>
      <w:r w:rsidR="006970DF" w:rsidRPr="004B58BB">
        <w:rPr>
          <w:iCs/>
        </w:rPr>
        <w:t xml:space="preserve">treatment with burosumab was likely </w:t>
      </w:r>
      <w:r w:rsidR="002D2767" w:rsidRPr="004B58BB">
        <w:rPr>
          <w:iCs/>
        </w:rPr>
        <w:t xml:space="preserve">to </w:t>
      </w:r>
      <w:r w:rsidR="006970DF" w:rsidRPr="004B58BB">
        <w:rPr>
          <w:iCs/>
        </w:rPr>
        <w:t>be long term</w:t>
      </w:r>
      <w:r w:rsidRPr="004B58BB">
        <w:rPr>
          <w:iCs/>
        </w:rPr>
        <w:t xml:space="preserve">. </w:t>
      </w:r>
    </w:p>
    <w:p w:rsidR="00B60939" w:rsidRPr="004B58BB" w:rsidRDefault="00B60939" w:rsidP="00A03E7E">
      <w:pPr>
        <w:pStyle w:val="4-SubsectionHeading"/>
        <w:keepNext w:val="0"/>
        <w:widowControl w:val="0"/>
      </w:pPr>
      <w:bookmarkStart w:id="22" w:name="_Toc22897645"/>
      <w:bookmarkStart w:id="23" w:name="_Toc61864196"/>
      <w:r w:rsidRPr="004B58BB">
        <w:t>Economic analysis</w:t>
      </w:r>
      <w:bookmarkEnd w:id="22"/>
      <w:bookmarkEnd w:id="23"/>
      <w:r w:rsidR="00491B3A" w:rsidRPr="004B58BB">
        <w:t xml:space="preserve"> </w:t>
      </w:r>
    </w:p>
    <w:p w:rsidR="005105E9" w:rsidRPr="00DF3A37" w:rsidRDefault="008349C4" w:rsidP="008349C4">
      <w:pPr>
        <w:pStyle w:val="3-BodyText"/>
        <w:rPr>
          <w:b/>
          <w:bCs/>
        </w:rPr>
      </w:pPr>
      <w:r w:rsidRPr="004B58BB">
        <w:t>The submission presented a Markov state transition model with</w:t>
      </w:r>
      <w:r w:rsidR="00DF3A37" w:rsidRPr="004B58BB">
        <w:t xml:space="preserve"> four health states defined by RSS</w:t>
      </w:r>
      <w:r>
        <w:t>: Mild rickets (RSS of 0.5 or 1.0), Moderate rickets (RSS of 1.5 or 2.0), Severe rickets (RSS of 2.5 or more)</w:t>
      </w:r>
      <w:r w:rsidR="007F7374">
        <w:t xml:space="preserve"> and</w:t>
      </w:r>
      <w:r>
        <w:t xml:space="preserve"> Healed rickets (RSS of 0)</w:t>
      </w:r>
      <w:r w:rsidR="007F7374">
        <w:t>,</w:t>
      </w:r>
      <w:r>
        <w:t xml:space="preserve"> and Death (to capture background mortality). The analysis conducted was a cost utility analysis </w:t>
      </w:r>
      <w:r w:rsidR="0077292F" w:rsidRPr="00D4558F">
        <w:t xml:space="preserve">comparing </w:t>
      </w:r>
      <w:r w:rsidR="003631B0">
        <w:t>burosumab</w:t>
      </w:r>
      <w:r w:rsidR="0077292F" w:rsidRPr="00D4558F">
        <w:t xml:space="preserve"> to conventional therapy (oral phosphorus and calcitriol)</w:t>
      </w:r>
      <w:r w:rsidR="00A03E7E" w:rsidRPr="00D4558F">
        <w:t xml:space="preserve"> </w:t>
      </w:r>
      <w:r>
        <w:t>in children &lt;</w:t>
      </w:r>
      <w:r w:rsidR="000C52E4">
        <w:t xml:space="preserve"> </w:t>
      </w:r>
      <w:r>
        <w:t xml:space="preserve">18 years </w:t>
      </w:r>
      <w:r w:rsidR="00850E36" w:rsidRPr="00D4558F">
        <w:t>with</w:t>
      </w:r>
      <w:r w:rsidR="00A03E7E" w:rsidRPr="00D4558F">
        <w:t xml:space="preserve"> XLH</w:t>
      </w:r>
      <w:r w:rsidR="00A03E7E" w:rsidRPr="00DF3A37">
        <w:rPr>
          <w:i/>
        </w:rPr>
        <w:t>.</w:t>
      </w:r>
      <w:r w:rsidR="00A03E7E" w:rsidRPr="00D4558F">
        <w:t xml:space="preserve"> Table 8 </w:t>
      </w:r>
      <w:r w:rsidR="001A6E12">
        <w:t xml:space="preserve">provides a </w:t>
      </w:r>
      <w:r w:rsidR="00A03E7E" w:rsidRPr="00D4558F">
        <w:t>summar</w:t>
      </w:r>
      <w:r w:rsidR="001A6E12">
        <w:t xml:space="preserve">y of </w:t>
      </w:r>
      <w:r w:rsidR="00A03E7E" w:rsidRPr="00D4558F">
        <w:t>the key components of the economic evaluation</w:t>
      </w:r>
      <w:r w:rsidR="004B388D">
        <w:rPr>
          <w:i/>
          <w:iCs/>
        </w:rPr>
        <w:t>.</w:t>
      </w:r>
    </w:p>
    <w:p w:rsidR="005105E9" w:rsidRPr="00D4558F" w:rsidRDefault="005105E9" w:rsidP="007B696B">
      <w:pPr>
        <w:keepNext/>
        <w:widowControl w:val="0"/>
        <w:jc w:val="left"/>
        <w:rPr>
          <w:rFonts w:ascii="Arial Narrow" w:eastAsiaTheme="majorEastAsia" w:hAnsi="Arial Narrow" w:cstheme="majorBidi"/>
          <w:b/>
          <w:bCs/>
          <w:sz w:val="20"/>
        </w:rPr>
      </w:pPr>
      <w:r w:rsidRPr="00D4558F">
        <w:rPr>
          <w:rFonts w:ascii="Arial Narrow" w:eastAsiaTheme="majorEastAsia" w:hAnsi="Arial Narrow" w:cstheme="majorBidi"/>
          <w:b/>
          <w:bCs/>
          <w:sz w:val="20"/>
        </w:rPr>
        <w:t>Table 8: Summary of model structure</w:t>
      </w:r>
      <w:r w:rsidR="00E551AD" w:rsidRPr="00D4558F">
        <w:rPr>
          <w:rFonts w:ascii="Arial Narrow" w:eastAsiaTheme="majorEastAsia" w:hAnsi="Arial Narrow" w:cstheme="majorBidi"/>
          <w:b/>
          <w:bCs/>
          <w:sz w:val="20"/>
        </w:rPr>
        <w:t xml:space="preserve">, </w:t>
      </w:r>
      <w:r w:rsidRPr="00D4558F">
        <w:rPr>
          <w:rFonts w:ascii="Arial Narrow" w:eastAsiaTheme="majorEastAsia" w:hAnsi="Arial Narrow" w:cstheme="majorBidi"/>
          <w:b/>
          <w:bCs/>
          <w:sz w:val="20"/>
        </w:rPr>
        <w:t>key inputs</w:t>
      </w:r>
      <w:r w:rsidR="00E551AD" w:rsidRPr="00D4558F">
        <w:rPr>
          <w:rFonts w:ascii="Arial Narrow" w:eastAsiaTheme="majorEastAsia" w:hAnsi="Arial Narrow" w:cstheme="majorBidi"/>
          <w:b/>
          <w:bCs/>
          <w:sz w:val="20"/>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7746"/>
      </w:tblGrid>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
                <w:sz w:val="20"/>
              </w:rPr>
            </w:pPr>
            <w:r w:rsidRPr="00D4558F">
              <w:rPr>
                <w:rFonts w:ascii="Arial Narrow" w:hAnsi="Arial Narrow" w:cs="Times New Roman"/>
                <w:b/>
                <w:sz w:val="20"/>
              </w:rPr>
              <w:t>Component</w:t>
            </w:r>
          </w:p>
        </w:tc>
        <w:tc>
          <w:tcPr>
            <w:tcW w:w="4295" w:type="pct"/>
            <w:vAlign w:val="center"/>
          </w:tcPr>
          <w:p w:rsidR="0064716A" w:rsidRPr="00D4558F" w:rsidRDefault="0064716A" w:rsidP="007B696B">
            <w:pPr>
              <w:keepNext/>
              <w:widowControl w:val="0"/>
              <w:jc w:val="center"/>
              <w:rPr>
                <w:rFonts w:ascii="Arial Narrow" w:hAnsi="Arial Narrow" w:cs="Times New Roman"/>
                <w:b/>
                <w:sz w:val="20"/>
              </w:rPr>
            </w:pPr>
            <w:r w:rsidRPr="00D4558F">
              <w:rPr>
                <w:rFonts w:ascii="Arial Narrow" w:hAnsi="Arial Narrow" w:cs="Times New Roman"/>
                <w:b/>
                <w:sz w:val="20"/>
              </w:rPr>
              <w:t xml:space="preserve">Summary </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Treatments</w:t>
            </w:r>
          </w:p>
        </w:tc>
        <w:tc>
          <w:tcPr>
            <w:tcW w:w="4295" w:type="pct"/>
            <w:vAlign w:val="center"/>
          </w:tcPr>
          <w:p w:rsidR="0064716A" w:rsidRPr="00A83FDA" w:rsidRDefault="007B696B" w:rsidP="007B696B">
            <w:pPr>
              <w:keepNext/>
              <w:widowControl w:val="0"/>
              <w:jc w:val="left"/>
              <w:rPr>
                <w:rFonts w:ascii="Arial Narrow" w:hAnsi="Arial Narrow" w:cs="Times New Roman"/>
                <w:bCs/>
                <w:sz w:val="20"/>
              </w:rPr>
            </w:pPr>
            <w:r w:rsidRPr="00A83FDA">
              <w:rPr>
                <w:rFonts w:ascii="Arial Narrow" w:hAnsi="Arial Narrow" w:cs="Times New Roman"/>
                <w:bCs/>
                <w:sz w:val="20"/>
              </w:rPr>
              <w:t>B</w:t>
            </w:r>
            <w:r w:rsidR="00DD01CF" w:rsidRPr="00A83FDA">
              <w:rPr>
                <w:rFonts w:ascii="Arial Narrow" w:hAnsi="Arial Narrow" w:cs="Times New Roman"/>
                <w:bCs/>
                <w:sz w:val="20"/>
              </w:rPr>
              <w:t>urosumab</w:t>
            </w:r>
            <w:r w:rsidR="0064716A" w:rsidRPr="00A83FDA">
              <w:rPr>
                <w:rFonts w:ascii="Arial Narrow" w:hAnsi="Arial Narrow" w:cs="Times New Roman"/>
                <w:bCs/>
                <w:sz w:val="20"/>
              </w:rPr>
              <w:t xml:space="preserve"> vs conventional therapy</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Type of analysis</w:t>
            </w:r>
          </w:p>
        </w:tc>
        <w:tc>
          <w:tcPr>
            <w:tcW w:w="4295" w:type="pct"/>
            <w:vAlign w:val="center"/>
          </w:tcPr>
          <w:p w:rsidR="0064716A" w:rsidRPr="00A83FDA" w:rsidRDefault="0064716A" w:rsidP="007B696B">
            <w:pPr>
              <w:keepNext/>
              <w:widowControl w:val="0"/>
              <w:jc w:val="left"/>
              <w:rPr>
                <w:rFonts w:ascii="Arial Narrow" w:hAnsi="Arial Narrow" w:cs="Times New Roman"/>
                <w:bCs/>
                <w:sz w:val="20"/>
              </w:rPr>
            </w:pPr>
            <w:r w:rsidRPr="00A83FDA">
              <w:rPr>
                <w:rFonts w:ascii="Arial Narrow" w:hAnsi="Arial Narrow" w:cs="Times New Roman"/>
                <w:bCs/>
                <w:sz w:val="20"/>
              </w:rPr>
              <w:t>Cost utility analysis</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Outcomes</w:t>
            </w:r>
          </w:p>
        </w:tc>
        <w:tc>
          <w:tcPr>
            <w:tcW w:w="4295" w:type="pct"/>
            <w:vAlign w:val="center"/>
          </w:tcPr>
          <w:p w:rsidR="0064716A" w:rsidRPr="00A83FDA" w:rsidRDefault="0064716A" w:rsidP="007B696B">
            <w:pPr>
              <w:keepNext/>
              <w:widowControl w:val="0"/>
              <w:jc w:val="left"/>
              <w:rPr>
                <w:rFonts w:ascii="Arial Narrow" w:hAnsi="Arial Narrow" w:cs="Times New Roman"/>
                <w:bCs/>
                <w:sz w:val="20"/>
              </w:rPr>
            </w:pPr>
            <w:r w:rsidRPr="00A83FDA">
              <w:rPr>
                <w:rFonts w:ascii="Arial Narrow" w:hAnsi="Arial Narrow" w:cs="Times New Roman"/>
                <w:bCs/>
                <w:sz w:val="20"/>
              </w:rPr>
              <w:t>Quality-adjusted life years (QALYs) gained</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Time horizon</w:t>
            </w:r>
          </w:p>
        </w:tc>
        <w:tc>
          <w:tcPr>
            <w:tcW w:w="4295" w:type="pct"/>
            <w:vAlign w:val="center"/>
          </w:tcPr>
          <w:p w:rsidR="0064716A" w:rsidRPr="00A83FDA" w:rsidRDefault="0064716A" w:rsidP="007F7374">
            <w:pPr>
              <w:keepNext/>
              <w:widowControl w:val="0"/>
              <w:jc w:val="left"/>
              <w:rPr>
                <w:rFonts w:ascii="Arial Narrow" w:hAnsi="Arial Narrow" w:cs="Times New Roman"/>
                <w:bCs/>
                <w:sz w:val="20"/>
              </w:rPr>
            </w:pPr>
            <w:r w:rsidRPr="00A83FDA">
              <w:rPr>
                <w:rFonts w:ascii="Arial Narrow" w:hAnsi="Arial Narrow" w:cs="Times New Roman"/>
                <w:bCs/>
                <w:sz w:val="20"/>
              </w:rPr>
              <w:t xml:space="preserve">Lifetime (100 years), compared to up to 64 weeks of comparative data in the clinical trial. </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Patient population</w:t>
            </w:r>
          </w:p>
        </w:tc>
        <w:tc>
          <w:tcPr>
            <w:tcW w:w="4295" w:type="pct"/>
            <w:vAlign w:val="center"/>
          </w:tcPr>
          <w:p w:rsidR="0064716A" w:rsidRPr="00A83FDA" w:rsidRDefault="001069D6" w:rsidP="007B696B">
            <w:pPr>
              <w:keepNext/>
              <w:widowControl w:val="0"/>
              <w:jc w:val="left"/>
              <w:rPr>
                <w:rFonts w:ascii="Arial Narrow" w:hAnsi="Arial Narrow" w:cs="Times New Roman"/>
                <w:bCs/>
                <w:sz w:val="20"/>
              </w:rPr>
            </w:pPr>
            <w:r w:rsidRPr="00A83FDA">
              <w:rPr>
                <w:rFonts w:ascii="Arial Narrow" w:hAnsi="Arial Narrow" w:cs="Times New Roman"/>
                <w:bCs/>
                <w:sz w:val="20"/>
              </w:rPr>
              <w:t>A</w:t>
            </w:r>
            <w:r w:rsidR="0064716A" w:rsidRPr="00A83FDA">
              <w:rPr>
                <w:rFonts w:ascii="Arial Narrow" w:hAnsi="Arial Narrow" w:cs="Times New Roman"/>
                <w:bCs/>
                <w:sz w:val="20"/>
              </w:rPr>
              <w:t xml:space="preserve">verage </w:t>
            </w:r>
            <w:r w:rsidRPr="00A83FDA">
              <w:rPr>
                <w:rFonts w:ascii="Arial Narrow" w:hAnsi="Arial Narrow" w:cs="Times New Roman"/>
                <w:bCs/>
                <w:sz w:val="20"/>
              </w:rPr>
              <w:t xml:space="preserve">age </w:t>
            </w:r>
            <w:r w:rsidR="0064716A" w:rsidRPr="00A83FDA">
              <w:rPr>
                <w:rFonts w:ascii="Arial Narrow" w:hAnsi="Arial Narrow" w:cs="Times New Roman"/>
                <w:bCs/>
                <w:sz w:val="20"/>
              </w:rPr>
              <w:t>6.8 years at model start.</w:t>
            </w:r>
          </w:p>
          <w:p w:rsidR="0064716A" w:rsidRPr="00A83FDA" w:rsidRDefault="0064716A" w:rsidP="007F7374">
            <w:pPr>
              <w:keepNext/>
              <w:widowControl w:val="0"/>
              <w:jc w:val="left"/>
              <w:rPr>
                <w:rFonts w:ascii="Arial Narrow" w:hAnsi="Arial Narrow" w:cs="Times New Roman"/>
                <w:bCs/>
                <w:sz w:val="20"/>
              </w:rPr>
            </w:pPr>
            <w:r w:rsidRPr="00A83FDA">
              <w:rPr>
                <w:rFonts w:ascii="Arial Narrow" w:hAnsi="Arial Narrow" w:cs="Times New Roman"/>
                <w:bCs/>
                <w:sz w:val="20"/>
              </w:rPr>
              <w:t xml:space="preserve">Patients received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or conventional therapy continuously (assuming full compliance and no early discontinuations) until 18 years of age. </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Methods used to generate results</w:t>
            </w:r>
          </w:p>
        </w:tc>
        <w:tc>
          <w:tcPr>
            <w:tcW w:w="4295" w:type="pct"/>
            <w:vAlign w:val="center"/>
          </w:tcPr>
          <w:p w:rsidR="0064716A" w:rsidRPr="00A83FDA" w:rsidRDefault="0064716A" w:rsidP="007B696B">
            <w:pPr>
              <w:keepNext/>
              <w:widowControl w:val="0"/>
              <w:jc w:val="left"/>
              <w:rPr>
                <w:rFonts w:ascii="Arial Narrow" w:hAnsi="Arial Narrow" w:cs="Times New Roman"/>
                <w:bCs/>
                <w:sz w:val="20"/>
              </w:rPr>
            </w:pPr>
            <w:r w:rsidRPr="00A83FDA">
              <w:rPr>
                <w:rFonts w:ascii="Arial Narrow" w:hAnsi="Arial Narrow" w:cs="Times New Roman"/>
                <w:bCs/>
                <w:sz w:val="20"/>
              </w:rPr>
              <w:t>Markov state transition model in Microsoft Excel</w:t>
            </w:r>
            <w:r w:rsidR="007D5B55" w:rsidRPr="00A83FDA">
              <w:rPr>
                <w:rFonts w:ascii="Arial Narrow" w:hAnsi="Arial Narrow" w:cs="Times New Roman"/>
                <w:bCs/>
                <w:sz w:val="20"/>
              </w:rPr>
              <w:t xml:space="preserve"> 2019.</w:t>
            </w:r>
          </w:p>
        </w:tc>
      </w:tr>
      <w:tr w:rsidR="0064716A" w:rsidRPr="00D4558F" w:rsidTr="0053453F">
        <w:tc>
          <w:tcPr>
            <w:tcW w:w="705" w:type="pct"/>
            <w:vAlign w:val="center"/>
          </w:tcPr>
          <w:p w:rsidR="0064716A" w:rsidRPr="00D4558F" w:rsidRDefault="0064716A" w:rsidP="007B696B">
            <w:pPr>
              <w:keepNext/>
              <w:widowControl w:val="0"/>
              <w:jc w:val="left"/>
              <w:rPr>
                <w:rFonts w:ascii="Arial Narrow" w:hAnsi="Arial Narrow" w:cs="Times New Roman"/>
                <w:bCs/>
                <w:sz w:val="20"/>
              </w:rPr>
            </w:pPr>
            <w:r w:rsidRPr="00D4558F">
              <w:rPr>
                <w:rFonts w:ascii="Arial Narrow" w:hAnsi="Arial Narrow" w:cs="Times New Roman"/>
                <w:bCs/>
                <w:sz w:val="20"/>
              </w:rPr>
              <w:t>Health states</w:t>
            </w:r>
          </w:p>
        </w:tc>
        <w:tc>
          <w:tcPr>
            <w:tcW w:w="4295" w:type="pct"/>
            <w:vAlign w:val="center"/>
          </w:tcPr>
          <w:p w:rsidR="0064716A" w:rsidRPr="00A83FDA" w:rsidRDefault="0064716A" w:rsidP="007B696B">
            <w:pPr>
              <w:keepNext/>
              <w:widowControl w:val="0"/>
              <w:jc w:val="left"/>
              <w:rPr>
                <w:rFonts w:ascii="Arial Narrow" w:hAnsi="Arial Narrow" w:cs="Times New Roman"/>
                <w:bCs/>
                <w:sz w:val="20"/>
              </w:rPr>
            </w:pPr>
            <w:r w:rsidRPr="00A83FDA">
              <w:rPr>
                <w:rFonts w:ascii="Arial Narrow" w:hAnsi="Arial Narrow" w:cs="Times New Roman"/>
                <w:bCs/>
                <w:sz w:val="20"/>
              </w:rPr>
              <w:t>Four chronic health states defined by Rickets Severity Score (RSS):</w:t>
            </w:r>
          </w:p>
          <w:p w:rsidR="0064716A" w:rsidRPr="00A83FDA" w:rsidRDefault="0064716A" w:rsidP="007C53EC">
            <w:pPr>
              <w:keepNext/>
              <w:widowControl w:val="0"/>
              <w:numPr>
                <w:ilvl w:val="0"/>
                <w:numId w:val="6"/>
              </w:numPr>
              <w:ind w:left="110" w:hanging="110"/>
              <w:jc w:val="left"/>
              <w:rPr>
                <w:rFonts w:ascii="Arial Narrow" w:hAnsi="Arial Narrow" w:cs="Times New Roman"/>
                <w:bCs/>
                <w:sz w:val="20"/>
              </w:rPr>
            </w:pPr>
            <w:r w:rsidRPr="00A83FDA">
              <w:rPr>
                <w:rFonts w:ascii="Arial Narrow" w:hAnsi="Arial Narrow" w:cs="Times New Roman"/>
                <w:bCs/>
                <w:sz w:val="20"/>
              </w:rPr>
              <w:t>Mild rickets (0.5 or 1.0)</w:t>
            </w:r>
          </w:p>
          <w:p w:rsidR="0064716A" w:rsidRPr="00A83FDA" w:rsidRDefault="0064716A" w:rsidP="007C53EC">
            <w:pPr>
              <w:keepNext/>
              <w:widowControl w:val="0"/>
              <w:numPr>
                <w:ilvl w:val="0"/>
                <w:numId w:val="6"/>
              </w:numPr>
              <w:ind w:left="110" w:hanging="110"/>
              <w:jc w:val="left"/>
              <w:rPr>
                <w:rFonts w:ascii="Arial Narrow" w:hAnsi="Arial Narrow" w:cs="Times New Roman"/>
                <w:bCs/>
                <w:sz w:val="20"/>
              </w:rPr>
            </w:pPr>
            <w:r w:rsidRPr="00A83FDA">
              <w:rPr>
                <w:rFonts w:ascii="Arial Narrow" w:hAnsi="Arial Narrow" w:cs="Times New Roman"/>
                <w:bCs/>
                <w:sz w:val="20"/>
              </w:rPr>
              <w:t>Moderate rickets (1.5 or 2.0)</w:t>
            </w:r>
          </w:p>
          <w:p w:rsidR="0064716A" w:rsidRPr="00A83FDA" w:rsidRDefault="0064716A" w:rsidP="007C53EC">
            <w:pPr>
              <w:keepNext/>
              <w:widowControl w:val="0"/>
              <w:numPr>
                <w:ilvl w:val="0"/>
                <w:numId w:val="6"/>
              </w:numPr>
              <w:ind w:left="110" w:hanging="110"/>
              <w:jc w:val="left"/>
              <w:rPr>
                <w:rFonts w:ascii="Arial Narrow" w:hAnsi="Arial Narrow" w:cs="Times New Roman"/>
                <w:bCs/>
                <w:sz w:val="20"/>
              </w:rPr>
            </w:pPr>
            <w:r w:rsidRPr="00A83FDA">
              <w:rPr>
                <w:rFonts w:ascii="Arial Narrow" w:hAnsi="Arial Narrow" w:cs="Times New Roman"/>
                <w:bCs/>
                <w:sz w:val="20"/>
              </w:rPr>
              <w:t>Severe rickets (≥</w:t>
            </w:r>
            <w:r w:rsidR="00E06632" w:rsidRPr="00A83FDA">
              <w:rPr>
                <w:rFonts w:ascii="Arial Narrow" w:hAnsi="Arial Narrow" w:cs="Times New Roman"/>
                <w:bCs/>
                <w:sz w:val="20"/>
              </w:rPr>
              <w:t xml:space="preserve"> </w:t>
            </w:r>
            <w:r w:rsidRPr="00A83FDA">
              <w:rPr>
                <w:rFonts w:ascii="Arial Narrow" w:hAnsi="Arial Narrow" w:cs="Times New Roman"/>
                <w:bCs/>
                <w:sz w:val="20"/>
              </w:rPr>
              <w:t>2.5)</w:t>
            </w:r>
          </w:p>
          <w:p w:rsidR="0064716A" w:rsidRPr="00A83FDA" w:rsidRDefault="0064716A" w:rsidP="007C53EC">
            <w:pPr>
              <w:keepNext/>
              <w:widowControl w:val="0"/>
              <w:numPr>
                <w:ilvl w:val="0"/>
                <w:numId w:val="6"/>
              </w:numPr>
              <w:ind w:left="110" w:hanging="110"/>
              <w:jc w:val="left"/>
              <w:rPr>
                <w:rFonts w:ascii="Arial Narrow" w:hAnsi="Arial Narrow" w:cs="Times New Roman"/>
                <w:bCs/>
                <w:sz w:val="20"/>
              </w:rPr>
            </w:pPr>
            <w:r w:rsidRPr="00A83FDA">
              <w:rPr>
                <w:rFonts w:ascii="Arial Narrow" w:hAnsi="Arial Narrow" w:cs="Times New Roman"/>
                <w:bCs/>
                <w:sz w:val="20"/>
              </w:rPr>
              <w:t>Healed rickets (0)</w:t>
            </w:r>
          </w:p>
          <w:p w:rsidR="0064716A" w:rsidRPr="00A83FDA" w:rsidRDefault="0064716A" w:rsidP="007F7374">
            <w:pPr>
              <w:keepNext/>
              <w:widowControl w:val="0"/>
              <w:jc w:val="left"/>
              <w:rPr>
                <w:rFonts w:ascii="Arial Narrow" w:hAnsi="Arial Narrow" w:cs="Times New Roman"/>
                <w:bCs/>
                <w:sz w:val="20"/>
              </w:rPr>
            </w:pPr>
            <w:r w:rsidRPr="00A83FDA">
              <w:rPr>
                <w:rFonts w:ascii="Arial Narrow" w:hAnsi="Arial Narrow" w:cs="Times New Roman"/>
                <w:bCs/>
                <w:sz w:val="20"/>
              </w:rPr>
              <w:t>Plus</w:t>
            </w:r>
            <w:r w:rsidR="007D5B55" w:rsidRPr="00A83FDA">
              <w:rPr>
                <w:rFonts w:ascii="Arial Narrow" w:hAnsi="Arial Narrow" w:cs="Times New Roman"/>
                <w:bCs/>
                <w:sz w:val="20"/>
              </w:rPr>
              <w:t>,</w:t>
            </w:r>
            <w:r w:rsidRPr="00A83FDA">
              <w:rPr>
                <w:rFonts w:ascii="Arial Narrow" w:hAnsi="Arial Narrow" w:cs="Times New Roman"/>
                <w:bCs/>
                <w:sz w:val="20"/>
              </w:rPr>
              <w:t xml:space="preserve"> Death as an absorbing state accounting for all-cause mortality. No difference in death is assumed between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and conventional therapy. </w:t>
            </w:r>
          </w:p>
        </w:tc>
      </w:tr>
      <w:tr w:rsidR="0064716A" w:rsidRPr="00D4558F" w:rsidTr="0053453F">
        <w:tc>
          <w:tcPr>
            <w:tcW w:w="705" w:type="pct"/>
            <w:vAlign w:val="center"/>
          </w:tcPr>
          <w:p w:rsidR="0064716A" w:rsidRPr="00D4558F" w:rsidRDefault="0064716A" w:rsidP="00E551AD">
            <w:pPr>
              <w:widowControl w:val="0"/>
              <w:jc w:val="left"/>
              <w:rPr>
                <w:rFonts w:ascii="Arial Narrow" w:hAnsi="Arial Narrow" w:cs="Times New Roman"/>
                <w:bCs/>
                <w:sz w:val="20"/>
              </w:rPr>
            </w:pPr>
            <w:r w:rsidRPr="00D4558F">
              <w:rPr>
                <w:rFonts w:ascii="Arial Narrow" w:hAnsi="Arial Narrow" w:cs="Times New Roman"/>
                <w:bCs/>
                <w:sz w:val="20"/>
              </w:rPr>
              <w:t>Cycle length</w:t>
            </w:r>
          </w:p>
        </w:tc>
        <w:tc>
          <w:tcPr>
            <w:tcW w:w="4295" w:type="pct"/>
            <w:vAlign w:val="center"/>
          </w:tcPr>
          <w:p w:rsidR="0064716A" w:rsidRPr="00A83FDA" w:rsidRDefault="0064716A" w:rsidP="001069D6">
            <w:pPr>
              <w:widowControl w:val="0"/>
              <w:jc w:val="left"/>
              <w:rPr>
                <w:rFonts w:ascii="Arial Narrow" w:hAnsi="Arial Narrow" w:cs="Times New Roman"/>
                <w:bCs/>
                <w:sz w:val="20"/>
              </w:rPr>
            </w:pPr>
            <w:r w:rsidRPr="00A83FDA">
              <w:rPr>
                <w:rFonts w:ascii="Arial Narrow" w:hAnsi="Arial Narrow" w:cs="Times New Roman"/>
                <w:bCs/>
                <w:sz w:val="20"/>
              </w:rPr>
              <w:t>One year (with half cycle correction applied).</w:t>
            </w:r>
          </w:p>
        </w:tc>
      </w:tr>
      <w:tr w:rsidR="0064716A" w:rsidRPr="00D4558F" w:rsidTr="0053453F">
        <w:tc>
          <w:tcPr>
            <w:tcW w:w="705" w:type="pct"/>
            <w:vAlign w:val="center"/>
          </w:tcPr>
          <w:p w:rsidR="0064716A" w:rsidRPr="00D4558F" w:rsidRDefault="0064716A" w:rsidP="00571ED2">
            <w:pPr>
              <w:widowControl w:val="0"/>
              <w:jc w:val="left"/>
              <w:rPr>
                <w:rFonts w:ascii="Arial Narrow" w:hAnsi="Arial Narrow" w:cs="Times New Roman"/>
                <w:bCs/>
                <w:sz w:val="20"/>
              </w:rPr>
            </w:pPr>
            <w:r w:rsidRPr="00D4558F">
              <w:rPr>
                <w:rFonts w:ascii="Arial Narrow" w:hAnsi="Arial Narrow" w:cs="Times New Roman"/>
                <w:bCs/>
                <w:sz w:val="20"/>
              </w:rPr>
              <w:t>Transition probabilities</w:t>
            </w:r>
            <w:r>
              <w:rPr>
                <w:rFonts w:ascii="Arial Narrow" w:hAnsi="Arial Narrow" w:cs="Times New Roman"/>
                <w:bCs/>
                <w:sz w:val="20"/>
              </w:rPr>
              <w:t xml:space="preserve"> </w:t>
            </w:r>
          </w:p>
        </w:tc>
        <w:tc>
          <w:tcPr>
            <w:tcW w:w="4295" w:type="pct"/>
            <w:vAlign w:val="center"/>
          </w:tcPr>
          <w:p w:rsidR="0064716A" w:rsidRPr="00A83FDA" w:rsidRDefault="0064716A" w:rsidP="007C53EC">
            <w:pPr>
              <w:widowControl w:val="0"/>
              <w:numPr>
                <w:ilvl w:val="0"/>
                <w:numId w:val="5"/>
              </w:numPr>
              <w:ind w:left="110" w:hanging="141"/>
              <w:jc w:val="left"/>
              <w:rPr>
                <w:rFonts w:ascii="Arial Narrow" w:hAnsi="Arial Narrow" w:cs="Times New Roman"/>
                <w:bCs/>
                <w:sz w:val="20"/>
              </w:rPr>
            </w:pPr>
            <w:r w:rsidRPr="00A83FDA">
              <w:rPr>
                <w:rFonts w:ascii="Arial Narrow" w:hAnsi="Arial Narrow" w:cs="Times New Roman"/>
                <w:bCs/>
                <w:sz w:val="20"/>
              </w:rPr>
              <w:t xml:space="preserve">Baseline distribution of patients between health states was informed by pooled data from CL301, CL201 and CL205.  </w:t>
            </w:r>
          </w:p>
          <w:p w:rsidR="0053453F" w:rsidRDefault="0064716A" w:rsidP="0053453F">
            <w:pPr>
              <w:widowControl w:val="0"/>
              <w:numPr>
                <w:ilvl w:val="0"/>
                <w:numId w:val="5"/>
              </w:numPr>
              <w:ind w:left="110" w:hanging="141"/>
              <w:jc w:val="left"/>
              <w:rPr>
                <w:rFonts w:ascii="Arial Narrow" w:hAnsi="Arial Narrow" w:cs="Times New Roman"/>
                <w:bCs/>
                <w:sz w:val="20"/>
              </w:rPr>
            </w:pPr>
            <w:r w:rsidRPr="00A83FDA">
              <w:rPr>
                <w:rFonts w:ascii="Arial Narrow" w:hAnsi="Arial Narrow" w:cs="Times New Roman"/>
                <w:bCs/>
                <w:sz w:val="20"/>
              </w:rPr>
              <w:t xml:space="preserve">Transition probabilities in the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arm were also based on pooled data from these three studies reflecting change in RSS between baseline and Week 64.</w:t>
            </w:r>
          </w:p>
          <w:p w:rsidR="0064716A" w:rsidRPr="0053453F" w:rsidRDefault="0064716A" w:rsidP="0053453F">
            <w:pPr>
              <w:widowControl w:val="0"/>
              <w:numPr>
                <w:ilvl w:val="0"/>
                <w:numId w:val="5"/>
              </w:numPr>
              <w:ind w:left="110" w:hanging="141"/>
              <w:jc w:val="left"/>
              <w:rPr>
                <w:rFonts w:ascii="Arial Narrow" w:hAnsi="Arial Narrow" w:cs="Times New Roman"/>
                <w:bCs/>
                <w:sz w:val="20"/>
              </w:rPr>
            </w:pPr>
            <w:r w:rsidRPr="0053453F">
              <w:rPr>
                <w:rFonts w:ascii="Arial Narrow" w:hAnsi="Arial Narrow" w:cs="Times New Roman"/>
                <w:bCs/>
                <w:sz w:val="20"/>
              </w:rPr>
              <w:t>Transition probabilities in the conventional therapy arm were informed by pooled data from the control arm of CL301 and a UK chart review.</w:t>
            </w:r>
          </w:p>
        </w:tc>
      </w:tr>
      <w:tr w:rsidR="0064716A" w:rsidRPr="00D4558F" w:rsidTr="0053453F">
        <w:tc>
          <w:tcPr>
            <w:tcW w:w="705" w:type="pct"/>
            <w:vAlign w:val="center"/>
          </w:tcPr>
          <w:p w:rsidR="0064716A" w:rsidRPr="00AA3AEA" w:rsidRDefault="0064716A" w:rsidP="00571ED2">
            <w:pPr>
              <w:widowControl w:val="0"/>
              <w:jc w:val="left"/>
              <w:rPr>
                <w:rFonts w:ascii="Arial Narrow" w:hAnsi="Arial Narrow" w:cs="Times New Roman"/>
                <w:bCs/>
                <w:sz w:val="20"/>
                <w:highlight w:val="yellow"/>
              </w:rPr>
            </w:pPr>
            <w:r w:rsidRPr="00AA3AEA">
              <w:rPr>
                <w:rFonts w:ascii="Arial Narrow" w:hAnsi="Arial Narrow" w:cs="Times New Roman"/>
                <w:bCs/>
                <w:sz w:val="20"/>
              </w:rPr>
              <w:t xml:space="preserve">Extrapolation </w:t>
            </w:r>
          </w:p>
        </w:tc>
        <w:tc>
          <w:tcPr>
            <w:tcW w:w="4295" w:type="pct"/>
            <w:vAlign w:val="center"/>
          </w:tcPr>
          <w:p w:rsidR="0064716A" w:rsidRPr="00A83FDA" w:rsidRDefault="0064716A" w:rsidP="007C53EC">
            <w:pPr>
              <w:widowControl w:val="0"/>
              <w:numPr>
                <w:ilvl w:val="0"/>
                <w:numId w:val="5"/>
              </w:numPr>
              <w:ind w:left="110" w:hanging="141"/>
              <w:jc w:val="left"/>
              <w:rPr>
                <w:rFonts w:ascii="Arial Narrow" w:hAnsi="Arial Narrow" w:cs="Times New Roman"/>
                <w:bCs/>
                <w:sz w:val="20"/>
              </w:rPr>
            </w:pPr>
            <w:r w:rsidRPr="00A83FDA">
              <w:rPr>
                <w:rFonts w:ascii="Arial Narrow" w:hAnsi="Arial Narrow" w:cs="Times New Roman"/>
                <w:bCs/>
                <w:sz w:val="20"/>
              </w:rPr>
              <w:t xml:space="preserve">Constant annual transition probabilities up </w:t>
            </w:r>
            <w:r w:rsidR="00723F92" w:rsidRPr="00A83FDA">
              <w:rPr>
                <w:rFonts w:ascii="Arial Narrow" w:hAnsi="Arial Narrow" w:cs="Times New Roman"/>
                <w:bCs/>
                <w:sz w:val="20"/>
              </w:rPr>
              <w:t xml:space="preserve">to </w:t>
            </w:r>
            <w:r w:rsidRPr="00A83FDA">
              <w:rPr>
                <w:rFonts w:ascii="Arial Narrow" w:hAnsi="Arial Narrow" w:cs="Times New Roman"/>
                <w:bCs/>
                <w:sz w:val="20"/>
              </w:rPr>
              <w:t>age 18 was assumed based on Week 64 study results.</w:t>
            </w:r>
          </w:p>
          <w:p w:rsidR="001069D6" w:rsidRPr="00A83FDA" w:rsidRDefault="0064716A" w:rsidP="007C53EC">
            <w:pPr>
              <w:widowControl w:val="0"/>
              <w:numPr>
                <w:ilvl w:val="0"/>
                <w:numId w:val="5"/>
              </w:numPr>
              <w:ind w:left="110" w:hanging="141"/>
              <w:jc w:val="left"/>
              <w:rPr>
                <w:rFonts w:ascii="Arial Narrow" w:hAnsi="Arial Narrow" w:cs="Times New Roman"/>
                <w:bCs/>
                <w:sz w:val="20"/>
              </w:rPr>
            </w:pPr>
            <w:r w:rsidRPr="00A83FDA">
              <w:rPr>
                <w:rFonts w:ascii="Arial Narrow" w:hAnsi="Arial Narrow" w:cs="Times New Roman"/>
                <w:bCs/>
                <w:sz w:val="20"/>
              </w:rPr>
              <w:t xml:space="preserve">The model also assumed all patients remained in their respective RSS health state beyond age 18, thus assuming the benefit of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would be lifelong.</w:t>
            </w:r>
            <w:r w:rsidRPr="00A83FDA">
              <w:rPr>
                <w:rFonts w:ascii="Arial Narrow" w:hAnsi="Arial Narrow" w:cs="Times New Roman"/>
                <w:bCs/>
                <w:sz w:val="20"/>
                <w:highlight w:val="yellow"/>
              </w:rPr>
              <w:t xml:space="preserve"> </w:t>
            </w:r>
          </w:p>
          <w:p w:rsidR="0064716A" w:rsidRPr="00A83FDA" w:rsidDel="00171F69" w:rsidRDefault="00C858EF" w:rsidP="007F7374">
            <w:pPr>
              <w:widowControl w:val="0"/>
              <w:ind w:left="-31"/>
              <w:jc w:val="left"/>
              <w:rPr>
                <w:rFonts w:ascii="Arial Narrow" w:hAnsi="Arial Narrow" w:cs="Times New Roman"/>
                <w:bCs/>
                <w:sz w:val="20"/>
              </w:rPr>
            </w:pPr>
            <w:r w:rsidRPr="00A83FDA">
              <w:rPr>
                <w:rFonts w:ascii="Arial Narrow" w:hAnsi="Arial Narrow" w:cs="Times New Roman"/>
                <w:bCs/>
                <w:sz w:val="20"/>
              </w:rPr>
              <w:t xml:space="preserve">These assumptions are highly uncertain. </w:t>
            </w:r>
            <w:r w:rsidR="0064716A" w:rsidRPr="00A83FDA">
              <w:rPr>
                <w:rFonts w:ascii="Arial Narrow" w:hAnsi="Arial Narrow" w:cs="Times New Roman"/>
                <w:bCs/>
                <w:sz w:val="20"/>
              </w:rPr>
              <w:t>Little long-term data is available to support these assumptions</w:t>
            </w:r>
            <w:r w:rsidRPr="00A83FDA">
              <w:rPr>
                <w:rFonts w:ascii="Arial Narrow" w:hAnsi="Arial Narrow" w:cs="Times New Roman"/>
                <w:bCs/>
                <w:sz w:val="20"/>
              </w:rPr>
              <w:t xml:space="preserve">, the limited </w:t>
            </w:r>
            <w:r w:rsidR="003B3672" w:rsidRPr="00A83FDA">
              <w:rPr>
                <w:rFonts w:ascii="Arial Narrow" w:hAnsi="Arial Narrow" w:cs="Times New Roman"/>
                <w:bCs/>
                <w:sz w:val="20"/>
              </w:rPr>
              <w:t>longer-term</w:t>
            </w:r>
            <w:r w:rsidRPr="00A83FDA">
              <w:rPr>
                <w:rFonts w:ascii="Arial Narrow" w:hAnsi="Arial Narrow" w:cs="Times New Roman"/>
                <w:bCs/>
                <w:sz w:val="20"/>
              </w:rPr>
              <w:t xml:space="preserve"> data from </w:t>
            </w:r>
            <w:r w:rsidR="000C52E4" w:rsidRPr="00A83FDA">
              <w:rPr>
                <w:rFonts w:ascii="Arial Narrow" w:hAnsi="Arial Narrow" w:cs="Times New Roman"/>
                <w:bCs/>
                <w:sz w:val="20"/>
              </w:rPr>
              <w:t xml:space="preserve">the </w:t>
            </w:r>
            <w:r w:rsidRPr="00A83FDA">
              <w:rPr>
                <w:rFonts w:ascii="Arial Narrow" w:hAnsi="Arial Narrow" w:cs="Times New Roman"/>
                <w:bCs/>
                <w:sz w:val="20"/>
              </w:rPr>
              <w:t xml:space="preserve">extension studies does not suggest continued improvement, </w:t>
            </w:r>
            <w:r w:rsidR="000C52E4" w:rsidRPr="00A83FDA">
              <w:rPr>
                <w:rFonts w:ascii="Arial Narrow" w:hAnsi="Arial Narrow" w:cs="Times New Roman"/>
                <w:bCs/>
                <w:sz w:val="20"/>
              </w:rPr>
              <w:t xml:space="preserve">only that </w:t>
            </w:r>
            <w:r w:rsidRPr="00A83FDA">
              <w:rPr>
                <w:rFonts w:ascii="Arial Narrow" w:hAnsi="Arial Narrow" w:cs="Times New Roman"/>
                <w:bCs/>
                <w:sz w:val="20"/>
              </w:rPr>
              <w:t>gains at Week 64 are maintained with continued treatment</w:t>
            </w:r>
            <w:r w:rsidR="000C52E4" w:rsidRPr="00A83FDA">
              <w:rPr>
                <w:rFonts w:ascii="Arial Narrow" w:hAnsi="Arial Narrow" w:cs="Times New Roman"/>
                <w:bCs/>
                <w:sz w:val="20"/>
              </w:rPr>
              <w:t xml:space="preserve"> up to </w:t>
            </w:r>
            <w:r w:rsidR="00830D28" w:rsidRPr="00A83FDA">
              <w:rPr>
                <w:rFonts w:ascii="Arial Narrow" w:hAnsi="Arial Narrow" w:cs="Times New Roman"/>
                <w:bCs/>
                <w:sz w:val="20"/>
              </w:rPr>
              <w:t>160</w:t>
            </w:r>
            <w:r w:rsidR="000C52E4" w:rsidRPr="00A83FDA">
              <w:rPr>
                <w:rFonts w:ascii="Arial Narrow" w:hAnsi="Arial Narrow" w:cs="Times New Roman"/>
                <w:bCs/>
                <w:sz w:val="20"/>
              </w:rPr>
              <w:t xml:space="preserve"> weeks</w:t>
            </w:r>
            <w:r w:rsidRPr="00A83FDA">
              <w:rPr>
                <w:rFonts w:ascii="Arial Narrow" w:hAnsi="Arial Narrow" w:cs="Times New Roman"/>
                <w:bCs/>
                <w:sz w:val="20"/>
              </w:rPr>
              <w:t>.</w:t>
            </w:r>
            <w:r w:rsidR="0064716A" w:rsidRPr="00A83FDA">
              <w:rPr>
                <w:rFonts w:ascii="Arial Narrow" w:hAnsi="Arial Narrow" w:cs="Times New Roman"/>
                <w:bCs/>
                <w:sz w:val="20"/>
              </w:rPr>
              <w:t xml:space="preserve"> Almost all </w:t>
            </w:r>
            <w:r w:rsidR="00DD01CF" w:rsidRPr="00A83FDA">
              <w:rPr>
                <w:rFonts w:ascii="Arial Narrow" w:hAnsi="Arial Narrow" w:cs="Times New Roman"/>
                <w:bCs/>
                <w:sz w:val="20"/>
              </w:rPr>
              <w:t>burosumab</w:t>
            </w:r>
            <w:r w:rsidR="0064716A" w:rsidRPr="00A83FDA">
              <w:rPr>
                <w:rFonts w:ascii="Arial Narrow" w:hAnsi="Arial Narrow" w:cs="Times New Roman"/>
                <w:bCs/>
                <w:sz w:val="20"/>
              </w:rPr>
              <w:t xml:space="preserve"> patients were ‘healed’ by Year 10 in the model and remained there until death.</w:t>
            </w:r>
          </w:p>
        </w:tc>
      </w:tr>
      <w:tr w:rsidR="0064716A" w:rsidRPr="00D4558F" w:rsidTr="0053453F">
        <w:tc>
          <w:tcPr>
            <w:tcW w:w="705" w:type="pct"/>
            <w:vAlign w:val="center"/>
          </w:tcPr>
          <w:p w:rsidR="0064716A" w:rsidRPr="00D4558F" w:rsidRDefault="0064716A" w:rsidP="00571ED2">
            <w:pPr>
              <w:widowControl w:val="0"/>
              <w:jc w:val="left"/>
              <w:rPr>
                <w:rFonts w:ascii="Arial Narrow" w:hAnsi="Arial Narrow" w:cs="Times New Roman"/>
                <w:bCs/>
                <w:sz w:val="20"/>
              </w:rPr>
            </w:pPr>
            <w:r w:rsidRPr="00D4558F">
              <w:rPr>
                <w:rFonts w:ascii="Arial Narrow" w:hAnsi="Arial Narrow" w:cs="Times New Roman"/>
                <w:bCs/>
                <w:sz w:val="20"/>
              </w:rPr>
              <w:t>Health related quality of life</w:t>
            </w:r>
            <w:r>
              <w:rPr>
                <w:rFonts w:ascii="Arial Narrow" w:hAnsi="Arial Narrow" w:cs="Times New Roman"/>
                <w:bCs/>
                <w:sz w:val="20"/>
              </w:rPr>
              <w:t xml:space="preserve"> </w:t>
            </w:r>
          </w:p>
        </w:tc>
        <w:tc>
          <w:tcPr>
            <w:tcW w:w="4295" w:type="pct"/>
            <w:vAlign w:val="center"/>
          </w:tcPr>
          <w:p w:rsidR="0064716A" w:rsidRPr="00A83FDA" w:rsidRDefault="0064716A" w:rsidP="00175FB5">
            <w:pPr>
              <w:widowControl w:val="0"/>
              <w:jc w:val="left"/>
              <w:rPr>
                <w:rFonts w:ascii="Arial Narrow" w:hAnsi="Arial Narrow" w:cs="Times New Roman"/>
                <w:bCs/>
                <w:sz w:val="20"/>
              </w:rPr>
            </w:pPr>
            <w:r w:rsidRPr="00A83FDA">
              <w:rPr>
                <w:rFonts w:ascii="Arial Narrow" w:hAnsi="Arial Narrow" w:cs="Times New Roman"/>
                <w:bCs/>
                <w:sz w:val="20"/>
              </w:rPr>
              <w:t xml:space="preserve">Health state utilities were derived from a Sponsor-conducted vignette study (no patient reported outcomes from clinical studies or published literature were available). In this utility study, six UK clinicians with experience in treating XLH were asked to rate vignettes of patients with XLH at the following ages: 1-4, 5-12, 13+, 18, 40 and 60 years, based on the four RSS (healed, mild, moderate, severe) health states using the EQ-5D-5L questionnaire. </w:t>
            </w:r>
            <w:r w:rsidR="009D4638" w:rsidRPr="00B53825">
              <w:rPr>
                <w:rFonts w:ascii="Arial Narrow" w:hAnsi="Arial Narrow" w:cs="Times New Roman"/>
                <w:bCs/>
                <w:sz w:val="20"/>
              </w:rPr>
              <w:t>Not all clinical experts valued the ‘healed’ and ‘severe’ states, due to lack of clinical experience in these patients.</w:t>
            </w:r>
            <w:r w:rsidR="009D4638" w:rsidRPr="00986C4B">
              <w:rPr>
                <w:rFonts w:ascii="Arial Narrow" w:hAnsi="Arial Narrow" w:cs="Times New Roman"/>
                <w:bCs/>
                <w:sz w:val="20"/>
              </w:rPr>
              <w:t xml:space="preserve"> </w:t>
            </w:r>
            <w:r w:rsidRPr="00A83FDA">
              <w:rPr>
                <w:rFonts w:ascii="Arial Narrow" w:hAnsi="Arial Narrow" w:cs="Times New Roman"/>
                <w:bCs/>
                <w:sz w:val="20"/>
              </w:rPr>
              <w:t xml:space="preserve">Utility weights were then estimated using an established algorithm using UK weights and were applied by the aforementioned age groups and RSS states in the model. </w:t>
            </w:r>
          </w:p>
        </w:tc>
      </w:tr>
      <w:tr w:rsidR="0064716A" w:rsidRPr="00D4558F" w:rsidTr="0053453F">
        <w:tc>
          <w:tcPr>
            <w:tcW w:w="705" w:type="pct"/>
            <w:vAlign w:val="center"/>
          </w:tcPr>
          <w:p w:rsidR="0064716A" w:rsidRPr="00D4558F" w:rsidRDefault="00F234F5" w:rsidP="0064716A">
            <w:pPr>
              <w:widowControl w:val="0"/>
              <w:jc w:val="left"/>
              <w:rPr>
                <w:rFonts w:ascii="Arial Narrow" w:hAnsi="Arial Narrow" w:cs="Times New Roman"/>
                <w:bCs/>
                <w:sz w:val="20"/>
              </w:rPr>
            </w:pPr>
            <w:r>
              <w:rPr>
                <w:rFonts w:ascii="Arial Narrow" w:hAnsi="Arial Narrow" w:cs="Times New Roman"/>
                <w:bCs/>
                <w:sz w:val="20"/>
              </w:rPr>
              <w:t>Costs</w:t>
            </w:r>
          </w:p>
        </w:tc>
        <w:tc>
          <w:tcPr>
            <w:tcW w:w="4295" w:type="pct"/>
            <w:vAlign w:val="center"/>
          </w:tcPr>
          <w:p w:rsidR="00AC5338" w:rsidRPr="00A83FDA" w:rsidRDefault="00AC5338" w:rsidP="00AC5338">
            <w:pPr>
              <w:widowControl w:val="0"/>
              <w:jc w:val="left"/>
              <w:rPr>
                <w:rFonts w:ascii="Arial Narrow" w:hAnsi="Arial Narrow" w:cs="Times New Roman"/>
                <w:bCs/>
                <w:sz w:val="20"/>
              </w:rPr>
            </w:pPr>
            <w:r w:rsidRPr="00A83FDA">
              <w:rPr>
                <w:rFonts w:ascii="Arial Narrow" w:hAnsi="Arial Narrow" w:cs="Times New Roman"/>
                <w:bCs/>
                <w:sz w:val="20"/>
              </w:rPr>
              <w:t xml:space="preserve">Drug cost for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and conventional therapy were based on average dosages CL301, CL201 a</w:t>
            </w:r>
            <w:r w:rsidR="00C858EF" w:rsidRPr="00A83FDA">
              <w:rPr>
                <w:rFonts w:ascii="Arial Narrow" w:hAnsi="Arial Narrow" w:cs="Times New Roman"/>
                <w:bCs/>
                <w:sz w:val="20"/>
              </w:rPr>
              <w:t>n</w:t>
            </w:r>
            <w:r w:rsidRPr="00A83FDA">
              <w:rPr>
                <w:rFonts w:ascii="Arial Narrow" w:hAnsi="Arial Narrow" w:cs="Times New Roman"/>
                <w:bCs/>
                <w:sz w:val="20"/>
              </w:rPr>
              <w:t xml:space="preserve">d CL205 and costed using PBS prices (effective prices for </w:t>
            </w:r>
            <w:r w:rsidR="00DD01CF" w:rsidRPr="00A83FDA">
              <w:rPr>
                <w:rFonts w:ascii="Arial Narrow" w:hAnsi="Arial Narrow" w:cs="Times New Roman"/>
                <w:bCs/>
                <w:sz w:val="20"/>
              </w:rPr>
              <w:t>burosumab</w:t>
            </w:r>
            <w:r w:rsidRPr="00A83FDA">
              <w:rPr>
                <w:rFonts w:ascii="Arial Narrow" w:hAnsi="Arial Narrow" w:cs="Times New Roman"/>
                <w:bCs/>
                <w:sz w:val="20"/>
              </w:rPr>
              <w:t xml:space="preserve">). Other costs include disease surveillance costs (applied to all patients equally), </w:t>
            </w:r>
            <w:r w:rsidR="00F3109B" w:rsidRPr="00A83FDA">
              <w:rPr>
                <w:rFonts w:ascii="Arial Narrow" w:hAnsi="Arial Narrow" w:cs="Times New Roman"/>
                <w:bCs/>
                <w:sz w:val="20"/>
              </w:rPr>
              <w:t xml:space="preserve">physiotherapy cost (mild health state only) and </w:t>
            </w:r>
            <w:r w:rsidRPr="00A83FDA">
              <w:rPr>
                <w:rFonts w:ascii="Arial Narrow" w:hAnsi="Arial Narrow" w:cs="Times New Roman"/>
                <w:bCs/>
                <w:sz w:val="20"/>
              </w:rPr>
              <w:t>surgical costs (severe health state</w:t>
            </w:r>
            <w:r w:rsidR="00F3109B" w:rsidRPr="00A83FDA">
              <w:rPr>
                <w:rFonts w:ascii="Arial Narrow" w:hAnsi="Arial Narrow" w:cs="Times New Roman"/>
                <w:bCs/>
                <w:sz w:val="20"/>
              </w:rPr>
              <w:t xml:space="preserve"> only</w:t>
            </w:r>
            <w:r w:rsidRPr="00A83FDA">
              <w:rPr>
                <w:rFonts w:ascii="Arial Narrow" w:hAnsi="Arial Narrow" w:cs="Times New Roman"/>
                <w:bCs/>
                <w:sz w:val="20"/>
              </w:rPr>
              <w:t>)</w:t>
            </w:r>
            <w:r w:rsidR="00C858EF" w:rsidRPr="00A83FDA">
              <w:rPr>
                <w:rFonts w:ascii="Arial Narrow" w:hAnsi="Arial Narrow" w:cs="Times New Roman"/>
                <w:bCs/>
                <w:sz w:val="20"/>
              </w:rPr>
              <w:t xml:space="preserve"> using appropriate sources.</w:t>
            </w:r>
          </w:p>
          <w:p w:rsidR="0064716A" w:rsidRPr="00A83FDA" w:rsidRDefault="00F33B50" w:rsidP="00175FB5">
            <w:pPr>
              <w:widowControl w:val="0"/>
              <w:jc w:val="left"/>
              <w:rPr>
                <w:rFonts w:ascii="Arial Narrow" w:hAnsi="Arial Narrow" w:cs="Times New Roman"/>
                <w:bCs/>
                <w:iCs/>
                <w:sz w:val="20"/>
              </w:rPr>
            </w:pPr>
            <w:r w:rsidRPr="00A83FDA">
              <w:rPr>
                <w:rFonts w:ascii="Arial Narrow" w:hAnsi="Arial Narrow" w:cs="Times New Roman"/>
                <w:bCs/>
                <w:iCs/>
                <w:sz w:val="20"/>
              </w:rPr>
              <w:t xml:space="preserve">The cost of </w:t>
            </w:r>
            <w:r w:rsidR="00DD01CF" w:rsidRPr="00A83FDA">
              <w:rPr>
                <w:rFonts w:ascii="Arial Narrow" w:hAnsi="Arial Narrow" w:cs="Times New Roman"/>
                <w:bCs/>
                <w:iCs/>
                <w:sz w:val="20"/>
              </w:rPr>
              <w:t>burosumab</w:t>
            </w:r>
            <w:r w:rsidRPr="00A83FDA">
              <w:rPr>
                <w:rFonts w:ascii="Arial Narrow" w:hAnsi="Arial Narrow" w:cs="Times New Roman"/>
                <w:bCs/>
                <w:iCs/>
                <w:sz w:val="20"/>
              </w:rPr>
              <w:t xml:space="preserve"> v</w:t>
            </w:r>
            <w:r w:rsidR="00AC5338" w:rsidRPr="00A83FDA">
              <w:rPr>
                <w:rFonts w:ascii="Arial Narrow" w:hAnsi="Arial Narrow" w:cs="Times New Roman"/>
                <w:bCs/>
                <w:iCs/>
                <w:sz w:val="20"/>
              </w:rPr>
              <w:t xml:space="preserve">aries based on dose </w:t>
            </w:r>
            <w:r w:rsidR="00F3109B" w:rsidRPr="00A83FDA">
              <w:rPr>
                <w:rFonts w:ascii="Arial Narrow" w:hAnsi="Arial Narrow" w:cs="Times New Roman"/>
                <w:bCs/>
                <w:iCs/>
                <w:sz w:val="20"/>
              </w:rPr>
              <w:t>used</w:t>
            </w:r>
            <w:r w:rsidR="00E06632" w:rsidRPr="00A83FDA">
              <w:rPr>
                <w:rFonts w:ascii="Arial Narrow" w:hAnsi="Arial Narrow" w:cs="Times New Roman"/>
                <w:bCs/>
                <w:iCs/>
                <w:sz w:val="20"/>
              </w:rPr>
              <w:t>,</w:t>
            </w:r>
            <w:r w:rsidR="00F3109B" w:rsidRPr="00A83FDA">
              <w:rPr>
                <w:rFonts w:ascii="Arial Narrow" w:hAnsi="Arial Narrow" w:cs="Times New Roman"/>
                <w:bCs/>
                <w:iCs/>
                <w:sz w:val="20"/>
              </w:rPr>
              <w:t xml:space="preserve"> which in turn depends on </w:t>
            </w:r>
            <w:r w:rsidR="00AC5338" w:rsidRPr="00A83FDA">
              <w:rPr>
                <w:rFonts w:ascii="Arial Narrow" w:hAnsi="Arial Narrow" w:cs="Times New Roman"/>
                <w:bCs/>
                <w:iCs/>
                <w:sz w:val="20"/>
              </w:rPr>
              <w:t>cohort average weight and phosphate levels</w:t>
            </w:r>
            <w:r w:rsidR="00B62081" w:rsidRPr="00A83FDA">
              <w:rPr>
                <w:rFonts w:ascii="Arial Narrow" w:hAnsi="Arial Narrow" w:cs="Times New Roman"/>
                <w:bCs/>
                <w:iCs/>
                <w:sz w:val="20"/>
              </w:rPr>
              <w:t xml:space="preserve">. </w:t>
            </w:r>
          </w:p>
        </w:tc>
      </w:tr>
    </w:tbl>
    <w:p w:rsidR="005105E9" w:rsidRPr="00D4558F" w:rsidRDefault="005105E9" w:rsidP="005105E9">
      <w:pPr>
        <w:widowControl w:val="0"/>
        <w:spacing w:after="120"/>
        <w:contextualSpacing/>
        <w:rPr>
          <w:rFonts w:ascii="Arial Narrow" w:hAnsi="Arial Narrow"/>
          <w:snapToGrid w:val="0"/>
          <w:sz w:val="18"/>
          <w:szCs w:val="22"/>
        </w:rPr>
      </w:pPr>
      <w:r w:rsidRPr="00D4558F">
        <w:rPr>
          <w:rFonts w:ascii="Arial Narrow" w:hAnsi="Arial Narrow"/>
          <w:snapToGrid w:val="0"/>
          <w:sz w:val="18"/>
          <w:szCs w:val="22"/>
        </w:rPr>
        <w:t>Source: Table 3-1, p122 of the submission.</w:t>
      </w:r>
    </w:p>
    <w:p w:rsidR="005105E9" w:rsidRPr="00D4558F" w:rsidRDefault="005105E9" w:rsidP="005105E9">
      <w:pPr>
        <w:widowControl w:val="0"/>
        <w:spacing w:after="120"/>
        <w:contextualSpacing/>
        <w:rPr>
          <w:rFonts w:ascii="Arial Narrow" w:hAnsi="Arial Narrow"/>
          <w:snapToGrid w:val="0"/>
          <w:sz w:val="18"/>
          <w:szCs w:val="18"/>
        </w:rPr>
      </w:pPr>
      <w:r w:rsidRPr="00D4558F">
        <w:rPr>
          <w:rFonts w:ascii="Arial Narrow" w:hAnsi="Arial Narrow"/>
          <w:snapToGrid w:val="0"/>
          <w:sz w:val="18"/>
          <w:szCs w:val="18"/>
        </w:rPr>
        <w:t xml:space="preserve">Abbreviations: CADTH=Canadian Agency for Drugs and Technologies in Health; NICE=National Institute for Health and Care Excellence; RSS=Rickets Severity Score; RGI-C=Radiographic Global Impression of Change; XLH=X-linked hypophosphataemia; RSS=Rickets Severity Score; RGI-C=Radiographic Global Impression of Change; ICER=Incremental Cost Effectiveness Ratio; 6MWT=6-minute walk test; HTA=Health Technology Assessment; NICE=National Institute for Health and Care Excellence; SMC=Scottish Medicines Consortium; CADTH=Canadian Agency for Drugs and Technologies in Health. </w:t>
      </w:r>
    </w:p>
    <w:p w:rsidR="00DA21CC" w:rsidRPr="00A83FDA" w:rsidDel="00DA21CC" w:rsidRDefault="00DA21CC" w:rsidP="00DA21CC">
      <w:pPr>
        <w:pStyle w:val="3-BodyText"/>
        <w:widowControl w:val="0"/>
        <w:rPr>
          <w:b/>
          <w:bCs/>
        </w:rPr>
      </w:pPr>
      <w:r w:rsidRPr="00A83FDA">
        <w:t>P</w:t>
      </w:r>
      <w:r w:rsidR="00850E36" w:rsidRPr="00A83FDA">
        <w:t>atients entered the model (</w:t>
      </w:r>
      <w:r w:rsidR="008F1E04" w:rsidRPr="00A83FDA">
        <w:t>C</w:t>
      </w:r>
      <w:r w:rsidR="00850E36" w:rsidRPr="00A83FDA">
        <w:t xml:space="preserve">ycle 0) </w:t>
      </w:r>
      <w:r w:rsidRPr="00A83FDA">
        <w:t xml:space="preserve">from one of the </w:t>
      </w:r>
      <w:r w:rsidR="00850E36" w:rsidRPr="00A83FDA">
        <w:t>alive health states, based on</w:t>
      </w:r>
      <w:r w:rsidRPr="00A83FDA">
        <w:t xml:space="preserve"> RSS baseline distribution in </w:t>
      </w:r>
      <w:r w:rsidR="00850E36" w:rsidRPr="00A83FDA">
        <w:t>pooled CL301, CL201 and CL205</w:t>
      </w:r>
      <w:r w:rsidRPr="00A83FDA">
        <w:t xml:space="preserve"> data</w:t>
      </w:r>
      <w:r w:rsidR="00850E36" w:rsidRPr="00A83FDA">
        <w:t>, at a mean starting age of 6.8 years (</w:t>
      </w:r>
      <w:r w:rsidRPr="00A83FDA">
        <w:t>also based</w:t>
      </w:r>
      <w:r w:rsidR="00850E36" w:rsidRPr="00A83FDA">
        <w:t xml:space="preserve"> on the </w:t>
      </w:r>
      <w:r w:rsidR="009F6554" w:rsidRPr="00A83FDA">
        <w:t xml:space="preserve">pooled </w:t>
      </w:r>
      <w:r w:rsidR="00850E36" w:rsidRPr="00A83FDA">
        <w:t>study population</w:t>
      </w:r>
      <w:r w:rsidR="007B696B" w:rsidRPr="00A83FDA">
        <w:t>s</w:t>
      </w:r>
      <w:r w:rsidR="00850E36" w:rsidRPr="00A83FDA">
        <w:t xml:space="preserve">). </w:t>
      </w:r>
      <w:r w:rsidRPr="00A83FDA" w:rsidDel="00DA21CC">
        <w:rPr>
          <w:szCs w:val="18"/>
        </w:rPr>
        <w:t xml:space="preserve">Patients initiated either </w:t>
      </w:r>
      <w:r w:rsidR="003631B0" w:rsidRPr="00A83FDA">
        <w:rPr>
          <w:szCs w:val="18"/>
        </w:rPr>
        <w:t>burosumab</w:t>
      </w:r>
      <w:r w:rsidRPr="00A83FDA" w:rsidDel="00DA21CC">
        <w:rPr>
          <w:szCs w:val="18"/>
        </w:rPr>
        <w:t xml:space="preserve"> or conventional therapy and were assumed to receive these treatments continuously (i.e. assuming full compliance and no early discontinuation) until 18 years of age. When patients reached 18 years of age, a proportion of patients in each group with persistent rickets continued to receive conventional therapy at an adult dose (i.e</w:t>
      </w:r>
      <w:r w:rsidR="008F1E04" w:rsidRPr="00A83FDA">
        <w:rPr>
          <w:szCs w:val="18"/>
        </w:rPr>
        <w:t>.</w:t>
      </w:r>
      <w:r w:rsidRPr="00A83FDA" w:rsidDel="00DA21CC">
        <w:rPr>
          <w:szCs w:val="18"/>
        </w:rPr>
        <w:t xml:space="preserve"> </w:t>
      </w:r>
      <w:r w:rsidR="003631B0" w:rsidRPr="00A83FDA">
        <w:rPr>
          <w:szCs w:val="18"/>
        </w:rPr>
        <w:t>burosumab</w:t>
      </w:r>
      <w:r w:rsidRPr="00A83FDA" w:rsidDel="00DA21CC">
        <w:rPr>
          <w:szCs w:val="18"/>
        </w:rPr>
        <w:t xml:space="preserve"> ceased in all patients).</w:t>
      </w:r>
    </w:p>
    <w:p w:rsidR="00490B17" w:rsidRPr="00BF479F" w:rsidRDefault="00850E36" w:rsidP="00A03E7E">
      <w:pPr>
        <w:pStyle w:val="3-BodyText"/>
      </w:pPr>
      <w:r w:rsidRPr="00A83FDA">
        <w:t xml:space="preserve">At the end of each 1-year cycle, </w:t>
      </w:r>
      <w:r w:rsidR="003631B0" w:rsidRPr="00A83FDA">
        <w:t>burosumab</w:t>
      </w:r>
      <w:r w:rsidRPr="00A83FDA">
        <w:t xml:space="preserve"> patients either stayed in the same health state or improved (i.e. they could not deteriorate/transition to a worse health state), wh</w:t>
      </w:r>
      <w:r w:rsidR="00E06632" w:rsidRPr="00A83FDA">
        <w:t>ereas</w:t>
      </w:r>
      <w:r w:rsidRPr="00A83FDA">
        <w:t xml:space="preserve"> patients receiving conventional therapy could </w:t>
      </w:r>
      <w:r w:rsidR="00E06632" w:rsidRPr="00A83FDA">
        <w:t>deteriorate</w:t>
      </w:r>
      <w:r w:rsidRPr="00A83FDA">
        <w:t>, as per transition probabilities, up until 18 years of age. Beyond 18 years of age, patients remained in their respective RSS health state for the rest of the model duration until death. Patients could move to the dea</w:t>
      </w:r>
      <w:r w:rsidR="00C858EF" w:rsidRPr="00A83FDA">
        <w:t>th</w:t>
      </w:r>
      <w:r w:rsidRPr="00A83FDA">
        <w:t xml:space="preserve"> state from any health state based on age gender specific all-cause mortality</w:t>
      </w:r>
      <w:r w:rsidR="00DA21CC" w:rsidRPr="00A83FDA">
        <w:t>. No</w:t>
      </w:r>
      <w:r w:rsidRPr="00A83FDA">
        <w:t xml:space="preserve"> difference in </w:t>
      </w:r>
      <w:r w:rsidR="00DA21CC" w:rsidRPr="00A83FDA">
        <w:t xml:space="preserve">mortality </w:t>
      </w:r>
      <w:r w:rsidRPr="00A83FDA">
        <w:t xml:space="preserve">was assumed between </w:t>
      </w:r>
      <w:r w:rsidR="003631B0" w:rsidRPr="00A83FDA">
        <w:t>burosumab</w:t>
      </w:r>
      <w:r w:rsidRPr="00A83FDA">
        <w:t xml:space="preserve"> </w:t>
      </w:r>
      <w:r w:rsidRPr="00BF479F">
        <w:t>and conventional therapy</w:t>
      </w:r>
      <w:r w:rsidR="00DA21CC" w:rsidRPr="00BF479F">
        <w:t>, so model transitions were purely driven by RSS and associated assumptions</w:t>
      </w:r>
      <w:r w:rsidRPr="00BF479F">
        <w:t>.</w:t>
      </w:r>
    </w:p>
    <w:p w:rsidR="002F1AF6" w:rsidRPr="00C51D79" w:rsidRDefault="00571ED2" w:rsidP="00BB00B3">
      <w:pPr>
        <w:pStyle w:val="3-BodyText"/>
      </w:pPr>
      <w:r w:rsidRPr="00B53825">
        <w:t xml:space="preserve">The ESC </w:t>
      </w:r>
      <w:r w:rsidR="006554CE">
        <w:t xml:space="preserve">and </w:t>
      </w:r>
      <w:r w:rsidR="004B58BB">
        <w:t>PBAC</w:t>
      </w:r>
      <w:r w:rsidR="004B58BB" w:rsidRPr="00B53825">
        <w:t xml:space="preserve"> </w:t>
      </w:r>
      <w:r w:rsidRPr="00B53825">
        <w:t>noted that</w:t>
      </w:r>
      <w:r w:rsidR="006725D3" w:rsidRPr="00B53825">
        <w:t xml:space="preserve"> there were </w:t>
      </w:r>
      <w:r w:rsidR="004B58BB">
        <w:t xml:space="preserve">a number of </w:t>
      </w:r>
      <w:r w:rsidR="006725D3" w:rsidRPr="00B53825">
        <w:t xml:space="preserve">uncertainties </w:t>
      </w:r>
      <w:r w:rsidR="006725D3" w:rsidRPr="00C51D79">
        <w:t>relating</w:t>
      </w:r>
      <w:r w:rsidR="008D0975" w:rsidRPr="00C51D79">
        <w:t xml:space="preserve"> </w:t>
      </w:r>
      <w:r w:rsidR="002F1AF6" w:rsidRPr="00C51D79">
        <w:t>to the model structure</w:t>
      </w:r>
      <w:r w:rsidR="0080068A" w:rsidRPr="00C51D79">
        <w:t>, assumption</w:t>
      </w:r>
      <w:r w:rsidR="00E551AD" w:rsidRPr="00C51D79">
        <w:t>s</w:t>
      </w:r>
      <w:r w:rsidR="0080068A" w:rsidRPr="00C51D79">
        <w:t xml:space="preserve"> and </w:t>
      </w:r>
      <w:r w:rsidR="002F1AF6" w:rsidRPr="00C51D79">
        <w:t>inputs</w:t>
      </w:r>
      <w:r w:rsidR="008F1E04" w:rsidRPr="00C51D79">
        <w:t xml:space="preserve">. These are outlined </w:t>
      </w:r>
      <w:r w:rsidR="00980501" w:rsidRPr="00C51D79">
        <w:t>in paragraphs 6.</w:t>
      </w:r>
      <w:r w:rsidR="00805FAA" w:rsidRPr="00C51D79">
        <w:t>45</w:t>
      </w:r>
      <w:r w:rsidR="00980501" w:rsidRPr="00C51D79">
        <w:t xml:space="preserve"> to 6.</w:t>
      </w:r>
      <w:r w:rsidR="00805FAA" w:rsidRPr="00C51D79">
        <w:t>51</w:t>
      </w:r>
      <w:r w:rsidR="008F1E04" w:rsidRPr="00C51D79">
        <w:t>.</w:t>
      </w:r>
    </w:p>
    <w:p w:rsidR="002F1AF6" w:rsidRPr="00BF479F" w:rsidRDefault="002F1AF6" w:rsidP="0064716A">
      <w:pPr>
        <w:pStyle w:val="3-BodyText"/>
      </w:pPr>
      <w:r w:rsidRPr="00BF479F">
        <w:t>RSS health states definition:</w:t>
      </w:r>
    </w:p>
    <w:p w:rsidR="002F1AF6" w:rsidRPr="00B53825" w:rsidRDefault="002F1AF6" w:rsidP="007C53EC">
      <w:pPr>
        <w:numPr>
          <w:ilvl w:val="0"/>
          <w:numId w:val="7"/>
        </w:numPr>
        <w:spacing w:after="120"/>
        <w:ind w:left="1134"/>
        <w:rPr>
          <w:rFonts w:asciiTheme="minorHAnsi" w:hAnsiTheme="minorHAnsi"/>
          <w:snapToGrid w:val="0"/>
        </w:rPr>
      </w:pPr>
      <w:r w:rsidRPr="00BF479F">
        <w:rPr>
          <w:rFonts w:asciiTheme="minorHAnsi" w:hAnsiTheme="minorHAnsi"/>
          <w:snapToGrid w:val="0"/>
        </w:rPr>
        <w:t>The RSS is unlikely to capture all important aspects of XLH given its</w:t>
      </w:r>
      <w:r w:rsidRPr="00571ED2">
        <w:rPr>
          <w:rFonts w:asciiTheme="minorHAnsi" w:hAnsiTheme="minorHAnsi"/>
          <w:snapToGrid w:val="0"/>
        </w:rPr>
        <w:t xml:space="preserve"> focus is limited to bone manifestations</w:t>
      </w:r>
      <w:r w:rsidR="008F1E04" w:rsidRPr="00571ED2">
        <w:rPr>
          <w:rFonts w:asciiTheme="minorHAnsi" w:hAnsiTheme="minorHAnsi"/>
          <w:snapToGrid w:val="0"/>
        </w:rPr>
        <w:t>. O</w:t>
      </w:r>
      <w:r w:rsidRPr="00571ED2">
        <w:rPr>
          <w:rFonts w:asciiTheme="minorHAnsi" w:hAnsiTheme="minorHAnsi"/>
          <w:snapToGrid w:val="0"/>
        </w:rPr>
        <w:t>ther aspects of the disease including metabolic manifestations are not captured.</w:t>
      </w:r>
      <w:r w:rsidR="00562837" w:rsidRPr="00571ED2">
        <w:rPr>
          <w:rFonts w:asciiTheme="minorHAnsi" w:hAnsiTheme="minorHAnsi"/>
          <w:snapToGrid w:val="0"/>
        </w:rPr>
        <w:t xml:space="preserve"> In addition, t</w:t>
      </w:r>
      <w:r w:rsidRPr="00571ED2">
        <w:rPr>
          <w:rFonts w:asciiTheme="minorHAnsi" w:hAnsiTheme="minorHAnsi"/>
          <w:snapToGrid w:val="0"/>
        </w:rPr>
        <w:t xml:space="preserve">he RSS does not fully capture </w:t>
      </w:r>
      <w:r w:rsidR="008F1E04" w:rsidRPr="00571ED2">
        <w:rPr>
          <w:rFonts w:asciiTheme="minorHAnsi" w:hAnsiTheme="minorHAnsi"/>
          <w:snapToGrid w:val="0"/>
        </w:rPr>
        <w:t xml:space="preserve">all </w:t>
      </w:r>
      <w:r w:rsidRPr="00571ED2">
        <w:rPr>
          <w:rFonts w:asciiTheme="minorHAnsi" w:hAnsiTheme="minorHAnsi"/>
          <w:snapToGrid w:val="0"/>
        </w:rPr>
        <w:t>bone defects, such as the bowing of the arms or legs, which is an important XLH symptomology, and can affect a patient’s ability to walk, pain level, growth, fatigue, dental problems and quality of life.</w:t>
      </w:r>
      <w:r w:rsidR="00562837" w:rsidRPr="00571ED2">
        <w:rPr>
          <w:rFonts w:asciiTheme="minorHAnsi" w:hAnsiTheme="minorHAnsi"/>
          <w:snapToGrid w:val="0"/>
        </w:rPr>
        <w:t xml:space="preserve"> </w:t>
      </w:r>
      <w:r w:rsidR="00562837" w:rsidRPr="00B53825">
        <w:t>The PSCR</w:t>
      </w:r>
      <w:r w:rsidR="00B16945" w:rsidRPr="00B53825">
        <w:t xml:space="preserve"> </w:t>
      </w:r>
      <w:r w:rsidR="00562837" w:rsidRPr="00B53825">
        <w:t xml:space="preserve"> stated that rickets is the hallmark feature of XLH in children and </w:t>
      </w:r>
      <w:r w:rsidR="00C20BE3" w:rsidRPr="00B53825">
        <w:t xml:space="preserve">reiterated </w:t>
      </w:r>
      <w:r w:rsidR="00562837" w:rsidRPr="00B53825">
        <w:t xml:space="preserve">that RSS was the most robust and patient relevant outcome assessed in the trials. </w:t>
      </w:r>
    </w:p>
    <w:p w:rsidR="002F1AF6" w:rsidRPr="00B53825" w:rsidRDefault="002F1AF6" w:rsidP="007C53EC">
      <w:pPr>
        <w:numPr>
          <w:ilvl w:val="0"/>
          <w:numId w:val="7"/>
        </w:numPr>
        <w:spacing w:after="120"/>
        <w:ind w:left="1134"/>
        <w:rPr>
          <w:rFonts w:asciiTheme="minorHAnsi" w:hAnsiTheme="minorHAnsi"/>
          <w:snapToGrid w:val="0"/>
        </w:rPr>
      </w:pPr>
      <w:r w:rsidRPr="00A83FDA">
        <w:rPr>
          <w:rFonts w:asciiTheme="minorHAnsi" w:hAnsiTheme="minorHAnsi"/>
          <w:snapToGrid w:val="0"/>
        </w:rPr>
        <w:t>RSS is measured on a continuous scale (0-10)</w:t>
      </w:r>
      <w:r w:rsidR="008F1E04" w:rsidRPr="00A83FDA">
        <w:rPr>
          <w:rFonts w:asciiTheme="minorHAnsi" w:hAnsiTheme="minorHAnsi"/>
          <w:snapToGrid w:val="0"/>
        </w:rPr>
        <w:t xml:space="preserve"> and</w:t>
      </w:r>
      <w:r w:rsidRPr="00A83FDA">
        <w:rPr>
          <w:rFonts w:asciiTheme="minorHAnsi" w:hAnsiTheme="minorHAnsi"/>
          <w:snapToGrid w:val="0"/>
        </w:rPr>
        <w:t xml:space="preserve"> little justification was provided in the submission for the </w:t>
      </w:r>
      <w:r w:rsidR="00BB00DE" w:rsidRPr="00A83FDA">
        <w:rPr>
          <w:rFonts w:asciiTheme="minorHAnsi" w:hAnsiTheme="minorHAnsi"/>
          <w:snapToGrid w:val="0"/>
        </w:rPr>
        <w:t>health state definitions</w:t>
      </w:r>
      <w:r w:rsidRPr="00A83FDA">
        <w:rPr>
          <w:rFonts w:asciiTheme="minorHAnsi" w:hAnsiTheme="minorHAnsi"/>
          <w:snapToGrid w:val="0"/>
        </w:rPr>
        <w:t xml:space="preserve"> chosen (</w:t>
      </w:r>
      <w:r w:rsidR="00BB00DE" w:rsidRPr="00A83FDA">
        <w:rPr>
          <w:rFonts w:asciiTheme="minorHAnsi" w:hAnsiTheme="minorHAnsi"/>
          <w:snapToGrid w:val="0"/>
        </w:rPr>
        <w:t xml:space="preserve">beyond </w:t>
      </w:r>
      <w:r w:rsidRPr="00A83FDA">
        <w:rPr>
          <w:rFonts w:asciiTheme="minorHAnsi" w:hAnsiTheme="minorHAnsi"/>
          <w:snapToGrid w:val="0"/>
        </w:rPr>
        <w:t>“based on expert advice”)</w:t>
      </w:r>
      <w:r w:rsidR="005D7E76" w:rsidRPr="00A83FDA">
        <w:rPr>
          <w:rFonts w:asciiTheme="minorHAnsi" w:hAnsiTheme="minorHAnsi"/>
          <w:snapToGrid w:val="0"/>
        </w:rPr>
        <w:t>. T</w:t>
      </w:r>
      <w:r w:rsidRPr="00A83FDA">
        <w:rPr>
          <w:rFonts w:asciiTheme="minorHAnsi" w:hAnsiTheme="minorHAnsi"/>
          <w:snapToGrid w:val="0"/>
        </w:rPr>
        <w:t xml:space="preserve">here was no evidence provided that </w:t>
      </w:r>
      <w:r w:rsidR="00BB00DE" w:rsidRPr="00A83FDA">
        <w:rPr>
          <w:rFonts w:asciiTheme="minorHAnsi" w:hAnsiTheme="minorHAnsi"/>
          <w:snapToGrid w:val="0"/>
        </w:rPr>
        <w:t>demonstrated</w:t>
      </w:r>
      <w:r w:rsidRPr="00A83FDA">
        <w:rPr>
          <w:rFonts w:asciiTheme="minorHAnsi" w:hAnsiTheme="minorHAnsi"/>
          <w:snapToGrid w:val="0"/>
        </w:rPr>
        <w:t xml:space="preserve"> meaningful differences between </w:t>
      </w:r>
      <w:r w:rsidR="00BB00DE" w:rsidRPr="00A83FDA">
        <w:rPr>
          <w:rFonts w:asciiTheme="minorHAnsi" w:hAnsiTheme="minorHAnsi"/>
          <w:snapToGrid w:val="0"/>
        </w:rPr>
        <w:t xml:space="preserve">the </w:t>
      </w:r>
      <w:r w:rsidRPr="00A83FDA">
        <w:rPr>
          <w:rFonts w:asciiTheme="minorHAnsi" w:hAnsiTheme="minorHAnsi"/>
          <w:snapToGrid w:val="0"/>
        </w:rPr>
        <w:t>defined health states</w:t>
      </w:r>
      <w:r w:rsidR="005D7E76" w:rsidRPr="00A83FDA">
        <w:rPr>
          <w:rFonts w:asciiTheme="minorHAnsi" w:hAnsiTheme="minorHAnsi"/>
          <w:snapToGrid w:val="0"/>
        </w:rPr>
        <w:t xml:space="preserve">. The submission based the decision to use four health states </w:t>
      </w:r>
      <w:r w:rsidRPr="00A83FDA">
        <w:rPr>
          <w:rFonts w:asciiTheme="minorHAnsi" w:hAnsiTheme="minorHAnsi"/>
          <w:snapToGrid w:val="0"/>
        </w:rPr>
        <w:t xml:space="preserve">on a seven-level system </w:t>
      </w:r>
      <w:r w:rsidR="005D7E76" w:rsidRPr="00A83FDA">
        <w:rPr>
          <w:rFonts w:asciiTheme="minorHAnsi" w:hAnsiTheme="minorHAnsi"/>
          <w:snapToGrid w:val="0"/>
        </w:rPr>
        <w:t xml:space="preserve">published </w:t>
      </w:r>
      <w:r w:rsidRPr="00A83FDA">
        <w:rPr>
          <w:rFonts w:asciiTheme="minorHAnsi" w:hAnsiTheme="minorHAnsi"/>
          <w:snapToGrid w:val="0"/>
        </w:rPr>
        <w:t>by Makitie et al 2003.</w:t>
      </w:r>
      <w:r w:rsidR="00571ED2">
        <w:rPr>
          <w:rFonts w:asciiTheme="minorHAnsi" w:hAnsiTheme="minorHAnsi"/>
          <w:snapToGrid w:val="0"/>
        </w:rPr>
        <w:t xml:space="preserve"> </w:t>
      </w:r>
      <w:r w:rsidR="00571ED2" w:rsidRPr="00B53825">
        <w:rPr>
          <w:rFonts w:asciiTheme="minorHAnsi" w:hAnsiTheme="minorHAnsi"/>
          <w:snapToGrid w:val="0"/>
        </w:rPr>
        <w:t>The PSCR stated that the RSS health states were pragmatically defined and represent the simplification of a complex clinical reality.</w:t>
      </w:r>
    </w:p>
    <w:p w:rsidR="002F1AF6" w:rsidRPr="00B53825" w:rsidRDefault="002F1AF6" w:rsidP="007C53EC">
      <w:pPr>
        <w:numPr>
          <w:ilvl w:val="0"/>
          <w:numId w:val="7"/>
        </w:numPr>
        <w:spacing w:after="120"/>
        <w:ind w:left="1134"/>
      </w:pPr>
      <w:r w:rsidRPr="00A83FDA">
        <w:rPr>
          <w:rFonts w:asciiTheme="minorHAnsi" w:hAnsiTheme="minorHAnsi"/>
          <w:snapToGrid w:val="0"/>
        </w:rPr>
        <w:t>Rickets</w:t>
      </w:r>
      <w:r w:rsidRPr="00A83FDA">
        <w:t xml:space="preserve"> severity was also assessed using the RGI-C in the clinical studies, but it was not used to define health states in the model. </w:t>
      </w:r>
      <w:r w:rsidR="00571ED2" w:rsidRPr="00B53825">
        <w:t>The PSCR</w:t>
      </w:r>
      <w:r w:rsidR="00B16945" w:rsidRPr="00B53825">
        <w:t xml:space="preserve"> </w:t>
      </w:r>
      <w:r w:rsidR="00571ED2" w:rsidRPr="00B53825">
        <w:t xml:space="preserve"> stated that RGI-C is a relative measure of effect and cannot be used to define Markov health states.</w:t>
      </w:r>
    </w:p>
    <w:p w:rsidR="002F1AF6" w:rsidRPr="00A83FDA" w:rsidRDefault="002F1AF6" w:rsidP="0064716A">
      <w:pPr>
        <w:pStyle w:val="3-BodyText"/>
      </w:pPr>
      <w:r w:rsidRPr="00A83FDA">
        <w:t>Extrapolation:</w:t>
      </w:r>
    </w:p>
    <w:p w:rsidR="008F1E04" w:rsidRPr="00A83FDA" w:rsidRDefault="00FA5871" w:rsidP="007C53EC">
      <w:pPr>
        <w:numPr>
          <w:ilvl w:val="0"/>
          <w:numId w:val="7"/>
        </w:numPr>
        <w:spacing w:after="120"/>
        <w:ind w:left="1134"/>
      </w:pPr>
      <w:r w:rsidRPr="00A83FDA">
        <w:t xml:space="preserve">Two </w:t>
      </w:r>
      <w:r w:rsidR="003B6C57" w:rsidRPr="00B53825">
        <w:t>highly uncertain</w:t>
      </w:r>
      <w:r w:rsidR="003B6C57">
        <w:t xml:space="preserve"> </w:t>
      </w:r>
      <w:r w:rsidRPr="00A83FDA">
        <w:t xml:space="preserve">assumptions were made in the submission regarding the extrapolation of clinical benefit for </w:t>
      </w:r>
      <w:r w:rsidR="003631B0" w:rsidRPr="00A83FDA">
        <w:t>burosumab</w:t>
      </w:r>
      <w:r w:rsidR="008F1E04" w:rsidRPr="00A83FDA">
        <w:t>:</w:t>
      </w:r>
      <w:r w:rsidR="008207DD" w:rsidRPr="00A83FDA">
        <w:t xml:space="preserve"> </w:t>
      </w:r>
    </w:p>
    <w:p w:rsidR="008F1E04" w:rsidRPr="00A83FDA" w:rsidRDefault="008207DD" w:rsidP="007C53EC">
      <w:pPr>
        <w:numPr>
          <w:ilvl w:val="1"/>
          <w:numId w:val="10"/>
        </w:numPr>
        <w:spacing w:after="120"/>
      </w:pPr>
      <w:r w:rsidRPr="00A83FDA">
        <w:t>A</w:t>
      </w:r>
      <w:r w:rsidR="00FA5871" w:rsidRPr="00A83FDA">
        <w:t xml:space="preserve">nnualised transition probabilities (derived from 64 week follow up data) </w:t>
      </w:r>
      <w:r w:rsidRPr="00A83FDA">
        <w:t>we</w:t>
      </w:r>
      <w:r w:rsidR="00FA5871" w:rsidRPr="00A83FDA">
        <w:t>re assumed to remain constant up to an age of 18 years</w:t>
      </w:r>
      <w:r w:rsidR="008F1E04" w:rsidRPr="00A83FDA">
        <w:t>; and</w:t>
      </w:r>
      <w:r w:rsidRPr="00A83FDA">
        <w:t xml:space="preserve"> </w:t>
      </w:r>
    </w:p>
    <w:p w:rsidR="00FA5871" w:rsidRPr="00A83FDA" w:rsidRDefault="008F1E04" w:rsidP="007C53EC">
      <w:pPr>
        <w:numPr>
          <w:ilvl w:val="1"/>
          <w:numId w:val="10"/>
        </w:numPr>
        <w:spacing w:after="120"/>
      </w:pPr>
      <w:r w:rsidRPr="00A83FDA">
        <w:t>D</w:t>
      </w:r>
      <w:r w:rsidR="00FA5871" w:rsidRPr="00A83FDA">
        <w:t xml:space="preserve">isease severity </w:t>
      </w:r>
      <w:r w:rsidRPr="00A83FDA">
        <w:t xml:space="preserve">was assumed to </w:t>
      </w:r>
      <w:r w:rsidR="00FA5871" w:rsidRPr="00A83FDA">
        <w:t xml:space="preserve">stabilise from age 18, leading to </w:t>
      </w:r>
      <w:r w:rsidRPr="00A83FDA">
        <w:t xml:space="preserve">almost </w:t>
      </w:r>
      <w:r w:rsidR="00E06632" w:rsidRPr="00A83FDA">
        <w:t xml:space="preserve">all </w:t>
      </w:r>
      <w:r w:rsidRPr="00A83FDA">
        <w:t>of the</w:t>
      </w:r>
      <w:r w:rsidR="00FA5871" w:rsidRPr="00A83FDA">
        <w:t xml:space="preserve"> </w:t>
      </w:r>
      <w:r w:rsidR="003631B0" w:rsidRPr="00A83FDA">
        <w:t>burosumab</w:t>
      </w:r>
      <w:r w:rsidR="00FA5871" w:rsidRPr="00A83FDA">
        <w:t xml:space="preserve"> patients remaining in the ‘healed’ state from Year 10 until death. </w:t>
      </w:r>
    </w:p>
    <w:p w:rsidR="00793973" w:rsidRDefault="00BB00DE" w:rsidP="007C53EC">
      <w:pPr>
        <w:numPr>
          <w:ilvl w:val="0"/>
          <w:numId w:val="7"/>
        </w:numPr>
        <w:spacing w:after="120"/>
        <w:ind w:left="1134"/>
      </w:pPr>
      <w:r w:rsidRPr="00A83FDA">
        <w:t>There wa</w:t>
      </w:r>
      <w:r w:rsidR="00FA5871" w:rsidRPr="00A83FDA">
        <w:t xml:space="preserve">s </w:t>
      </w:r>
      <w:r w:rsidR="001D4553" w:rsidRPr="00A83FDA">
        <w:t>little</w:t>
      </w:r>
      <w:r w:rsidR="00FA5871" w:rsidRPr="00A83FDA">
        <w:t xml:space="preserve"> long-term data </w:t>
      </w:r>
      <w:r w:rsidRPr="00A83FDA">
        <w:t xml:space="preserve">provided </w:t>
      </w:r>
      <w:r w:rsidR="00FA5871" w:rsidRPr="00A83FDA">
        <w:t>to support these assumptions</w:t>
      </w:r>
      <w:r w:rsidR="001D4553" w:rsidRPr="00A83FDA">
        <w:t>.</w:t>
      </w:r>
      <w:r w:rsidR="00FA5871" w:rsidRPr="00A83FDA">
        <w:t xml:space="preserve"> </w:t>
      </w:r>
      <w:r w:rsidRPr="00A83FDA">
        <w:t xml:space="preserve">The </w:t>
      </w:r>
      <w:r w:rsidR="001D4553" w:rsidRPr="00A83FDA">
        <w:t xml:space="preserve">data from </w:t>
      </w:r>
      <w:r w:rsidRPr="00A83FDA">
        <w:t xml:space="preserve">the </w:t>
      </w:r>
      <w:r w:rsidR="001D4553" w:rsidRPr="00A83FDA">
        <w:t xml:space="preserve">extension studies </w:t>
      </w:r>
      <w:r w:rsidR="008F1E04" w:rsidRPr="00A83FDA">
        <w:t>suggest</w:t>
      </w:r>
      <w:r w:rsidRPr="00A83FDA">
        <w:t>ed</w:t>
      </w:r>
      <w:r w:rsidR="008F1E04" w:rsidRPr="00A83FDA">
        <w:t xml:space="preserve"> that gains at Week 64 were maintained with continued treatment</w:t>
      </w:r>
      <w:r w:rsidR="004B4F24" w:rsidRPr="00A83FDA">
        <w:t xml:space="preserve"> to 160 weeks</w:t>
      </w:r>
      <w:r w:rsidRPr="00A83FDA">
        <w:t xml:space="preserve">, but did </w:t>
      </w:r>
      <w:r w:rsidR="001D4553" w:rsidRPr="00A83FDA">
        <w:t>not suggest continued improvements cycle after cycle</w:t>
      </w:r>
      <w:r w:rsidR="004028EA">
        <w:t xml:space="preserve"> </w:t>
      </w:r>
      <w:r w:rsidR="004028EA" w:rsidRPr="00B53825">
        <w:t>beyond the trial period until 18 years of age</w:t>
      </w:r>
      <w:r w:rsidR="004B4F24" w:rsidRPr="00B53825">
        <w:t>.</w:t>
      </w:r>
      <w:r w:rsidR="004B4F24" w:rsidRPr="00A83FDA">
        <w:t xml:space="preserve"> </w:t>
      </w:r>
    </w:p>
    <w:p w:rsidR="002F1AF6" w:rsidRPr="00B53825" w:rsidRDefault="004B4F24" w:rsidP="007C53EC">
      <w:pPr>
        <w:numPr>
          <w:ilvl w:val="0"/>
          <w:numId w:val="7"/>
        </w:numPr>
        <w:spacing w:after="120"/>
        <w:ind w:left="1134"/>
      </w:pPr>
      <w:r w:rsidRPr="00A83FDA">
        <w:t xml:space="preserve">No data was presented to support </w:t>
      </w:r>
      <w:r w:rsidR="00AE662F" w:rsidRPr="00A83FDA">
        <w:t xml:space="preserve">the </w:t>
      </w:r>
      <w:r w:rsidRPr="00A83FDA">
        <w:t>lifelong benefit assumption after</w:t>
      </w:r>
      <w:r w:rsidR="00AE662F" w:rsidRPr="00A83FDA">
        <w:t xml:space="preserve"> stopping treatment at 18 years</w:t>
      </w:r>
      <w:r w:rsidR="00744C75">
        <w:t>. The submission stated</w:t>
      </w:r>
      <w:r w:rsidR="00BB00DE" w:rsidRPr="00A83FDA">
        <w:t xml:space="preserve"> that this assumption was based on expert clinical opinion that if rickets healed in childhood prior to end of growth, then it is clinically unlikely that the long-term benefits of healing will be reversed.</w:t>
      </w:r>
      <w:r w:rsidR="00AE662F" w:rsidRPr="00A83FDA">
        <w:t xml:space="preserve"> </w:t>
      </w:r>
      <w:r w:rsidR="00BB00DE" w:rsidRPr="00A83FDA">
        <w:t xml:space="preserve">As </w:t>
      </w:r>
      <w:r w:rsidR="00FA5871" w:rsidRPr="00A83FDA">
        <w:t xml:space="preserve">XLH is a progressive disease, persistent hypophosphataemia (which will continue into adulthood unless treated) </w:t>
      </w:r>
      <w:r w:rsidR="00EA5F58" w:rsidRPr="00A83FDA">
        <w:t>is</w:t>
      </w:r>
      <w:r w:rsidR="00FA5871" w:rsidRPr="00A83FDA">
        <w:t xml:space="preserve"> likely to </w:t>
      </w:r>
      <w:r w:rsidR="00EA5F58" w:rsidRPr="00A83FDA">
        <w:t xml:space="preserve">result in </w:t>
      </w:r>
      <w:r w:rsidR="00FA5871" w:rsidRPr="00A83FDA">
        <w:t>further disease progression with symptoms such as osteoarthritis, enthesopathy, stress fractures in weakened bone and dental abscesses, in addition to pain and stiffness which may persist, impacting QoL.</w:t>
      </w:r>
      <w:r w:rsidR="00B673A8">
        <w:t xml:space="preserve"> </w:t>
      </w:r>
      <w:r w:rsidR="00B673A8" w:rsidRPr="00B53825">
        <w:t>The PSCR</w:t>
      </w:r>
      <w:r w:rsidR="00793973" w:rsidRPr="00B53825">
        <w:t xml:space="preserve"> </w:t>
      </w:r>
      <w:r w:rsidR="00B673A8" w:rsidRPr="00B53825">
        <w:t xml:space="preserve">stated that </w:t>
      </w:r>
      <w:r w:rsidR="00793973" w:rsidRPr="00B53825">
        <w:t xml:space="preserve">based on expert clinical opinion, </w:t>
      </w:r>
      <w:r w:rsidR="008A252D" w:rsidRPr="00B53825">
        <w:t xml:space="preserve">although </w:t>
      </w:r>
      <w:r w:rsidR="00B673A8" w:rsidRPr="00B53825">
        <w:t xml:space="preserve">the withdrawal of burosumab </w:t>
      </w:r>
      <w:r w:rsidR="00571ED2" w:rsidRPr="00B53825">
        <w:t xml:space="preserve">post plate fusion </w:t>
      </w:r>
      <w:r w:rsidR="00B673A8" w:rsidRPr="00B53825">
        <w:t>was likely to result in a gradual return of osteomalacia</w:t>
      </w:r>
      <w:r w:rsidR="008A252D" w:rsidRPr="00B53825">
        <w:rPr>
          <w:color w:val="000000" w:themeColor="text1"/>
        </w:rPr>
        <w:t xml:space="preserve">, the return of high FGF23 and low phosphate levels </w:t>
      </w:r>
      <w:r w:rsidR="00442BA0" w:rsidRPr="00B53825">
        <w:rPr>
          <w:color w:val="000000" w:themeColor="text1"/>
        </w:rPr>
        <w:t xml:space="preserve">would </w:t>
      </w:r>
      <w:r w:rsidR="008A252D" w:rsidRPr="00B53825">
        <w:rPr>
          <w:color w:val="000000" w:themeColor="text1"/>
        </w:rPr>
        <w:t>not result in the bowed long bones or impaired mobility typical of rickets in children.</w:t>
      </w:r>
    </w:p>
    <w:p w:rsidR="0087325F" w:rsidRPr="00A83FDA" w:rsidRDefault="0087325F" w:rsidP="007C53EC">
      <w:pPr>
        <w:numPr>
          <w:ilvl w:val="0"/>
          <w:numId w:val="7"/>
        </w:numPr>
        <w:spacing w:after="120"/>
        <w:ind w:left="1134"/>
      </w:pPr>
      <w:r w:rsidRPr="00A83FDA">
        <w:rPr>
          <w:iCs/>
        </w:rPr>
        <w:t xml:space="preserve">The model is </w:t>
      </w:r>
      <w:r w:rsidR="00EA5F58" w:rsidRPr="00A83FDA">
        <w:rPr>
          <w:iCs/>
        </w:rPr>
        <w:t xml:space="preserve">highly </w:t>
      </w:r>
      <w:r w:rsidRPr="00A83FDA">
        <w:rPr>
          <w:iCs/>
        </w:rPr>
        <w:t>sensitive to the assumption of continued clinical benefit. Removal of extrapolated treatment effect (by assuming patients do not transition based on RSS score beyond Cycle 2 in the model) resulted in a doubling of the ICER.</w:t>
      </w:r>
    </w:p>
    <w:p w:rsidR="0087325F" w:rsidRPr="00A83FDA" w:rsidRDefault="0087325F" w:rsidP="0064716A">
      <w:pPr>
        <w:pStyle w:val="3-BodyText"/>
      </w:pPr>
      <w:r w:rsidRPr="00A83FDA">
        <w:t>Time horizon:</w:t>
      </w:r>
    </w:p>
    <w:p w:rsidR="0087325F" w:rsidRPr="00A83FDA" w:rsidRDefault="0087325F" w:rsidP="007C53EC">
      <w:pPr>
        <w:numPr>
          <w:ilvl w:val="0"/>
          <w:numId w:val="7"/>
        </w:numPr>
        <w:spacing w:after="120"/>
        <w:ind w:left="1134"/>
        <w:rPr>
          <w:rFonts w:asciiTheme="minorHAnsi" w:hAnsiTheme="minorHAnsi" w:cstheme="minorHAnsi"/>
          <w:b/>
          <w:u w:val="single"/>
        </w:rPr>
      </w:pPr>
      <w:r w:rsidRPr="00A83FDA">
        <w:rPr>
          <w:rFonts w:asciiTheme="minorHAnsi" w:eastAsiaTheme="majorEastAsia" w:hAnsiTheme="minorHAnsi" w:cstheme="minorHAnsi"/>
          <w:bCs/>
        </w:rPr>
        <w:t>While XLH is a lifelong, progressive disease, where diagnosis and management in childhood have lifelong impacts justifying a long model time horizon, the short durations of follow up in the clinical studies (</w:t>
      </w:r>
      <w:r w:rsidR="008207DD" w:rsidRPr="00A83FDA">
        <w:rPr>
          <w:rFonts w:asciiTheme="minorHAnsi" w:eastAsiaTheme="majorEastAsia" w:hAnsiTheme="minorHAnsi" w:cstheme="minorHAnsi"/>
          <w:bCs/>
        </w:rPr>
        <w:t xml:space="preserve">Week </w:t>
      </w:r>
      <w:r w:rsidRPr="00A83FDA">
        <w:rPr>
          <w:rFonts w:asciiTheme="minorHAnsi" w:eastAsiaTheme="majorEastAsia" w:hAnsiTheme="minorHAnsi" w:cstheme="minorHAnsi"/>
          <w:bCs/>
        </w:rPr>
        <w:t xml:space="preserve">64 </w:t>
      </w:r>
      <w:r w:rsidR="008207DD" w:rsidRPr="00A83FDA">
        <w:rPr>
          <w:rFonts w:asciiTheme="minorHAnsi" w:eastAsiaTheme="majorEastAsia" w:hAnsiTheme="minorHAnsi" w:cstheme="minorHAnsi"/>
          <w:bCs/>
        </w:rPr>
        <w:t>results</w:t>
      </w:r>
      <w:r w:rsidRPr="00A83FDA">
        <w:rPr>
          <w:rFonts w:asciiTheme="minorHAnsi" w:eastAsiaTheme="majorEastAsia" w:hAnsiTheme="minorHAnsi" w:cstheme="minorHAnsi"/>
          <w:bCs/>
        </w:rPr>
        <w:t xml:space="preserve"> </w:t>
      </w:r>
      <w:r w:rsidR="00EA5F58" w:rsidRPr="00A83FDA">
        <w:rPr>
          <w:rFonts w:asciiTheme="minorHAnsi" w:eastAsiaTheme="majorEastAsia" w:hAnsiTheme="minorHAnsi" w:cstheme="minorHAnsi"/>
          <w:bCs/>
        </w:rPr>
        <w:t xml:space="preserve">were used to </w:t>
      </w:r>
      <w:r w:rsidRPr="00A83FDA">
        <w:rPr>
          <w:rFonts w:asciiTheme="minorHAnsi" w:eastAsiaTheme="majorEastAsia" w:hAnsiTheme="minorHAnsi" w:cstheme="minorHAnsi"/>
          <w:bCs/>
        </w:rPr>
        <w:t>inform the model</w:t>
      </w:r>
      <w:r w:rsidR="00EA5F58" w:rsidRPr="00A83FDA">
        <w:rPr>
          <w:rFonts w:asciiTheme="minorHAnsi" w:eastAsiaTheme="majorEastAsia" w:hAnsiTheme="minorHAnsi" w:cstheme="minorHAnsi"/>
          <w:bCs/>
        </w:rPr>
        <w:t xml:space="preserve">) compared to the </w:t>
      </w:r>
      <w:r w:rsidR="00C5384D" w:rsidRPr="00A83FDA">
        <w:rPr>
          <w:rFonts w:asciiTheme="minorHAnsi" w:eastAsiaTheme="majorEastAsia" w:hAnsiTheme="minorHAnsi" w:cstheme="minorHAnsi"/>
          <w:bCs/>
        </w:rPr>
        <w:t>100-year</w:t>
      </w:r>
      <w:r w:rsidR="00EA5F58" w:rsidRPr="00A83FDA">
        <w:rPr>
          <w:rFonts w:asciiTheme="minorHAnsi" w:eastAsiaTheme="majorEastAsia" w:hAnsiTheme="minorHAnsi" w:cstheme="minorHAnsi"/>
          <w:bCs/>
        </w:rPr>
        <w:t xml:space="preserve"> time horizon in the model</w:t>
      </w:r>
      <w:r w:rsidRPr="00A83FDA">
        <w:rPr>
          <w:rFonts w:asciiTheme="minorHAnsi" w:eastAsiaTheme="majorEastAsia" w:hAnsiTheme="minorHAnsi" w:cstheme="minorHAnsi"/>
          <w:bCs/>
        </w:rPr>
        <w:t xml:space="preserve"> limits the accuracy of </w:t>
      </w:r>
      <w:r w:rsidR="008207DD" w:rsidRPr="00A83FDA">
        <w:rPr>
          <w:rFonts w:asciiTheme="minorHAnsi" w:eastAsiaTheme="majorEastAsia" w:hAnsiTheme="minorHAnsi" w:cstheme="minorHAnsi"/>
          <w:bCs/>
        </w:rPr>
        <w:t xml:space="preserve">any </w:t>
      </w:r>
      <w:r w:rsidRPr="00A83FDA">
        <w:rPr>
          <w:rFonts w:asciiTheme="minorHAnsi" w:eastAsiaTheme="majorEastAsia" w:hAnsiTheme="minorHAnsi" w:cstheme="minorHAnsi"/>
          <w:bCs/>
        </w:rPr>
        <w:t>long-term predictions.</w:t>
      </w:r>
    </w:p>
    <w:p w:rsidR="0087325F" w:rsidRPr="00A83FDA" w:rsidRDefault="00EA5F58" w:rsidP="007C53EC">
      <w:pPr>
        <w:numPr>
          <w:ilvl w:val="0"/>
          <w:numId w:val="7"/>
        </w:numPr>
        <w:spacing w:after="120"/>
        <w:ind w:left="1134"/>
        <w:rPr>
          <w:b/>
          <w:u w:val="single"/>
        </w:rPr>
      </w:pPr>
      <w:r w:rsidRPr="00A83FDA">
        <w:t>D</w:t>
      </w:r>
      <w:r w:rsidR="0087325F" w:rsidRPr="00A83FDA">
        <w:t xml:space="preserve">ue to uncertain assumptions around </w:t>
      </w:r>
      <w:r w:rsidRPr="00A83FDA">
        <w:t xml:space="preserve">the </w:t>
      </w:r>
      <w:r w:rsidR="0087325F" w:rsidRPr="00A83FDA">
        <w:t xml:space="preserve">transitions into the healed rickets health state, </w:t>
      </w:r>
      <w:r w:rsidRPr="00A83FDA">
        <w:t>the majority of</w:t>
      </w:r>
      <w:r w:rsidR="0087325F" w:rsidRPr="00A83FDA">
        <w:t xml:space="preserve"> patients in the </w:t>
      </w:r>
      <w:r w:rsidR="003631B0" w:rsidRPr="00A83FDA">
        <w:t>burosumab</w:t>
      </w:r>
      <w:r w:rsidR="0087325F" w:rsidRPr="00A83FDA">
        <w:t xml:space="preserve"> arm transitioned into healed rickets by Year 10 and continued to benefit until death. A long</w:t>
      </w:r>
      <w:r w:rsidR="00C5384D" w:rsidRPr="00A83FDA">
        <w:t>-</w:t>
      </w:r>
      <w:r w:rsidR="0087325F" w:rsidRPr="00A83FDA">
        <w:t xml:space="preserve">time horizon therefore had the effect of exaggerating this uncertain transition and </w:t>
      </w:r>
      <w:r w:rsidR="008207DD" w:rsidRPr="00A83FDA">
        <w:t xml:space="preserve">strongly </w:t>
      </w:r>
      <w:r w:rsidR="0087325F" w:rsidRPr="00A83FDA">
        <w:t xml:space="preserve">favoured </w:t>
      </w:r>
      <w:r w:rsidR="003631B0" w:rsidRPr="00A83FDA">
        <w:t>burosumab</w:t>
      </w:r>
      <w:r w:rsidR="0087325F" w:rsidRPr="00A83FDA">
        <w:t xml:space="preserve">. Reducing the model time horizon to 20 years, significantly increased the ICER </w:t>
      </w:r>
      <w:r w:rsidR="0087325F" w:rsidRPr="00A83FDA">
        <w:rPr>
          <w:rFonts w:asciiTheme="minorHAnsi" w:hAnsiTheme="minorHAnsi" w:cstheme="minorHAnsi"/>
        </w:rPr>
        <w:t xml:space="preserve">to </w:t>
      </w:r>
      <w:r w:rsidR="004537C2">
        <w:rPr>
          <w:rFonts w:asciiTheme="minorHAnsi" w:hAnsiTheme="minorHAnsi" w:cstheme="minorHAnsi"/>
        </w:rPr>
        <w:t>&gt; $1,055,000</w:t>
      </w:r>
      <w:r w:rsidR="004537C2" w:rsidRPr="00A83FDA">
        <w:rPr>
          <w:rFonts w:asciiTheme="minorHAnsi" w:hAnsiTheme="minorHAnsi" w:cstheme="minorHAnsi"/>
        </w:rPr>
        <w:t>/</w:t>
      </w:r>
      <w:r w:rsidR="004537C2" w:rsidRPr="00A83FDA">
        <w:t>QALY</w:t>
      </w:r>
      <w:r w:rsidR="006C6E71">
        <w:t xml:space="preserve"> gained</w:t>
      </w:r>
      <w:r w:rsidR="004537C2" w:rsidRPr="00A83FDA">
        <w:t xml:space="preserve"> </w:t>
      </w:r>
      <w:r w:rsidR="0087325F" w:rsidRPr="00A83FDA">
        <w:t xml:space="preserve"> from a base case of </w:t>
      </w:r>
      <w:r w:rsidR="004537C2" w:rsidRPr="00A83FDA">
        <w:t>$</w:t>
      </w:r>
      <w:r w:rsidR="004537C2">
        <w:t>655,000 to &lt; $755,000</w:t>
      </w:r>
      <w:r w:rsidR="004537C2" w:rsidRPr="00A83FDA">
        <w:t>/QALY</w:t>
      </w:r>
      <w:r w:rsidR="006C6E71">
        <w:t xml:space="preserve"> gained</w:t>
      </w:r>
      <w:r w:rsidR="0087325F" w:rsidRPr="00A83FDA">
        <w:t xml:space="preserve">. </w:t>
      </w:r>
    </w:p>
    <w:p w:rsidR="004B388D" w:rsidRPr="00A83FDA" w:rsidRDefault="004B388D" w:rsidP="0064716A">
      <w:pPr>
        <w:pStyle w:val="3-BodyText"/>
      </w:pPr>
      <w:r w:rsidRPr="00A83FDA">
        <w:t>Population age</w:t>
      </w:r>
      <w:r w:rsidR="00581746" w:rsidRPr="00A83FDA">
        <w:t>:</w:t>
      </w:r>
    </w:p>
    <w:p w:rsidR="004B388D" w:rsidRPr="00A83FDA" w:rsidRDefault="00EA5F58" w:rsidP="007C53EC">
      <w:pPr>
        <w:numPr>
          <w:ilvl w:val="0"/>
          <w:numId w:val="7"/>
        </w:numPr>
        <w:spacing w:after="120"/>
        <w:ind w:left="1134"/>
      </w:pPr>
      <w:r w:rsidRPr="00A83FDA">
        <w:t>T</w:t>
      </w:r>
      <w:r w:rsidR="004B388D" w:rsidRPr="00A83FDA">
        <w:t xml:space="preserve">he population age </w:t>
      </w:r>
      <w:r w:rsidRPr="00A83FDA">
        <w:t xml:space="preserve">on entering </w:t>
      </w:r>
      <w:r w:rsidR="004B388D" w:rsidRPr="00A83FDA">
        <w:t xml:space="preserve">the model </w:t>
      </w:r>
      <w:r w:rsidRPr="00A83FDA">
        <w:t xml:space="preserve">(6.8 years) </w:t>
      </w:r>
      <w:r w:rsidR="004B388D" w:rsidRPr="00A83FDA">
        <w:t xml:space="preserve">was based on mean patient age in the </w:t>
      </w:r>
      <w:r w:rsidR="009F6554" w:rsidRPr="00A83FDA">
        <w:t xml:space="preserve">pooled </w:t>
      </w:r>
      <w:r w:rsidR="004B388D" w:rsidRPr="00A83FDA">
        <w:t>clinical studies</w:t>
      </w:r>
      <w:r w:rsidRPr="00A83FDA">
        <w:t>. B</w:t>
      </w:r>
      <w:r w:rsidR="004B388D" w:rsidRPr="00A83FDA">
        <w:t>ased on the requested restriction, patients would qualify for PBS treatment from birth, wh</w:t>
      </w:r>
      <w:r w:rsidRPr="00A83FDA">
        <w:t>ereas</w:t>
      </w:r>
      <w:r w:rsidR="004B388D" w:rsidRPr="00A83FDA">
        <w:t xml:space="preserve"> the TGA indication </w:t>
      </w:r>
      <w:r w:rsidRPr="00A83FDA">
        <w:t xml:space="preserve">restricts use to </w:t>
      </w:r>
      <w:r w:rsidR="004B388D" w:rsidRPr="00A83FDA">
        <w:t>patients ≥</w:t>
      </w:r>
      <w:r w:rsidRPr="00A83FDA">
        <w:t xml:space="preserve"> </w:t>
      </w:r>
      <w:r w:rsidR="004B388D" w:rsidRPr="00A83FDA">
        <w:t xml:space="preserve">1 year of age. As prevalent patients switch to receiving </w:t>
      </w:r>
      <w:r w:rsidR="003631B0" w:rsidRPr="00A83FDA">
        <w:t>burosumab</w:t>
      </w:r>
      <w:r w:rsidR="004B388D" w:rsidRPr="00A83FDA">
        <w:t xml:space="preserve"> treatment, the mean starting age of incident patients is likely to trend towards 1 year of age (or mean age of diagnosis).</w:t>
      </w:r>
    </w:p>
    <w:p w:rsidR="004B388D" w:rsidRPr="00A83FDA" w:rsidRDefault="004B388D" w:rsidP="007C53EC">
      <w:pPr>
        <w:numPr>
          <w:ilvl w:val="0"/>
          <w:numId w:val="7"/>
        </w:numPr>
        <w:spacing w:after="120"/>
        <w:ind w:left="1134"/>
      </w:pPr>
      <w:r w:rsidRPr="00A83FDA">
        <w:t xml:space="preserve">While </w:t>
      </w:r>
      <w:r w:rsidR="00581746" w:rsidRPr="00A83FDA">
        <w:t>the</w:t>
      </w:r>
      <w:r w:rsidRPr="00A83FDA">
        <w:t xml:space="preserve"> treatment stopping age of 18 years in the model was consistent with the requested restriction, there is risk for treatment to continue beyond age 18 given </w:t>
      </w:r>
      <w:r w:rsidR="003631B0" w:rsidRPr="00A83FDA">
        <w:t>burosumab</w:t>
      </w:r>
      <w:r w:rsidRPr="00A83FDA">
        <w:t xml:space="preserve"> continues to have meaningful benefits </w:t>
      </w:r>
      <w:r w:rsidR="00581746" w:rsidRPr="00A83FDA">
        <w:t>beyond</w:t>
      </w:r>
      <w:r w:rsidRPr="00A83FDA">
        <w:t xml:space="preserve"> rickets and growth in adulthood, such as effects on normalisation of serum phosphorous levels, physical functioning and stiffness. There is also evidence that bone growth may stop earlier than age 18, </w:t>
      </w:r>
      <w:r w:rsidR="00581746" w:rsidRPr="00A83FDA">
        <w:t>particularly for girls</w:t>
      </w:r>
      <w:r w:rsidRPr="00A83FDA">
        <w:t xml:space="preserve">. Stopping treatment earlier reduces the cost of </w:t>
      </w:r>
      <w:r w:rsidR="003631B0" w:rsidRPr="00A83FDA">
        <w:t>burosumab</w:t>
      </w:r>
      <w:r w:rsidRPr="00A83FDA">
        <w:t xml:space="preserve"> (which is a main model driver) but does not affect modelled </w:t>
      </w:r>
      <w:r w:rsidR="003631B0" w:rsidRPr="00A83FDA">
        <w:t>burosumab</w:t>
      </w:r>
      <w:r w:rsidRPr="00A83FDA">
        <w:t xml:space="preserve"> effectiveness since the model results predict almost all </w:t>
      </w:r>
      <w:r w:rsidR="003631B0" w:rsidRPr="00A83FDA">
        <w:t>burosumab</w:t>
      </w:r>
      <w:r w:rsidRPr="00A83FDA">
        <w:t xml:space="preserve"> patients are ‘healed’ of rickets by Year 10. See “Transition probabilities” below.</w:t>
      </w:r>
    </w:p>
    <w:p w:rsidR="00241D4F" w:rsidRPr="00A83FDA" w:rsidRDefault="003631B0" w:rsidP="00241D4F">
      <w:pPr>
        <w:pStyle w:val="3-BodyText"/>
      </w:pPr>
      <w:r w:rsidRPr="00A83FDA">
        <w:t>Burosumab</w:t>
      </w:r>
      <w:r w:rsidR="00241D4F" w:rsidRPr="00A83FDA">
        <w:t xml:space="preserve"> </w:t>
      </w:r>
      <w:r w:rsidR="00E06632" w:rsidRPr="00A83FDA">
        <w:t>d</w:t>
      </w:r>
      <w:r w:rsidR="00241D4F" w:rsidRPr="00A83FDA">
        <w:t>ose</w:t>
      </w:r>
      <w:r w:rsidR="00581746" w:rsidRPr="00A83FDA">
        <w:t>:</w:t>
      </w:r>
    </w:p>
    <w:p w:rsidR="00241D4F" w:rsidRPr="00A83FDA" w:rsidRDefault="00241D4F" w:rsidP="007C53EC">
      <w:pPr>
        <w:numPr>
          <w:ilvl w:val="0"/>
          <w:numId w:val="7"/>
        </w:numPr>
        <w:spacing w:after="120"/>
        <w:ind w:left="1134"/>
      </w:pPr>
      <w:r w:rsidRPr="00A83FDA">
        <w:t xml:space="preserve">The submission stated that the mean </w:t>
      </w:r>
      <w:r w:rsidR="003631B0" w:rsidRPr="00A83FDA">
        <w:t>burosumab</w:t>
      </w:r>
      <w:r w:rsidRPr="00A83FDA">
        <w:t xml:space="preserve"> dose in the clinical studies was 0.86</w:t>
      </w:r>
      <w:r w:rsidR="002B7638" w:rsidRPr="00A83FDA">
        <w:t xml:space="preserve"> </w:t>
      </w:r>
      <w:r w:rsidRPr="00A83FDA">
        <w:t>mg/kg up to Week 64 (beyond which the submission considered the data unreliable due to censoring). All patients in the model were therefore assumed to be prescribed this dose (dosed every 2 weeks</w:t>
      </w:r>
      <w:r w:rsidR="00D65574">
        <w:t xml:space="preserve">; </w:t>
      </w:r>
      <w:r w:rsidR="00D65574" w:rsidRPr="00B53825">
        <w:t>adjusted for age and weight as patients moved through the model</w:t>
      </w:r>
      <w:r w:rsidRPr="00A83FDA">
        <w:t>) and were further assumed to receive treatment with perfect persistence and adherence until 18 years of age. Data was not available to verify the stated mean dose from the pool</w:t>
      </w:r>
      <w:r w:rsidR="00C858EF" w:rsidRPr="00A83FDA">
        <w:t>ed</w:t>
      </w:r>
      <w:r w:rsidRPr="00A83FDA">
        <w:t xml:space="preserve"> clinical studies, but </w:t>
      </w:r>
      <w:r w:rsidR="00581746" w:rsidRPr="00A83FDA">
        <w:t xml:space="preserve">it </w:t>
      </w:r>
      <w:r w:rsidRPr="00A83FDA">
        <w:t>appeared to be based on average weekly doses reported in CL301 and CL205 where the maximum permitted dose was 1.2</w:t>
      </w:r>
      <w:r w:rsidR="002B7638" w:rsidRPr="00A83FDA">
        <w:t xml:space="preserve"> </w:t>
      </w:r>
      <w:r w:rsidRPr="00A83FDA">
        <w:t xml:space="preserve">mg/kg every 2 weeks. Given the draft PI permits a maximum recommended dose of </w:t>
      </w:r>
      <w:r w:rsidR="003631B0" w:rsidRPr="00A83FDA">
        <w:t>burosumab</w:t>
      </w:r>
      <w:r w:rsidRPr="00A83FDA">
        <w:t xml:space="preserve"> </w:t>
      </w:r>
      <w:r w:rsidR="00581746" w:rsidRPr="00A83FDA">
        <w:t xml:space="preserve">of </w:t>
      </w:r>
      <w:r w:rsidRPr="00A83FDA">
        <w:t>2</w:t>
      </w:r>
      <w:r w:rsidR="00175FB5">
        <w:t xml:space="preserve"> </w:t>
      </w:r>
      <w:r w:rsidRPr="00A83FDA">
        <w:t xml:space="preserve">mg/kg every 2 weeks, the dose in the model likely underestimates costs in </w:t>
      </w:r>
      <w:r w:rsidR="00581746" w:rsidRPr="00A83FDA">
        <w:t xml:space="preserve">the </w:t>
      </w:r>
      <w:r w:rsidRPr="00A83FDA">
        <w:t xml:space="preserve">clinical setting. Data available from </w:t>
      </w:r>
      <w:r w:rsidR="008E2271" w:rsidRPr="0093453A">
        <w:t>&lt; 500</w:t>
      </w:r>
      <w:r w:rsidR="008E2271" w:rsidRPr="00A83FDA">
        <w:t xml:space="preserve"> </w:t>
      </w:r>
      <w:r w:rsidRPr="00A83FDA">
        <w:t xml:space="preserve">patient in the Australian EAP of </w:t>
      </w:r>
      <w:r w:rsidR="003631B0" w:rsidRPr="00A83FDA">
        <w:t>burosumab</w:t>
      </w:r>
      <w:r w:rsidRPr="00A83FDA">
        <w:t xml:space="preserve"> reported a mean weight </w:t>
      </w:r>
      <w:r w:rsidRPr="00A47328">
        <w:t>of 30.9</w:t>
      </w:r>
      <w:r w:rsidR="002B7638" w:rsidRPr="00A47328">
        <w:t xml:space="preserve"> </w:t>
      </w:r>
      <w:r w:rsidRPr="00A47328">
        <w:t>kg (mean age 10 years) on a mean current dose of 32.45</w:t>
      </w:r>
      <w:r w:rsidR="00581746" w:rsidRPr="00A47328">
        <w:t xml:space="preserve"> </w:t>
      </w:r>
      <w:r w:rsidRPr="00A47328">
        <w:t xml:space="preserve">mg, which would equate </w:t>
      </w:r>
      <w:r w:rsidR="00581746" w:rsidRPr="00A47328">
        <w:t xml:space="preserve">to </w:t>
      </w:r>
      <w:r w:rsidRPr="00A47328">
        <w:t>a dose of 1.05</w:t>
      </w:r>
      <w:r w:rsidR="002B7638" w:rsidRPr="00A47328">
        <w:t xml:space="preserve"> </w:t>
      </w:r>
      <w:r w:rsidRPr="00A47328">
        <w:t>mg/kg</w:t>
      </w:r>
      <w:r w:rsidR="00581746" w:rsidRPr="00A47328">
        <w:t>.</w:t>
      </w:r>
      <w:r w:rsidRPr="00A47328">
        <w:t xml:space="preserve"> Further</w:t>
      </w:r>
      <w:r w:rsidRPr="00A83FDA">
        <w:t xml:space="preserve">, a real-world </w:t>
      </w:r>
      <w:r w:rsidR="001D4553" w:rsidRPr="00A83FDA">
        <w:t xml:space="preserve">evidence </w:t>
      </w:r>
      <w:r w:rsidRPr="00A83FDA">
        <w:t>study</w:t>
      </w:r>
      <w:r w:rsidR="001D4553" w:rsidRPr="00A83FDA">
        <w:t xml:space="preserve"> </w:t>
      </w:r>
      <w:r w:rsidRPr="00A83FDA">
        <w:t xml:space="preserve">conducted by Zhukouskaya </w:t>
      </w:r>
      <w:r w:rsidR="002B7638" w:rsidRPr="00A83FDA">
        <w:t xml:space="preserve">et al </w:t>
      </w:r>
      <w:r w:rsidRPr="00A83FDA">
        <w:t>2019, found that restoration of serum phosphate and phosphate renal reabsorption in adolescents was slower than in younger patients, despite the use of maximum doses of 2</w:t>
      </w:r>
      <w:r w:rsidR="002B7638" w:rsidRPr="00A83FDA">
        <w:t xml:space="preserve"> </w:t>
      </w:r>
      <w:r w:rsidRPr="00A83FDA">
        <w:t xml:space="preserve">mg/kg. Therefore, average </w:t>
      </w:r>
      <w:r w:rsidR="003631B0" w:rsidRPr="00A83FDA">
        <w:t>burosumab</w:t>
      </w:r>
      <w:r w:rsidRPr="00A83FDA">
        <w:t xml:space="preserve"> doses are likely to be higher in clinical practice than in the model.</w:t>
      </w:r>
    </w:p>
    <w:p w:rsidR="002F1AF6" w:rsidRPr="00A83FDA" w:rsidRDefault="0080068A" w:rsidP="0064716A">
      <w:pPr>
        <w:pStyle w:val="3-BodyText"/>
      </w:pPr>
      <w:r w:rsidRPr="00A83FDA">
        <w:t>Transition probabilities:</w:t>
      </w:r>
    </w:p>
    <w:p w:rsidR="00AC5983" w:rsidRPr="00B53825" w:rsidRDefault="00AC5983" w:rsidP="007C53EC">
      <w:pPr>
        <w:numPr>
          <w:ilvl w:val="0"/>
          <w:numId w:val="7"/>
        </w:numPr>
        <w:spacing w:after="120"/>
        <w:ind w:left="1134"/>
      </w:pPr>
      <w:r w:rsidRPr="00A83FDA">
        <w:t>Transition probabilities were estimated by p</w:t>
      </w:r>
      <w:r w:rsidRPr="00A83FDA">
        <w:rPr>
          <w:color w:val="000000" w:themeColor="text1"/>
        </w:rPr>
        <w:t xml:space="preserve">ooling data from mixed sources: trial CL301 and </w:t>
      </w:r>
      <w:r w:rsidR="000553CC" w:rsidRPr="00A83FDA">
        <w:rPr>
          <w:color w:val="000000" w:themeColor="text1"/>
        </w:rPr>
        <w:t xml:space="preserve">Phase II </w:t>
      </w:r>
      <w:r w:rsidRPr="00A83FDA">
        <w:rPr>
          <w:color w:val="000000" w:themeColor="text1"/>
        </w:rPr>
        <w:t xml:space="preserve">studies CL201 and CL205 for </w:t>
      </w:r>
      <w:r w:rsidR="003631B0" w:rsidRPr="00A83FDA">
        <w:rPr>
          <w:color w:val="000000" w:themeColor="text1"/>
        </w:rPr>
        <w:t>burosumab</w:t>
      </w:r>
      <w:r w:rsidRPr="00A83FDA">
        <w:rPr>
          <w:color w:val="000000" w:themeColor="text1"/>
        </w:rPr>
        <w:t xml:space="preserve">, and trial CL301 and a retrospective UK chart review for conventional therapy. Given the vastly different study designs e.g., prospective versus retrospective, </w:t>
      </w:r>
      <w:r w:rsidR="000553CC" w:rsidRPr="00A83FDA">
        <w:rPr>
          <w:color w:val="000000" w:themeColor="text1"/>
        </w:rPr>
        <w:t xml:space="preserve">Phase II studies (including dose finding) versus </w:t>
      </w:r>
      <w:r w:rsidRPr="00A83FDA">
        <w:rPr>
          <w:color w:val="000000" w:themeColor="text1"/>
        </w:rPr>
        <w:t xml:space="preserve">RCT and heterogeneous patient populations, the resultant transition probabilities </w:t>
      </w:r>
      <w:r w:rsidR="003B6C57">
        <w:rPr>
          <w:color w:val="000000" w:themeColor="text1"/>
        </w:rPr>
        <w:t>we</w:t>
      </w:r>
      <w:r w:rsidR="003B6C57" w:rsidRPr="00A83FDA">
        <w:rPr>
          <w:color w:val="000000" w:themeColor="text1"/>
        </w:rPr>
        <w:t xml:space="preserve">re </w:t>
      </w:r>
      <w:r w:rsidRPr="00A83FDA">
        <w:rPr>
          <w:color w:val="000000" w:themeColor="text1"/>
        </w:rPr>
        <w:t>likely to be uncertain. Indeed, the estimated annualised transition matrix varied depending on data used.</w:t>
      </w:r>
      <w:r w:rsidR="00562837">
        <w:rPr>
          <w:color w:val="000000" w:themeColor="text1"/>
        </w:rPr>
        <w:t xml:space="preserve"> </w:t>
      </w:r>
      <w:r w:rsidR="00562837" w:rsidRPr="00B53825">
        <w:rPr>
          <w:color w:val="000000" w:themeColor="text1"/>
        </w:rPr>
        <w:t>The PSCR</w:t>
      </w:r>
      <w:r w:rsidR="00F256BC" w:rsidRPr="00B53825">
        <w:rPr>
          <w:color w:val="000000" w:themeColor="text1"/>
        </w:rPr>
        <w:t xml:space="preserve"> </w:t>
      </w:r>
      <w:r w:rsidR="00562837" w:rsidRPr="00B53825">
        <w:rPr>
          <w:color w:val="000000" w:themeColor="text1"/>
        </w:rPr>
        <w:t xml:space="preserve"> stated that CL301 included patients with m</w:t>
      </w:r>
      <w:r w:rsidR="00041149" w:rsidRPr="00B53825">
        <w:rPr>
          <w:color w:val="000000" w:themeColor="text1"/>
        </w:rPr>
        <w:t xml:space="preserve">oderate to severe disease only; therefore, pooled data was used as </w:t>
      </w:r>
      <w:r w:rsidR="00562837" w:rsidRPr="00B53825">
        <w:rPr>
          <w:color w:val="000000" w:themeColor="text1"/>
        </w:rPr>
        <w:t xml:space="preserve">the model needed to consider a broader range </w:t>
      </w:r>
      <w:r w:rsidR="00B673A8" w:rsidRPr="00B53825">
        <w:rPr>
          <w:color w:val="000000" w:themeColor="text1"/>
        </w:rPr>
        <w:t>of transition probabilities.</w:t>
      </w:r>
      <w:r w:rsidR="006970DF" w:rsidRPr="00B53825">
        <w:rPr>
          <w:color w:val="000000" w:themeColor="text1"/>
        </w:rPr>
        <w:t xml:space="preserve"> The ESC considered that </w:t>
      </w:r>
      <w:r w:rsidR="007F00B5" w:rsidRPr="00B53825">
        <w:rPr>
          <w:color w:val="000000" w:themeColor="text1"/>
        </w:rPr>
        <w:t>although adding to the uncertainty of the model, the use of pooled data may have been reasonable considering the data available.</w:t>
      </w:r>
    </w:p>
    <w:p w:rsidR="00AC5983" w:rsidRPr="00A83FDA" w:rsidRDefault="00AC5983" w:rsidP="007C53EC">
      <w:pPr>
        <w:numPr>
          <w:ilvl w:val="0"/>
          <w:numId w:val="7"/>
        </w:numPr>
        <w:spacing w:after="120"/>
        <w:ind w:left="1134"/>
      </w:pPr>
      <w:r w:rsidRPr="00A83FDA">
        <w:rPr>
          <w:color w:val="000000" w:themeColor="text1"/>
        </w:rPr>
        <w:t xml:space="preserve">Pooling of </w:t>
      </w:r>
      <w:r w:rsidR="002F00C4" w:rsidRPr="00A83FDA">
        <w:rPr>
          <w:color w:val="000000" w:themeColor="text1"/>
        </w:rPr>
        <w:t>study</w:t>
      </w:r>
      <w:r w:rsidRPr="00A83FDA">
        <w:rPr>
          <w:color w:val="000000" w:themeColor="text1"/>
        </w:rPr>
        <w:t xml:space="preserve"> results assumed children of all ages transition with the same </w:t>
      </w:r>
      <w:r w:rsidRPr="00A83FDA">
        <w:t>probability</w:t>
      </w:r>
      <w:r w:rsidRPr="00A83FDA">
        <w:rPr>
          <w:color w:val="000000" w:themeColor="text1"/>
        </w:rPr>
        <w:t>, and thus implie</w:t>
      </w:r>
      <w:r w:rsidR="00581746" w:rsidRPr="00A83FDA">
        <w:rPr>
          <w:color w:val="000000" w:themeColor="text1"/>
        </w:rPr>
        <w:t>d</w:t>
      </w:r>
      <w:r w:rsidRPr="00A83FDA">
        <w:rPr>
          <w:color w:val="000000" w:themeColor="text1"/>
        </w:rPr>
        <w:t xml:space="preserve"> the treatment effect (of both therapies) </w:t>
      </w:r>
      <w:r w:rsidR="00581746" w:rsidRPr="00A83FDA">
        <w:rPr>
          <w:color w:val="000000" w:themeColor="text1"/>
        </w:rPr>
        <w:t>wa</w:t>
      </w:r>
      <w:r w:rsidRPr="00A83FDA">
        <w:rPr>
          <w:color w:val="000000" w:themeColor="text1"/>
        </w:rPr>
        <w:t>s the same regardless of age (when patients are &lt;</w:t>
      </w:r>
      <w:r w:rsidR="00581746" w:rsidRPr="00A83FDA">
        <w:rPr>
          <w:color w:val="000000" w:themeColor="text1"/>
        </w:rPr>
        <w:t xml:space="preserve"> </w:t>
      </w:r>
      <w:r w:rsidRPr="00A83FDA">
        <w:rPr>
          <w:color w:val="000000" w:themeColor="text1"/>
        </w:rPr>
        <w:t xml:space="preserve">18 years). </w:t>
      </w:r>
      <w:r w:rsidR="00581746" w:rsidRPr="00A83FDA">
        <w:rPr>
          <w:color w:val="000000" w:themeColor="text1"/>
        </w:rPr>
        <w:t xml:space="preserve">No clinical </w:t>
      </w:r>
      <w:r w:rsidR="00EE3578">
        <w:rPr>
          <w:color w:val="000000" w:themeColor="text1"/>
        </w:rPr>
        <w:t xml:space="preserve">trial </w:t>
      </w:r>
      <w:r w:rsidR="00581746" w:rsidRPr="00A83FDA">
        <w:rPr>
          <w:color w:val="000000" w:themeColor="text1"/>
        </w:rPr>
        <w:t xml:space="preserve">data </w:t>
      </w:r>
      <w:r w:rsidR="00581746" w:rsidRPr="00A83FDA">
        <w:t xml:space="preserve">for </w:t>
      </w:r>
      <w:r w:rsidR="003631B0" w:rsidRPr="00A83FDA">
        <w:t>burosumab</w:t>
      </w:r>
      <w:r w:rsidR="00581746" w:rsidRPr="00A83FDA">
        <w:t xml:space="preserve"> in children aged </w:t>
      </w:r>
      <w:r w:rsidR="00A87A87" w:rsidRPr="00A83FDA">
        <w:t xml:space="preserve">less than 1 year or between </w:t>
      </w:r>
      <w:r w:rsidR="00581746" w:rsidRPr="00A83FDA">
        <w:t>13</w:t>
      </w:r>
      <w:r w:rsidR="00A87A87" w:rsidRPr="00A83FDA">
        <w:t xml:space="preserve"> to </w:t>
      </w:r>
      <w:r w:rsidR="00581746" w:rsidRPr="00A83FDA">
        <w:t>17 years</w:t>
      </w:r>
      <w:r w:rsidR="00581746" w:rsidRPr="00A83FDA">
        <w:rPr>
          <w:color w:val="000000" w:themeColor="text1"/>
        </w:rPr>
        <w:t xml:space="preserve"> </w:t>
      </w:r>
      <w:r w:rsidR="00A87A87" w:rsidRPr="00A83FDA">
        <w:rPr>
          <w:color w:val="000000" w:themeColor="text1"/>
        </w:rPr>
        <w:t xml:space="preserve">(inclusive) </w:t>
      </w:r>
      <w:r w:rsidR="00581746" w:rsidRPr="00A83FDA">
        <w:rPr>
          <w:color w:val="000000" w:themeColor="text1"/>
        </w:rPr>
        <w:t xml:space="preserve">was provided to support this </w:t>
      </w:r>
      <w:r w:rsidRPr="00A83FDA">
        <w:rPr>
          <w:color w:val="000000" w:themeColor="text1"/>
        </w:rPr>
        <w:t>assumption</w:t>
      </w:r>
      <w:r w:rsidRPr="00A83FDA">
        <w:t>.</w:t>
      </w:r>
    </w:p>
    <w:p w:rsidR="00AC5983" w:rsidRPr="00A83FDA" w:rsidRDefault="00AC5983" w:rsidP="007C53EC">
      <w:pPr>
        <w:numPr>
          <w:ilvl w:val="0"/>
          <w:numId w:val="7"/>
        </w:numPr>
        <w:spacing w:after="120"/>
        <w:ind w:left="1134"/>
        <w:rPr>
          <w:color w:val="000000" w:themeColor="text1"/>
        </w:rPr>
      </w:pPr>
      <w:r w:rsidRPr="00A83FDA">
        <w:rPr>
          <w:color w:val="000000" w:themeColor="text1"/>
        </w:rPr>
        <w:t xml:space="preserve">It was noted that data from a single patient had informed the transition probability for remaining in the ‘healed’ state for </w:t>
      </w:r>
      <w:r w:rsidR="003631B0" w:rsidRPr="00A83FDA">
        <w:rPr>
          <w:color w:val="000000" w:themeColor="text1"/>
        </w:rPr>
        <w:t>burosumab</w:t>
      </w:r>
      <w:r w:rsidRPr="00A83FDA">
        <w:rPr>
          <w:color w:val="000000" w:themeColor="text1"/>
        </w:rPr>
        <w:t xml:space="preserve"> patients. Because one patient from CL201 had ‘healed’ rickets (RSS=0) at study baseline and Week 64, all </w:t>
      </w:r>
      <w:r w:rsidR="003631B0" w:rsidRPr="00A83FDA">
        <w:rPr>
          <w:color w:val="000000" w:themeColor="text1"/>
        </w:rPr>
        <w:t>burosumab</w:t>
      </w:r>
      <w:r w:rsidRPr="00A83FDA">
        <w:rPr>
          <w:color w:val="000000" w:themeColor="text1"/>
        </w:rPr>
        <w:t xml:space="preserve"> patients who transit</w:t>
      </w:r>
      <w:r w:rsidR="00A87A87" w:rsidRPr="00A83FDA">
        <w:rPr>
          <w:color w:val="000000" w:themeColor="text1"/>
        </w:rPr>
        <w:t>ed</w:t>
      </w:r>
      <w:r w:rsidRPr="00A83FDA">
        <w:rPr>
          <w:color w:val="000000" w:themeColor="text1"/>
        </w:rPr>
        <w:t xml:space="preserve"> into </w:t>
      </w:r>
      <w:r w:rsidR="00A87A87" w:rsidRPr="00A83FDA">
        <w:rPr>
          <w:color w:val="000000" w:themeColor="text1"/>
        </w:rPr>
        <w:t>the</w:t>
      </w:r>
      <w:r w:rsidRPr="00A83FDA">
        <w:rPr>
          <w:color w:val="000000" w:themeColor="text1"/>
        </w:rPr>
        <w:t xml:space="preserve"> ‘healed’ state were assumed to remain ‘healed’ until death. The model was highly sensitive to this transition probability, the base-case ICER double</w:t>
      </w:r>
      <w:r w:rsidR="00B14B3B" w:rsidRPr="00A83FDA">
        <w:rPr>
          <w:color w:val="000000" w:themeColor="text1"/>
        </w:rPr>
        <w:t>d</w:t>
      </w:r>
      <w:r w:rsidRPr="00A83FDA">
        <w:rPr>
          <w:color w:val="000000" w:themeColor="text1"/>
        </w:rPr>
        <w:t xml:space="preserve"> if th</w:t>
      </w:r>
      <w:r w:rsidR="00B14B3B" w:rsidRPr="00A83FDA">
        <w:rPr>
          <w:color w:val="000000" w:themeColor="text1"/>
        </w:rPr>
        <w:t xml:space="preserve">e ‘healed’ </w:t>
      </w:r>
      <w:r w:rsidRPr="00A83FDA">
        <w:rPr>
          <w:color w:val="000000" w:themeColor="text1"/>
        </w:rPr>
        <w:t>patient experiences mild disease (QALY gain is halved). By contrast, the model assumed that 14% of patients in the conventional therapy arm would transition each year from ‘healed’ state back to ‘severe’.</w:t>
      </w:r>
      <w:r w:rsidR="008A252D">
        <w:rPr>
          <w:color w:val="000000" w:themeColor="text1"/>
        </w:rPr>
        <w:t xml:space="preserve"> </w:t>
      </w:r>
    </w:p>
    <w:p w:rsidR="00B80AA0" w:rsidRDefault="00B14B3B" w:rsidP="007C53EC">
      <w:pPr>
        <w:numPr>
          <w:ilvl w:val="0"/>
          <w:numId w:val="7"/>
        </w:numPr>
        <w:spacing w:after="120"/>
        <w:ind w:left="1134"/>
      </w:pPr>
      <w:r w:rsidRPr="00A83FDA">
        <w:t>T</w:t>
      </w:r>
      <w:r w:rsidR="00AC5983" w:rsidRPr="00A83FDA">
        <w:t xml:space="preserve">he model </w:t>
      </w:r>
      <w:r w:rsidRPr="00A83FDA">
        <w:t xml:space="preserve">assumed that </w:t>
      </w:r>
      <w:r w:rsidR="003631B0" w:rsidRPr="00A83FDA">
        <w:t>burosumab</w:t>
      </w:r>
      <w:r w:rsidR="00AC5983" w:rsidRPr="00A83FDA">
        <w:t xml:space="preserve"> </w:t>
      </w:r>
      <w:r w:rsidRPr="00A83FDA">
        <w:t>patients could not</w:t>
      </w:r>
      <w:r w:rsidR="00AC5983" w:rsidRPr="00A83FDA">
        <w:t xml:space="preserve"> transition to a worse health state. </w:t>
      </w:r>
      <w:r w:rsidR="00041149" w:rsidRPr="00B53825">
        <w:t>The PSCR</w:t>
      </w:r>
      <w:r w:rsidR="00F256BC" w:rsidRPr="00B53825">
        <w:t>)</w:t>
      </w:r>
      <w:r w:rsidR="00041149" w:rsidRPr="00B53825">
        <w:t xml:space="preserve"> stated that this was not an assumption, but a reflection of the data from which the transition probabilities were estimated, in which no patient deteriorated while receiving burosumab.</w:t>
      </w:r>
      <w:r w:rsidR="007F17F6" w:rsidRPr="00B53825">
        <w:t xml:space="preserve"> </w:t>
      </w:r>
      <w:r w:rsidR="00C20BE3" w:rsidRPr="00B53825">
        <w:t>The ESC noted that n</w:t>
      </w:r>
      <w:r w:rsidR="007F17F6" w:rsidRPr="00B53825">
        <w:t>o long-term data was provided to support this assumption when patients ceased burosumab treatment.</w:t>
      </w:r>
    </w:p>
    <w:p w:rsidR="0080068A" w:rsidRPr="00B80AA0" w:rsidRDefault="00B80AA0" w:rsidP="00B80AA0">
      <w:pPr>
        <w:jc w:val="left"/>
      </w:pPr>
      <w:r>
        <w:br w:type="page"/>
      </w:r>
    </w:p>
    <w:p w:rsidR="00DC3979" w:rsidRPr="00A83FDA" w:rsidRDefault="00834D15" w:rsidP="0064716A">
      <w:pPr>
        <w:pStyle w:val="3-BodyText"/>
      </w:pPr>
      <w:r w:rsidRPr="00A83FDA">
        <w:t>Utilities:</w:t>
      </w:r>
    </w:p>
    <w:p w:rsidR="00A87A87" w:rsidRPr="00A83FDA" w:rsidRDefault="00A87A87" w:rsidP="007C53EC">
      <w:pPr>
        <w:pStyle w:val="3-BodyText"/>
        <w:numPr>
          <w:ilvl w:val="0"/>
          <w:numId w:val="11"/>
        </w:numPr>
        <w:ind w:left="1077" w:hanging="357"/>
      </w:pPr>
      <w:r w:rsidRPr="00A83FDA">
        <w:t>Given no survival differences were assumed between the two treatment arms, the estimated utility values</w:t>
      </w:r>
      <w:r w:rsidR="003D324E" w:rsidRPr="00A83FDA">
        <w:t xml:space="preserve"> drive</w:t>
      </w:r>
      <w:r w:rsidRPr="00A83FDA">
        <w:t xml:space="preserve"> the </w:t>
      </w:r>
      <w:r w:rsidR="003D324E" w:rsidRPr="00A83FDA">
        <w:t xml:space="preserve">QALY </w:t>
      </w:r>
      <w:r w:rsidRPr="00A83FDA">
        <w:t>results. The estimated health state utilities may be uncertain for the following reasons:</w:t>
      </w:r>
    </w:p>
    <w:p w:rsidR="00A87A87" w:rsidRPr="00A83FDA" w:rsidRDefault="00BB00DE" w:rsidP="007C53EC">
      <w:pPr>
        <w:numPr>
          <w:ilvl w:val="0"/>
          <w:numId w:val="12"/>
        </w:numPr>
        <w:spacing w:after="120"/>
        <w:ind w:left="1451" w:hanging="357"/>
      </w:pPr>
      <w:r w:rsidRPr="00A83FDA">
        <w:t>u</w:t>
      </w:r>
      <w:r w:rsidR="00A87A87" w:rsidRPr="00A83FDA">
        <w:t>tility values were derived based on the clinicians’ views of XLH symptoms and severity, and therefore, they may not reflect the views of patients</w:t>
      </w:r>
      <w:r w:rsidR="00014F7C" w:rsidRPr="00A83FDA">
        <w:t xml:space="preserve">, </w:t>
      </w:r>
      <w:r w:rsidR="00A87A87" w:rsidRPr="00A83FDA">
        <w:t>carers</w:t>
      </w:r>
      <w:r w:rsidR="00014F7C" w:rsidRPr="00A83FDA">
        <w:t xml:space="preserve"> or the general public</w:t>
      </w:r>
      <w:r w:rsidR="00A87A87" w:rsidRPr="00A83FDA">
        <w:t>;</w:t>
      </w:r>
    </w:p>
    <w:p w:rsidR="00A87A87" w:rsidRPr="00A83FDA" w:rsidRDefault="00BB00DE" w:rsidP="007C53EC">
      <w:pPr>
        <w:numPr>
          <w:ilvl w:val="0"/>
          <w:numId w:val="12"/>
        </w:numPr>
        <w:spacing w:after="120"/>
        <w:ind w:left="1451" w:hanging="357"/>
      </w:pPr>
      <w:r w:rsidRPr="00A83FDA">
        <w:t>o</w:t>
      </w:r>
      <w:r w:rsidR="00A87A87" w:rsidRPr="00A83FDA">
        <w:t xml:space="preserve">nly six clinicians participated in the sponsor conducted valuation exercise. As a result, there is large variation around the estimated mean utilities. Due to these large variations, the estimated utility value distributions overlap across health states generating anomalies (i.e. the higher end of ‘severe’ health state distribution may have a </w:t>
      </w:r>
      <w:r w:rsidR="005D7E76" w:rsidRPr="00A83FDA">
        <w:t xml:space="preserve">higher </w:t>
      </w:r>
      <w:r w:rsidR="00A87A87" w:rsidRPr="00A83FDA">
        <w:t>health state utility than the lower end of ‘moderate’ health state)</w:t>
      </w:r>
      <w:r w:rsidRPr="00A83FDA">
        <w:t>;</w:t>
      </w:r>
    </w:p>
    <w:p w:rsidR="00A87A87" w:rsidRPr="00A83FDA" w:rsidRDefault="00BB00DE" w:rsidP="007C53EC">
      <w:pPr>
        <w:numPr>
          <w:ilvl w:val="0"/>
          <w:numId w:val="12"/>
        </w:numPr>
        <w:spacing w:after="120"/>
        <w:ind w:left="1451" w:hanging="357"/>
      </w:pPr>
      <w:r w:rsidRPr="00A83FDA">
        <w:t>n</w:t>
      </w:r>
      <w:r w:rsidR="00A87A87" w:rsidRPr="00A83FDA">
        <w:t>ot all clinical experts had valued the ‘healed’ and ‘severe’ states, due to lack of clinica</w:t>
      </w:r>
      <w:r w:rsidRPr="00A83FDA">
        <w:t xml:space="preserve">l experience in these patients; and </w:t>
      </w:r>
    </w:p>
    <w:p w:rsidR="00A87A87" w:rsidRPr="00A83FDA" w:rsidRDefault="00BB00DE" w:rsidP="007C53EC">
      <w:pPr>
        <w:numPr>
          <w:ilvl w:val="0"/>
          <w:numId w:val="12"/>
        </w:numPr>
        <w:spacing w:after="120"/>
        <w:ind w:left="1451" w:hanging="357"/>
      </w:pPr>
      <w:r w:rsidRPr="00A83FDA">
        <w:t>t</w:t>
      </w:r>
      <w:r w:rsidR="00A87A87" w:rsidRPr="00A83FDA">
        <w:t>he estimated HRQoL was assumed to decline over</w:t>
      </w:r>
      <w:r w:rsidRPr="00A83FDA">
        <w:t xml:space="preserve"> </w:t>
      </w:r>
      <w:r w:rsidR="00A87A87" w:rsidRPr="00A83FDA">
        <w:t>time reflecting likely disease progression. However, an increase in health state utilities (across all severities) was observed between ages 1</w:t>
      </w:r>
      <w:r w:rsidR="005920AF">
        <w:t>8</w:t>
      </w:r>
      <w:r w:rsidR="00A87A87" w:rsidRPr="00A83FDA">
        <w:t xml:space="preserve"> and </w:t>
      </w:r>
      <w:r w:rsidR="00014F7C" w:rsidRPr="00A83FDA">
        <w:t>39</w:t>
      </w:r>
      <w:r w:rsidR="00A87A87" w:rsidRPr="00A83FDA">
        <w:t xml:space="preserve"> years, the reason for this increase was unknown.</w:t>
      </w:r>
    </w:p>
    <w:p w:rsidR="00723F92" w:rsidRPr="00723F92" w:rsidRDefault="00723F92" w:rsidP="00A87A87">
      <w:pPr>
        <w:keepNext/>
        <w:rPr>
          <w:rFonts w:ascii="Arial Narrow" w:eastAsiaTheme="majorEastAsia" w:hAnsi="Arial Narrow"/>
          <w:b/>
          <w:bCs/>
          <w:sz w:val="20"/>
          <w:szCs w:val="20"/>
        </w:rPr>
      </w:pPr>
      <w:r>
        <w:rPr>
          <w:rFonts w:ascii="Arial Narrow" w:eastAsiaTheme="majorEastAsia" w:hAnsi="Arial Narrow"/>
          <w:b/>
          <w:bCs/>
          <w:sz w:val="20"/>
          <w:szCs w:val="20"/>
        </w:rPr>
        <w:t>Table 9</w:t>
      </w:r>
      <w:r w:rsidRPr="00723F92">
        <w:rPr>
          <w:rFonts w:ascii="Arial Narrow" w:eastAsiaTheme="majorEastAsia" w:hAnsi="Arial Narrow"/>
          <w:b/>
          <w:bCs/>
          <w:sz w:val="20"/>
          <w:szCs w:val="20"/>
        </w:rPr>
        <w:t>: Utility values used in the economic evaluation</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850"/>
        <w:gridCol w:w="709"/>
        <w:gridCol w:w="709"/>
        <w:gridCol w:w="992"/>
        <w:gridCol w:w="850"/>
        <w:gridCol w:w="2241"/>
      </w:tblGrid>
      <w:tr w:rsidR="00723F92" w:rsidRPr="00D4558F" w:rsidTr="005D47FC">
        <w:trPr>
          <w:trHeight w:val="361"/>
          <w:tblHeader/>
        </w:trPr>
        <w:tc>
          <w:tcPr>
            <w:tcW w:w="1838" w:type="dxa"/>
            <w:vMerge w:val="restart"/>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Health state</w:t>
            </w:r>
          </w:p>
        </w:tc>
        <w:tc>
          <w:tcPr>
            <w:tcW w:w="4961" w:type="dxa"/>
            <w:gridSpan w:val="6"/>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Utility</w:t>
            </w:r>
          </w:p>
        </w:tc>
        <w:tc>
          <w:tcPr>
            <w:tcW w:w="2241" w:type="dxa"/>
            <w:vMerge w:val="restart"/>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Source and nature of estimates</w:t>
            </w:r>
          </w:p>
        </w:tc>
      </w:tr>
      <w:tr w:rsidR="00723F92" w:rsidRPr="00D4558F" w:rsidTr="005D47FC">
        <w:trPr>
          <w:trHeight w:val="361"/>
          <w:tblHeader/>
        </w:trPr>
        <w:tc>
          <w:tcPr>
            <w:tcW w:w="1838" w:type="dxa"/>
            <w:vMerge/>
            <w:vAlign w:val="center"/>
          </w:tcPr>
          <w:p w:rsidR="00723F92" w:rsidRPr="00D4558F" w:rsidRDefault="00723F92" w:rsidP="00A87A87">
            <w:pPr>
              <w:keepNext/>
              <w:widowControl w:val="0"/>
              <w:jc w:val="center"/>
              <w:rPr>
                <w:rFonts w:ascii="Arial Narrow" w:eastAsiaTheme="majorEastAsia" w:hAnsi="Arial Narrow" w:cs="Times New Roman"/>
                <w:b/>
                <w:sz w:val="20"/>
              </w:rPr>
            </w:pPr>
          </w:p>
        </w:tc>
        <w:tc>
          <w:tcPr>
            <w:tcW w:w="851"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1-4 years</w:t>
            </w:r>
          </w:p>
        </w:tc>
        <w:tc>
          <w:tcPr>
            <w:tcW w:w="850"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5-12 years</w:t>
            </w:r>
          </w:p>
        </w:tc>
        <w:tc>
          <w:tcPr>
            <w:tcW w:w="709"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13-17 years</w:t>
            </w:r>
          </w:p>
        </w:tc>
        <w:tc>
          <w:tcPr>
            <w:tcW w:w="709"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18-39 years</w:t>
            </w:r>
          </w:p>
        </w:tc>
        <w:tc>
          <w:tcPr>
            <w:tcW w:w="992"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40-59 years</w:t>
            </w:r>
          </w:p>
        </w:tc>
        <w:tc>
          <w:tcPr>
            <w:tcW w:w="850" w:type="dxa"/>
            <w:vAlign w:val="center"/>
          </w:tcPr>
          <w:p w:rsidR="00723F92" w:rsidRPr="00D4558F" w:rsidRDefault="00723F92" w:rsidP="00A87A87">
            <w:pPr>
              <w:keepNext/>
              <w:widowControl w:val="0"/>
              <w:jc w:val="center"/>
              <w:rPr>
                <w:rFonts w:ascii="Arial Narrow" w:eastAsiaTheme="majorEastAsia" w:hAnsi="Arial Narrow" w:cs="Times New Roman"/>
                <w:b/>
                <w:sz w:val="20"/>
              </w:rPr>
            </w:pPr>
            <w:r w:rsidRPr="00D4558F">
              <w:rPr>
                <w:rFonts w:ascii="Arial Narrow" w:eastAsiaTheme="majorEastAsia" w:hAnsi="Arial Narrow" w:cs="Times New Roman"/>
                <w:b/>
                <w:sz w:val="20"/>
              </w:rPr>
              <w:t>60+ years</w:t>
            </w:r>
          </w:p>
        </w:tc>
        <w:tc>
          <w:tcPr>
            <w:tcW w:w="2241" w:type="dxa"/>
            <w:vMerge/>
            <w:vAlign w:val="center"/>
          </w:tcPr>
          <w:p w:rsidR="00723F92" w:rsidRPr="00D4558F" w:rsidRDefault="00723F92" w:rsidP="00A87A87">
            <w:pPr>
              <w:keepNext/>
              <w:widowControl w:val="0"/>
              <w:jc w:val="center"/>
              <w:rPr>
                <w:rFonts w:ascii="Arial Narrow" w:eastAsiaTheme="majorEastAsia" w:hAnsi="Arial Narrow" w:cs="Times New Roman"/>
                <w:b/>
                <w:sz w:val="20"/>
              </w:rPr>
            </w:pPr>
          </w:p>
        </w:tc>
      </w:tr>
      <w:tr w:rsidR="00723F92" w:rsidRPr="00D4558F" w:rsidTr="005D47FC">
        <w:trPr>
          <w:trHeight w:val="173"/>
        </w:trPr>
        <w:tc>
          <w:tcPr>
            <w:tcW w:w="1838" w:type="dxa"/>
            <w:vAlign w:val="center"/>
          </w:tcPr>
          <w:p w:rsidR="00723F92" w:rsidRPr="00D4558F" w:rsidRDefault="00723F92" w:rsidP="00A87A87">
            <w:pPr>
              <w:keepNext/>
              <w:widowControl w:val="0"/>
              <w:jc w:val="left"/>
              <w:rPr>
                <w:rFonts w:ascii="Arial Narrow" w:eastAsiaTheme="majorEastAsia" w:hAnsi="Arial Narrow" w:cstheme="majorBidi"/>
                <w:bCs/>
                <w:sz w:val="20"/>
              </w:rPr>
            </w:pPr>
            <w:r w:rsidRPr="00D4558F">
              <w:rPr>
                <w:rFonts w:ascii="Arial Narrow" w:eastAsiaTheme="majorEastAsia" w:hAnsi="Arial Narrow" w:cstheme="majorBidi"/>
                <w:bCs/>
                <w:sz w:val="20"/>
              </w:rPr>
              <w:t>Healed rickets</w:t>
            </w:r>
          </w:p>
        </w:tc>
        <w:tc>
          <w:tcPr>
            <w:tcW w:w="851"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0.834</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0.909</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0.843</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0.876</w:t>
            </w:r>
          </w:p>
        </w:tc>
        <w:tc>
          <w:tcPr>
            <w:tcW w:w="992"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0.840</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0.687</w:t>
            </w:r>
          </w:p>
        </w:tc>
        <w:tc>
          <w:tcPr>
            <w:tcW w:w="2241" w:type="dxa"/>
            <w:vMerge w:val="restart"/>
            <w:vAlign w:val="center"/>
          </w:tcPr>
          <w:p w:rsidR="00723F92" w:rsidRPr="00D4558F" w:rsidRDefault="00723F92" w:rsidP="00A87A87">
            <w:pPr>
              <w:keepNext/>
              <w:widowControl w:val="0"/>
              <w:jc w:val="left"/>
              <w:rPr>
                <w:rFonts w:ascii="Arial Narrow" w:eastAsiaTheme="majorEastAsia" w:hAnsi="Arial Narrow" w:cstheme="majorBidi"/>
                <w:bCs/>
                <w:sz w:val="20"/>
              </w:rPr>
            </w:pPr>
            <w:r w:rsidRPr="00D4558F">
              <w:rPr>
                <w:rFonts w:ascii="Arial Narrow" w:eastAsiaTheme="majorEastAsia" w:hAnsi="Arial Narrow" w:cstheme="majorBidi"/>
                <w:bCs/>
                <w:sz w:val="20"/>
              </w:rPr>
              <w:t>Sponsor-conducted utility study using EQ-5D-5L</w:t>
            </w:r>
            <w:r>
              <w:rPr>
                <w:rFonts w:ascii="Arial Narrow" w:eastAsiaTheme="majorEastAsia" w:hAnsi="Arial Narrow" w:cstheme="majorBidi"/>
                <w:bCs/>
                <w:sz w:val="20"/>
              </w:rPr>
              <w:t xml:space="preserve"> using UK weights.</w:t>
            </w:r>
          </w:p>
        </w:tc>
      </w:tr>
      <w:tr w:rsidR="00723F92" w:rsidRPr="00D4558F" w:rsidTr="005D47FC">
        <w:trPr>
          <w:trHeight w:val="182"/>
        </w:trPr>
        <w:tc>
          <w:tcPr>
            <w:tcW w:w="1838" w:type="dxa"/>
            <w:vAlign w:val="center"/>
          </w:tcPr>
          <w:p w:rsidR="00723F92" w:rsidRPr="00D4558F" w:rsidRDefault="00723F92" w:rsidP="00A87A87">
            <w:pPr>
              <w:keepNext/>
              <w:widowControl w:val="0"/>
              <w:jc w:val="left"/>
              <w:rPr>
                <w:rFonts w:ascii="Arial Narrow" w:eastAsiaTheme="majorEastAsia" w:hAnsi="Arial Narrow" w:cstheme="majorBidi"/>
                <w:bCs/>
                <w:sz w:val="20"/>
              </w:rPr>
            </w:pPr>
            <w:r w:rsidRPr="00D4558F">
              <w:rPr>
                <w:rFonts w:ascii="Arial Narrow" w:eastAsiaTheme="majorEastAsia" w:hAnsi="Arial Narrow" w:cstheme="majorBidi"/>
                <w:bCs/>
                <w:sz w:val="20"/>
              </w:rPr>
              <w:t>Mild rickets</w:t>
            </w:r>
          </w:p>
        </w:tc>
        <w:tc>
          <w:tcPr>
            <w:tcW w:w="851"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0.774</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0.757</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0.671</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0.707</w:t>
            </w:r>
          </w:p>
        </w:tc>
        <w:tc>
          <w:tcPr>
            <w:tcW w:w="992"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0.643</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0.552</w:t>
            </w:r>
          </w:p>
        </w:tc>
        <w:tc>
          <w:tcPr>
            <w:tcW w:w="2241" w:type="dxa"/>
            <w:vMerge/>
            <w:vAlign w:val="center"/>
          </w:tcPr>
          <w:p w:rsidR="00723F92" w:rsidRPr="00D4558F" w:rsidRDefault="00723F92" w:rsidP="00A87A87">
            <w:pPr>
              <w:keepNext/>
              <w:widowControl w:val="0"/>
              <w:jc w:val="left"/>
              <w:rPr>
                <w:rFonts w:ascii="Arial Narrow" w:eastAsiaTheme="majorEastAsia" w:hAnsi="Arial Narrow" w:cstheme="majorBidi"/>
                <w:bCs/>
                <w:sz w:val="20"/>
              </w:rPr>
            </w:pPr>
          </w:p>
        </w:tc>
      </w:tr>
      <w:tr w:rsidR="00723F92" w:rsidRPr="00D4558F" w:rsidTr="005D47FC">
        <w:trPr>
          <w:trHeight w:val="173"/>
        </w:trPr>
        <w:tc>
          <w:tcPr>
            <w:tcW w:w="1838" w:type="dxa"/>
            <w:vAlign w:val="center"/>
          </w:tcPr>
          <w:p w:rsidR="00723F92" w:rsidRPr="00D4558F" w:rsidRDefault="00723F92" w:rsidP="00A87A87">
            <w:pPr>
              <w:keepNext/>
              <w:widowControl w:val="0"/>
              <w:jc w:val="left"/>
              <w:rPr>
                <w:rFonts w:ascii="Arial Narrow" w:eastAsiaTheme="majorEastAsia" w:hAnsi="Arial Narrow" w:cstheme="majorBidi"/>
                <w:bCs/>
                <w:sz w:val="20"/>
              </w:rPr>
            </w:pPr>
            <w:r w:rsidRPr="00D4558F">
              <w:rPr>
                <w:rFonts w:ascii="Arial Narrow" w:eastAsiaTheme="majorEastAsia" w:hAnsi="Arial Narrow" w:cstheme="majorBidi"/>
                <w:bCs/>
                <w:sz w:val="20"/>
              </w:rPr>
              <w:t>Moderate rickets</w:t>
            </w:r>
          </w:p>
        </w:tc>
        <w:tc>
          <w:tcPr>
            <w:tcW w:w="851"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0.685</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0.613</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0.575</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0.653</w:t>
            </w:r>
          </w:p>
        </w:tc>
        <w:tc>
          <w:tcPr>
            <w:tcW w:w="992"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0.586</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0.517</w:t>
            </w:r>
          </w:p>
        </w:tc>
        <w:tc>
          <w:tcPr>
            <w:tcW w:w="2241" w:type="dxa"/>
            <w:vMerge/>
            <w:vAlign w:val="center"/>
          </w:tcPr>
          <w:p w:rsidR="00723F92" w:rsidRPr="00D4558F" w:rsidRDefault="00723F92" w:rsidP="00A87A87">
            <w:pPr>
              <w:keepNext/>
              <w:widowControl w:val="0"/>
              <w:jc w:val="left"/>
              <w:rPr>
                <w:rFonts w:ascii="Arial Narrow" w:eastAsiaTheme="majorEastAsia" w:hAnsi="Arial Narrow" w:cstheme="majorBidi"/>
                <w:bCs/>
                <w:sz w:val="20"/>
              </w:rPr>
            </w:pPr>
          </w:p>
        </w:tc>
      </w:tr>
      <w:tr w:rsidR="00723F92" w:rsidRPr="00D4558F" w:rsidTr="005D47FC">
        <w:trPr>
          <w:trHeight w:val="173"/>
        </w:trPr>
        <w:tc>
          <w:tcPr>
            <w:tcW w:w="1838" w:type="dxa"/>
            <w:vAlign w:val="center"/>
          </w:tcPr>
          <w:p w:rsidR="00723F92" w:rsidRPr="00D4558F" w:rsidRDefault="00723F92" w:rsidP="00A87A87">
            <w:pPr>
              <w:keepNext/>
              <w:widowControl w:val="0"/>
              <w:jc w:val="left"/>
              <w:rPr>
                <w:rFonts w:ascii="Arial Narrow" w:eastAsiaTheme="majorEastAsia" w:hAnsi="Arial Narrow" w:cstheme="majorBidi"/>
                <w:bCs/>
                <w:sz w:val="20"/>
              </w:rPr>
            </w:pPr>
            <w:r w:rsidRPr="00D4558F">
              <w:rPr>
                <w:rFonts w:ascii="Arial Narrow" w:eastAsiaTheme="majorEastAsia" w:hAnsi="Arial Narrow" w:cstheme="majorBidi"/>
                <w:bCs/>
                <w:sz w:val="20"/>
              </w:rPr>
              <w:t>Severe rickets</w:t>
            </w:r>
          </w:p>
        </w:tc>
        <w:tc>
          <w:tcPr>
            <w:tcW w:w="851"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0.610</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0.602</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0.479</w:t>
            </w:r>
          </w:p>
        </w:tc>
        <w:tc>
          <w:tcPr>
            <w:tcW w:w="709"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0.488</w:t>
            </w:r>
          </w:p>
        </w:tc>
        <w:tc>
          <w:tcPr>
            <w:tcW w:w="992"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0.421</w:t>
            </w:r>
          </w:p>
        </w:tc>
        <w:tc>
          <w:tcPr>
            <w:tcW w:w="850" w:type="dxa"/>
            <w:vAlign w:val="center"/>
          </w:tcPr>
          <w:p w:rsidR="00723F92" w:rsidRPr="00D4558F" w:rsidRDefault="00723F92" w:rsidP="00A87A87">
            <w:pPr>
              <w:keepNext/>
              <w:widowControl w:val="0"/>
              <w:jc w:val="center"/>
              <w:rPr>
                <w:rFonts w:ascii="Arial Narrow" w:eastAsiaTheme="majorEastAsia" w:hAnsi="Arial Narrow" w:cstheme="majorBidi"/>
                <w:bCs/>
                <w:sz w:val="20"/>
              </w:rPr>
            </w:pPr>
            <w:r w:rsidRPr="00D4558F">
              <w:rPr>
                <w:rFonts w:ascii="Arial Narrow" w:eastAsiaTheme="majorEastAsia" w:hAnsi="Arial Narrow" w:cstheme="majorBidi"/>
                <w:bCs/>
                <w:sz w:val="20"/>
              </w:rPr>
              <w:t>0.282</w:t>
            </w:r>
          </w:p>
        </w:tc>
        <w:tc>
          <w:tcPr>
            <w:tcW w:w="2241" w:type="dxa"/>
            <w:vMerge/>
            <w:vAlign w:val="center"/>
          </w:tcPr>
          <w:p w:rsidR="00723F92" w:rsidRPr="00D4558F" w:rsidRDefault="00723F92" w:rsidP="00A87A87">
            <w:pPr>
              <w:keepNext/>
              <w:widowControl w:val="0"/>
              <w:jc w:val="left"/>
              <w:rPr>
                <w:rFonts w:ascii="Arial Narrow" w:eastAsiaTheme="majorEastAsia" w:hAnsi="Arial Narrow" w:cstheme="majorBidi"/>
                <w:bCs/>
                <w:sz w:val="20"/>
              </w:rPr>
            </w:pPr>
          </w:p>
        </w:tc>
      </w:tr>
    </w:tbl>
    <w:p w:rsidR="00723F92" w:rsidRPr="00723F92" w:rsidRDefault="00723F92" w:rsidP="00723F92">
      <w:pPr>
        <w:rPr>
          <w:rFonts w:ascii="Arial Narrow" w:hAnsi="Arial Narrow"/>
          <w:sz w:val="20"/>
          <w:szCs w:val="20"/>
        </w:rPr>
      </w:pPr>
      <w:r w:rsidRPr="00723F92">
        <w:rPr>
          <w:rFonts w:ascii="Arial Narrow" w:hAnsi="Arial Narrow"/>
          <w:sz w:val="20"/>
          <w:szCs w:val="20"/>
        </w:rPr>
        <w:t xml:space="preserve">Source: Table 3-5, p130 of the submission. </w:t>
      </w:r>
    </w:p>
    <w:p w:rsidR="00723F92" w:rsidRPr="00723F92" w:rsidRDefault="00723F92" w:rsidP="00723F92">
      <w:pPr>
        <w:rPr>
          <w:rFonts w:ascii="Arial Narrow" w:hAnsi="Arial Narrow"/>
          <w:sz w:val="20"/>
          <w:szCs w:val="20"/>
        </w:rPr>
      </w:pPr>
      <w:r w:rsidRPr="00723F92">
        <w:rPr>
          <w:rFonts w:ascii="Arial Narrow" w:hAnsi="Arial Narrow"/>
          <w:sz w:val="20"/>
          <w:szCs w:val="20"/>
        </w:rPr>
        <w:t xml:space="preserve">Healed rickets, RSS=0; Mild rickets, RSS=0.5 or 1.0; Moderate rickets, RSS=1.0 or 2.0; Severe rickets, RSS=≥ 2.5.  </w:t>
      </w:r>
    </w:p>
    <w:p w:rsidR="00723F92" w:rsidRPr="00723F92" w:rsidRDefault="00723F92" w:rsidP="00723F92">
      <w:pPr>
        <w:rPr>
          <w:rFonts w:ascii="Arial Narrow" w:hAnsi="Arial Narrow"/>
          <w:sz w:val="20"/>
          <w:szCs w:val="20"/>
        </w:rPr>
      </w:pPr>
      <w:r w:rsidRPr="00723F92">
        <w:rPr>
          <w:rFonts w:ascii="Arial Narrow" w:hAnsi="Arial Narrow"/>
          <w:sz w:val="20"/>
          <w:szCs w:val="20"/>
        </w:rPr>
        <w:t>Abbreviations: RSS=Rickets Severity Score; EQ-5D-5L= EuroQol-5-Dimension-5-Level.</w:t>
      </w:r>
    </w:p>
    <w:p w:rsidR="00834D15" w:rsidRDefault="00834D15" w:rsidP="00A87A87"/>
    <w:p w:rsidR="007F00B5" w:rsidRPr="00B53825" w:rsidRDefault="005920AF" w:rsidP="004B388D">
      <w:pPr>
        <w:pStyle w:val="3-BodyText"/>
      </w:pPr>
      <w:r w:rsidRPr="00B53825">
        <w:t xml:space="preserve">The ESC considered that more reliable utility values which more appropriately reflected the </w:t>
      </w:r>
      <w:r w:rsidR="006725D3" w:rsidRPr="00B53825">
        <w:t xml:space="preserve">health states and the </w:t>
      </w:r>
      <w:r w:rsidRPr="00B53825">
        <w:t>likely disease progression would be required.</w:t>
      </w:r>
    </w:p>
    <w:p w:rsidR="00DC08E3" w:rsidRPr="00DC08E3" w:rsidRDefault="00CB0E45" w:rsidP="004B388D">
      <w:pPr>
        <w:pStyle w:val="3-BodyText"/>
      </w:pPr>
      <w:r w:rsidRPr="00D4558F">
        <w:t xml:space="preserve">Figures 1 and 2 illustrate the Markov traces for </w:t>
      </w:r>
      <w:r w:rsidR="003631B0">
        <w:t>burosumab</w:t>
      </w:r>
      <w:r w:rsidRPr="00D4558F">
        <w:t xml:space="preserve"> and conventional therapy, respectively. </w:t>
      </w:r>
      <w:r w:rsidR="00B14B3B">
        <w:t>The major</w:t>
      </w:r>
      <w:r w:rsidR="00DC08E3">
        <w:t xml:space="preserve"> difference between the two treatments is the proportion of patients </w:t>
      </w:r>
      <w:r w:rsidR="00A87A87">
        <w:t xml:space="preserve">in the </w:t>
      </w:r>
      <w:r w:rsidR="00DC08E3">
        <w:t>‘healed’</w:t>
      </w:r>
      <w:r w:rsidR="00A87A87">
        <w:t xml:space="preserve"> health state</w:t>
      </w:r>
      <w:r w:rsidR="00DC08E3">
        <w:t xml:space="preserve">. </w:t>
      </w:r>
      <w:r w:rsidR="00A87A87">
        <w:t>A</w:t>
      </w:r>
      <w:r w:rsidR="00DC08E3">
        <w:t xml:space="preserve">lmost </w:t>
      </w:r>
      <w:r w:rsidR="00DC08E3" w:rsidRPr="00DC08E3">
        <w:t xml:space="preserve">all patients (98.3%) </w:t>
      </w:r>
      <w:r w:rsidR="00DC08E3">
        <w:t xml:space="preserve">in the </w:t>
      </w:r>
      <w:r w:rsidR="003631B0">
        <w:t>burosumab</w:t>
      </w:r>
      <w:r w:rsidR="00DC08E3">
        <w:t xml:space="preserve"> arm </w:t>
      </w:r>
      <w:r w:rsidR="00DC08E3" w:rsidRPr="00DC08E3">
        <w:t>transitioned to the ‘healed’ state</w:t>
      </w:r>
      <w:r w:rsidR="00DC08E3">
        <w:t xml:space="preserve"> </w:t>
      </w:r>
      <w:r w:rsidR="001477B6">
        <w:t>by Cycle 10 (and remained there until death)</w:t>
      </w:r>
      <w:r w:rsidR="00A87A87">
        <w:t>; however</w:t>
      </w:r>
      <w:r w:rsidR="001477B6">
        <w:t xml:space="preserve">, only 14% of patient in the conventional therapy arm </w:t>
      </w:r>
      <w:r w:rsidR="00A87A87">
        <w:t>transitioned to the ‘healed’ state</w:t>
      </w:r>
      <w:r w:rsidR="001477B6">
        <w:t xml:space="preserve">. </w:t>
      </w:r>
      <w:r w:rsidR="00B14B3B">
        <w:t>D</w:t>
      </w:r>
      <w:r w:rsidR="00DC08E3" w:rsidRPr="00DC08E3">
        <w:t>espite some initial improvement</w:t>
      </w:r>
      <w:r w:rsidR="00DC08E3">
        <w:t xml:space="preserve">s </w:t>
      </w:r>
      <w:r w:rsidR="001477B6">
        <w:t xml:space="preserve">with </w:t>
      </w:r>
      <w:r w:rsidR="00DC08E3" w:rsidRPr="00DC08E3">
        <w:t xml:space="preserve">conventional therapy, </w:t>
      </w:r>
      <w:r w:rsidR="001477B6">
        <w:t xml:space="preserve">a </w:t>
      </w:r>
      <w:r w:rsidR="00DC08E3" w:rsidRPr="00DC08E3">
        <w:t xml:space="preserve">large proportion of patients </w:t>
      </w:r>
      <w:r w:rsidR="00A87A87">
        <w:t xml:space="preserve">continued to have </w:t>
      </w:r>
      <w:r w:rsidR="00DC08E3" w:rsidRPr="00DC08E3">
        <w:t>rickets. Death</w:t>
      </w:r>
      <w:r w:rsidR="001477B6">
        <w:t xml:space="preserve"> was</w:t>
      </w:r>
      <w:r w:rsidR="00DC08E3" w:rsidRPr="00DC08E3">
        <w:t xml:space="preserve"> identical across the two treatment arms, confirming no difference in survival was assumed between </w:t>
      </w:r>
      <w:r w:rsidR="003631B0">
        <w:t>burosumab</w:t>
      </w:r>
      <w:r w:rsidR="00DC08E3" w:rsidRPr="00DC08E3">
        <w:t xml:space="preserve"> and conventional therapy.</w:t>
      </w:r>
    </w:p>
    <w:p w:rsidR="001C6535" w:rsidRPr="00E97DB1" w:rsidRDefault="001C6535" w:rsidP="001477B6">
      <w:pPr>
        <w:keepNext/>
        <w:keepLines/>
        <w:rPr>
          <w:rFonts w:ascii="Arial Narrow" w:hAnsi="Arial Narrow"/>
          <w:b/>
          <w:sz w:val="20"/>
          <w:szCs w:val="20"/>
        </w:rPr>
      </w:pPr>
      <w:r w:rsidRPr="00E97DB1">
        <w:rPr>
          <w:rFonts w:ascii="Arial Narrow" w:hAnsi="Arial Narrow"/>
          <w:b/>
          <w:sz w:val="20"/>
          <w:szCs w:val="20"/>
        </w:rPr>
        <w:t xml:space="preserve">Figure </w:t>
      </w:r>
      <w:r w:rsidR="00CB0E45" w:rsidRPr="00E97DB1">
        <w:rPr>
          <w:rFonts w:ascii="Arial Narrow" w:hAnsi="Arial Narrow"/>
          <w:b/>
          <w:sz w:val="20"/>
          <w:szCs w:val="20"/>
        </w:rPr>
        <w:t xml:space="preserve">1. </w:t>
      </w:r>
      <w:r w:rsidRPr="00E97DB1">
        <w:rPr>
          <w:rFonts w:ascii="Arial Narrow" w:hAnsi="Arial Narrow"/>
          <w:b/>
          <w:sz w:val="20"/>
          <w:szCs w:val="20"/>
        </w:rPr>
        <w:t>Markov trace for the burosumab arm</w:t>
      </w:r>
    </w:p>
    <w:p w:rsidR="003B3672" w:rsidRPr="00D4558F" w:rsidRDefault="003B3672" w:rsidP="001477B6">
      <w:pPr>
        <w:keepNext/>
        <w:keepLines/>
        <w:rPr>
          <w:b/>
        </w:rPr>
      </w:pPr>
      <w:r>
        <w:rPr>
          <w:b/>
          <w:noProof/>
        </w:rPr>
        <w:drawing>
          <wp:inline distT="0" distB="0" distL="0" distR="0" wp14:anchorId="769F93F8" wp14:editId="32EF9E3F">
            <wp:extent cx="5681980" cy="3060700"/>
            <wp:effectExtent l="0" t="0" r="0" b="6350"/>
            <wp:docPr id="10" name="Picture 10" title="Figure 1. Markov trace for the burosuma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3060700"/>
                    </a:xfrm>
                    <a:prstGeom prst="rect">
                      <a:avLst/>
                    </a:prstGeom>
                    <a:noFill/>
                  </pic:spPr>
                </pic:pic>
              </a:graphicData>
            </a:graphic>
          </wp:inline>
        </w:drawing>
      </w:r>
    </w:p>
    <w:p w:rsidR="001C6535" w:rsidRPr="00E97DB1" w:rsidRDefault="001C6535" w:rsidP="001477B6">
      <w:pPr>
        <w:keepNext/>
        <w:keepLines/>
        <w:rPr>
          <w:rFonts w:ascii="Arial Narrow" w:hAnsi="Arial Narrow"/>
          <w:sz w:val="18"/>
          <w:szCs w:val="18"/>
        </w:rPr>
      </w:pPr>
      <w:r w:rsidRPr="00E97DB1">
        <w:rPr>
          <w:rFonts w:ascii="Arial Narrow" w:hAnsi="Arial Narrow"/>
          <w:sz w:val="18"/>
          <w:szCs w:val="18"/>
        </w:rPr>
        <w:t>Source: generated during the evaluation (adding in Death health state) based on Section 3 Workbook (CEA Model): Trace figures.</w:t>
      </w:r>
    </w:p>
    <w:p w:rsidR="001C6535" w:rsidRPr="00D4558F" w:rsidRDefault="001C6535" w:rsidP="001C6535"/>
    <w:p w:rsidR="001C6535" w:rsidRPr="00E97DB1" w:rsidRDefault="001C6535" w:rsidP="001477B6">
      <w:pPr>
        <w:keepNext/>
        <w:keepLines/>
        <w:rPr>
          <w:rFonts w:ascii="Arial Narrow" w:hAnsi="Arial Narrow"/>
          <w:b/>
          <w:sz w:val="20"/>
          <w:szCs w:val="20"/>
        </w:rPr>
      </w:pPr>
      <w:r w:rsidRPr="00E97DB1">
        <w:rPr>
          <w:rFonts w:ascii="Arial Narrow" w:hAnsi="Arial Narrow"/>
          <w:b/>
          <w:sz w:val="20"/>
          <w:szCs w:val="20"/>
        </w:rPr>
        <w:t>Figure 2: Markov trace for the conventional therapy arm</w:t>
      </w:r>
    </w:p>
    <w:p w:rsidR="003B3672" w:rsidRPr="00D4558F" w:rsidRDefault="003B3672" w:rsidP="001477B6">
      <w:pPr>
        <w:keepNext/>
        <w:keepLines/>
        <w:rPr>
          <w:b/>
        </w:rPr>
      </w:pPr>
      <w:r>
        <w:rPr>
          <w:b/>
          <w:noProof/>
        </w:rPr>
        <w:drawing>
          <wp:inline distT="0" distB="0" distL="0" distR="0" wp14:anchorId="043BAD42" wp14:editId="553C6C4E">
            <wp:extent cx="5669915" cy="3335020"/>
            <wp:effectExtent l="0" t="0" r="6985" b="0"/>
            <wp:docPr id="11" name="Picture 11" title="Figure 2: Markov trace for the conventional therapy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915" cy="3335020"/>
                    </a:xfrm>
                    <a:prstGeom prst="rect">
                      <a:avLst/>
                    </a:prstGeom>
                    <a:noFill/>
                  </pic:spPr>
                </pic:pic>
              </a:graphicData>
            </a:graphic>
          </wp:inline>
        </w:drawing>
      </w:r>
    </w:p>
    <w:p w:rsidR="001C6535" w:rsidRPr="00E97DB1" w:rsidRDefault="001C6535" w:rsidP="001477B6">
      <w:pPr>
        <w:keepNext/>
        <w:keepLines/>
        <w:rPr>
          <w:sz w:val="22"/>
          <w:szCs w:val="22"/>
        </w:rPr>
      </w:pPr>
      <w:r w:rsidRPr="00E97DB1">
        <w:rPr>
          <w:rFonts w:ascii="Arial Narrow" w:hAnsi="Arial Narrow"/>
          <w:sz w:val="18"/>
          <w:szCs w:val="18"/>
        </w:rPr>
        <w:t>Source: generated during the evaluation (adding in Death health state) based on Section 3 Workbook (CEA Model): Trace figures.</w:t>
      </w:r>
    </w:p>
    <w:p w:rsidR="001C6535" w:rsidRPr="00D4558F" w:rsidRDefault="001C6535" w:rsidP="001C6535">
      <w:pPr>
        <w:ind w:left="1080" w:hanging="360"/>
      </w:pPr>
    </w:p>
    <w:p w:rsidR="00F4019D" w:rsidRPr="00D4558F" w:rsidRDefault="006506D9" w:rsidP="001C6535">
      <w:pPr>
        <w:pStyle w:val="3-BodyText"/>
        <w:widowControl w:val="0"/>
        <w:rPr>
          <w:rFonts w:ascii="Arial Narrow" w:hAnsi="Arial Narrow"/>
          <w:b/>
          <w:i/>
          <w:sz w:val="20"/>
        </w:rPr>
      </w:pPr>
      <w:r>
        <w:t>Table 10</w:t>
      </w:r>
      <w:r w:rsidR="005437BE" w:rsidRPr="00D4558F">
        <w:t xml:space="preserve"> summarises the key drivers of the economic evaluation.</w:t>
      </w:r>
    </w:p>
    <w:p w:rsidR="00D110BD" w:rsidRPr="00D4558F" w:rsidRDefault="00D110BD" w:rsidP="00834CB2">
      <w:pPr>
        <w:pStyle w:val="3-BodyText"/>
        <w:keepNext/>
        <w:widowControl w:val="0"/>
        <w:numPr>
          <w:ilvl w:val="0"/>
          <w:numId w:val="0"/>
        </w:numPr>
        <w:spacing w:after="0"/>
        <w:rPr>
          <w:rStyle w:val="CommentReference"/>
          <w:szCs w:val="24"/>
        </w:rPr>
      </w:pPr>
      <w:r w:rsidRPr="00D4558F">
        <w:rPr>
          <w:rStyle w:val="CommentReference"/>
          <w:szCs w:val="24"/>
        </w:rPr>
        <w:t xml:space="preserve">Table </w:t>
      </w:r>
      <w:r w:rsidR="006506D9">
        <w:rPr>
          <w:rStyle w:val="CommentReference"/>
          <w:szCs w:val="24"/>
        </w:rPr>
        <w:t>10</w:t>
      </w:r>
      <w:r w:rsidRPr="00D4558F">
        <w:rPr>
          <w:rStyle w:val="CommentReference"/>
          <w:szCs w:val="24"/>
        </w:rPr>
        <w:t>: Key drivers of the model</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3"/>
        <w:gridCol w:w="2695"/>
        <w:gridCol w:w="4911"/>
      </w:tblGrid>
      <w:tr w:rsidR="00537182" w:rsidRPr="00D4558F" w:rsidTr="007F1C57">
        <w:trPr>
          <w:tblHeader/>
        </w:trPr>
        <w:tc>
          <w:tcPr>
            <w:tcW w:w="848" w:type="pct"/>
            <w:shd w:val="clear" w:color="auto" w:fill="auto"/>
            <w:vAlign w:val="center"/>
          </w:tcPr>
          <w:p w:rsidR="00D110BD" w:rsidRPr="00D4558F" w:rsidRDefault="00D110BD" w:rsidP="00834CB2">
            <w:pPr>
              <w:pStyle w:val="In-tableHeading"/>
              <w:widowControl w:val="0"/>
              <w:rPr>
                <w:lang w:val="en-AU"/>
              </w:rPr>
            </w:pPr>
            <w:r w:rsidRPr="00D4558F">
              <w:rPr>
                <w:lang w:val="en-AU"/>
              </w:rPr>
              <w:t>Description</w:t>
            </w:r>
          </w:p>
        </w:tc>
        <w:tc>
          <w:tcPr>
            <w:tcW w:w="1471" w:type="pct"/>
            <w:shd w:val="clear" w:color="auto" w:fill="auto"/>
            <w:vAlign w:val="center"/>
          </w:tcPr>
          <w:p w:rsidR="00D110BD" w:rsidRPr="00D4558F" w:rsidRDefault="00D110BD" w:rsidP="00834CB2">
            <w:pPr>
              <w:pStyle w:val="In-tableHeading"/>
              <w:widowControl w:val="0"/>
              <w:jc w:val="center"/>
              <w:rPr>
                <w:lang w:val="en-AU"/>
              </w:rPr>
            </w:pPr>
            <w:r w:rsidRPr="00D4558F">
              <w:rPr>
                <w:lang w:val="en-AU"/>
              </w:rPr>
              <w:t>Method/Value</w:t>
            </w:r>
          </w:p>
        </w:tc>
        <w:tc>
          <w:tcPr>
            <w:tcW w:w="2681" w:type="pct"/>
            <w:shd w:val="clear" w:color="auto" w:fill="auto"/>
            <w:vAlign w:val="center"/>
          </w:tcPr>
          <w:p w:rsidR="00D110BD" w:rsidRPr="00D4558F" w:rsidRDefault="00D110BD" w:rsidP="00834CB2">
            <w:pPr>
              <w:pStyle w:val="In-tableHeading"/>
              <w:widowControl w:val="0"/>
              <w:jc w:val="center"/>
              <w:rPr>
                <w:lang w:val="en-AU"/>
              </w:rPr>
            </w:pPr>
            <w:r w:rsidRPr="00D4558F">
              <w:rPr>
                <w:lang w:val="en-AU"/>
              </w:rPr>
              <w:t>Impact</w:t>
            </w:r>
          </w:p>
          <w:p w:rsidR="00490B17" w:rsidRPr="00D4558F" w:rsidRDefault="00490B17" w:rsidP="00834CB2">
            <w:pPr>
              <w:pStyle w:val="In-tableHeading"/>
              <w:widowControl w:val="0"/>
              <w:jc w:val="center"/>
              <w:rPr>
                <w:lang w:val="en-AU"/>
              </w:rPr>
            </w:pPr>
            <w:r w:rsidRPr="00D4558F">
              <w:rPr>
                <w:rFonts w:cs="Arial"/>
                <w:szCs w:val="20"/>
                <w:lang w:val="en-AU"/>
              </w:rPr>
              <w:t>Base case: $</w:t>
            </w:r>
            <w:r w:rsidR="00A47328">
              <w:rPr>
                <w:rFonts w:cs="Arial"/>
                <w:noProof/>
                <w:color w:val="000000"/>
                <w:szCs w:val="20"/>
                <w:highlight w:val="black"/>
                <w:lang w:val="en-AU"/>
              </w:rPr>
              <w:t>'''''''''''''''''</w:t>
            </w:r>
            <w:r w:rsidR="00D53B32">
              <w:rPr>
                <w:vertAlign w:val="superscript"/>
              </w:rPr>
              <w:t>1</w:t>
            </w:r>
            <w:r w:rsidR="00D53B32">
              <w:t xml:space="preserve"> </w:t>
            </w:r>
            <w:r w:rsidR="003C4E3D" w:rsidRPr="00D4558F">
              <w:rPr>
                <w:rFonts w:cs="Arial"/>
                <w:szCs w:val="20"/>
                <w:lang w:val="en-AU"/>
              </w:rPr>
              <w:t>/</w:t>
            </w:r>
            <w:r w:rsidRPr="00D4558F">
              <w:rPr>
                <w:rFonts w:cs="Arial"/>
                <w:szCs w:val="20"/>
                <w:lang w:val="en-AU"/>
              </w:rPr>
              <w:t>QALY gained</w:t>
            </w:r>
          </w:p>
        </w:tc>
      </w:tr>
      <w:tr w:rsidR="00537182" w:rsidRPr="00D4558F" w:rsidTr="007F1C57">
        <w:tc>
          <w:tcPr>
            <w:tcW w:w="848" w:type="pct"/>
            <w:shd w:val="clear" w:color="auto" w:fill="auto"/>
            <w:vAlign w:val="center"/>
          </w:tcPr>
          <w:p w:rsidR="00D110BD" w:rsidRPr="00D4558F" w:rsidRDefault="00106B80" w:rsidP="00834CB2">
            <w:pPr>
              <w:pStyle w:val="TableText0"/>
              <w:widowControl w:val="0"/>
            </w:pPr>
            <w:r w:rsidRPr="00D4558F">
              <w:t>Extrapolation</w:t>
            </w:r>
            <w:r w:rsidR="00E33B97" w:rsidRPr="00D4558F">
              <w:t xml:space="preserve"> of clinical effect of </w:t>
            </w:r>
            <w:r w:rsidR="00DD01CF">
              <w:t>burosumab</w:t>
            </w:r>
          </w:p>
        </w:tc>
        <w:tc>
          <w:tcPr>
            <w:tcW w:w="1471" w:type="pct"/>
            <w:shd w:val="clear" w:color="auto" w:fill="auto"/>
            <w:vAlign w:val="center"/>
          </w:tcPr>
          <w:p w:rsidR="00E33B97" w:rsidRPr="00F3714B" w:rsidRDefault="00605B74" w:rsidP="00834CB2">
            <w:pPr>
              <w:pStyle w:val="TableText0"/>
              <w:widowControl w:val="0"/>
              <w:rPr>
                <w:iCs/>
              </w:rPr>
            </w:pPr>
            <w:r w:rsidRPr="00F3714B">
              <w:rPr>
                <w:iCs/>
              </w:rPr>
              <w:t>Base case</w:t>
            </w:r>
            <w:r w:rsidR="00B739C1" w:rsidRPr="00F3714B">
              <w:rPr>
                <w:iCs/>
              </w:rPr>
              <w:t xml:space="preserve"> assumptions</w:t>
            </w:r>
            <w:r w:rsidRPr="00F3714B">
              <w:rPr>
                <w:iCs/>
              </w:rPr>
              <w:t xml:space="preserve">: </w:t>
            </w:r>
          </w:p>
          <w:p w:rsidR="00545C4D" w:rsidRPr="00F3714B" w:rsidRDefault="00545C4D" w:rsidP="00834CB2">
            <w:pPr>
              <w:pStyle w:val="TableText0"/>
              <w:widowControl w:val="0"/>
              <w:rPr>
                <w:iCs/>
              </w:rPr>
            </w:pPr>
          </w:p>
          <w:p w:rsidR="00B739C1" w:rsidRPr="00F3714B" w:rsidRDefault="00B739C1" w:rsidP="00834CB2">
            <w:pPr>
              <w:pStyle w:val="TableText0"/>
              <w:widowControl w:val="0"/>
              <w:rPr>
                <w:iCs/>
              </w:rPr>
            </w:pPr>
            <w:r w:rsidRPr="00F3714B">
              <w:rPr>
                <w:iCs/>
              </w:rPr>
              <w:t>Constant annual transition pr</w:t>
            </w:r>
            <w:r w:rsidR="00F648D4" w:rsidRPr="00F3714B">
              <w:rPr>
                <w:iCs/>
              </w:rPr>
              <w:t>obabilities</w:t>
            </w:r>
            <w:r w:rsidRPr="00F3714B">
              <w:rPr>
                <w:iCs/>
              </w:rPr>
              <w:t xml:space="preserve"> until age 18 based on Week 64 study results.</w:t>
            </w:r>
          </w:p>
          <w:p w:rsidR="00545C4D" w:rsidRPr="00F3714B" w:rsidRDefault="00545C4D" w:rsidP="00834CB2">
            <w:pPr>
              <w:pStyle w:val="TableText0"/>
              <w:widowControl w:val="0"/>
              <w:rPr>
                <w:iCs/>
              </w:rPr>
            </w:pPr>
          </w:p>
          <w:p w:rsidR="00106B80" w:rsidRPr="00D4558F" w:rsidRDefault="00B739C1" w:rsidP="00834CB2">
            <w:pPr>
              <w:pStyle w:val="TableText0"/>
              <w:widowControl w:val="0"/>
            </w:pPr>
            <w:r w:rsidRPr="00F3714B">
              <w:rPr>
                <w:iCs/>
              </w:rPr>
              <w:t xml:space="preserve">All patients remained in their respective RSS health states beyond age 18, thus assuming the benefit of </w:t>
            </w:r>
            <w:r w:rsidR="00DD01CF" w:rsidRPr="00F3714B">
              <w:rPr>
                <w:iCs/>
              </w:rPr>
              <w:t>burosumab</w:t>
            </w:r>
            <w:r w:rsidRPr="00F3714B">
              <w:rPr>
                <w:iCs/>
              </w:rPr>
              <w:t xml:space="preserve"> would be lifelong</w:t>
            </w:r>
            <w:r w:rsidR="00F648D4" w:rsidRPr="00F3714B">
              <w:rPr>
                <w:iCs/>
              </w:rPr>
              <w:t xml:space="preserve"> (even after treatment cessation)</w:t>
            </w:r>
            <w:r w:rsidRPr="00F3714B">
              <w:rPr>
                <w:iCs/>
              </w:rPr>
              <w:t>.</w:t>
            </w:r>
            <w:r>
              <w:rPr>
                <w:i/>
                <w:iCs/>
              </w:rPr>
              <w:t xml:space="preserve"> </w:t>
            </w:r>
          </w:p>
        </w:tc>
        <w:tc>
          <w:tcPr>
            <w:tcW w:w="2681" w:type="pct"/>
            <w:shd w:val="clear" w:color="auto" w:fill="auto"/>
            <w:vAlign w:val="center"/>
          </w:tcPr>
          <w:p w:rsidR="00D110BD" w:rsidRPr="00A83FDA" w:rsidRDefault="00E33B97" w:rsidP="00834CB2">
            <w:pPr>
              <w:pStyle w:val="TableText0"/>
              <w:widowControl w:val="0"/>
            </w:pPr>
            <w:r w:rsidRPr="00A83FDA">
              <w:t>Very h</w:t>
            </w:r>
            <w:r w:rsidR="00D110BD" w:rsidRPr="00A83FDA">
              <w:t xml:space="preserve">igh, favours </w:t>
            </w:r>
            <w:r w:rsidR="00DD01CF" w:rsidRPr="00A83FDA">
              <w:t>burosumab</w:t>
            </w:r>
            <w:r w:rsidRPr="00A83FDA">
              <w:t>.</w:t>
            </w:r>
          </w:p>
          <w:p w:rsidR="003B546D" w:rsidRPr="00A83FDA" w:rsidRDefault="003B546D" w:rsidP="00834CB2">
            <w:pPr>
              <w:pStyle w:val="TableText0"/>
              <w:widowControl w:val="0"/>
            </w:pPr>
          </w:p>
          <w:p w:rsidR="00490B17" w:rsidRPr="00A83FDA" w:rsidRDefault="003C4E3D" w:rsidP="00834CB2">
            <w:pPr>
              <w:pStyle w:val="TableText0"/>
              <w:widowControl w:val="0"/>
              <w:rPr>
                <w:iCs/>
              </w:rPr>
            </w:pPr>
            <w:r w:rsidRPr="00A83FDA">
              <w:t xml:space="preserve">Removal of extrapolated treatment effect by assuming patients do not transition based on RSS scores beyond cycle 2 in the model resulted in a doubling of the ICER to </w:t>
            </w:r>
            <w:r w:rsidRPr="00A83FDA">
              <w:rPr>
                <w:iCs/>
              </w:rPr>
              <w:t>$</w:t>
            </w:r>
            <w:r w:rsidR="00A47328">
              <w:rPr>
                <w:iCs/>
                <w:noProof/>
                <w:color w:val="000000"/>
                <w:highlight w:val="black"/>
              </w:rPr>
              <w:t>'''''''''''''''''''''''</w:t>
            </w:r>
            <w:r w:rsidR="00794D8F">
              <w:rPr>
                <w:vertAlign w:val="superscript"/>
              </w:rPr>
              <w:t>2</w:t>
            </w:r>
            <w:r w:rsidRPr="00A83FDA">
              <w:rPr>
                <w:iCs/>
              </w:rPr>
              <w:t xml:space="preserve">. </w:t>
            </w:r>
          </w:p>
          <w:p w:rsidR="001946C3" w:rsidRPr="00A83FDA" w:rsidRDefault="001946C3" w:rsidP="00834CB2">
            <w:pPr>
              <w:pStyle w:val="TableText0"/>
              <w:widowControl w:val="0"/>
            </w:pPr>
          </w:p>
          <w:p w:rsidR="006970DF" w:rsidRPr="003B6C57" w:rsidRDefault="00B739C1" w:rsidP="003B6C57">
            <w:pPr>
              <w:pStyle w:val="TableText0"/>
              <w:widowControl w:val="0"/>
              <w:rPr>
                <w:i/>
              </w:rPr>
            </w:pPr>
            <w:r w:rsidRPr="00A83FDA">
              <w:t xml:space="preserve">Building in effect weaning over time by assuming a lower </w:t>
            </w:r>
            <w:r w:rsidR="00F648D4" w:rsidRPr="00A83FDA">
              <w:t>health state utility after treatment cessation, increased the ICER to $</w:t>
            </w:r>
            <w:r w:rsidR="00A47328">
              <w:rPr>
                <w:noProof/>
                <w:color w:val="000000"/>
                <w:highlight w:val="black"/>
              </w:rPr>
              <w:t>'''''''''''''''''''''</w:t>
            </w:r>
            <w:r w:rsidR="00794D8F">
              <w:rPr>
                <w:vertAlign w:val="superscript"/>
              </w:rPr>
              <w:t>3</w:t>
            </w:r>
            <w:r w:rsidR="00F648D4" w:rsidRPr="00A83FDA">
              <w:t>.</w:t>
            </w:r>
          </w:p>
        </w:tc>
      </w:tr>
      <w:tr w:rsidR="007F1C57" w:rsidRPr="00D4558F" w:rsidTr="007F1C57">
        <w:tc>
          <w:tcPr>
            <w:tcW w:w="848" w:type="pct"/>
            <w:shd w:val="clear" w:color="auto" w:fill="auto"/>
            <w:vAlign w:val="center"/>
          </w:tcPr>
          <w:p w:rsidR="007F1C57" w:rsidRPr="00D4558F" w:rsidRDefault="007F1C57" w:rsidP="00834CB2">
            <w:pPr>
              <w:pStyle w:val="TableText0"/>
              <w:widowControl w:val="0"/>
            </w:pPr>
            <w:r>
              <w:t>Transition probabilities</w:t>
            </w:r>
          </w:p>
        </w:tc>
        <w:tc>
          <w:tcPr>
            <w:tcW w:w="1471" w:type="pct"/>
            <w:shd w:val="clear" w:color="auto" w:fill="auto"/>
            <w:vAlign w:val="center"/>
          </w:tcPr>
          <w:p w:rsidR="007F1C57" w:rsidRPr="00F3714B" w:rsidDel="00605B74" w:rsidRDefault="007F1C57" w:rsidP="00834CB2">
            <w:pPr>
              <w:pStyle w:val="TableText0"/>
              <w:widowControl w:val="0"/>
            </w:pPr>
            <w:r w:rsidRPr="00F3714B">
              <w:t>Estimated by pooling data from mixed sources and using favourable assumptions (e</w:t>
            </w:r>
            <w:r w:rsidR="00785952" w:rsidRPr="00F3714B">
              <w:t>.</w:t>
            </w:r>
            <w:r w:rsidRPr="00F3714B">
              <w:t>g</w:t>
            </w:r>
            <w:r w:rsidR="00785952" w:rsidRPr="00F3714B">
              <w:t>.</w:t>
            </w:r>
            <w:r w:rsidR="00C77252" w:rsidRPr="00F3714B">
              <w:t xml:space="preserve"> </w:t>
            </w:r>
            <w:r w:rsidR="00DD01CF" w:rsidRPr="00F3714B">
              <w:t>burosumab</w:t>
            </w:r>
            <w:r w:rsidRPr="00F3714B">
              <w:t xml:space="preserve"> patients can only improve in RSS whereas conventional therapy patients can </w:t>
            </w:r>
            <w:r w:rsidR="00785952" w:rsidRPr="00F3714B">
              <w:t>improve or deteriorate</w:t>
            </w:r>
            <w:r w:rsidRPr="00F3714B">
              <w:t xml:space="preserve">. </w:t>
            </w:r>
            <w:r w:rsidR="00C77252" w:rsidRPr="00F3714B">
              <w:t>Only one</w:t>
            </w:r>
            <w:r w:rsidRPr="00F3714B">
              <w:t xml:space="preserve"> patient informed the transition for staying healed</w:t>
            </w:r>
            <w:r w:rsidR="00C77252" w:rsidRPr="00F3714B">
              <w:t xml:space="preserve">). </w:t>
            </w:r>
          </w:p>
        </w:tc>
        <w:tc>
          <w:tcPr>
            <w:tcW w:w="2681" w:type="pct"/>
            <w:shd w:val="clear" w:color="auto" w:fill="auto"/>
            <w:vAlign w:val="center"/>
          </w:tcPr>
          <w:p w:rsidR="007F1C57" w:rsidRPr="00A83FDA" w:rsidRDefault="007F1C57" w:rsidP="00834CB2">
            <w:pPr>
              <w:pStyle w:val="TableText0"/>
              <w:widowControl w:val="0"/>
            </w:pPr>
            <w:r w:rsidRPr="00A83FDA">
              <w:t xml:space="preserve">Very high, favours </w:t>
            </w:r>
            <w:r w:rsidR="00DD01CF" w:rsidRPr="00A83FDA">
              <w:t>burosumab</w:t>
            </w:r>
            <w:r w:rsidRPr="00A83FDA">
              <w:t>.</w:t>
            </w:r>
          </w:p>
          <w:p w:rsidR="007F1C57" w:rsidRPr="00A83FDA" w:rsidRDefault="007F1C57" w:rsidP="00834CB2">
            <w:pPr>
              <w:pStyle w:val="TableText0"/>
              <w:widowControl w:val="0"/>
              <w:rPr>
                <w:color w:val="000000" w:themeColor="text1"/>
              </w:rPr>
            </w:pPr>
          </w:p>
          <w:p w:rsidR="007F1C57" w:rsidRPr="00A83FDA" w:rsidRDefault="007F1C57" w:rsidP="00834CB2">
            <w:pPr>
              <w:pStyle w:val="TableText0"/>
              <w:widowControl w:val="0"/>
              <w:rPr>
                <w:color w:val="000000" w:themeColor="text1"/>
              </w:rPr>
            </w:pPr>
            <w:r w:rsidRPr="00A83FDA">
              <w:rPr>
                <w:color w:val="000000" w:themeColor="text1"/>
              </w:rPr>
              <w:t>The base-case ICER doubles if the one patient who informed the transition for staying healed experiences mild disease (QALY gain is halved).</w:t>
            </w:r>
          </w:p>
          <w:p w:rsidR="00C77252" w:rsidRPr="00A83FDA" w:rsidRDefault="00C77252" w:rsidP="00834CB2">
            <w:pPr>
              <w:pStyle w:val="TableText0"/>
              <w:widowControl w:val="0"/>
              <w:rPr>
                <w:color w:val="000000" w:themeColor="text1"/>
              </w:rPr>
            </w:pPr>
          </w:p>
          <w:p w:rsidR="007F00B5" w:rsidRPr="007F00B5" w:rsidRDefault="007F1C57" w:rsidP="00834CB2">
            <w:pPr>
              <w:pStyle w:val="TableText0"/>
              <w:widowControl w:val="0"/>
              <w:rPr>
                <w:bCs w:val="0"/>
              </w:rPr>
            </w:pPr>
            <w:r w:rsidRPr="00A83FDA">
              <w:t>Annu</w:t>
            </w:r>
            <w:r w:rsidR="00C77252" w:rsidRPr="00A83FDA">
              <w:t>a</w:t>
            </w:r>
            <w:r w:rsidRPr="00A83FDA">
              <w:t>lised transition probabilities varie</w:t>
            </w:r>
            <w:r w:rsidR="00C77252" w:rsidRPr="00A83FDA">
              <w:t>d</w:t>
            </w:r>
            <w:r w:rsidR="0079796F" w:rsidRPr="00A83FDA">
              <w:t>,</w:t>
            </w:r>
            <w:r w:rsidRPr="00A83FDA">
              <w:t xml:space="preserve"> as does the ICER</w:t>
            </w:r>
            <w:r w:rsidR="0079796F" w:rsidRPr="00A83FDA">
              <w:t>,</w:t>
            </w:r>
            <w:r w:rsidRPr="00A83FDA">
              <w:t xml:space="preserve"> if alternate data used. </w:t>
            </w:r>
            <w:r w:rsidR="00C77252" w:rsidRPr="00A83FDA">
              <w:t xml:space="preserve">For example, </w:t>
            </w:r>
            <w:r w:rsidR="0079796F" w:rsidRPr="00A83FDA">
              <w:t>application of</w:t>
            </w:r>
            <w:r w:rsidRPr="00A83FDA">
              <w:t xml:space="preserve"> CL002 transitions for conventional therapy </w:t>
            </w:r>
            <w:r w:rsidR="0079796F" w:rsidRPr="00A83FDA">
              <w:t xml:space="preserve">increases </w:t>
            </w:r>
            <w:r w:rsidRPr="00A83FDA">
              <w:t xml:space="preserve">the ICER to </w:t>
            </w:r>
            <w:r w:rsidRPr="00A83FDA">
              <w:rPr>
                <w:bCs w:val="0"/>
              </w:rPr>
              <w:t>$</w:t>
            </w:r>
            <w:r w:rsidR="00A47328">
              <w:rPr>
                <w:bCs w:val="0"/>
                <w:noProof/>
                <w:color w:val="000000"/>
                <w:highlight w:val="black"/>
              </w:rPr>
              <w:t>''''''''''''''''''</w:t>
            </w:r>
            <w:r w:rsidR="00794D8F">
              <w:rPr>
                <w:vertAlign w:val="superscript"/>
              </w:rPr>
              <w:t>3</w:t>
            </w:r>
            <w:r w:rsidRPr="00A83FDA">
              <w:rPr>
                <w:bCs w:val="0"/>
              </w:rPr>
              <w:t>.</w:t>
            </w:r>
          </w:p>
        </w:tc>
      </w:tr>
      <w:tr w:rsidR="00EF62E7" w:rsidRPr="00D4558F" w:rsidTr="007F1C57">
        <w:tc>
          <w:tcPr>
            <w:tcW w:w="848" w:type="pct"/>
            <w:shd w:val="clear" w:color="auto" w:fill="auto"/>
            <w:vAlign w:val="center"/>
          </w:tcPr>
          <w:p w:rsidR="00EF62E7" w:rsidRPr="00D4558F" w:rsidRDefault="00EF62E7" w:rsidP="00834CB2">
            <w:pPr>
              <w:pStyle w:val="TableText0"/>
              <w:widowControl w:val="0"/>
            </w:pPr>
            <w:r w:rsidRPr="00D4558F">
              <w:t>Time horizon</w:t>
            </w:r>
          </w:p>
        </w:tc>
        <w:tc>
          <w:tcPr>
            <w:tcW w:w="1471" w:type="pct"/>
            <w:shd w:val="clear" w:color="auto" w:fill="auto"/>
            <w:vAlign w:val="center"/>
          </w:tcPr>
          <w:p w:rsidR="00EF62E7" w:rsidRPr="00D4558F" w:rsidRDefault="00605B74" w:rsidP="00834CB2">
            <w:pPr>
              <w:pStyle w:val="TableText0"/>
              <w:widowControl w:val="0"/>
              <w:rPr>
                <w:i/>
              </w:rPr>
            </w:pPr>
            <w:r>
              <w:t>Base case: 100 years</w:t>
            </w:r>
            <w:r w:rsidR="00EF62E7" w:rsidRPr="00D4558F">
              <w:t xml:space="preserve"> </w:t>
            </w:r>
          </w:p>
        </w:tc>
        <w:tc>
          <w:tcPr>
            <w:tcW w:w="2681" w:type="pct"/>
            <w:shd w:val="clear" w:color="auto" w:fill="auto"/>
            <w:vAlign w:val="center"/>
          </w:tcPr>
          <w:p w:rsidR="00980501" w:rsidRDefault="003B546D" w:rsidP="00834CB2">
            <w:pPr>
              <w:pStyle w:val="TableText0"/>
              <w:widowControl w:val="0"/>
            </w:pPr>
            <w:r w:rsidRPr="00A83FDA">
              <w:t xml:space="preserve">Very high, favours </w:t>
            </w:r>
            <w:r w:rsidR="00DD01CF" w:rsidRPr="00A83FDA">
              <w:t>burosumab</w:t>
            </w:r>
            <w:r w:rsidR="00F648D4" w:rsidRPr="00A83FDA">
              <w:t xml:space="preserve">. </w:t>
            </w:r>
          </w:p>
          <w:p w:rsidR="00980501" w:rsidRDefault="00980501" w:rsidP="00834CB2">
            <w:pPr>
              <w:pStyle w:val="TableText0"/>
              <w:widowControl w:val="0"/>
            </w:pPr>
          </w:p>
          <w:p w:rsidR="00EF62E7" w:rsidRPr="00A83FDA" w:rsidRDefault="00EF62E7" w:rsidP="00834CB2">
            <w:pPr>
              <w:pStyle w:val="TableText0"/>
              <w:widowControl w:val="0"/>
            </w:pPr>
            <w:r w:rsidRPr="00A83FDA">
              <w:t xml:space="preserve">Reducing the model time horizon to reflect childhood only </w:t>
            </w:r>
            <w:r w:rsidR="00F648D4" w:rsidRPr="00A83FDA">
              <w:t xml:space="preserve">use </w:t>
            </w:r>
            <w:r w:rsidRPr="00A83FDA">
              <w:t>(11 years</w:t>
            </w:r>
            <w:r w:rsidR="00F648D4" w:rsidRPr="00A83FDA">
              <w:t xml:space="preserve"> in the model)</w:t>
            </w:r>
            <w:r w:rsidRPr="00A83FDA">
              <w:t xml:space="preserve"> increased the ICER to </w:t>
            </w:r>
            <w:r w:rsidRPr="00A83FDA">
              <w:rPr>
                <w:bCs w:val="0"/>
              </w:rPr>
              <w:t>$</w:t>
            </w:r>
            <w:r w:rsidR="00A47328">
              <w:rPr>
                <w:bCs w:val="0"/>
                <w:noProof/>
                <w:color w:val="000000"/>
                <w:highlight w:val="black"/>
              </w:rPr>
              <w:t>'''''''''''''''''''''</w:t>
            </w:r>
            <w:r w:rsidR="00794D8F">
              <w:rPr>
                <w:vertAlign w:val="superscript"/>
              </w:rPr>
              <w:t>2</w:t>
            </w:r>
            <w:r w:rsidRPr="00A83FDA">
              <w:rPr>
                <w:bCs w:val="0"/>
              </w:rPr>
              <w:t>/QALY.</w:t>
            </w:r>
          </w:p>
        </w:tc>
      </w:tr>
      <w:tr w:rsidR="00097A45" w:rsidRPr="00D4558F" w:rsidTr="007F1C57">
        <w:tc>
          <w:tcPr>
            <w:tcW w:w="848" w:type="pct"/>
            <w:shd w:val="clear" w:color="auto" w:fill="auto"/>
            <w:vAlign w:val="center"/>
          </w:tcPr>
          <w:p w:rsidR="00097A45" w:rsidRPr="00D4558F" w:rsidRDefault="00E776D8" w:rsidP="00834CB2">
            <w:pPr>
              <w:pStyle w:val="TableText0"/>
              <w:widowControl w:val="0"/>
            </w:pPr>
            <w:r>
              <w:t>B</w:t>
            </w:r>
            <w:r w:rsidR="00DD01CF">
              <w:t>urosumab</w:t>
            </w:r>
            <w:r w:rsidR="00097A45" w:rsidRPr="00D4558F">
              <w:t xml:space="preserve"> dose</w:t>
            </w:r>
          </w:p>
        </w:tc>
        <w:tc>
          <w:tcPr>
            <w:tcW w:w="1471" w:type="pct"/>
            <w:shd w:val="clear" w:color="auto" w:fill="auto"/>
            <w:vAlign w:val="center"/>
          </w:tcPr>
          <w:p w:rsidR="00097A45" w:rsidRPr="00785952" w:rsidRDefault="00B32B02" w:rsidP="00834CB2">
            <w:pPr>
              <w:pStyle w:val="TableText0"/>
              <w:widowControl w:val="0"/>
            </w:pPr>
            <w:r w:rsidRPr="00785952">
              <w:t>Base case: 0.86</w:t>
            </w:r>
            <w:r w:rsidR="00DD01CF">
              <w:t xml:space="preserve"> </w:t>
            </w:r>
            <w:r w:rsidRPr="00785952">
              <w:t>mg/kg</w:t>
            </w:r>
            <w:r w:rsidRPr="00785952" w:rsidDel="00B32B02">
              <w:t xml:space="preserve"> </w:t>
            </w:r>
          </w:p>
        </w:tc>
        <w:tc>
          <w:tcPr>
            <w:tcW w:w="2681" w:type="pct"/>
            <w:shd w:val="clear" w:color="auto" w:fill="auto"/>
            <w:vAlign w:val="center"/>
          </w:tcPr>
          <w:p w:rsidR="00980501" w:rsidRDefault="00097A45" w:rsidP="00834CB2">
            <w:pPr>
              <w:pStyle w:val="TableText0"/>
              <w:widowControl w:val="0"/>
            </w:pPr>
            <w:r w:rsidRPr="00A83FDA">
              <w:t xml:space="preserve">High, favours </w:t>
            </w:r>
            <w:r w:rsidR="00DD01CF" w:rsidRPr="00A83FDA">
              <w:t>burosumab</w:t>
            </w:r>
            <w:r w:rsidR="00B32B02" w:rsidRPr="00A83FDA">
              <w:t xml:space="preserve">. </w:t>
            </w:r>
          </w:p>
          <w:p w:rsidR="00980501" w:rsidRDefault="00980501" w:rsidP="00834CB2">
            <w:pPr>
              <w:pStyle w:val="TableText0"/>
              <w:widowControl w:val="0"/>
            </w:pPr>
          </w:p>
          <w:p w:rsidR="00097A45" w:rsidRPr="00A83FDA" w:rsidRDefault="00097A45" w:rsidP="00834CB2">
            <w:pPr>
              <w:pStyle w:val="TableText0"/>
              <w:widowControl w:val="0"/>
            </w:pPr>
            <w:r w:rsidRPr="00A83FDA">
              <w:t xml:space="preserve">Using a dose of </w:t>
            </w:r>
            <w:r w:rsidR="00B32B02" w:rsidRPr="00A83FDA">
              <w:t>1.05</w:t>
            </w:r>
            <w:r w:rsidR="00785952" w:rsidRPr="00A83FDA">
              <w:t xml:space="preserve"> </w:t>
            </w:r>
            <w:r w:rsidR="00B32B02" w:rsidRPr="00A83FDA">
              <w:t>mg</w:t>
            </w:r>
            <w:r w:rsidRPr="00A83FDA">
              <w:t>/kg</w:t>
            </w:r>
            <w:r w:rsidR="00785952" w:rsidRPr="00A83FDA">
              <w:t>,</w:t>
            </w:r>
            <w:r w:rsidR="00B32B02" w:rsidRPr="00A83FDA">
              <w:t xml:space="preserve"> based on average dose used in the Australian EAP for </w:t>
            </w:r>
            <w:r w:rsidR="00DD01CF" w:rsidRPr="00A83FDA">
              <w:t>burosumab</w:t>
            </w:r>
            <w:r w:rsidR="00785952" w:rsidRPr="00A83FDA">
              <w:t>,</w:t>
            </w:r>
            <w:r w:rsidRPr="00A83FDA">
              <w:t xml:space="preserve"> increased the ICER to $</w:t>
            </w:r>
            <w:r w:rsidR="00A47328">
              <w:rPr>
                <w:noProof/>
                <w:color w:val="000000"/>
                <w:highlight w:val="black"/>
              </w:rPr>
              <w:t>''''''''''''''''''</w:t>
            </w:r>
            <w:r w:rsidR="00794D8F">
              <w:rPr>
                <w:vertAlign w:val="superscript"/>
              </w:rPr>
              <w:t>3</w:t>
            </w:r>
            <w:r w:rsidR="00C77252" w:rsidRPr="00A83FDA">
              <w:t>/</w:t>
            </w:r>
            <w:r w:rsidRPr="00A83FDA">
              <w:t>QALY.</w:t>
            </w:r>
          </w:p>
        </w:tc>
      </w:tr>
      <w:tr w:rsidR="00097A45" w:rsidRPr="00D4558F" w:rsidTr="007F1C57">
        <w:tc>
          <w:tcPr>
            <w:tcW w:w="848" w:type="pct"/>
            <w:shd w:val="clear" w:color="auto" w:fill="auto"/>
            <w:vAlign w:val="center"/>
          </w:tcPr>
          <w:p w:rsidR="00097A45" w:rsidRPr="00D4558F" w:rsidRDefault="00B32B02" w:rsidP="00834CB2">
            <w:pPr>
              <w:pStyle w:val="TableText0"/>
              <w:widowControl w:val="0"/>
            </w:pPr>
            <w:r>
              <w:t>A</w:t>
            </w:r>
            <w:r w:rsidRPr="00D4558F">
              <w:t xml:space="preserve">ge when </w:t>
            </w:r>
            <w:r w:rsidR="00DD01CF">
              <w:t>burosumab</w:t>
            </w:r>
            <w:r w:rsidRPr="00D4558F">
              <w:t xml:space="preserve"> treatment is ce</w:t>
            </w:r>
            <w:r>
              <w:t>ased</w:t>
            </w:r>
          </w:p>
        </w:tc>
        <w:tc>
          <w:tcPr>
            <w:tcW w:w="1471" w:type="pct"/>
            <w:shd w:val="clear" w:color="auto" w:fill="auto"/>
            <w:vAlign w:val="center"/>
          </w:tcPr>
          <w:p w:rsidR="00097A45" w:rsidRPr="00D4558F" w:rsidRDefault="00B32B02" w:rsidP="00834CB2">
            <w:pPr>
              <w:pStyle w:val="TableText0"/>
              <w:widowControl w:val="0"/>
            </w:pPr>
            <w:r>
              <w:t>Base case: 18 years</w:t>
            </w:r>
          </w:p>
        </w:tc>
        <w:tc>
          <w:tcPr>
            <w:tcW w:w="2681" w:type="pct"/>
            <w:shd w:val="clear" w:color="auto" w:fill="auto"/>
            <w:vAlign w:val="center"/>
          </w:tcPr>
          <w:p w:rsidR="00B32B02" w:rsidRPr="00A83FDA" w:rsidRDefault="00097A45" w:rsidP="00834CB2">
            <w:pPr>
              <w:pStyle w:val="TableText0"/>
              <w:widowControl w:val="0"/>
            </w:pPr>
            <w:r w:rsidRPr="00A83FDA">
              <w:t>High,</w:t>
            </w:r>
            <w:r w:rsidR="00B32B02" w:rsidRPr="00A83FDA">
              <w:t xml:space="preserve"> favours </w:t>
            </w:r>
            <w:r w:rsidR="00DD01CF" w:rsidRPr="00A83FDA">
              <w:t>burosumab</w:t>
            </w:r>
          </w:p>
          <w:p w:rsidR="00980501" w:rsidRDefault="00980501" w:rsidP="00834CB2">
            <w:pPr>
              <w:pStyle w:val="TableText0"/>
              <w:widowControl w:val="0"/>
            </w:pPr>
          </w:p>
          <w:p w:rsidR="00097A45" w:rsidRPr="00A83FDA" w:rsidRDefault="00B32B02" w:rsidP="002E70DC">
            <w:pPr>
              <w:pStyle w:val="TableText0"/>
              <w:widowControl w:val="0"/>
            </w:pPr>
            <w:r w:rsidRPr="00A83FDA">
              <w:t xml:space="preserve">Due to the effect on </w:t>
            </w:r>
            <w:r w:rsidR="00DD01CF" w:rsidRPr="00A83FDA">
              <w:t>burosumab</w:t>
            </w:r>
            <w:r w:rsidRPr="00A83FDA">
              <w:t xml:space="preserve"> cost, </w:t>
            </w:r>
            <w:r w:rsidR="00097A45" w:rsidRPr="00A83FDA">
              <w:t>increasing stopping age</w:t>
            </w:r>
            <w:r w:rsidR="00E00D06" w:rsidRPr="00A83FDA">
              <w:t xml:space="preserve"> </w:t>
            </w:r>
            <w:r w:rsidRPr="00A83FDA">
              <w:t>(</w:t>
            </w:r>
            <w:r w:rsidR="00B62081" w:rsidRPr="00A83FDA">
              <w:t>e.g.</w:t>
            </w:r>
            <w:r w:rsidRPr="00A83FDA">
              <w:t>, if there is leakage of use to the adult population) significantly increased the ICER</w:t>
            </w:r>
            <w:r w:rsidR="00980501">
              <w:t>. Increasing</w:t>
            </w:r>
            <w:r w:rsidR="002E70DC">
              <w:t xml:space="preserve"> the </w:t>
            </w:r>
            <w:r w:rsidRPr="00A83FDA">
              <w:t xml:space="preserve">stopping age to </w:t>
            </w:r>
            <w:r w:rsidR="00E00D06" w:rsidRPr="00A83FDA">
              <w:t>20 years</w:t>
            </w:r>
            <w:r w:rsidRPr="00A83FDA">
              <w:t xml:space="preserve">, </w:t>
            </w:r>
            <w:r w:rsidR="002E70DC">
              <w:t xml:space="preserve">increased </w:t>
            </w:r>
            <w:r w:rsidR="00097A45" w:rsidRPr="00A83FDA">
              <w:t>the ICER</w:t>
            </w:r>
            <w:r w:rsidRPr="00A83FDA">
              <w:t xml:space="preserve"> to </w:t>
            </w:r>
            <w:r w:rsidR="00097A45" w:rsidRPr="00A83FDA">
              <w:t>$</w:t>
            </w:r>
            <w:r w:rsidR="00A47328">
              <w:rPr>
                <w:noProof/>
                <w:color w:val="000000"/>
                <w:highlight w:val="black"/>
              </w:rPr>
              <w:t>'''''''''''''''''''''</w:t>
            </w:r>
            <w:r w:rsidR="00794D8F">
              <w:rPr>
                <w:vertAlign w:val="superscript"/>
              </w:rPr>
              <w:t>2</w:t>
            </w:r>
            <w:r w:rsidR="00E00D06" w:rsidRPr="00A83FDA">
              <w:t>.</w:t>
            </w:r>
            <w:r w:rsidRPr="00A83FDA">
              <w:t xml:space="preserve"> A lower stopping age of 14 years conversely significantly reduced the ICER to $</w:t>
            </w:r>
            <w:r w:rsidR="00A47328">
              <w:rPr>
                <w:noProof/>
                <w:color w:val="000000"/>
                <w:highlight w:val="black"/>
              </w:rPr>
              <w:t>''''''''''''''''''</w:t>
            </w:r>
            <w:r w:rsidR="00794D8F">
              <w:rPr>
                <w:vertAlign w:val="superscript"/>
              </w:rPr>
              <w:t>4</w:t>
            </w:r>
            <w:r w:rsidRPr="00A83FDA">
              <w:t>.</w:t>
            </w:r>
          </w:p>
        </w:tc>
      </w:tr>
    </w:tbl>
    <w:p w:rsidR="00D110BD" w:rsidRPr="00D4558F" w:rsidRDefault="009D792E" w:rsidP="003B546D">
      <w:pPr>
        <w:pStyle w:val="TableFigureFooter"/>
        <w:widowControl w:val="0"/>
      </w:pPr>
      <w:r w:rsidRPr="00D4558F">
        <w:t xml:space="preserve">Source: </w:t>
      </w:r>
      <w:r w:rsidR="00CB0E45" w:rsidRPr="00D4558F">
        <w:t>compiled during the evaluation.</w:t>
      </w:r>
    </w:p>
    <w:p w:rsidR="00E33B97" w:rsidRDefault="00E33B97" w:rsidP="003B546D">
      <w:pPr>
        <w:pStyle w:val="TableFigureFooter"/>
        <w:widowControl w:val="0"/>
      </w:pPr>
      <w:r w:rsidRPr="00D4558F">
        <w:t>Abbreviations: XLH=X-linked hypophosphataemia; ICER=Incremental cost effectiveness ratio: QLAY=Quality Adjusted Life Year</w:t>
      </w:r>
      <w:r w:rsidR="009F63EE" w:rsidRPr="00D4558F">
        <w:t xml:space="preserve">. </w:t>
      </w:r>
    </w:p>
    <w:p w:rsidR="00D53B32" w:rsidRPr="00794D8F" w:rsidRDefault="00D53B32" w:rsidP="003B546D">
      <w:pPr>
        <w:pStyle w:val="TableFigureFooter"/>
        <w:widowControl w:val="0"/>
        <w:rPr>
          <w:i/>
        </w:rPr>
      </w:pPr>
      <w:r w:rsidRPr="00794D8F">
        <w:rPr>
          <w:i/>
        </w:rPr>
        <w:t>The redacted values correspond to the following ranges:</w:t>
      </w:r>
    </w:p>
    <w:p w:rsidR="00D53B32" w:rsidRPr="00794D8F" w:rsidRDefault="00D53B32" w:rsidP="003B546D">
      <w:pPr>
        <w:pStyle w:val="TableFigureFooter"/>
        <w:widowControl w:val="0"/>
        <w:rPr>
          <w:i/>
        </w:rPr>
      </w:pPr>
      <w:r w:rsidRPr="00794D8F">
        <w:rPr>
          <w:i/>
          <w:vertAlign w:val="superscript"/>
        </w:rPr>
        <w:t>1</w:t>
      </w:r>
      <w:r w:rsidRPr="00794D8F">
        <w:rPr>
          <w:i/>
        </w:rPr>
        <w:t xml:space="preserve"> $655,000 to &lt; $755,000/QALY gained</w:t>
      </w:r>
    </w:p>
    <w:p w:rsidR="00D53B32" w:rsidRPr="00794D8F" w:rsidRDefault="00D53B32" w:rsidP="003B546D">
      <w:pPr>
        <w:pStyle w:val="TableFigureFooter"/>
        <w:widowControl w:val="0"/>
        <w:rPr>
          <w:i/>
        </w:rPr>
      </w:pPr>
      <w:r w:rsidRPr="00794D8F">
        <w:rPr>
          <w:i/>
          <w:vertAlign w:val="superscript"/>
        </w:rPr>
        <w:t>2</w:t>
      </w:r>
      <w:r w:rsidRPr="00794D8F">
        <w:rPr>
          <w:i/>
        </w:rPr>
        <w:t xml:space="preserve"> $</w:t>
      </w:r>
      <w:r w:rsidR="00794D8F" w:rsidRPr="00794D8F">
        <w:rPr>
          <w:i/>
        </w:rPr>
        <w:t>1,055,000/QALY gained</w:t>
      </w:r>
    </w:p>
    <w:p w:rsidR="00794D8F" w:rsidRPr="00794D8F" w:rsidRDefault="00794D8F" w:rsidP="003B546D">
      <w:pPr>
        <w:pStyle w:val="TableFigureFooter"/>
        <w:widowControl w:val="0"/>
        <w:rPr>
          <w:i/>
        </w:rPr>
      </w:pPr>
      <w:r w:rsidRPr="00794D8F">
        <w:rPr>
          <w:i/>
          <w:vertAlign w:val="superscript"/>
        </w:rPr>
        <w:t>3</w:t>
      </w:r>
      <w:r w:rsidRPr="00794D8F">
        <w:rPr>
          <w:i/>
        </w:rPr>
        <w:t xml:space="preserve"> $855,000 to &lt; $955,000/QALY gained</w:t>
      </w:r>
    </w:p>
    <w:p w:rsidR="00794D8F" w:rsidRPr="00794D8F" w:rsidRDefault="00794D8F" w:rsidP="003B546D">
      <w:pPr>
        <w:pStyle w:val="TableFigureFooter"/>
        <w:widowControl w:val="0"/>
        <w:rPr>
          <w:i/>
        </w:rPr>
      </w:pPr>
      <w:r w:rsidRPr="00794D8F">
        <w:rPr>
          <w:i/>
          <w:vertAlign w:val="superscript"/>
        </w:rPr>
        <w:t>4</w:t>
      </w:r>
      <w:r w:rsidRPr="00794D8F">
        <w:rPr>
          <w:i/>
        </w:rPr>
        <w:t xml:space="preserve"> $455,000 to &lt; $555,000/QALY gained</w:t>
      </w:r>
    </w:p>
    <w:p w:rsidR="00CB0E45" w:rsidRPr="00D4558F" w:rsidRDefault="00CB0E45" w:rsidP="003B546D">
      <w:pPr>
        <w:pStyle w:val="TableFigureFooter"/>
        <w:widowControl w:val="0"/>
      </w:pPr>
    </w:p>
    <w:p w:rsidR="00CB0E45" w:rsidRPr="00241D4F" w:rsidRDefault="00CB0E45" w:rsidP="00241D4F">
      <w:pPr>
        <w:pStyle w:val="3-BodyText"/>
        <w:rPr>
          <w:i/>
        </w:rPr>
      </w:pPr>
      <w:r w:rsidRPr="00D4558F">
        <w:t>Table 1</w:t>
      </w:r>
      <w:r w:rsidR="006506D9">
        <w:t>1</w:t>
      </w:r>
      <w:r w:rsidRPr="00D4558F">
        <w:t xml:space="preserve"> presents the results of the economic evaluation. The base case ICER was estimated to be </w:t>
      </w:r>
      <w:r w:rsidR="004537C2" w:rsidRPr="00D4558F">
        <w:t>$</w:t>
      </w:r>
      <w:r w:rsidR="004537C2">
        <w:t>655,000 to &lt; $755,000</w:t>
      </w:r>
      <w:r w:rsidR="004537C2" w:rsidRPr="00D4558F">
        <w:t>/QALY</w:t>
      </w:r>
      <w:r w:rsidR="006C6E71">
        <w:t xml:space="preserve"> gained</w:t>
      </w:r>
      <w:r w:rsidR="006C6E71">
        <w:rPr>
          <w:i/>
        </w:rPr>
        <w:t>.</w:t>
      </w:r>
    </w:p>
    <w:p w:rsidR="001F4081" w:rsidRPr="00D4558F" w:rsidRDefault="001F4081" w:rsidP="00BB732D">
      <w:pPr>
        <w:pStyle w:val="TableFigureHeading"/>
        <w:rPr>
          <w:rStyle w:val="CommentReference"/>
          <w:b/>
          <w:szCs w:val="24"/>
        </w:rPr>
      </w:pPr>
      <w:r w:rsidRPr="00D4558F">
        <w:rPr>
          <w:rStyle w:val="CommentReference"/>
          <w:b/>
          <w:szCs w:val="24"/>
        </w:rPr>
        <w:t xml:space="preserve">Table </w:t>
      </w:r>
      <w:r w:rsidR="00DD0642" w:rsidRPr="00D4558F">
        <w:rPr>
          <w:rStyle w:val="CommentReference"/>
          <w:b/>
          <w:szCs w:val="24"/>
        </w:rPr>
        <w:t>1</w:t>
      </w:r>
      <w:r w:rsidR="006506D9">
        <w:rPr>
          <w:rStyle w:val="CommentReference"/>
          <w:b/>
          <w:szCs w:val="24"/>
        </w:rPr>
        <w:t>1</w:t>
      </w:r>
      <w:r w:rsidRPr="00D4558F">
        <w:rPr>
          <w:rStyle w:val="CommentReference"/>
          <w:b/>
          <w:szCs w:val="24"/>
        </w:rPr>
        <w:t>: Results of the economic evaluation</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75"/>
        <w:gridCol w:w="2365"/>
        <w:gridCol w:w="2255"/>
        <w:gridCol w:w="6"/>
        <w:gridCol w:w="1576"/>
      </w:tblGrid>
      <w:tr w:rsidR="00DD0642" w:rsidRPr="00D4558F" w:rsidTr="0049231E">
        <w:trPr>
          <w:trHeight w:val="246"/>
          <w:tblHeader/>
        </w:trPr>
        <w:tc>
          <w:tcPr>
            <w:tcW w:w="1584" w:type="pct"/>
            <w:vAlign w:val="center"/>
          </w:tcPr>
          <w:p w:rsidR="00DD0642" w:rsidRPr="00D4558F" w:rsidRDefault="00DD0642" w:rsidP="001C6535">
            <w:pPr>
              <w:pStyle w:val="In-tableHeading"/>
              <w:rPr>
                <w:lang w:val="en-AU"/>
              </w:rPr>
            </w:pPr>
            <w:r w:rsidRPr="00D4558F">
              <w:rPr>
                <w:lang w:val="en-AU"/>
              </w:rPr>
              <w:t>Component</w:t>
            </w:r>
          </w:p>
        </w:tc>
        <w:tc>
          <w:tcPr>
            <w:tcW w:w="1303" w:type="pct"/>
            <w:vAlign w:val="center"/>
          </w:tcPr>
          <w:p w:rsidR="00DD0642" w:rsidRPr="00D4558F" w:rsidRDefault="0049231E" w:rsidP="001C6535">
            <w:pPr>
              <w:pStyle w:val="In-tableHeading"/>
              <w:jc w:val="center"/>
              <w:rPr>
                <w:lang w:val="en-AU"/>
              </w:rPr>
            </w:pPr>
            <w:r>
              <w:rPr>
                <w:lang w:val="en-AU"/>
              </w:rPr>
              <w:t>B</w:t>
            </w:r>
            <w:r w:rsidR="00DD01CF">
              <w:rPr>
                <w:lang w:val="en-AU"/>
              </w:rPr>
              <w:t>urosumab</w:t>
            </w:r>
          </w:p>
        </w:tc>
        <w:tc>
          <w:tcPr>
            <w:tcW w:w="1242" w:type="pct"/>
            <w:vAlign w:val="center"/>
          </w:tcPr>
          <w:p w:rsidR="00DD0642" w:rsidRPr="00D4558F" w:rsidRDefault="00DD0642" w:rsidP="001C6535">
            <w:pPr>
              <w:pStyle w:val="In-tableHeading"/>
              <w:jc w:val="center"/>
              <w:rPr>
                <w:lang w:val="en-AU"/>
              </w:rPr>
            </w:pPr>
            <w:r w:rsidRPr="00D4558F">
              <w:rPr>
                <w:lang w:val="en-AU"/>
              </w:rPr>
              <w:t>Conventional therapy</w:t>
            </w:r>
          </w:p>
        </w:tc>
        <w:tc>
          <w:tcPr>
            <w:tcW w:w="868" w:type="pct"/>
            <w:gridSpan w:val="2"/>
            <w:vAlign w:val="center"/>
          </w:tcPr>
          <w:p w:rsidR="00DD0642" w:rsidRPr="00D4558F" w:rsidRDefault="00DD0642" w:rsidP="001C6535">
            <w:pPr>
              <w:pStyle w:val="In-tableHeading"/>
              <w:jc w:val="center"/>
              <w:rPr>
                <w:lang w:val="en-AU"/>
              </w:rPr>
            </w:pPr>
            <w:r w:rsidRPr="00D4558F">
              <w:rPr>
                <w:lang w:val="en-AU"/>
              </w:rPr>
              <w:t>Incremental</w:t>
            </w:r>
          </w:p>
        </w:tc>
      </w:tr>
      <w:tr w:rsidR="00DD0642" w:rsidRPr="00D4558F" w:rsidTr="0049231E">
        <w:trPr>
          <w:trHeight w:val="257"/>
        </w:trPr>
        <w:tc>
          <w:tcPr>
            <w:tcW w:w="1584" w:type="pct"/>
            <w:vAlign w:val="center"/>
          </w:tcPr>
          <w:p w:rsidR="00DD0642" w:rsidRPr="00D4558F" w:rsidRDefault="00DD0642" w:rsidP="001C6535">
            <w:pPr>
              <w:pStyle w:val="TableText0"/>
            </w:pPr>
            <w:r w:rsidRPr="00D4558F">
              <w:t>Total costs</w:t>
            </w:r>
          </w:p>
        </w:tc>
        <w:tc>
          <w:tcPr>
            <w:tcW w:w="1303" w:type="pct"/>
            <w:vAlign w:val="center"/>
          </w:tcPr>
          <w:p w:rsidR="00DD0642" w:rsidRPr="00D4558F" w:rsidRDefault="00DD0642" w:rsidP="001C6535">
            <w:pPr>
              <w:pStyle w:val="TableText0"/>
              <w:jc w:val="center"/>
            </w:pPr>
            <w:r w:rsidRPr="00D4558F">
              <w:t>$</w:t>
            </w:r>
            <w:r w:rsidR="00A47328">
              <w:rPr>
                <w:noProof/>
                <w:color w:val="000000"/>
                <w:highlight w:val="black"/>
              </w:rPr>
              <w:t>'''''''''''''''''''''''''</w:t>
            </w:r>
          </w:p>
        </w:tc>
        <w:tc>
          <w:tcPr>
            <w:tcW w:w="1242" w:type="pct"/>
            <w:vAlign w:val="center"/>
          </w:tcPr>
          <w:p w:rsidR="00DD0642" w:rsidRPr="00D4558F" w:rsidRDefault="00DD0642" w:rsidP="001C6535">
            <w:pPr>
              <w:pStyle w:val="TableText0"/>
              <w:jc w:val="center"/>
            </w:pPr>
            <w:r w:rsidRPr="00D4558F">
              <w:t>$47,379</w:t>
            </w:r>
          </w:p>
        </w:tc>
        <w:tc>
          <w:tcPr>
            <w:tcW w:w="868" w:type="pct"/>
            <w:gridSpan w:val="2"/>
            <w:vAlign w:val="center"/>
          </w:tcPr>
          <w:p w:rsidR="00DD0642" w:rsidRPr="00D4558F" w:rsidRDefault="00DD0642" w:rsidP="001C6535">
            <w:pPr>
              <w:pStyle w:val="TableText0"/>
              <w:jc w:val="center"/>
            </w:pPr>
            <w:r w:rsidRPr="00D4558F">
              <w:t>$</w:t>
            </w:r>
            <w:r w:rsidR="00A47328">
              <w:rPr>
                <w:noProof/>
                <w:color w:val="000000"/>
                <w:highlight w:val="black"/>
              </w:rPr>
              <w:t>'''''''''''''''''''''''''</w:t>
            </w:r>
          </w:p>
        </w:tc>
      </w:tr>
      <w:tr w:rsidR="00DD0642" w:rsidRPr="00D4558F" w:rsidTr="0049231E">
        <w:trPr>
          <w:trHeight w:val="246"/>
        </w:trPr>
        <w:tc>
          <w:tcPr>
            <w:tcW w:w="1584" w:type="pct"/>
            <w:vAlign w:val="center"/>
          </w:tcPr>
          <w:p w:rsidR="00DD0642" w:rsidRPr="00D4558F" w:rsidRDefault="00DD0642" w:rsidP="001C6535">
            <w:pPr>
              <w:pStyle w:val="TableText0"/>
            </w:pPr>
            <w:r w:rsidRPr="00D4558F">
              <w:t>Total QALYs</w:t>
            </w:r>
          </w:p>
        </w:tc>
        <w:tc>
          <w:tcPr>
            <w:tcW w:w="1303" w:type="pct"/>
            <w:vAlign w:val="center"/>
          </w:tcPr>
          <w:p w:rsidR="00DD0642" w:rsidRPr="00D4558F" w:rsidRDefault="00DD0642" w:rsidP="001C6535">
            <w:pPr>
              <w:pStyle w:val="TableText0"/>
              <w:jc w:val="center"/>
            </w:pPr>
            <w:r w:rsidRPr="00D4558F">
              <w:t>17.05</w:t>
            </w:r>
          </w:p>
        </w:tc>
        <w:tc>
          <w:tcPr>
            <w:tcW w:w="1242" w:type="pct"/>
            <w:vAlign w:val="center"/>
          </w:tcPr>
          <w:p w:rsidR="00DD0642" w:rsidRPr="00D4558F" w:rsidRDefault="00DD0642" w:rsidP="001C6535">
            <w:pPr>
              <w:pStyle w:val="TableText0"/>
              <w:jc w:val="center"/>
            </w:pPr>
            <w:r w:rsidRPr="00D4558F">
              <w:t>12.92</w:t>
            </w:r>
          </w:p>
        </w:tc>
        <w:tc>
          <w:tcPr>
            <w:tcW w:w="868" w:type="pct"/>
            <w:gridSpan w:val="2"/>
            <w:vAlign w:val="center"/>
          </w:tcPr>
          <w:p w:rsidR="00DD0642" w:rsidRPr="00D4558F" w:rsidRDefault="00DD0642" w:rsidP="001C6535">
            <w:pPr>
              <w:pStyle w:val="TableText0"/>
              <w:jc w:val="center"/>
            </w:pPr>
            <w:r w:rsidRPr="00D4558F">
              <w:t>4.13</w:t>
            </w:r>
          </w:p>
        </w:tc>
      </w:tr>
      <w:tr w:rsidR="00DD0642" w:rsidRPr="00D4558F" w:rsidTr="001C6535">
        <w:trPr>
          <w:trHeight w:val="246"/>
        </w:trPr>
        <w:tc>
          <w:tcPr>
            <w:tcW w:w="4132" w:type="pct"/>
            <w:gridSpan w:val="4"/>
            <w:vAlign w:val="center"/>
          </w:tcPr>
          <w:p w:rsidR="00DD0642" w:rsidRPr="00D4558F" w:rsidRDefault="00DD0642" w:rsidP="0064716A">
            <w:pPr>
              <w:pStyle w:val="TableText0"/>
              <w:jc w:val="right"/>
              <w:rPr>
                <w:b/>
              </w:rPr>
            </w:pPr>
            <w:r w:rsidRPr="00D4558F">
              <w:rPr>
                <w:b/>
              </w:rPr>
              <w:t>Incremental cost per QALY gained</w:t>
            </w:r>
          </w:p>
        </w:tc>
        <w:tc>
          <w:tcPr>
            <w:tcW w:w="868" w:type="pct"/>
            <w:vAlign w:val="center"/>
          </w:tcPr>
          <w:p w:rsidR="00DD0642" w:rsidRPr="00D4558F" w:rsidRDefault="00DD0642" w:rsidP="001C6535">
            <w:pPr>
              <w:pStyle w:val="TableText0"/>
              <w:jc w:val="center"/>
              <w:rPr>
                <w:b/>
              </w:rPr>
            </w:pPr>
            <w:r w:rsidRPr="00D4558F">
              <w:rPr>
                <w:b/>
              </w:rPr>
              <w:t>$</w:t>
            </w:r>
            <w:r w:rsidR="00A47328">
              <w:rPr>
                <w:b/>
                <w:noProof/>
                <w:color w:val="000000"/>
                <w:highlight w:val="black"/>
              </w:rPr>
              <w:t>''''''''''''''''</w:t>
            </w:r>
            <w:r w:rsidR="009A0AC5">
              <w:rPr>
                <w:vertAlign w:val="superscript"/>
              </w:rPr>
              <w:t>1</w:t>
            </w:r>
          </w:p>
        </w:tc>
      </w:tr>
    </w:tbl>
    <w:p w:rsidR="00DD0642" w:rsidRPr="00D4558F" w:rsidRDefault="00DD0642" w:rsidP="00DD0642">
      <w:pPr>
        <w:pStyle w:val="TableFigureFooter"/>
      </w:pPr>
      <w:r w:rsidRPr="00D4558F">
        <w:t>Source: Table 3-10, p136 of the submission and Analysis worksheet of Section 3 Workbook (CEA Model).</w:t>
      </w:r>
    </w:p>
    <w:p w:rsidR="00DD0642" w:rsidRDefault="00DD0642" w:rsidP="00DD0642">
      <w:pPr>
        <w:pStyle w:val="TableFigureFooter"/>
      </w:pPr>
      <w:r w:rsidRPr="00D4558F">
        <w:t xml:space="preserve">Abbreviations: QALY=Quality Adjusted Life Year; </w:t>
      </w:r>
    </w:p>
    <w:p w:rsidR="009A0AC5" w:rsidRPr="009A0AC5" w:rsidRDefault="009A0AC5" w:rsidP="00DD0642">
      <w:pPr>
        <w:pStyle w:val="TableFigureFooter"/>
        <w:rPr>
          <w:i/>
        </w:rPr>
      </w:pPr>
      <w:r w:rsidRPr="009A0AC5">
        <w:rPr>
          <w:i/>
        </w:rPr>
        <w:t>The redacted value correspond to the following range:</w:t>
      </w:r>
    </w:p>
    <w:p w:rsidR="009A0AC5" w:rsidRPr="009A0AC5" w:rsidRDefault="009A0AC5" w:rsidP="00DD0642">
      <w:pPr>
        <w:pStyle w:val="TableFigureFooter"/>
        <w:rPr>
          <w:i/>
        </w:rPr>
      </w:pPr>
      <w:r w:rsidRPr="009A0AC5">
        <w:rPr>
          <w:i/>
          <w:vertAlign w:val="superscript"/>
        </w:rPr>
        <w:t>1</w:t>
      </w:r>
      <w:r w:rsidRPr="009A0AC5">
        <w:rPr>
          <w:i/>
        </w:rPr>
        <w:t xml:space="preserve"> $655,000 to &lt; $755,000/QALY gained</w:t>
      </w:r>
    </w:p>
    <w:p w:rsidR="005920AF" w:rsidRPr="00B53825" w:rsidRDefault="003B6C57" w:rsidP="005920AF">
      <w:pPr>
        <w:pStyle w:val="3-BodyText"/>
      </w:pPr>
      <w:r w:rsidRPr="00B53825">
        <w:t xml:space="preserve">The ESC considered that the </w:t>
      </w:r>
      <w:r w:rsidR="005920AF" w:rsidRPr="00B53825">
        <w:t>base case ICER was</w:t>
      </w:r>
      <w:r w:rsidRPr="00B53825">
        <w:t xml:space="preserve"> </w:t>
      </w:r>
      <w:r w:rsidR="00F24F8B" w:rsidRPr="00B53825">
        <w:t xml:space="preserve">very </w:t>
      </w:r>
      <w:r w:rsidR="005920AF" w:rsidRPr="00B53825">
        <w:t xml:space="preserve">high and </w:t>
      </w:r>
      <w:r w:rsidRPr="00B53825">
        <w:t xml:space="preserve">highly uncertain </w:t>
      </w:r>
      <w:r w:rsidR="007F00B5" w:rsidRPr="00B53825">
        <w:t>due to the lack of long term data and the significant issues surrounding the definition of health states, the number of assumptions made in relation to the transition probabilities and extrapolation, the long time horizon and the derivation of the utility values.</w:t>
      </w:r>
    </w:p>
    <w:p w:rsidR="00980501" w:rsidRDefault="00980501" w:rsidP="00980501">
      <w:pPr>
        <w:pStyle w:val="3-BodyText"/>
        <w:widowControl w:val="0"/>
        <w:rPr>
          <w:rFonts w:cstheme="minorHAnsi"/>
        </w:rPr>
      </w:pPr>
      <w:r w:rsidRPr="00D4558F">
        <w:rPr>
          <w:rFonts w:cstheme="minorHAnsi"/>
        </w:rPr>
        <w:t>Figure 3</w:t>
      </w:r>
      <w:r>
        <w:rPr>
          <w:rFonts w:cstheme="minorHAnsi"/>
        </w:rPr>
        <w:t xml:space="preserve"> plots the ICER against the time horizon. Due to the small estimated incremental QALYs, the model is very sensitive to changes in time horizon below 50 years. </w:t>
      </w:r>
    </w:p>
    <w:p w:rsidR="00980501" w:rsidRPr="00E97DB1" w:rsidRDefault="00980501" w:rsidP="00980501">
      <w:pPr>
        <w:pStyle w:val="3-BodyText"/>
        <w:keepNext/>
        <w:keepLines/>
        <w:widowControl w:val="0"/>
        <w:numPr>
          <w:ilvl w:val="0"/>
          <w:numId w:val="0"/>
        </w:numPr>
        <w:spacing w:after="0"/>
        <w:rPr>
          <w:rFonts w:ascii="Arial Narrow" w:hAnsi="Arial Narrow" w:cstheme="minorHAnsi"/>
          <w:b/>
          <w:bCs/>
          <w:sz w:val="20"/>
          <w:szCs w:val="20"/>
        </w:rPr>
      </w:pPr>
      <w:r w:rsidRPr="00E97DB1">
        <w:rPr>
          <w:rFonts w:ascii="Arial Narrow" w:hAnsi="Arial Narrow" w:cstheme="minorHAnsi"/>
          <w:b/>
          <w:bCs/>
          <w:sz w:val="20"/>
          <w:szCs w:val="20"/>
        </w:rPr>
        <w:t>Figure 3. ICER varying by model time horizon</w:t>
      </w:r>
    </w:p>
    <w:p w:rsidR="00980501" w:rsidRDefault="00980501" w:rsidP="00980501">
      <w:pPr>
        <w:pStyle w:val="3-BodyText"/>
        <w:keepNext/>
        <w:keepLines/>
        <w:widowControl w:val="0"/>
        <w:numPr>
          <w:ilvl w:val="0"/>
          <w:numId w:val="0"/>
        </w:numPr>
        <w:spacing w:after="0"/>
        <w:rPr>
          <w:rFonts w:ascii="Arial Narrow" w:hAnsi="Arial Narrow"/>
          <w:i/>
          <w:sz w:val="20"/>
        </w:rPr>
      </w:pPr>
    </w:p>
    <w:p w:rsidR="0093453A" w:rsidRDefault="0093453A" w:rsidP="00980501">
      <w:pPr>
        <w:pStyle w:val="3-BodyText"/>
        <w:keepNext/>
        <w:keepLines/>
        <w:widowControl w:val="0"/>
        <w:numPr>
          <w:ilvl w:val="0"/>
          <w:numId w:val="0"/>
        </w:numPr>
        <w:spacing w:after="0"/>
        <w:rPr>
          <w:rFonts w:ascii="Arial Narrow" w:hAnsi="Arial Narrow"/>
          <w:i/>
          <w:sz w:val="20"/>
        </w:rPr>
      </w:pPr>
      <w:r>
        <w:rPr>
          <w:noProof/>
        </w:rPr>
        <w:drawing>
          <wp:inline distT="0" distB="0" distL="0" distR="0" wp14:anchorId="5B4FDBA5" wp14:editId="7A2620AD">
            <wp:extent cx="5732145" cy="2808605"/>
            <wp:effectExtent l="0" t="0" r="1905" b="0"/>
            <wp:docPr id="3" name="Picture 3" title="Figure 3. ICER varying by model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2808605"/>
                    </a:xfrm>
                    <a:prstGeom prst="rect">
                      <a:avLst/>
                    </a:prstGeom>
                  </pic:spPr>
                </pic:pic>
              </a:graphicData>
            </a:graphic>
          </wp:inline>
        </w:drawing>
      </w:r>
    </w:p>
    <w:p w:rsidR="00DC765F" w:rsidRDefault="00DC765F" w:rsidP="00980501">
      <w:pPr>
        <w:pStyle w:val="3-BodyText"/>
        <w:keepNext/>
        <w:keepLines/>
        <w:widowControl w:val="0"/>
        <w:numPr>
          <w:ilvl w:val="0"/>
          <w:numId w:val="0"/>
        </w:numPr>
        <w:spacing w:after="0"/>
        <w:rPr>
          <w:rFonts w:ascii="Arial Narrow" w:hAnsi="Arial Narrow"/>
          <w:i/>
          <w:sz w:val="20"/>
        </w:rPr>
      </w:pPr>
    </w:p>
    <w:p w:rsidR="00980501" w:rsidRDefault="00980501" w:rsidP="00980501">
      <w:pPr>
        <w:pStyle w:val="3-BodyText"/>
        <w:keepNext/>
        <w:keepLines/>
        <w:widowControl w:val="0"/>
        <w:numPr>
          <w:ilvl w:val="0"/>
          <w:numId w:val="0"/>
        </w:numPr>
        <w:spacing w:after="0"/>
        <w:rPr>
          <w:rFonts w:ascii="Arial Narrow" w:hAnsi="Arial Narrow"/>
          <w:i/>
          <w:sz w:val="18"/>
          <w:szCs w:val="22"/>
        </w:rPr>
      </w:pPr>
      <w:r w:rsidRPr="00E97DB1">
        <w:rPr>
          <w:rFonts w:ascii="Arial Narrow" w:hAnsi="Arial Narrow"/>
          <w:i/>
          <w:sz w:val="18"/>
          <w:szCs w:val="22"/>
        </w:rPr>
        <w:t>Source: generated during evaluation based on Section 3 Workbook (CEA Model).</w:t>
      </w:r>
    </w:p>
    <w:p w:rsidR="00F234F5" w:rsidRDefault="00F234F5" w:rsidP="00980501">
      <w:pPr>
        <w:pStyle w:val="3-BodyText"/>
        <w:keepNext/>
        <w:keepLines/>
        <w:widowControl w:val="0"/>
        <w:numPr>
          <w:ilvl w:val="0"/>
          <w:numId w:val="0"/>
        </w:numPr>
        <w:spacing w:after="0"/>
        <w:rPr>
          <w:i/>
        </w:rPr>
      </w:pPr>
    </w:p>
    <w:p w:rsidR="00A86E8B" w:rsidRPr="00A83FDA" w:rsidRDefault="00D23D11" w:rsidP="00BB732D">
      <w:pPr>
        <w:pStyle w:val="3-BodyText"/>
      </w:pPr>
      <w:r w:rsidRPr="00A83FDA">
        <w:t xml:space="preserve">The results of key univariate sensitivity analyses are summarised below. </w:t>
      </w:r>
      <w:r w:rsidR="0081244E" w:rsidRPr="00A83FDA">
        <w:t xml:space="preserve">The results indicate that the model is most sensitive to time horizon, treatment stopping age, </w:t>
      </w:r>
      <w:r w:rsidR="003631B0" w:rsidRPr="00A83FDA">
        <w:t>burosumab</w:t>
      </w:r>
      <w:r w:rsidR="0081244E" w:rsidRPr="00A83FDA">
        <w:t xml:space="preserve"> dose, transition probabilities</w:t>
      </w:r>
      <w:r w:rsidR="00241D4F" w:rsidRPr="00A83FDA">
        <w:t xml:space="preserve"> for </w:t>
      </w:r>
      <w:r w:rsidR="003631B0" w:rsidRPr="00A83FDA">
        <w:t>burosumab</w:t>
      </w:r>
      <w:r w:rsidR="00241D4F" w:rsidRPr="00A83FDA">
        <w:t xml:space="preserve"> and conventional therapy</w:t>
      </w:r>
      <w:r w:rsidR="0081244E" w:rsidRPr="00A83FDA">
        <w:t xml:space="preserve">, extrapolation of </w:t>
      </w:r>
      <w:r w:rsidR="003631B0" w:rsidRPr="00A83FDA">
        <w:t>burosumab</w:t>
      </w:r>
      <w:r w:rsidR="0081244E" w:rsidRPr="00A83FDA">
        <w:t xml:space="preserve"> treatment effect</w:t>
      </w:r>
      <w:r w:rsidR="00241D4F" w:rsidRPr="00A83FDA">
        <w:t xml:space="preserve"> </w:t>
      </w:r>
      <w:r w:rsidR="0081244E" w:rsidRPr="00A83FDA">
        <w:t>and</w:t>
      </w:r>
      <w:r w:rsidR="00241D4F" w:rsidRPr="00A83FDA">
        <w:t xml:space="preserve"> price of </w:t>
      </w:r>
      <w:r w:rsidR="003631B0" w:rsidRPr="00A83FDA">
        <w:t>burosumab</w:t>
      </w:r>
      <w:r w:rsidR="00241D4F" w:rsidRPr="00A83FDA">
        <w:t>.</w:t>
      </w:r>
    </w:p>
    <w:p w:rsidR="00D23D11" w:rsidRPr="00A83FDA" w:rsidRDefault="00D23D11" w:rsidP="00BB732D">
      <w:pPr>
        <w:pStyle w:val="TableFigureHeading"/>
        <w:rPr>
          <w:rStyle w:val="CommentReference"/>
          <w:b/>
          <w:szCs w:val="24"/>
        </w:rPr>
      </w:pPr>
      <w:r w:rsidRPr="00D4558F">
        <w:rPr>
          <w:rStyle w:val="CommentReference"/>
          <w:b/>
          <w:szCs w:val="24"/>
        </w:rPr>
        <w:t xml:space="preserve">Table </w:t>
      </w:r>
      <w:r w:rsidR="0081244E" w:rsidRPr="00D4558F">
        <w:rPr>
          <w:rStyle w:val="CommentReference"/>
          <w:b/>
          <w:szCs w:val="24"/>
        </w:rPr>
        <w:t>1</w:t>
      </w:r>
      <w:r w:rsidR="006506D9">
        <w:rPr>
          <w:rStyle w:val="CommentReference"/>
          <w:b/>
          <w:szCs w:val="24"/>
        </w:rPr>
        <w:t>2</w:t>
      </w:r>
      <w:r w:rsidRPr="00D4558F">
        <w:rPr>
          <w:rStyle w:val="CommentReference"/>
          <w:b/>
          <w:szCs w:val="24"/>
        </w:rPr>
        <w:t>:</w:t>
      </w:r>
      <w:r w:rsidR="00354F64" w:rsidRPr="00D4558F">
        <w:rPr>
          <w:rStyle w:val="CommentReference"/>
          <w:b/>
          <w:szCs w:val="24"/>
        </w:rPr>
        <w:t xml:space="preserve"> </w:t>
      </w:r>
      <w:r w:rsidR="0081244E" w:rsidRPr="00A83FDA">
        <w:rPr>
          <w:rStyle w:val="CommentReference"/>
          <w:b/>
          <w:szCs w:val="24"/>
        </w:rPr>
        <w:t xml:space="preserve">Results of sensitivity analyses including </w:t>
      </w:r>
      <w:r w:rsidR="0081244E" w:rsidRPr="00A83FDA">
        <w:rPr>
          <w:rStyle w:val="CommentReference"/>
          <w:b/>
          <w:iCs/>
          <w:szCs w:val="24"/>
        </w:rPr>
        <w:t>additional analyses</w:t>
      </w:r>
      <w:r w:rsidR="0081244E" w:rsidRPr="00A83FDA">
        <w:rPr>
          <w:rStyle w:val="CommentReference"/>
          <w:b/>
          <w:szCs w:val="24"/>
        </w:rPr>
        <w:t xml:space="preserve"> conducted during the evaluation</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1417"/>
        <w:gridCol w:w="1330"/>
        <w:gridCol w:w="1741"/>
      </w:tblGrid>
      <w:tr w:rsidR="0081244E" w:rsidRPr="00A83FDA" w:rsidTr="00834CB2">
        <w:trPr>
          <w:tblHeader/>
        </w:trPr>
        <w:tc>
          <w:tcPr>
            <w:tcW w:w="4815" w:type="dxa"/>
          </w:tcPr>
          <w:p w:rsidR="0081244E" w:rsidRPr="00A83FDA" w:rsidRDefault="0081244E" w:rsidP="001C6535">
            <w:pPr>
              <w:widowControl w:val="0"/>
              <w:jc w:val="left"/>
              <w:rPr>
                <w:rFonts w:ascii="Arial Narrow" w:eastAsiaTheme="majorEastAsia" w:hAnsi="Arial Narrow" w:cs="Times New Roman"/>
                <w:b/>
                <w:sz w:val="20"/>
              </w:rPr>
            </w:pPr>
            <w:bookmarkStart w:id="24" w:name="_Hlk61545292"/>
            <w:r w:rsidRPr="00A83FDA">
              <w:rPr>
                <w:rFonts w:ascii="Arial Narrow" w:eastAsiaTheme="majorEastAsia" w:hAnsi="Arial Narrow" w:cs="Times New Roman"/>
                <w:b/>
                <w:sz w:val="20"/>
              </w:rPr>
              <w:t>Analyses</w:t>
            </w:r>
          </w:p>
        </w:tc>
        <w:tc>
          <w:tcPr>
            <w:tcW w:w="1417" w:type="dxa"/>
          </w:tcPr>
          <w:p w:rsidR="0081244E" w:rsidRPr="00A83FDA" w:rsidRDefault="0081244E" w:rsidP="001C6535">
            <w:pPr>
              <w:widowControl w:val="0"/>
              <w:jc w:val="center"/>
              <w:rPr>
                <w:rFonts w:ascii="Arial Narrow" w:eastAsiaTheme="majorEastAsia" w:hAnsi="Arial Narrow" w:cs="Times New Roman"/>
                <w:b/>
                <w:sz w:val="20"/>
              </w:rPr>
            </w:pPr>
            <w:r w:rsidRPr="00A83FDA">
              <w:rPr>
                <w:rFonts w:ascii="Arial Narrow" w:eastAsiaTheme="majorEastAsia" w:hAnsi="Arial Narrow" w:cs="Times New Roman"/>
                <w:b/>
                <w:sz w:val="20"/>
              </w:rPr>
              <w:t>Incremental cost</w:t>
            </w:r>
          </w:p>
        </w:tc>
        <w:tc>
          <w:tcPr>
            <w:tcW w:w="1330" w:type="dxa"/>
          </w:tcPr>
          <w:p w:rsidR="0081244E" w:rsidRPr="00A83FDA" w:rsidRDefault="0081244E" w:rsidP="001C6535">
            <w:pPr>
              <w:widowControl w:val="0"/>
              <w:jc w:val="center"/>
              <w:rPr>
                <w:rFonts w:ascii="Arial Narrow" w:eastAsiaTheme="majorEastAsia" w:hAnsi="Arial Narrow" w:cs="Times New Roman"/>
                <w:b/>
                <w:sz w:val="20"/>
              </w:rPr>
            </w:pPr>
            <w:r w:rsidRPr="00A83FDA">
              <w:rPr>
                <w:rFonts w:ascii="Arial Narrow" w:eastAsiaTheme="majorEastAsia" w:hAnsi="Arial Narrow" w:cs="Times New Roman"/>
                <w:b/>
                <w:sz w:val="20"/>
              </w:rPr>
              <w:t>Incremental effectiveness</w:t>
            </w:r>
          </w:p>
        </w:tc>
        <w:tc>
          <w:tcPr>
            <w:tcW w:w="1741" w:type="dxa"/>
          </w:tcPr>
          <w:p w:rsidR="0081244E" w:rsidRPr="00A83FDA" w:rsidRDefault="00834CB2" w:rsidP="001C6535">
            <w:pPr>
              <w:widowControl w:val="0"/>
              <w:jc w:val="center"/>
              <w:rPr>
                <w:rFonts w:ascii="Arial Narrow" w:eastAsiaTheme="majorEastAsia" w:hAnsi="Arial Narrow" w:cs="Times New Roman"/>
                <w:b/>
                <w:sz w:val="20"/>
              </w:rPr>
            </w:pPr>
            <w:r w:rsidRPr="00A83FDA">
              <w:rPr>
                <w:rFonts w:ascii="Arial Narrow" w:eastAsiaTheme="majorEastAsia" w:hAnsi="Arial Narrow" w:cs="Times New Roman"/>
                <w:b/>
                <w:sz w:val="20"/>
              </w:rPr>
              <w:t>ICER</w:t>
            </w:r>
          </w:p>
        </w:tc>
      </w:tr>
      <w:tr w:rsidR="0081244E" w:rsidRPr="00A83FDA" w:rsidTr="00834CB2">
        <w:tc>
          <w:tcPr>
            <w:tcW w:w="4815" w:type="dxa"/>
          </w:tcPr>
          <w:p w:rsidR="0081244E" w:rsidRPr="00A83FDA" w:rsidRDefault="0081244E" w:rsidP="001C6535">
            <w:pPr>
              <w:widowControl w:val="0"/>
              <w:jc w:val="left"/>
              <w:rPr>
                <w:rFonts w:ascii="Arial Narrow" w:eastAsiaTheme="majorEastAsia" w:hAnsi="Arial Narrow" w:cstheme="majorBidi"/>
                <w:b/>
                <w:bCs/>
                <w:sz w:val="20"/>
              </w:rPr>
            </w:pPr>
            <w:r w:rsidRPr="00A83FDA">
              <w:rPr>
                <w:rFonts w:ascii="Arial Narrow" w:eastAsiaTheme="majorEastAsia" w:hAnsi="Arial Narrow" w:cstheme="majorBidi"/>
                <w:b/>
                <w:bCs/>
                <w:sz w:val="20"/>
              </w:rPr>
              <w:t>Base case</w:t>
            </w:r>
          </w:p>
        </w:tc>
        <w:tc>
          <w:tcPr>
            <w:tcW w:w="1417" w:type="dxa"/>
          </w:tcPr>
          <w:p w:rsidR="0081244E" w:rsidRPr="00A83FDA" w:rsidRDefault="0081244E" w:rsidP="001C6535">
            <w:pPr>
              <w:widowControl w:val="0"/>
              <w:jc w:val="center"/>
              <w:rPr>
                <w:rFonts w:ascii="Arial Narrow" w:eastAsiaTheme="majorEastAsia" w:hAnsi="Arial Narrow" w:cstheme="majorBidi"/>
                <w:b/>
                <w:bCs/>
                <w:sz w:val="20"/>
              </w:rPr>
            </w:pPr>
            <w:r w:rsidRPr="00A83FDA">
              <w:rPr>
                <w:rFonts w:ascii="Arial Narrow" w:eastAsiaTheme="majorEastAsia" w:hAnsi="Arial Narrow" w:cstheme="majorBidi"/>
                <w:b/>
                <w:bCs/>
                <w:sz w:val="20"/>
              </w:rPr>
              <w:t>$</w:t>
            </w:r>
            <w:r w:rsidR="00A47328">
              <w:rPr>
                <w:rFonts w:ascii="Arial Narrow" w:eastAsiaTheme="majorEastAsia" w:hAnsi="Arial Narrow" w:cstheme="majorBidi"/>
                <w:b/>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
                <w:bCs/>
                <w:sz w:val="20"/>
              </w:rPr>
            </w:pPr>
            <w:r w:rsidRPr="00A83FDA">
              <w:rPr>
                <w:rFonts w:ascii="Arial Narrow" w:eastAsiaTheme="majorEastAsia" w:hAnsi="Arial Narrow" w:cstheme="majorBidi"/>
                <w:b/>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
                <w:bCs/>
                <w:sz w:val="20"/>
              </w:rPr>
            </w:pPr>
            <w:r w:rsidRPr="00A83FDA">
              <w:rPr>
                <w:rFonts w:ascii="Arial Narrow" w:eastAsiaTheme="majorEastAsia" w:hAnsi="Arial Narrow" w:cstheme="majorBidi"/>
                <w:b/>
                <w:bCs/>
                <w:sz w:val="20"/>
              </w:rPr>
              <w:t>$</w:t>
            </w:r>
            <w:r w:rsidR="00A47328">
              <w:rPr>
                <w:rFonts w:ascii="Arial Narrow" w:eastAsiaTheme="majorEastAsia" w:hAnsi="Arial Narrow" w:cstheme="majorBidi"/>
                <w:b/>
                <w:bCs/>
                <w:noProof/>
                <w:color w:val="000000"/>
                <w:sz w:val="20"/>
                <w:highlight w:val="black"/>
              </w:rPr>
              <w:t>''''''''''''''</w:t>
            </w:r>
            <w:r w:rsidR="008E0AAE">
              <w:rPr>
                <w:rFonts w:ascii="Arial Narrow" w:eastAsiaTheme="majorEastAsia" w:hAnsi="Arial Narrow" w:cstheme="majorBidi"/>
                <w:b/>
                <w:bCs/>
                <w:noProof/>
                <w:color w:val="000000"/>
                <w:sz w:val="20"/>
                <w:vertAlign w:val="superscript"/>
              </w:rPr>
              <w:t>4</w:t>
            </w:r>
            <w:r w:rsidRPr="00A83FDA">
              <w:rPr>
                <w:rFonts w:ascii="Arial Narrow" w:eastAsiaTheme="majorEastAsia" w:hAnsi="Arial Narrow" w:cstheme="majorBidi"/>
                <w:b/>
                <w:bCs/>
                <w:sz w:val="20"/>
              </w:rPr>
              <w:t xml:space="preserve"> / QALY</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
                <w:bCs/>
                <w:sz w:val="20"/>
              </w:rPr>
            </w:pPr>
            <w:r w:rsidRPr="00A83FDA">
              <w:rPr>
                <w:rFonts w:ascii="Arial Narrow" w:eastAsiaTheme="minorHAnsi" w:hAnsi="Arial Narrow" w:cstheme="minorBidi"/>
                <w:b/>
                <w:bCs/>
                <w:sz w:val="20"/>
                <w:szCs w:val="20"/>
                <w:lang w:eastAsia="en-US"/>
              </w:rPr>
              <w:t>Time horizon (base case: 100 years)</w:t>
            </w:r>
          </w:p>
        </w:tc>
      </w:tr>
      <w:tr w:rsidR="0079796F" w:rsidRPr="00A83FDA" w:rsidTr="00834CB2">
        <w:tc>
          <w:tcPr>
            <w:tcW w:w="4815" w:type="dxa"/>
          </w:tcPr>
          <w:p w:rsidR="0079796F" w:rsidRPr="00A83FDA" w:rsidRDefault="0079796F" w:rsidP="00002B2A">
            <w:pPr>
              <w:widowControl w:val="0"/>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11 years (childhood only)</w:t>
            </w:r>
          </w:p>
        </w:tc>
        <w:tc>
          <w:tcPr>
            <w:tcW w:w="1417" w:type="dxa"/>
          </w:tcPr>
          <w:p w:rsidR="0079796F" w:rsidRPr="00A83FDA" w:rsidRDefault="0079796F" w:rsidP="00002B2A">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79796F" w:rsidRPr="00A83FDA" w:rsidRDefault="0079796F" w:rsidP="00002B2A">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0.51</w:t>
            </w:r>
          </w:p>
        </w:tc>
        <w:tc>
          <w:tcPr>
            <w:tcW w:w="1741" w:type="dxa"/>
          </w:tcPr>
          <w:p w:rsidR="0079796F" w:rsidRPr="00A83FDA" w:rsidRDefault="0079796F" w:rsidP="00002B2A">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4815" w:type="dxa"/>
          </w:tcPr>
          <w:p w:rsidR="0081244E" w:rsidRPr="00A83FDA" w:rsidRDefault="0081244E" w:rsidP="001C6535">
            <w:pPr>
              <w:widowControl w:val="0"/>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20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1.82</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4815" w:type="dxa"/>
          </w:tcPr>
          <w:p w:rsidR="0081244E" w:rsidRPr="00A83FDA" w:rsidRDefault="0081244E" w:rsidP="001C6535">
            <w:pPr>
              <w:widowControl w:val="0"/>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50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3.70</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2</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inorHAnsi" w:hAnsi="Arial Narrow" w:cstheme="minorBidi"/>
                <w:b/>
                <w:bCs/>
                <w:sz w:val="20"/>
                <w:szCs w:val="20"/>
                <w:lang w:eastAsia="en-US"/>
              </w:rPr>
              <w:t xml:space="preserve">Mean age at baseline </w:t>
            </w:r>
            <w:r w:rsidRPr="00A83FDA">
              <w:rPr>
                <w:rFonts w:ascii="Arial Narrow" w:eastAsiaTheme="majorEastAsia" w:hAnsi="Arial Narrow" w:cstheme="majorBidi"/>
                <w:b/>
                <w:bCs/>
                <w:sz w:val="20"/>
              </w:rPr>
              <w:t>(base case: 6.8 years)</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2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4.07</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4</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10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4.09</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4</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inorHAnsi" w:hAnsi="Arial Narrow" w:cstheme="minorBidi"/>
                <w:b/>
                <w:bCs/>
                <w:sz w:val="20"/>
                <w:szCs w:val="20"/>
                <w:lang w:eastAsia="en-US"/>
              </w:rPr>
              <w:t xml:space="preserve">Treatment stopping age </w:t>
            </w:r>
            <w:r w:rsidRPr="00A83FDA">
              <w:rPr>
                <w:rFonts w:ascii="Arial Narrow" w:eastAsiaTheme="majorEastAsia" w:hAnsi="Arial Narrow" w:cstheme="majorBidi"/>
                <w:b/>
                <w:bCs/>
                <w:sz w:val="20"/>
              </w:rPr>
              <w:t>(base case: 17 years)</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14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5</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20 years</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iCs/>
                <w:sz w:val="20"/>
                <w:szCs w:val="20"/>
                <w:lang w:eastAsia="en-US"/>
              </w:rPr>
              <w:t>Age 15 in girls and 17 in boys (when it is estimated that epiphyseal closure occurs, on average)</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6</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iCs/>
                <w:sz w:val="20"/>
                <w:szCs w:val="20"/>
                <w:lang w:eastAsia="en-US"/>
              </w:rPr>
              <w:t>Continued treatment to 65 years of age (i.e. leakage to adult population)</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lang w:val="es-MX"/>
              </w:rPr>
            </w:pPr>
            <w:r w:rsidRPr="00A83FDA">
              <w:rPr>
                <w:rFonts w:ascii="Arial Narrow" w:eastAsiaTheme="minorHAnsi" w:hAnsi="Arial Narrow" w:cstheme="minorBidi"/>
                <w:b/>
                <w:bCs/>
                <w:sz w:val="20"/>
                <w:szCs w:val="20"/>
                <w:lang w:val="es-MX" w:eastAsia="en-US"/>
              </w:rPr>
              <w:t xml:space="preserve">Burosumab dose </w:t>
            </w:r>
            <w:r w:rsidRPr="00A83FDA">
              <w:rPr>
                <w:rFonts w:ascii="Arial Narrow" w:eastAsiaTheme="majorEastAsia" w:hAnsi="Arial Narrow" w:cstheme="majorBidi"/>
                <w:b/>
                <w:bCs/>
                <w:sz w:val="20"/>
                <w:lang w:val="es-MX"/>
              </w:rPr>
              <w:t>(base case: 0.86</w:t>
            </w:r>
            <w:r w:rsidR="0079796F" w:rsidRPr="00A83FDA">
              <w:rPr>
                <w:rFonts w:ascii="Arial Narrow" w:eastAsiaTheme="majorEastAsia" w:hAnsi="Arial Narrow" w:cstheme="majorBidi"/>
                <w:b/>
                <w:bCs/>
                <w:sz w:val="20"/>
                <w:lang w:val="es-MX"/>
              </w:rPr>
              <w:t xml:space="preserve"> </w:t>
            </w:r>
            <w:r w:rsidRPr="00A83FDA">
              <w:rPr>
                <w:rFonts w:ascii="Arial Narrow" w:eastAsiaTheme="majorEastAsia" w:hAnsi="Arial Narrow" w:cstheme="majorBidi"/>
                <w:b/>
                <w:bCs/>
                <w:sz w:val="20"/>
                <w:lang w:val="es-MX"/>
              </w:rPr>
              <w:t>mg/kg)</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0.8</w:t>
            </w:r>
            <w:r w:rsidR="0079796F" w:rsidRPr="00A83FDA">
              <w:rPr>
                <w:rFonts w:ascii="Arial Narrow" w:eastAsiaTheme="minorHAnsi" w:hAnsi="Arial Narrow" w:cstheme="minorBidi"/>
                <w:bCs/>
                <w:sz w:val="20"/>
                <w:szCs w:val="20"/>
                <w:lang w:eastAsia="en-US"/>
              </w:rPr>
              <w:t xml:space="preserve"> </w:t>
            </w:r>
            <w:r w:rsidRPr="00A83FDA">
              <w:rPr>
                <w:rFonts w:ascii="Arial Narrow" w:eastAsiaTheme="minorHAnsi" w:hAnsi="Arial Narrow" w:cstheme="minorBidi"/>
                <w:bCs/>
                <w:sz w:val="20"/>
                <w:szCs w:val="20"/>
                <w:lang w:eastAsia="en-US"/>
              </w:rPr>
              <w:t>mg/kg</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4</w:t>
            </w:r>
          </w:p>
        </w:tc>
      </w:tr>
      <w:tr w:rsidR="0081244E" w:rsidRPr="00A83FDA" w:rsidTr="00834CB2">
        <w:tc>
          <w:tcPr>
            <w:tcW w:w="4815" w:type="dxa"/>
          </w:tcPr>
          <w:p w:rsidR="0081244E" w:rsidRPr="00A83FDA" w:rsidRDefault="0081244E" w:rsidP="001C6535">
            <w:pPr>
              <w:widowControl w:val="0"/>
              <w:tabs>
                <w:tab w:val="left" w:pos="881"/>
              </w:tabs>
              <w:ind w:left="107"/>
              <w:jc w:val="left"/>
              <w:rPr>
                <w:rFonts w:ascii="Arial Narrow" w:eastAsiaTheme="minorHAnsi" w:hAnsi="Arial Narrow" w:cstheme="minorBidi"/>
                <w:bCs/>
                <w:iCs/>
                <w:sz w:val="20"/>
                <w:szCs w:val="20"/>
                <w:lang w:eastAsia="en-US"/>
              </w:rPr>
            </w:pPr>
            <w:r w:rsidRPr="00A83FDA">
              <w:rPr>
                <w:rFonts w:ascii="Arial Narrow" w:eastAsiaTheme="minorHAnsi" w:hAnsi="Arial Narrow" w:cstheme="minorBidi"/>
                <w:bCs/>
                <w:iCs/>
                <w:sz w:val="20"/>
                <w:szCs w:val="20"/>
                <w:lang w:eastAsia="en-US"/>
              </w:rPr>
              <w:t>1.0</w:t>
            </w:r>
            <w:r w:rsidR="00DC08E3" w:rsidRPr="00A83FDA">
              <w:rPr>
                <w:rFonts w:ascii="Arial Narrow" w:eastAsiaTheme="minorHAnsi" w:hAnsi="Arial Narrow" w:cstheme="minorBidi"/>
                <w:bCs/>
                <w:iCs/>
                <w:sz w:val="20"/>
                <w:szCs w:val="20"/>
                <w:lang w:eastAsia="en-US"/>
              </w:rPr>
              <w:t>5</w:t>
            </w:r>
            <w:r w:rsidR="0079796F" w:rsidRPr="00A83FDA">
              <w:rPr>
                <w:rFonts w:ascii="Arial Narrow" w:eastAsiaTheme="minorHAnsi" w:hAnsi="Arial Narrow" w:cstheme="minorBidi"/>
                <w:bCs/>
                <w:iCs/>
                <w:sz w:val="20"/>
                <w:szCs w:val="20"/>
                <w:lang w:eastAsia="en-US"/>
              </w:rPr>
              <w:t xml:space="preserve"> </w:t>
            </w:r>
            <w:r w:rsidRPr="00A83FDA">
              <w:rPr>
                <w:rFonts w:ascii="Arial Narrow" w:eastAsiaTheme="minorHAnsi" w:hAnsi="Arial Narrow" w:cstheme="minorBidi"/>
                <w:bCs/>
                <w:iCs/>
                <w:sz w:val="20"/>
                <w:szCs w:val="20"/>
                <w:lang w:eastAsia="en-US"/>
              </w:rPr>
              <w:t>mg/</w:t>
            </w:r>
            <w:r w:rsidRPr="00A47328">
              <w:rPr>
                <w:rFonts w:ascii="Arial Narrow" w:eastAsiaTheme="minorHAnsi" w:hAnsi="Arial Narrow" w:cstheme="minorBidi"/>
                <w:bCs/>
                <w:iCs/>
                <w:sz w:val="20"/>
                <w:szCs w:val="20"/>
                <w:lang w:eastAsia="en-US"/>
              </w:rPr>
              <w:t>kg</w:t>
            </w:r>
            <w:r w:rsidR="00DC08E3" w:rsidRPr="00A47328">
              <w:rPr>
                <w:rFonts w:ascii="Arial Narrow" w:eastAsiaTheme="minorHAnsi" w:hAnsi="Arial Narrow" w:cstheme="minorBidi"/>
                <w:bCs/>
                <w:iCs/>
                <w:sz w:val="20"/>
                <w:szCs w:val="20"/>
                <w:lang w:eastAsia="en-US"/>
              </w:rPr>
              <w:t xml:space="preserve"> (as per mean dosage in Australian AEP)</w:t>
            </w:r>
          </w:p>
        </w:tc>
        <w:tc>
          <w:tcPr>
            <w:tcW w:w="1417" w:type="dxa"/>
          </w:tcPr>
          <w:p w:rsidR="0081244E" w:rsidRPr="00A83FDA" w:rsidRDefault="00C77252" w:rsidP="00DC08E3">
            <w:pPr>
              <w:widowControl w:val="0"/>
              <w:jc w:val="center"/>
              <w:rPr>
                <w:rFonts w:ascii="Arial Narrow" w:eastAsiaTheme="majorEastAsia" w:hAnsi="Arial Narrow" w:cstheme="majorBidi"/>
                <w:bCs/>
                <w:iCs/>
                <w:sz w:val="20"/>
              </w:rPr>
            </w:pPr>
            <w:r w:rsidRPr="00A83FDA">
              <w:rPr>
                <w:rFonts w:ascii="Arial Narrow" w:eastAsiaTheme="majorEastAsia" w:hAnsi="Arial Narrow" w:cstheme="majorBidi"/>
                <w:bCs/>
                <w:iCs/>
                <w:sz w:val="20"/>
              </w:rPr>
              <w:t>$</w:t>
            </w:r>
            <w:r w:rsidR="00A47328">
              <w:rPr>
                <w:rFonts w:ascii="Arial Narrow" w:eastAsiaTheme="majorEastAsia" w:hAnsi="Arial Narrow" w:cstheme="majorBidi"/>
                <w:bCs/>
                <w:i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iCs/>
                <w:sz w:val="20"/>
              </w:rPr>
            </w:pPr>
            <w:r w:rsidRPr="00A83FDA">
              <w:rPr>
                <w:rFonts w:ascii="Arial Narrow" w:eastAsiaTheme="majorEastAsia" w:hAnsi="Arial Narrow" w:cstheme="majorBidi"/>
                <w:bCs/>
                <w:iCs/>
                <w:sz w:val="20"/>
              </w:rPr>
              <w:t>4.13</w:t>
            </w:r>
          </w:p>
        </w:tc>
        <w:tc>
          <w:tcPr>
            <w:tcW w:w="1741" w:type="dxa"/>
          </w:tcPr>
          <w:p w:rsidR="0081244E" w:rsidRPr="00A83FDA" w:rsidRDefault="0081244E" w:rsidP="00DC08E3">
            <w:pPr>
              <w:widowControl w:val="0"/>
              <w:jc w:val="center"/>
              <w:rPr>
                <w:rFonts w:ascii="Arial Narrow" w:eastAsiaTheme="majorEastAsia" w:hAnsi="Arial Narrow" w:cstheme="majorBidi"/>
                <w:bCs/>
                <w:iCs/>
                <w:sz w:val="20"/>
              </w:rPr>
            </w:pPr>
            <w:r w:rsidRPr="00A83FDA">
              <w:rPr>
                <w:rFonts w:ascii="Arial Narrow" w:eastAsiaTheme="majorEastAsia" w:hAnsi="Arial Narrow" w:cstheme="majorBidi"/>
                <w:bCs/>
                <w:iCs/>
                <w:sz w:val="20"/>
              </w:rPr>
              <w:t>$</w:t>
            </w:r>
            <w:r w:rsidR="00A47328">
              <w:rPr>
                <w:rFonts w:ascii="Arial Narrow" w:eastAsiaTheme="majorEastAsia" w:hAnsi="Arial Narrow" w:cstheme="majorBidi"/>
                <w:bCs/>
                <w:iCs/>
                <w:noProof/>
                <w:color w:val="000000"/>
                <w:sz w:val="20"/>
                <w:highlight w:val="black"/>
              </w:rPr>
              <w:t>''''''''''''''''''''</w:t>
            </w:r>
            <w:r w:rsidR="00077C54" w:rsidRPr="00077C54">
              <w:rPr>
                <w:sz w:val="18"/>
                <w:szCs w:val="18"/>
                <w:vertAlign w:val="superscript"/>
              </w:rPr>
              <w:t>3</w:t>
            </w:r>
          </w:p>
        </w:tc>
      </w:tr>
      <w:tr w:rsidR="00097A45" w:rsidRPr="00A83FDA" w:rsidTr="00834CB2">
        <w:tc>
          <w:tcPr>
            <w:tcW w:w="4815" w:type="dxa"/>
          </w:tcPr>
          <w:p w:rsidR="00097A45" w:rsidRPr="00A83FDA" w:rsidRDefault="00097A45" w:rsidP="001C6535">
            <w:pPr>
              <w:widowControl w:val="0"/>
              <w:tabs>
                <w:tab w:val="left" w:pos="881"/>
              </w:tabs>
              <w:ind w:left="107"/>
              <w:jc w:val="left"/>
              <w:rPr>
                <w:rFonts w:ascii="Arial Narrow" w:eastAsiaTheme="minorHAnsi" w:hAnsi="Arial Narrow" w:cstheme="minorBidi"/>
                <w:bCs/>
                <w:sz w:val="20"/>
                <w:szCs w:val="20"/>
                <w:lang w:eastAsia="en-US"/>
              </w:rPr>
            </w:pPr>
            <w:r w:rsidRPr="00A83FDA">
              <w:rPr>
                <w:rFonts w:ascii="Arial Narrow" w:eastAsiaTheme="minorHAnsi" w:hAnsi="Arial Narrow" w:cstheme="minorBidi"/>
                <w:bCs/>
                <w:sz w:val="20"/>
                <w:szCs w:val="20"/>
                <w:lang w:eastAsia="en-US"/>
              </w:rPr>
              <w:t>1.2</w:t>
            </w:r>
            <w:r w:rsidR="0079796F" w:rsidRPr="00A83FDA">
              <w:rPr>
                <w:rFonts w:ascii="Arial Narrow" w:eastAsiaTheme="minorHAnsi" w:hAnsi="Arial Narrow" w:cstheme="minorBidi"/>
                <w:bCs/>
                <w:sz w:val="20"/>
                <w:szCs w:val="20"/>
                <w:lang w:eastAsia="en-US"/>
              </w:rPr>
              <w:t xml:space="preserve"> </w:t>
            </w:r>
            <w:r w:rsidRPr="00A83FDA">
              <w:rPr>
                <w:rFonts w:ascii="Arial Narrow" w:eastAsiaTheme="minorHAnsi" w:hAnsi="Arial Narrow" w:cstheme="minorBidi"/>
                <w:bCs/>
                <w:sz w:val="20"/>
                <w:szCs w:val="20"/>
                <w:lang w:eastAsia="en-US"/>
              </w:rPr>
              <w:t>mg/kg</w:t>
            </w:r>
          </w:p>
        </w:tc>
        <w:tc>
          <w:tcPr>
            <w:tcW w:w="1417" w:type="dxa"/>
          </w:tcPr>
          <w:p w:rsidR="00097A45" w:rsidRPr="00A83FDA" w:rsidRDefault="00097A45"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097A45" w:rsidRPr="00A83FDA" w:rsidRDefault="00097A45"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097A45" w:rsidRPr="00A83FDA" w:rsidRDefault="00097A45"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7</w:t>
            </w:r>
          </w:p>
        </w:tc>
      </w:tr>
      <w:tr w:rsidR="0081244E" w:rsidRPr="00A83FDA" w:rsidTr="00834CB2">
        <w:tc>
          <w:tcPr>
            <w:tcW w:w="4815" w:type="dxa"/>
          </w:tcPr>
          <w:p w:rsidR="0081244E" w:rsidRPr="00A83FDA" w:rsidRDefault="0081244E" w:rsidP="001C6535">
            <w:pPr>
              <w:widowControl w:val="0"/>
              <w:ind w:left="107"/>
              <w:jc w:val="left"/>
              <w:rPr>
                <w:rFonts w:ascii="Arial Narrow" w:eastAsiaTheme="majorEastAsia" w:hAnsi="Arial Narrow" w:cstheme="majorBidi"/>
                <w:bCs/>
                <w:sz w:val="20"/>
                <w:highlight w:val="magenta"/>
              </w:rPr>
            </w:pPr>
            <w:r w:rsidRPr="00A83FDA">
              <w:rPr>
                <w:rFonts w:ascii="Arial Narrow" w:eastAsiaTheme="majorEastAsia" w:hAnsi="Arial Narrow" w:cstheme="majorBidi"/>
                <w:bCs/>
                <w:sz w:val="20"/>
              </w:rPr>
              <w:t>2</w:t>
            </w:r>
            <w:r w:rsidR="0079796F" w:rsidRPr="00A83FDA">
              <w:rPr>
                <w:rFonts w:ascii="Arial Narrow" w:eastAsiaTheme="majorEastAsia" w:hAnsi="Arial Narrow" w:cstheme="majorBidi"/>
                <w:bCs/>
                <w:sz w:val="20"/>
              </w:rPr>
              <w:t xml:space="preserve"> </w:t>
            </w:r>
            <w:r w:rsidRPr="00A83FDA">
              <w:rPr>
                <w:rFonts w:ascii="Arial Narrow" w:eastAsiaTheme="majorEastAsia" w:hAnsi="Arial Narrow" w:cstheme="majorBidi"/>
                <w:bCs/>
                <w:sz w:val="20"/>
              </w:rPr>
              <w:t>mg/kg (maximum allowable dose)</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ajorEastAsia" w:hAnsi="Arial Narrow" w:cstheme="majorBidi"/>
                <w:b/>
                <w:bCs/>
                <w:sz w:val="20"/>
              </w:rPr>
              <w:t>Burosumab SPA rebate (base case</w:t>
            </w:r>
            <w:r w:rsidRPr="00DC765F">
              <w:rPr>
                <w:rFonts w:ascii="Arial Narrow" w:eastAsiaTheme="majorEastAsia" w:hAnsi="Arial Narrow" w:cstheme="majorBidi"/>
                <w:b/>
                <w:bCs/>
                <w:sz w:val="20"/>
              </w:rPr>
              <w:t xml:space="preserve">: </w:t>
            </w:r>
            <w:r w:rsidR="00A47328">
              <w:rPr>
                <w:rFonts w:ascii="Arial Narrow" w:eastAsiaTheme="majorEastAsia" w:hAnsi="Arial Narrow" w:cstheme="majorBidi"/>
                <w:b/>
                <w:bCs/>
                <w:noProof/>
                <w:color w:val="000000"/>
                <w:sz w:val="20"/>
                <w:highlight w:val="black"/>
              </w:rPr>
              <w:t>'''''</w:t>
            </w:r>
            <w:r w:rsidRPr="00DC765F">
              <w:rPr>
                <w:rFonts w:ascii="Arial Narrow" w:eastAsiaTheme="majorEastAsia" w:hAnsi="Arial Narrow" w:cstheme="majorBidi"/>
                <w:b/>
                <w:bCs/>
                <w:sz w:val="20"/>
              </w:rPr>
              <w:t>%)</w:t>
            </w:r>
          </w:p>
        </w:tc>
      </w:tr>
      <w:tr w:rsidR="0081244E" w:rsidRPr="00A83FDA" w:rsidTr="00834CB2">
        <w:tc>
          <w:tcPr>
            <w:tcW w:w="4815" w:type="dxa"/>
          </w:tcPr>
          <w:p w:rsidR="0081244E" w:rsidRPr="00DC765F" w:rsidRDefault="00A47328" w:rsidP="001C6535">
            <w:pPr>
              <w:widowControl w:val="0"/>
              <w:ind w:left="107"/>
              <w:jc w:val="lef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81244E" w:rsidRPr="00DC765F">
              <w:rPr>
                <w:rFonts w:ascii="Arial Narrow" w:eastAsiaTheme="majorEastAsia" w:hAnsi="Arial Narrow" w:cstheme="majorBidi"/>
                <w:bCs/>
                <w:sz w:val="20"/>
              </w:rPr>
              <w:t>%</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4815" w:type="dxa"/>
          </w:tcPr>
          <w:p w:rsidR="0081244E" w:rsidRPr="00DC765F" w:rsidRDefault="00A47328" w:rsidP="001C6535">
            <w:pPr>
              <w:widowControl w:val="0"/>
              <w:ind w:left="107"/>
              <w:jc w:val="lef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81244E" w:rsidRPr="00DC765F">
              <w:rPr>
                <w:rFonts w:ascii="Arial Narrow" w:eastAsiaTheme="majorEastAsia" w:hAnsi="Arial Narrow" w:cstheme="majorBidi"/>
                <w:bCs/>
                <w:sz w:val="20"/>
              </w:rPr>
              <w:t>%</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4.13</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8</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inorHAnsi" w:hAnsi="Arial Narrow" w:cstheme="minorBidi"/>
                <w:b/>
                <w:bCs/>
                <w:iCs/>
                <w:sz w:val="20"/>
                <w:szCs w:val="20"/>
                <w:lang w:eastAsia="en-US"/>
              </w:rPr>
              <w:t xml:space="preserve">Transition probabilities for </w:t>
            </w:r>
            <w:r w:rsidR="00DD01CF" w:rsidRPr="00A83FDA">
              <w:rPr>
                <w:rFonts w:ascii="Arial Narrow" w:eastAsiaTheme="minorHAnsi" w:hAnsi="Arial Narrow" w:cstheme="minorBidi"/>
                <w:b/>
                <w:bCs/>
                <w:iCs/>
                <w:sz w:val="20"/>
                <w:szCs w:val="20"/>
                <w:lang w:eastAsia="en-US"/>
              </w:rPr>
              <w:t>burosumab</w:t>
            </w:r>
            <w:r w:rsidRPr="00A83FDA">
              <w:rPr>
                <w:rFonts w:ascii="Arial Narrow" w:eastAsiaTheme="minorHAnsi" w:hAnsi="Arial Narrow" w:cstheme="minorBidi"/>
                <w:b/>
                <w:bCs/>
                <w:iCs/>
                <w:sz w:val="20"/>
                <w:szCs w:val="20"/>
                <w:lang w:eastAsia="en-US"/>
              </w:rPr>
              <w:t xml:space="preserve"> ‘healed’ to ‘healed’ state (base case: 100% based on result for 1 patient)</w:t>
            </w:r>
          </w:p>
        </w:tc>
      </w:tr>
      <w:tr w:rsidR="0081244E" w:rsidRPr="00A83FDA" w:rsidTr="00834CB2">
        <w:tc>
          <w:tcPr>
            <w:tcW w:w="4815" w:type="dxa"/>
          </w:tcPr>
          <w:p w:rsidR="0081244E" w:rsidRPr="00A83FDA" w:rsidRDefault="0081244E" w:rsidP="001C6535">
            <w:pPr>
              <w:widowControl w:val="0"/>
              <w:ind w:left="107"/>
              <w:jc w:val="left"/>
              <w:rPr>
                <w:rFonts w:ascii="Arial Narrow" w:eastAsiaTheme="majorEastAsia" w:hAnsi="Arial Narrow" w:cstheme="majorBidi"/>
                <w:bCs/>
                <w:sz w:val="20"/>
              </w:rPr>
            </w:pPr>
            <w:r w:rsidRPr="00A83FDA">
              <w:rPr>
                <w:rFonts w:ascii="Arial Narrow" w:eastAsiaTheme="majorEastAsia" w:hAnsi="Arial Narrow" w:cstheme="majorBidi"/>
                <w:bCs/>
                <w:sz w:val="20"/>
              </w:rPr>
              <w:t xml:space="preserve">(The) one patient moves to ‘mild’ health state </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2.08</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4815" w:type="dxa"/>
          </w:tcPr>
          <w:p w:rsidR="0081244E" w:rsidRPr="00A83FDA" w:rsidRDefault="0081244E" w:rsidP="001C6535">
            <w:pPr>
              <w:widowControl w:val="0"/>
              <w:ind w:left="107"/>
              <w:jc w:val="left"/>
              <w:rPr>
                <w:rFonts w:ascii="Arial Narrow" w:eastAsiaTheme="majorEastAsia" w:hAnsi="Arial Narrow" w:cstheme="majorBidi"/>
                <w:bCs/>
                <w:sz w:val="20"/>
                <w:highlight w:val="magenta"/>
              </w:rPr>
            </w:pPr>
            <w:r w:rsidRPr="00A83FDA">
              <w:rPr>
                <w:rFonts w:ascii="Arial Narrow" w:eastAsiaTheme="majorEastAsia" w:hAnsi="Arial Narrow" w:cstheme="majorBidi"/>
                <w:bCs/>
                <w:sz w:val="20"/>
              </w:rPr>
              <w:t>Transitions same as conventional therapy</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2.37</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inorHAnsi" w:hAnsi="Arial Narrow" w:cstheme="minorBidi"/>
                <w:b/>
                <w:bCs/>
                <w:iCs/>
                <w:sz w:val="20"/>
                <w:szCs w:val="20"/>
                <w:lang w:eastAsia="en-US"/>
              </w:rPr>
              <w:t xml:space="preserve">Extrapolation </w:t>
            </w:r>
            <w:r w:rsidR="00BE761E" w:rsidRPr="00A83FDA">
              <w:rPr>
                <w:rFonts w:ascii="Arial Narrow" w:eastAsiaTheme="minorHAnsi" w:hAnsi="Arial Narrow" w:cstheme="minorBidi"/>
                <w:b/>
                <w:bCs/>
                <w:iCs/>
                <w:sz w:val="20"/>
                <w:szCs w:val="20"/>
                <w:lang w:eastAsia="en-US"/>
              </w:rPr>
              <w:t xml:space="preserve">of </w:t>
            </w:r>
            <w:r w:rsidR="00DD01CF" w:rsidRPr="00A83FDA">
              <w:rPr>
                <w:rFonts w:ascii="Arial Narrow" w:eastAsiaTheme="minorHAnsi" w:hAnsi="Arial Narrow" w:cstheme="minorBidi"/>
                <w:b/>
                <w:bCs/>
                <w:iCs/>
                <w:sz w:val="20"/>
                <w:szCs w:val="20"/>
                <w:lang w:eastAsia="en-US"/>
              </w:rPr>
              <w:t>burosumab</w:t>
            </w:r>
            <w:r w:rsidRPr="00A83FDA">
              <w:rPr>
                <w:rFonts w:ascii="Arial Narrow" w:eastAsiaTheme="minorHAnsi" w:hAnsi="Arial Narrow" w:cstheme="minorBidi"/>
                <w:b/>
                <w:bCs/>
                <w:iCs/>
                <w:sz w:val="20"/>
                <w:szCs w:val="20"/>
                <w:lang w:eastAsia="en-US"/>
              </w:rPr>
              <w:t xml:space="preserve"> treatment effect (base case: assume constant transition probabilities to age 18 years)</w:t>
            </w:r>
          </w:p>
        </w:tc>
      </w:tr>
      <w:tr w:rsidR="0081244E" w:rsidRPr="00A83FDA" w:rsidTr="00834CB2">
        <w:tc>
          <w:tcPr>
            <w:tcW w:w="4815" w:type="dxa"/>
          </w:tcPr>
          <w:p w:rsidR="0081244E" w:rsidRPr="00A83FDA" w:rsidRDefault="0081244E" w:rsidP="001C6535">
            <w:pPr>
              <w:widowControl w:val="0"/>
              <w:ind w:left="107"/>
              <w:jc w:val="left"/>
              <w:rPr>
                <w:rFonts w:ascii="Arial Narrow" w:eastAsiaTheme="majorEastAsia" w:hAnsi="Arial Narrow" w:cstheme="majorBidi"/>
                <w:bCs/>
                <w:sz w:val="20"/>
              </w:rPr>
            </w:pPr>
            <w:r w:rsidRPr="00A83FDA">
              <w:rPr>
                <w:rFonts w:ascii="Arial Narrow" w:eastAsiaTheme="minorHAnsi" w:hAnsi="Arial Narrow" w:cstheme="minorBidi"/>
                <w:iCs/>
                <w:sz w:val="20"/>
                <w:szCs w:val="20"/>
                <w:lang w:eastAsia="en-US"/>
              </w:rPr>
              <w:t>Removal of extrapolated transition probabilities (assuming no further health state transitions beyond cycle 2 in the model except for background mortality)</w:t>
            </w:r>
          </w:p>
        </w:tc>
        <w:tc>
          <w:tcPr>
            <w:tcW w:w="1417" w:type="dxa"/>
            <w:vAlign w:val="center"/>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iCs/>
                <w:sz w:val="20"/>
              </w:rPr>
              <w:t>$</w:t>
            </w:r>
            <w:r w:rsidR="00A47328">
              <w:rPr>
                <w:rFonts w:ascii="Arial Narrow" w:eastAsiaTheme="majorEastAsia" w:hAnsi="Arial Narrow" w:cstheme="majorBidi"/>
                <w:iCs/>
                <w:noProof/>
                <w:color w:val="000000"/>
                <w:sz w:val="20"/>
                <w:highlight w:val="black"/>
              </w:rPr>
              <w:t>'''''''''''''''''''''''</w:t>
            </w:r>
          </w:p>
        </w:tc>
        <w:tc>
          <w:tcPr>
            <w:tcW w:w="1330" w:type="dxa"/>
            <w:vAlign w:val="center"/>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iCs/>
                <w:sz w:val="20"/>
              </w:rPr>
              <w:t>2.14</w:t>
            </w:r>
          </w:p>
        </w:tc>
        <w:tc>
          <w:tcPr>
            <w:tcW w:w="1741" w:type="dxa"/>
            <w:vAlign w:val="center"/>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iCs/>
                <w:sz w:val="20"/>
              </w:rPr>
              <w:t>$</w:t>
            </w:r>
            <w:r w:rsidR="00A47328">
              <w:rPr>
                <w:rFonts w:ascii="Arial Narrow" w:eastAsiaTheme="majorEastAsia" w:hAnsi="Arial Narrow" w:cstheme="majorBidi"/>
                <w:iCs/>
                <w:noProof/>
                <w:color w:val="000000"/>
                <w:sz w:val="20"/>
                <w:highlight w:val="black"/>
              </w:rPr>
              <w:t>''''''''''''''''''''''</w:t>
            </w:r>
            <w:r w:rsidR="00077C54" w:rsidRPr="00077C54">
              <w:rPr>
                <w:rFonts w:ascii="Arial Narrow" w:hAnsi="Arial Narrow"/>
                <w:sz w:val="18"/>
                <w:szCs w:val="18"/>
                <w:vertAlign w:val="superscript"/>
              </w:rPr>
              <w:t>1</w:t>
            </w:r>
          </w:p>
        </w:tc>
      </w:tr>
      <w:tr w:rsidR="00241D4F" w:rsidRPr="00A83FDA" w:rsidTr="00834CB2">
        <w:tc>
          <w:tcPr>
            <w:tcW w:w="4815" w:type="dxa"/>
          </w:tcPr>
          <w:p w:rsidR="00241D4F" w:rsidRPr="00A83FDA" w:rsidRDefault="00241D4F" w:rsidP="001C6535">
            <w:pPr>
              <w:widowControl w:val="0"/>
              <w:ind w:left="107"/>
              <w:jc w:val="left"/>
              <w:rPr>
                <w:rFonts w:ascii="Arial Narrow" w:eastAsiaTheme="minorHAnsi" w:hAnsi="Arial Narrow" w:cstheme="minorBidi"/>
                <w:iCs/>
                <w:sz w:val="20"/>
                <w:szCs w:val="20"/>
                <w:lang w:eastAsia="en-US"/>
              </w:rPr>
            </w:pPr>
            <w:r w:rsidRPr="00A83FDA">
              <w:rPr>
                <w:rFonts w:ascii="Arial Narrow" w:eastAsiaTheme="minorHAnsi" w:hAnsi="Arial Narrow" w:cstheme="minorBidi"/>
                <w:iCs/>
                <w:sz w:val="20"/>
                <w:szCs w:val="20"/>
                <w:lang w:eastAsia="en-US"/>
              </w:rPr>
              <w:t xml:space="preserve">Assume </w:t>
            </w:r>
            <w:r w:rsidR="007444BA" w:rsidRPr="00A83FDA">
              <w:rPr>
                <w:rFonts w:ascii="Arial Narrow" w:eastAsiaTheme="minorHAnsi" w:hAnsi="Arial Narrow" w:cstheme="minorBidi"/>
                <w:iCs/>
                <w:sz w:val="20"/>
                <w:szCs w:val="20"/>
                <w:lang w:eastAsia="en-US"/>
              </w:rPr>
              <w:t xml:space="preserve">patient discontinue </w:t>
            </w:r>
            <w:r w:rsidR="00DD01CF" w:rsidRPr="00A83FDA">
              <w:rPr>
                <w:rFonts w:ascii="Arial Narrow" w:eastAsiaTheme="minorHAnsi" w:hAnsi="Arial Narrow" w:cstheme="minorBidi"/>
                <w:iCs/>
                <w:sz w:val="20"/>
                <w:szCs w:val="20"/>
                <w:lang w:eastAsia="en-US"/>
              </w:rPr>
              <w:t>burosumab</w:t>
            </w:r>
            <w:r w:rsidR="007444BA" w:rsidRPr="00A83FDA">
              <w:rPr>
                <w:rFonts w:ascii="Arial Narrow" w:eastAsiaTheme="minorHAnsi" w:hAnsi="Arial Narrow" w:cstheme="minorBidi"/>
                <w:iCs/>
                <w:sz w:val="20"/>
                <w:szCs w:val="20"/>
                <w:lang w:eastAsia="en-US"/>
              </w:rPr>
              <w:t xml:space="preserve"> after 5 years then follows transitions in conventional therapy arm</w:t>
            </w:r>
          </w:p>
        </w:tc>
        <w:tc>
          <w:tcPr>
            <w:tcW w:w="1417" w:type="dxa"/>
            <w:vAlign w:val="center"/>
          </w:tcPr>
          <w:p w:rsidR="00241D4F" w:rsidRPr="00A83FDA" w:rsidRDefault="007444BA" w:rsidP="001C6535">
            <w:pPr>
              <w:widowControl w:val="0"/>
              <w:jc w:val="center"/>
              <w:rPr>
                <w:rFonts w:ascii="Arial Narrow" w:eastAsiaTheme="majorEastAsia" w:hAnsi="Arial Narrow" w:cstheme="majorBidi"/>
                <w:iCs/>
                <w:sz w:val="20"/>
              </w:rPr>
            </w:pPr>
            <w:r w:rsidRPr="00A83FDA">
              <w:rPr>
                <w:rFonts w:ascii="Arial Narrow" w:eastAsiaTheme="majorEastAsia" w:hAnsi="Arial Narrow" w:cstheme="majorBidi"/>
                <w:iCs/>
                <w:sz w:val="20"/>
              </w:rPr>
              <w:t>$</w:t>
            </w:r>
            <w:r w:rsidR="00A47328">
              <w:rPr>
                <w:rFonts w:ascii="Arial Narrow" w:eastAsiaTheme="majorEastAsia" w:hAnsi="Arial Narrow" w:cstheme="majorBidi"/>
                <w:iCs/>
                <w:noProof/>
                <w:color w:val="000000"/>
                <w:sz w:val="20"/>
                <w:highlight w:val="black"/>
              </w:rPr>
              <w:t>'''''''''''''''''''''''</w:t>
            </w:r>
          </w:p>
        </w:tc>
        <w:tc>
          <w:tcPr>
            <w:tcW w:w="1330" w:type="dxa"/>
            <w:vAlign w:val="center"/>
          </w:tcPr>
          <w:p w:rsidR="00241D4F" w:rsidRPr="00A83FDA" w:rsidRDefault="007444BA" w:rsidP="001C6535">
            <w:pPr>
              <w:widowControl w:val="0"/>
              <w:jc w:val="center"/>
              <w:rPr>
                <w:rFonts w:ascii="Arial Narrow" w:eastAsiaTheme="majorEastAsia" w:hAnsi="Arial Narrow" w:cstheme="majorBidi"/>
                <w:iCs/>
                <w:sz w:val="20"/>
              </w:rPr>
            </w:pPr>
            <w:r w:rsidRPr="00A83FDA">
              <w:rPr>
                <w:rFonts w:ascii="Arial Narrow" w:eastAsiaTheme="majorEastAsia" w:hAnsi="Arial Narrow" w:cstheme="majorBidi"/>
                <w:iCs/>
                <w:sz w:val="20"/>
              </w:rPr>
              <w:t>1.00</w:t>
            </w:r>
          </w:p>
        </w:tc>
        <w:tc>
          <w:tcPr>
            <w:tcW w:w="1741" w:type="dxa"/>
            <w:vAlign w:val="center"/>
          </w:tcPr>
          <w:p w:rsidR="00241D4F" w:rsidRPr="00A83FDA" w:rsidRDefault="007444BA" w:rsidP="001C6535">
            <w:pPr>
              <w:widowControl w:val="0"/>
              <w:jc w:val="center"/>
              <w:rPr>
                <w:rFonts w:ascii="Arial Narrow" w:eastAsiaTheme="majorEastAsia" w:hAnsi="Arial Narrow" w:cstheme="majorBidi"/>
                <w:iCs/>
                <w:sz w:val="20"/>
              </w:rPr>
            </w:pPr>
            <w:r w:rsidRPr="00A83FDA">
              <w:rPr>
                <w:rFonts w:ascii="Arial Narrow" w:eastAsiaTheme="majorEastAsia" w:hAnsi="Arial Narrow" w:cstheme="majorBidi"/>
                <w:iCs/>
                <w:sz w:val="20"/>
              </w:rPr>
              <w:t>$</w:t>
            </w:r>
            <w:r w:rsidR="00A47328">
              <w:rPr>
                <w:rFonts w:ascii="Arial Narrow" w:eastAsiaTheme="majorEastAsia" w:hAnsi="Arial Narrow" w:cstheme="majorBidi"/>
                <w:iCs/>
                <w:noProof/>
                <w:color w:val="000000"/>
                <w:sz w:val="20"/>
                <w:highlight w:val="black"/>
              </w:rPr>
              <w:t>'''''''''''''''''''''''</w:t>
            </w:r>
            <w:r w:rsidR="00077C54" w:rsidRPr="00077C54">
              <w:rPr>
                <w:rFonts w:ascii="Arial Narrow" w:hAnsi="Arial Narrow"/>
                <w:sz w:val="18"/>
                <w:szCs w:val="18"/>
                <w:vertAlign w:val="superscript"/>
              </w:rPr>
              <w:t>1</w:t>
            </w:r>
          </w:p>
        </w:tc>
      </w:tr>
      <w:tr w:rsidR="0081244E" w:rsidRPr="00A83FDA" w:rsidTr="00834CB2">
        <w:tc>
          <w:tcPr>
            <w:tcW w:w="9303" w:type="dxa"/>
            <w:gridSpan w:val="4"/>
            <w:vAlign w:val="center"/>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inorHAnsi" w:hAnsi="Arial Narrow" w:cstheme="minorBidi"/>
                <w:b/>
                <w:bCs/>
                <w:iCs/>
                <w:sz w:val="20"/>
                <w:szCs w:val="20"/>
                <w:lang w:eastAsia="en-US"/>
              </w:rPr>
              <w:t>Transition probabilities for conventional therapy (base case: based on CL301 and UK chart review)</w:t>
            </w:r>
          </w:p>
        </w:tc>
      </w:tr>
      <w:tr w:rsidR="0081244E" w:rsidRPr="00A83FDA" w:rsidTr="00834CB2">
        <w:tc>
          <w:tcPr>
            <w:tcW w:w="4815" w:type="dxa"/>
          </w:tcPr>
          <w:p w:rsidR="0081244E" w:rsidRPr="00A83FDA" w:rsidRDefault="0081244E" w:rsidP="001C6535">
            <w:pPr>
              <w:widowControl w:val="0"/>
              <w:ind w:left="107"/>
              <w:jc w:val="left"/>
              <w:rPr>
                <w:rFonts w:ascii="Arial Narrow" w:eastAsiaTheme="majorEastAsia" w:hAnsi="Arial Narrow" w:cstheme="majorBidi"/>
                <w:bCs/>
                <w:sz w:val="20"/>
              </w:rPr>
            </w:pPr>
            <w:r w:rsidRPr="00A83FDA">
              <w:rPr>
                <w:rFonts w:ascii="Arial Narrow" w:eastAsiaTheme="minorHAnsi" w:hAnsi="Arial Narrow" w:cstheme="minorBidi"/>
                <w:iCs/>
                <w:sz w:val="20"/>
                <w:szCs w:val="20"/>
                <w:lang w:eastAsia="en-US"/>
              </w:rPr>
              <w:t>Based on CL002 study only</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3.32</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3</w:t>
            </w:r>
          </w:p>
        </w:tc>
      </w:tr>
      <w:tr w:rsidR="00241D4F" w:rsidRPr="00A83FDA" w:rsidTr="00834CB2">
        <w:tc>
          <w:tcPr>
            <w:tcW w:w="9303" w:type="dxa"/>
            <w:gridSpan w:val="4"/>
            <w:vAlign w:val="center"/>
          </w:tcPr>
          <w:p w:rsidR="00241D4F" w:rsidRPr="00A83FDA" w:rsidRDefault="008737F4" w:rsidP="00834CB2">
            <w:pPr>
              <w:widowControl w:val="0"/>
              <w:jc w:val="left"/>
              <w:rPr>
                <w:rFonts w:ascii="Arial Narrow" w:eastAsiaTheme="majorEastAsia" w:hAnsi="Arial Narrow" w:cstheme="majorBidi"/>
                <w:bCs/>
                <w:sz w:val="20"/>
              </w:rPr>
            </w:pPr>
            <w:r w:rsidRPr="00A83FDA">
              <w:rPr>
                <w:rFonts w:ascii="Arial Narrow" w:eastAsiaTheme="majorEastAsia" w:hAnsi="Arial Narrow" w:cstheme="majorBidi"/>
                <w:b/>
                <w:bCs/>
                <w:sz w:val="20"/>
              </w:rPr>
              <w:t>Life time treatment effect assumption</w:t>
            </w:r>
            <w:r w:rsidR="00834CB2" w:rsidRPr="00A83FDA">
              <w:rPr>
                <w:rFonts w:ascii="Arial Narrow" w:eastAsiaTheme="majorEastAsia" w:hAnsi="Arial Narrow" w:cstheme="majorBidi"/>
                <w:b/>
                <w:bCs/>
                <w:sz w:val="20"/>
              </w:rPr>
              <w:t xml:space="preserve"> adjusted so that t</w:t>
            </w:r>
            <w:r w:rsidRPr="00A83FDA">
              <w:rPr>
                <w:rFonts w:ascii="Arial Narrow" w:eastAsiaTheme="majorEastAsia" w:hAnsi="Arial Narrow" w:cstheme="majorBidi"/>
                <w:b/>
                <w:bCs/>
                <w:sz w:val="20"/>
              </w:rPr>
              <w:t>reatment effect wane</w:t>
            </w:r>
            <w:r w:rsidR="00834CB2" w:rsidRPr="00A83FDA">
              <w:rPr>
                <w:rFonts w:ascii="Arial Narrow" w:eastAsiaTheme="majorEastAsia" w:hAnsi="Arial Narrow" w:cstheme="majorBidi"/>
                <w:b/>
                <w:bCs/>
                <w:sz w:val="20"/>
              </w:rPr>
              <w:t>s</w:t>
            </w:r>
            <w:r w:rsidRPr="00A83FDA">
              <w:rPr>
                <w:rFonts w:ascii="Arial Narrow" w:eastAsiaTheme="majorEastAsia" w:hAnsi="Arial Narrow" w:cstheme="majorBidi"/>
                <w:b/>
                <w:bCs/>
                <w:sz w:val="20"/>
              </w:rPr>
              <w:t xml:space="preserve"> over time </w:t>
            </w:r>
            <w:r w:rsidR="00241D4F" w:rsidRPr="00A83FDA">
              <w:rPr>
                <w:rFonts w:ascii="Arial Narrow" w:eastAsiaTheme="majorEastAsia" w:hAnsi="Arial Narrow" w:cstheme="majorBidi"/>
                <w:b/>
                <w:bCs/>
                <w:sz w:val="20"/>
              </w:rPr>
              <w:t xml:space="preserve">(by altering utility values) from </w:t>
            </w:r>
            <w:r w:rsidRPr="00A83FDA">
              <w:rPr>
                <w:rFonts w:ascii="Arial Narrow" w:eastAsiaTheme="majorEastAsia" w:hAnsi="Arial Narrow" w:cstheme="majorBidi"/>
                <w:b/>
                <w:bCs/>
                <w:sz w:val="20"/>
              </w:rPr>
              <w:t xml:space="preserve">age </w:t>
            </w:r>
            <w:r w:rsidR="00241D4F" w:rsidRPr="00A83FDA">
              <w:rPr>
                <w:rFonts w:ascii="Arial Narrow" w:eastAsiaTheme="majorEastAsia" w:hAnsi="Arial Narrow" w:cstheme="majorBidi"/>
                <w:b/>
                <w:bCs/>
                <w:sz w:val="20"/>
              </w:rPr>
              <w:t xml:space="preserve">19 </w:t>
            </w:r>
            <w:r w:rsidRPr="00A83FDA">
              <w:rPr>
                <w:rFonts w:ascii="Arial Narrow" w:eastAsiaTheme="majorEastAsia" w:hAnsi="Arial Narrow" w:cstheme="majorBidi"/>
                <w:b/>
                <w:bCs/>
                <w:sz w:val="20"/>
              </w:rPr>
              <w:t xml:space="preserve">to </w:t>
            </w:r>
            <w:r w:rsidR="00241D4F" w:rsidRPr="00A83FDA">
              <w:rPr>
                <w:rFonts w:ascii="Arial Narrow" w:eastAsiaTheme="majorEastAsia" w:hAnsi="Arial Narrow" w:cstheme="majorBidi"/>
                <w:b/>
                <w:bCs/>
                <w:sz w:val="20"/>
              </w:rPr>
              <w:t>30 years</w:t>
            </w:r>
            <w:r w:rsidR="00834CB2" w:rsidRPr="00A83FDA">
              <w:rPr>
                <w:rFonts w:ascii="Arial Narrow" w:eastAsiaTheme="majorEastAsia" w:hAnsi="Arial Narrow" w:cstheme="majorBidi"/>
                <w:b/>
                <w:bCs/>
                <w:sz w:val="20"/>
              </w:rPr>
              <w:t xml:space="preserve"> (base case: utility values remain constant)</w:t>
            </w:r>
          </w:p>
        </w:tc>
      </w:tr>
      <w:tr w:rsidR="0081244E" w:rsidRPr="00A83FDA" w:rsidTr="00834CB2">
        <w:tc>
          <w:tcPr>
            <w:tcW w:w="4815" w:type="dxa"/>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ajorEastAsia" w:hAnsi="Arial Narrow" w:cstheme="majorBidi"/>
                <w:bCs/>
                <w:sz w:val="20"/>
              </w:rPr>
              <w:t xml:space="preserve">From </w:t>
            </w:r>
            <w:r w:rsidRPr="00A83FDA">
              <w:rPr>
                <w:rFonts w:ascii="Arial Narrow" w:eastAsiaTheme="majorEastAsia" w:hAnsi="Arial Narrow" w:cstheme="majorBidi"/>
                <w:bCs/>
                <w:sz w:val="20"/>
                <w:u w:val="single"/>
              </w:rPr>
              <w:t>19 years</w:t>
            </w:r>
            <w:r w:rsidRPr="00A83FDA">
              <w:rPr>
                <w:rFonts w:ascii="Arial Narrow" w:eastAsiaTheme="majorEastAsia" w:hAnsi="Arial Narrow" w:cstheme="majorBidi"/>
                <w:bCs/>
                <w:sz w:val="20"/>
              </w:rPr>
              <w:t xml:space="preserve"> of age (after </w:t>
            </w:r>
            <w:r w:rsidR="00DD01CF" w:rsidRPr="00A83FDA">
              <w:rPr>
                <w:rFonts w:ascii="Arial Narrow" w:eastAsiaTheme="majorEastAsia" w:hAnsi="Arial Narrow" w:cstheme="majorBidi"/>
                <w:bCs/>
                <w:sz w:val="20"/>
              </w:rPr>
              <w:t>burosumab</w:t>
            </w:r>
            <w:r w:rsidRPr="00A83FDA">
              <w:rPr>
                <w:rFonts w:ascii="Arial Narrow" w:eastAsiaTheme="majorEastAsia" w:hAnsi="Arial Narrow" w:cstheme="majorBidi"/>
                <w:bCs/>
                <w:sz w:val="20"/>
              </w:rPr>
              <w:t xml:space="preserve"> treatment cessation), apply utilities according to the following:</w:t>
            </w:r>
          </w:p>
          <w:p w:rsidR="0081244E" w:rsidRPr="00A83FDA" w:rsidRDefault="0081244E" w:rsidP="007C53EC">
            <w:pPr>
              <w:pStyle w:val="ListParagraph"/>
              <w:widowControl w:val="0"/>
              <w:numPr>
                <w:ilvl w:val="0"/>
                <w:numId w:val="8"/>
              </w:numPr>
              <w:spacing w:after="0"/>
              <w:ind w:left="114" w:hanging="142"/>
              <w:jc w:val="left"/>
              <w:rPr>
                <w:rFonts w:ascii="Arial Narrow" w:eastAsiaTheme="majorEastAsia" w:hAnsi="Arial Narrow" w:cstheme="majorBidi"/>
                <w:bCs/>
                <w:sz w:val="20"/>
              </w:rPr>
            </w:pPr>
            <w:r w:rsidRPr="00A83FDA">
              <w:rPr>
                <w:rFonts w:ascii="Arial Narrow" w:eastAsiaTheme="majorEastAsia" w:hAnsi="Arial Narrow" w:cstheme="majorBidi"/>
                <w:bCs/>
                <w:sz w:val="20"/>
              </w:rPr>
              <w:t>Mild (base case) values to the Healed state</w:t>
            </w:r>
          </w:p>
          <w:p w:rsidR="0081244E" w:rsidRPr="00A83FDA" w:rsidRDefault="0081244E" w:rsidP="007C53EC">
            <w:pPr>
              <w:pStyle w:val="ListParagraph"/>
              <w:widowControl w:val="0"/>
              <w:numPr>
                <w:ilvl w:val="0"/>
                <w:numId w:val="8"/>
              </w:numPr>
              <w:spacing w:after="0"/>
              <w:ind w:left="114" w:hanging="142"/>
              <w:jc w:val="left"/>
              <w:rPr>
                <w:rFonts w:ascii="Arial Narrow" w:eastAsiaTheme="majorEastAsia" w:hAnsi="Arial Narrow" w:cstheme="majorBidi"/>
                <w:bCs/>
                <w:sz w:val="20"/>
              </w:rPr>
            </w:pPr>
            <w:r w:rsidRPr="00A83FDA">
              <w:rPr>
                <w:rFonts w:ascii="Arial Narrow" w:eastAsiaTheme="majorEastAsia" w:hAnsi="Arial Narrow" w:cstheme="majorBidi"/>
                <w:bCs/>
                <w:sz w:val="20"/>
              </w:rPr>
              <w:t>Moderate (base case) values to the Mild state</w:t>
            </w:r>
          </w:p>
          <w:p w:rsidR="0081244E" w:rsidRPr="00A83FDA" w:rsidRDefault="0081244E" w:rsidP="007C53EC">
            <w:pPr>
              <w:pStyle w:val="ListParagraph"/>
              <w:widowControl w:val="0"/>
              <w:numPr>
                <w:ilvl w:val="0"/>
                <w:numId w:val="8"/>
              </w:numPr>
              <w:spacing w:after="0"/>
              <w:ind w:left="114" w:hanging="142"/>
              <w:jc w:val="left"/>
              <w:rPr>
                <w:rFonts w:ascii="Arial Narrow" w:eastAsiaTheme="majorEastAsia" w:hAnsi="Arial Narrow" w:cstheme="majorBidi"/>
                <w:bCs/>
                <w:sz w:val="20"/>
              </w:rPr>
            </w:pPr>
            <w:r w:rsidRPr="00A83FDA">
              <w:rPr>
                <w:rFonts w:ascii="Arial Narrow" w:eastAsiaTheme="majorEastAsia" w:hAnsi="Arial Narrow" w:cstheme="majorBidi"/>
                <w:bCs/>
                <w:sz w:val="20"/>
              </w:rPr>
              <w:t>Severe (base case) values to the Moderate state</w:t>
            </w:r>
          </w:p>
          <w:p w:rsidR="0081244E" w:rsidRPr="00A83FDA" w:rsidRDefault="009D038B" w:rsidP="007C53EC">
            <w:pPr>
              <w:pStyle w:val="ListParagraph"/>
              <w:widowControl w:val="0"/>
              <w:numPr>
                <w:ilvl w:val="0"/>
                <w:numId w:val="8"/>
              </w:numPr>
              <w:spacing w:after="0"/>
              <w:ind w:left="114" w:hanging="142"/>
              <w:jc w:val="left"/>
              <w:rPr>
                <w:rFonts w:ascii="Arial Narrow" w:eastAsiaTheme="majorEastAsia" w:hAnsi="Arial Narrow" w:cstheme="majorBidi"/>
                <w:bCs/>
                <w:sz w:val="20"/>
              </w:rPr>
            </w:pPr>
            <w:r w:rsidRPr="00A83FDA">
              <w:rPr>
                <w:rFonts w:ascii="Arial Narrow" w:eastAsiaTheme="majorEastAsia" w:hAnsi="Arial Narrow" w:cstheme="majorBidi"/>
                <w:bCs/>
                <w:sz w:val="20"/>
              </w:rPr>
              <w:t>Applied a</w:t>
            </w:r>
            <w:r w:rsidR="0081244E" w:rsidRPr="00A83FDA">
              <w:rPr>
                <w:rFonts w:ascii="Arial Narrow" w:eastAsiaTheme="majorEastAsia" w:hAnsi="Arial Narrow" w:cstheme="majorBidi"/>
                <w:bCs/>
                <w:sz w:val="20"/>
              </w:rPr>
              <w:t xml:space="preserve">verage decrement of the above three changes to the Severe health state. </w:t>
            </w:r>
          </w:p>
        </w:tc>
        <w:tc>
          <w:tcPr>
            <w:tcW w:w="1417" w:type="dxa"/>
            <w:vAlign w:val="center"/>
          </w:tcPr>
          <w:p w:rsidR="0081244E" w:rsidRPr="00A83FDA" w:rsidRDefault="0081244E" w:rsidP="00241D4F">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vAlign w:val="center"/>
          </w:tcPr>
          <w:p w:rsidR="0081244E" w:rsidRPr="00A83FDA" w:rsidRDefault="0081244E" w:rsidP="00241D4F">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3.45</w:t>
            </w:r>
          </w:p>
        </w:tc>
        <w:tc>
          <w:tcPr>
            <w:tcW w:w="1741" w:type="dxa"/>
            <w:vAlign w:val="center"/>
          </w:tcPr>
          <w:p w:rsidR="0081244E" w:rsidRPr="00A83FDA" w:rsidRDefault="0081244E" w:rsidP="00241D4F">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3</w:t>
            </w:r>
          </w:p>
        </w:tc>
      </w:tr>
      <w:tr w:rsidR="0081244E" w:rsidRPr="00A83FDA" w:rsidTr="00834CB2">
        <w:tc>
          <w:tcPr>
            <w:tcW w:w="4815" w:type="dxa"/>
          </w:tcPr>
          <w:p w:rsidR="0081244E" w:rsidRPr="00A83FDA" w:rsidRDefault="0081244E" w:rsidP="001C6535">
            <w:pPr>
              <w:widowControl w:val="0"/>
              <w:jc w:val="left"/>
              <w:rPr>
                <w:rFonts w:ascii="Arial Narrow" w:eastAsiaTheme="majorEastAsia" w:hAnsi="Arial Narrow" w:cstheme="majorBidi"/>
                <w:bCs/>
                <w:sz w:val="20"/>
              </w:rPr>
            </w:pPr>
            <w:r w:rsidRPr="00A83FDA">
              <w:rPr>
                <w:rFonts w:ascii="Arial Narrow" w:eastAsiaTheme="majorEastAsia" w:hAnsi="Arial Narrow" w:cstheme="majorBidi"/>
                <w:bCs/>
                <w:sz w:val="20"/>
              </w:rPr>
              <w:t>Applied as per the above, but from 30 years of age</w:t>
            </w:r>
          </w:p>
        </w:tc>
        <w:tc>
          <w:tcPr>
            <w:tcW w:w="1417"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p>
        </w:tc>
        <w:tc>
          <w:tcPr>
            <w:tcW w:w="1330"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3.74</w:t>
            </w:r>
          </w:p>
        </w:tc>
        <w:tc>
          <w:tcPr>
            <w:tcW w:w="1741" w:type="dxa"/>
          </w:tcPr>
          <w:p w:rsidR="0081244E" w:rsidRPr="00A83FDA" w:rsidRDefault="0081244E" w:rsidP="001C6535">
            <w:pPr>
              <w:widowControl w:val="0"/>
              <w:jc w:val="center"/>
              <w:rPr>
                <w:rFonts w:ascii="Arial Narrow" w:eastAsiaTheme="majorEastAsia" w:hAnsi="Arial Narrow" w:cstheme="majorBidi"/>
                <w:bCs/>
                <w:sz w:val="20"/>
              </w:rPr>
            </w:pPr>
            <w:r w:rsidRPr="00A83FDA">
              <w:rPr>
                <w:rFonts w:ascii="Arial Narrow" w:eastAsiaTheme="majorEastAsia" w:hAnsi="Arial Narrow" w:cstheme="majorBidi"/>
                <w:bCs/>
                <w:sz w:val="20"/>
              </w:rPr>
              <w:t>$</w:t>
            </w:r>
            <w:r w:rsidR="00A47328">
              <w:rPr>
                <w:rFonts w:ascii="Arial Narrow" w:eastAsiaTheme="majorEastAsia" w:hAnsi="Arial Narrow" w:cstheme="majorBidi"/>
                <w:bCs/>
                <w:noProof/>
                <w:color w:val="000000"/>
                <w:sz w:val="20"/>
                <w:highlight w:val="black"/>
              </w:rPr>
              <w:t>'''''''''''''''''''</w:t>
            </w:r>
            <w:r w:rsidR="00077C54" w:rsidRPr="00077C54">
              <w:rPr>
                <w:rFonts w:ascii="Arial Narrow" w:hAnsi="Arial Narrow"/>
                <w:sz w:val="18"/>
                <w:vertAlign w:val="superscript"/>
              </w:rPr>
              <w:t>2</w:t>
            </w:r>
          </w:p>
        </w:tc>
      </w:tr>
    </w:tbl>
    <w:bookmarkEnd w:id="24"/>
    <w:p w:rsidR="0081244E" w:rsidRPr="00A83FDA" w:rsidRDefault="0081244E" w:rsidP="0081244E">
      <w:pPr>
        <w:pStyle w:val="TableFigureFooter"/>
        <w:widowControl w:val="0"/>
      </w:pPr>
      <w:r w:rsidRPr="00A83FDA">
        <w:t>Source: Table 3-12, p137 of the submission, additional analyses were performed as described using Excel model provided with the submission.</w:t>
      </w:r>
    </w:p>
    <w:p w:rsidR="0081244E" w:rsidRPr="00A83FDA" w:rsidRDefault="0081244E" w:rsidP="0081244E">
      <w:pPr>
        <w:pStyle w:val="TableFigureFooter"/>
        <w:widowControl w:val="0"/>
      </w:pPr>
      <w:r w:rsidRPr="00A83FDA">
        <w:t>Italics indicates values calculated during the evaluation, if only the estimated ICER is italicised, then the evaluation had obtained a different value compared to result reported in the submission.</w:t>
      </w:r>
    </w:p>
    <w:p w:rsidR="0081244E" w:rsidRDefault="0081244E" w:rsidP="0081244E">
      <w:pPr>
        <w:pStyle w:val="TableFigureFooter"/>
        <w:widowControl w:val="0"/>
      </w:pPr>
      <w:r w:rsidRPr="00A83FDA">
        <w:t>Abbreviations: SPA=Special Pricing Arrangement; RSS=Rickets Severity</w:t>
      </w:r>
      <w:r w:rsidRPr="00D4558F">
        <w:t xml:space="preserve"> Score; </w:t>
      </w:r>
    </w:p>
    <w:p w:rsidR="00077C54" w:rsidRPr="004C6663" w:rsidRDefault="00077C54" w:rsidP="0081244E">
      <w:pPr>
        <w:pStyle w:val="TableFigureFooter"/>
        <w:widowControl w:val="0"/>
        <w:rPr>
          <w:i/>
        </w:rPr>
      </w:pPr>
      <w:r w:rsidRPr="004C6663">
        <w:rPr>
          <w:i/>
        </w:rPr>
        <w:t>The redacted values correspond to the following ranges:</w:t>
      </w:r>
    </w:p>
    <w:p w:rsidR="00077C54" w:rsidRPr="004C6663" w:rsidRDefault="00077C54" w:rsidP="0081244E">
      <w:pPr>
        <w:pStyle w:val="TableFigureFooter"/>
        <w:widowControl w:val="0"/>
        <w:rPr>
          <w:i/>
        </w:rPr>
      </w:pPr>
      <w:r w:rsidRPr="004C6663">
        <w:rPr>
          <w:i/>
          <w:vertAlign w:val="superscript"/>
        </w:rPr>
        <w:t>1</w:t>
      </w:r>
      <w:r w:rsidRPr="004C6663">
        <w:rPr>
          <w:i/>
        </w:rPr>
        <w:t xml:space="preserve"> &gt; $1,055,000/QALY gained</w:t>
      </w:r>
    </w:p>
    <w:p w:rsidR="00077C54" w:rsidRPr="004C6663" w:rsidRDefault="00077C54" w:rsidP="0081244E">
      <w:pPr>
        <w:pStyle w:val="TableFigureFooter"/>
        <w:widowControl w:val="0"/>
        <w:rPr>
          <w:i/>
        </w:rPr>
      </w:pPr>
      <w:r w:rsidRPr="004C6663">
        <w:rPr>
          <w:i/>
          <w:vertAlign w:val="superscript"/>
        </w:rPr>
        <w:t>2</w:t>
      </w:r>
      <w:r w:rsidRPr="004C6663">
        <w:rPr>
          <w:i/>
        </w:rPr>
        <w:t xml:space="preserve"> $755,000 to &lt; $855,000/QALY gained</w:t>
      </w:r>
    </w:p>
    <w:p w:rsidR="0081244E" w:rsidRPr="004C6663" w:rsidRDefault="00077C54" w:rsidP="00BB732D">
      <w:pPr>
        <w:pStyle w:val="TableFigureFooter"/>
        <w:rPr>
          <w:i/>
        </w:rPr>
      </w:pPr>
      <w:r w:rsidRPr="004C6663">
        <w:rPr>
          <w:i/>
          <w:vertAlign w:val="superscript"/>
        </w:rPr>
        <w:t>3</w:t>
      </w:r>
      <w:r w:rsidRPr="004C6663">
        <w:rPr>
          <w:i/>
        </w:rPr>
        <w:t xml:space="preserve"> $855,000 to &lt; $955,000/QALY gained</w:t>
      </w:r>
    </w:p>
    <w:p w:rsidR="00077C54" w:rsidRPr="004C6663" w:rsidRDefault="00077C54" w:rsidP="00BB732D">
      <w:pPr>
        <w:pStyle w:val="TableFigureFooter"/>
        <w:rPr>
          <w:i/>
        </w:rPr>
      </w:pPr>
      <w:r w:rsidRPr="004C6663">
        <w:rPr>
          <w:i/>
          <w:vertAlign w:val="superscript"/>
        </w:rPr>
        <w:t>4</w:t>
      </w:r>
      <w:r w:rsidRPr="004C6663">
        <w:rPr>
          <w:i/>
        </w:rPr>
        <w:t xml:space="preserve"> $655,000 to &lt; $755,000/QALY gained</w:t>
      </w:r>
    </w:p>
    <w:p w:rsidR="00077C54" w:rsidRPr="004C6663" w:rsidRDefault="00077C54" w:rsidP="00BB732D">
      <w:pPr>
        <w:pStyle w:val="TableFigureFooter"/>
        <w:rPr>
          <w:i/>
        </w:rPr>
      </w:pPr>
      <w:r w:rsidRPr="004C6663">
        <w:rPr>
          <w:i/>
          <w:vertAlign w:val="superscript"/>
        </w:rPr>
        <w:t>5</w:t>
      </w:r>
      <w:r w:rsidRPr="004C6663">
        <w:rPr>
          <w:i/>
        </w:rPr>
        <w:t xml:space="preserve"> $455,000 to &lt; $555,000/QALY gained</w:t>
      </w:r>
    </w:p>
    <w:p w:rsidR="00077C54" w:rsidRPr="004C6663" w:rsidRDefault="00077C54" w:rsidP="00BB732D">
      <w:pPr>
        <w:pStyle w:val="TableFigureFooter"/>
        <w:rPr>
          <w:i/>
        </w:rPr>
      </w:pPr>
      <w:r w:rsidRPr="004C6663">
        <w:rPr>
          <w:i/>
          <w:vertAlign w:val="superscript"/>
        </w:rPr>
        <w:t>6</w:t>
      </w:r>
      <w:r w:rsidRPr="004C6663">
        <w:rPr>
          <w:i/>
        </w:rPr>
        <w:t xml:space="preserve"> $555,000 to &lt; $655,000/QALY gained</w:t>
      </w:r>
    </w:p>
    <w:p w:rsidR="00077C54" w:rsidRPr="004C6663" w:rsidRDefault="00077C54" w:rsidP="00BB732D">
      <w:pPr>
        <w:pStyle w:val="TableFigureFooter"/>
        <w:rPr>
          <w:i/>
        </w:rPr>
      </w:pPr>
      <w:r w:rsidRPr="004C6663">
        <w:rPr>
          <w:i/>
          <w:vertAlign w:val="superscript"/>
        </w:rPr>
        <w:t>7</w:t>
      </w:r>
      <w:r w:rsidRPr="004C6663">
        <w:rPr>
          <w:i/>
        </w:rPr>
        <w:t xml:space="preserve"> &gt; $1,055,000/QALY gained</w:t>
      </w:r>
    </w:p>
    <w:p w:rsidR="00077C54" w:rsidRPr="004C6663" w:rsidRDefault="00077C54" w:rsidP="00BB732D">
      <w:pPr>
        <w:pStyle w:val="TableFigureFooter"/>
        <w:rPr>
          <w:i/>
        </w:rPr>
      </w:pPr>
      <w:r w:rsidRPr="004C6663">
        <w:rPr>
          <w:i/>
          <w:vertAlign w:val="superscript"/>
        </w:rPr>
        <w:t>8</w:t>
      </w:r>
      <w:r w:rsidRPr="004C6663">
        <w:rPr>
          <w:i/>
        </w:rPr>
        <w:t xml:space="preserve"> $355,000 to &lt; $455,000/QALY gained</w:t>
      </w:r>
    </w:p>
    <w:p w:rsidR="00F24F8B" w:rsidRPr="00B53825" w:rsidRDefault="00F24F8B" w:rsidP="00F63716">
      <w:pPr>
        <w:pStyle w:val="3-BodyText"/>
      </w:pPr>
      <w:r w:rsidRPr="00B53825">
        <w:t xml:space="preserve">The ESC considered that the revisions required to the </w:t>
      </w:r>
      <w:r w:rsidR="00EA32CF" w:rsidRPr="00B53825">
        <w:t>model structure</w:t>
      </w:r>
      <w:r w:rsidRPr="00B53825">
        <w:t xml:space="preserve"> </w:t>
      </w:r>
      <w:r w:rsidR="00EA32CF" w:rsidRPr="00B53825">
        <w:t xml:space="preserve">and utilities </w:t>
      </w:r>
      <w:r w:rsidRPr="00B53825">
        <w:t>were complex</w:t>
      </w:r>
      <w:r w:rsidR="00BC38E3" w:rsidRPr="00B53825">
        <w:t>,</w:t>
      </w:r>
      <w:r w:rsidRPr="00B53825">
        <w:t xml:space="preserve"> </w:t>
      </w:r>
      <w:r w:rsidR="00BC38E3" w:rsidRPr="00B53825">
        <w:t>particularly with the expectation that treatment may become life-long</w:t>
      </w:r>
      <w:r w:rsidRPr="00B53825">
        <w:t>.</w:t>
      </w:r>
      <w:r w:rsidR="00326397" w:rsidRPr="00B53825">
        <w:t xml:space="preserve"> The ESC considered </w:t>
      </w:r>
      <w:r w:rsidR="00EA32CF" w:rsidRPr="00B53825">
        <w:t xml:space="preserve">based on the model provided with this submission, </w:t>
      </w:r>
      <w:r w:rsidR="00326397" w:rsidRPr="00B53825">
        <w:t xml:space="preserve">further multivariate </w:t>
      </w:r>
      <w:r w:rsidR="00EA32CF" w:rsidRPr="00B53825">
        <w:t xml:space="preserve">and univariate </w:t>
      </w:r>
      <w:r w:rsidR="00326397" w:rsidRPr="00B53825">
        <w:t xml:space="preserve">sensitivity analyses </w:t>
      </w:r>
      <w:r w:rsidR="00EA32CF" w:rsidRPr="00B53825">
        <w:t xml:space="preserve">would be informative, including: </w:t>
      </w:r>
      <w:r w:rsidR="00326397" w:rsidRPr="00B53825">
        <w:t>use of burosumab</w:t>
      </w:r>
      <w:r w:rsidR="00EA32CF" w:rsidRPr="00B53825">
        <w:t xml:space="preserve"> beyond 17 years of age</w:t>
      </w:r>
      <w:r w:rsidR="00326397" w:rsidRPr="00B53825">
        <w:t xml:space="preserve">, </w:t>
      </w:r>
      <w:r w:rsidR="00EA32CF" w:rsidRPr="00B53825">
        <w:t xml:space="preserve">and </w:t>
      </w:r>
      <w:r w:rsidR="00326397" w:rsidRPr="00B53825">
        <w:t>maintenance of improvement beyond the trial evidence instead of improvement up to the age of 18</w:t>
      </w:r>
      <w:r w:rsidR="00EA32CF" w:rsidRPr="00B53825">
        <w:t>.</w:t>
      </w:r>
      <w:r w:rsidR="00894248" w:rsidRPr="00B53825">
        <w:t xml:space="preserve"> However, it was acknowledged that given the available data and proposed patient population, a high level of uncertainty would remain with these model revisions.</w:t>
      </w:r>
    </w:p>
    <w:p w:rsidR="00BC38E3" w:rsidRPr="00B53825" w:rsidRDefault="00BC38E3" w:rsidP="00BC38E3">
      <w:pPr>
        <w:pStyle w:val="3-BodyText"/>
      </w:pPr>
      <w:r w:rsidRPr="00B53825">
        <w:t>Noting the very high ICER, the ESC considered that any adjustments to the economic model and the proposed price of burosumab should account for the uncertainties in the model structure, assumptions applied and available data.</w:t>
      </w:r>
    </w:p>
    <w:p w:rsidR="00F24F8B" w:rsidRPr="00D4558F" w:rsidRDefault="00F24F8B" w:rsidP="00F24F8B">
      <w:pPr>
        <w:pStyle w:val="4-SubsectionHeading"/>
      </w:pPr>
      <w:r w:rsidRPr="00D4558F">
        <w:t>Drug cost/patient/year</w:t>
      </w:r>
    </w:p>
    <w:p w:rsidR="00F63716" w:rsidRPr="00D4558F" w:rsidRDefault="00F63716" w:rsidP="00F63716">
      <w:pPr>
        <w:pStyle w:val="3-BodyText"/>
      </w:pPr>
      <w:r w:rsidRPr="00D4558F">
        <w:t xml:space="preserve">The drug cost per patient per year for </w:t>
      </w:r>
      <w:r w:rsidR="003631B0">
        <w:t>burosumab</w:t>
      </w:r>
      <w:r w:rsidR="00834CB2">
        <w:t xml:space="preserve"> is</w:t>
      </w:r>
      <w:r w:rsidRPr="00D4558F">
        <w:t xml:space="preserve"> depend</w:t>
      </w:r>
      <w:r w:rsidR="00834CB2">
        <w:t>ent</w:t>
      </w:r>
      <w:r w:rsidRPr="00D4558F">
        <w:t xml:space="preserve"> on the assumed dose. At the assumed average dose of 0.86</w:t>
      </w:r>
      <w:r w:rsidR="0079796F">
        <w:t xml:space="preserve"> </w:t>
      </w:r>
      <w:r w:rsidRPr="00D4558F">
        <w:t xml:space="preserve">mg/kg the drug cost per patient per year for </w:t>
      </w:r>
      <w:r w:rsidR="003631B0">
        <w:t>burosumab</w:t>
      </w:r>
      <w:r w:rsidRPr="00D4558F">
        <w:t xml:space="preserve"> ranged from $</w:t>
      </w:r>
      <w:r w:rsidR="00A47328">
        <w:rPr>
          <w:noProof/>
          <w:color w:val="000000"/>
          <w:highlight w:val="black"/>
        </w:rPr>
        <w:t>'''''''''''''''''</w:t>
      </w:r>
      <w:r w:rsidRPr="00D4558F">
        <w:t xml:space="preserve"> to $</w:t>
      </w:r>
      <w:r w:rsidR="00A47328">
        <w:rPr>
          <w:noProof/>
          <w:color w:val="000000"/>
          <w:highlight w:val="black"/>
        </w:rPr>
        <w:t>''''''''''''''''</w:t>
      </w:r>
      <w:r w:rsidRPr="00D4558F">
        <w:t xml:space="preserve"> (using effective prices</w:t>
      </w:r>
      <w:r w:rsidR="001D6173">
        <w:t xml:space="preserve"> and weights by age/sex distribution derived from the Australasian Paediatric Endocrine growth charts)</w:t>
      </w:r>
      <w:r w:rsidR="00834CB2">
        <w:t>.</w:t>
      </w:r>
    </w:p>
    <w:p w:rsidR="00F87F89" w:rsidRPr="00B81BDA" w:rsidRDefault="002138BD" w:rsidP="000E70D7">
      <w:pPr>
        <w:pStyle w:val="3-BodyText"/>
        <w:rPr>
          <w:snapToGrid/>
        </w:rPr>
      </w:pPr>
      <w:r w:rsidRPr="00B81BDA">
        <w:rPr>
          <w:snapToGrid/>
        </w:rPr>
        <w:t xml:space="preserve">The </w:t>
      </w:r>
      <w:r w:rsidR="00B81BDA" w:rsidRPr="00B81BDA">
        <w:rPr>
          <w:snapToGrid/>
        </w:rPr>
        <w:t xml:space="preserve">costs used in the trial, model and financial estimates for </w:t>
      </w:r>
      <w:r w:rsidR="003631B0">
        <w:rPr>
          <w:snapToGrid/>
        </w:rPr>
        <w:t>burosumab</w:t>
      </w:r>
      <w:r w:rsidR="00B81BDA" w:rsidRPr="00B81BDA">
        <w:rPr>
          <w:snapToGrid/>
        </w:rPr>
        <w:t xml:space="preserve"> </w:t>
      </w:r>
      <w:r w:rsidR="00785952">
        <w:rPr>
          <w:snapToGrid/>
        </w:rPr>
        <w:t>are</w:t>
      </w:r>
      <w:r w:rsidR="00785952" w:rsidRPr="00B81BDA">
        <w:rPr>
          <w:snapToGrid/>
        </w:rPr>
        <w:t xml:space="preserve"> </w:t>
      </w:r>
      <w:r w:rsidR="00B81BDA" w:rsidRPr="00B81BDA">
        <w:rPr>
          <w:snapToGrid/>
        </w:rPr>
        <w:t>reasonably consistent</w:t>
      </w:r>
      <w:r w:rsidR="00785952">
        <w:rPr>
          <w:snapToGrid/>
        </w:rPr>
        <w:t>;</w:t>
      </w:r>
      <w:r w:rsidR="00B81BDA" w:rsidRPr="00B81BDA">
        <w:rPr>
          <w:snapToGrid/>
        </w:rPr>
        <w:t xml:space="preserve"> however</w:t>
      </w:r>
      <w:r w:rsidR="00785952">
        <w:rPr>
          <w:snapToGrid/>
        </w:rPr>
        <w:t>,</w:t>
      </w:r>
      <w:r w:rsidR="00B81BDA" w:rsidRPr="00B81BDA">
        <w:rPr>
          <w:snapToGrid/>
        </w:rPr>
        <w:t xml:space="preserve"> can change significantly depending on the dose of </w:t>
      </w:r>
      <w:r w:rsidR="003631B0">
        <w:rPr>
          <w:snapToGrid/>
        </w:rPr>
        <w:t>burosumab</w:t>
      </w:r>
      <w:r w:rsidR="00B81BDA" w:rsidRPr="00B81BDA">
        <w:rPr>
          <w:snapToGrid/>
        </w:rPr>
        <w:t xml:space="preserve"> used </w:t>
      </w:r>
      <w:r w:rsidR="00785952">
        <w:rPr>
          <w:snapToGrid/>
        </w:rPr>
        <w:t>(</w:t>
      </w:r>
      <w:r w:rsidR="00B81BDA" w:rsidRPr="00B81BDA">
        <w:rPr>
          <w:snapToGrid/>
        </w:rPr>
        <w:t>which is dependent on patient weight, dosage a</w:t>
      </w:r>
      <w:r w:rsidR="00A17CC4">
        <w:rPr>
          <w:snapToGrid/>
        </w:rPr>
        <w:t>n</w:t>
      </w:r>
      <w:r w:rsidR="00B81BDA" w:rsidRPr="00B81BDA">
        <w:rPr>
          <w:snapToGrid/>
        </w:rPr>
        <w:t>d phosphate levels</w:t>
      </w:r>
      <w:r w:rsidR="00785952">
        <w:rPr>
          <w:snapToGrid/>
        </w:rPr>
        <w:t>)</w:t>
      </w:r>
      <w:r w:rsidR="00B81BDA" w:rsidRPr="00B81BDA">
        <w:rPr>
          <w:snapToGrid/>
        </w:rPr>
        <w:t xml:space="preserve">. </w:t>
      </w:r>
    </w:p>
    <w:p w:rsidR="00F87F89" w:rsidRPr="00D4558F" w:rsidRDefault="00F87F89" w:rsidP="00F87F89">
      <w:pPr>
        <w:pStyle w:val="4-SubsectionHeading"/>
      </w:pPr>
      <w:bookmarkStart w:id="25" w:name="_Toc22897647"/>
      <w:bookmarkStart w:id="26" w:name="_Toc22898859"/>
      <w:bookmarkStart w:id="27" w:name="_Toc61864198"/>
      <w:r w:rsidRPr="00B81BDA">
        <w:t>Estimated PBS usage &amp; financial implications</w:t>
      </w:r>
      <w:bookmarkEnd w:id="25"/>
      <w:bookmarkEnd w:id="26"/>
      <w:bookmarkEnd w:id="27"/>
    </w:p>
    <w:p w:rsidR="007C53EC" w:rsidRPr="00D4558F" w:rsidRDefault="007C53EC" w:rsidP="007C53EC">
      <w:pPr>
        <w:pStyle w:val="3-BodyText"/>
      </w:pPr>
      <w:bookmarkStart w:id="28" w:name="_Toc22897649"/>
      <w:bookmarkStart w:id="29" w:name="_Toc22898861"/>
      <w:bookmarkStart w:id="30" w:name="_Toc61864200"/>
      <w:r w:rsidRPr="00D4558F">
        <w:t xml:space="preserve">This submission </w:t>
      </w:r>
      <w:r>
        <w:t>was</w:t>
      </w:r>
      <w:r w:rsidRPr="00D4558F">
        <w:t xml:space="preserve"> considered by DUSC.</w:t>
      </w:r>
    </w:p>
    <w:p w:rsidR="007B5CF6" w:rsidRPr="00D4558F" w:rsidRDefault="007C53EC" w:rsidP="007B5CF6">
      <w:pPr>
        <w:pStyle w:val="3-BodyText"/>
      </w:pPr>
      <w:r w:rsidRPr="00D4558F">
        <w:t xml:space="preserve">The submission estimated the financial implications of the proposed listing using an epidemiological approach based on data of XLH prevalence from the UK General Practice Research Database study, which was considered consistent with the </w:t>
      </w:r>
      <w:r>
        <w:t xml:space="preserve">Australian </w:t>
      </w:r>
      <w:r w:rsidRPr="00D4558F">
        <w:t xml:space="preserve">EAP </w:t>
      </w:r>
      <w:r>
        <w:t xml:space="preserve">for burosumab </w:t>
      </w:r>
      <w:r w:rsidRPr="00D4558F">
        <w:t>(commenced September 2018) that ha</w:t>
      </w:r>
      <w:r>
        <w:t>d</w:t>
      </w:r>
      <w:r w:rsidRPr="00D4558F">
        <w:t xml:space="preserve"> enrolled 55 paediatric patients. </w:t>
      </w:r>
      <w:r w:rsidR="007B5CF6">
        <w:t>DUSC noted that the prevalence of disease in Australia might differ to that in the UK and considered that there were limitations with the UK data which included that no genetic, radiological or blood tests were used to identify or confirm cases. The pre-PBAC response acknowledged that there was very little available evidence to inform prevalence estimates in the Australian population, but stated that an Australian prevalence study was nearing completion.</w:t>
      </w:r>
    </w:p>
    <w:p w:rsidR="007C53EC" w:rsidRDefault="007C53EC" w:rsidP="007C53EC">
      <w:pPr>
        <w:pStyle w:val="3-BodyText"/>
      </w:pPr>
      <w:r w:rsidRPr="00D4558F">
        <w:t xml:space="preserve">The submission assumed </w:t>
      </w:r>
      <w:r>
        <w:t>burosumab</w:t>
      </w:r>
      <w:r w:rsidRPr="00D4558F">
        <w:t xml:space="preserve"> would only substitute for conventional therapy comprising oral phosphorus and calcitriol, with a small cost-offset, and all patients commencing </w:t>
      </w:r>
      <w:r>
        <w:t>burosumab</w:t>
      </w:r>
      <w:r w:rsidRPr="00D4558F">
        <w:t xml:space="preserve"> will continue treatment with 100% compliance.</w:t>
      </w:r>
    </w:p>
    <w:p w:rsidR="007C53EC" w:rsidRPr="00D4558F" w:rsidRDefault="007C53EC" w:rsidP="007C53EC">
      <w:pPr>
        <w:pStyle w:val="3-BodyText"/>
      </w:pPr>
      <w:r w:rsidRPr="00D4558F">
        <w:t>Table 13 summarises the key inputs in the financial estimates.</w:t>
      </w:r>
    </w:p>
    <w:p w:rsidR="007C53EC" w:rsidRPr="00D4558F" w:rsidRDefault="007C53EC" w:rsidP="00DC3787">
      <w:pPr>
        <w:pStyle w:val="TableFigureHeading"/>
        <w:rPr>
          <w:rStyle w:val="CommentReference"/>
          <w:b/>
          <w:szCs w:val="24"/>
        </w:rPr>
      </w:pPr>
      <w:r w:rsidRPr="00D4558F">
        <w:rPr>
          <w:rStyle w:val="CommentReference"/>
          <w:b/>
          <w:szCs w:val="24"/>
        </w:rPr>
        <w:t>Table 13: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544"/>
        <w:gridCol w:w="4059"/>
      </w:tblGrid>
      <w:tr w:rsidR="007C53EC" w:rsidRPr="00D4558F" w:rsidTr="00C04ED3">
        <w:trPr>
          <w:cantSplit/>
          <w:tblHeader/>
        </w:trPr>
        <w:tc>
          <w:tcPr>
            <w:tcW w:w="784" w:type="pct"/>
            <w:shd w:val="clear" w:color="auto" w:fill="auto"/>
            <w:vAlign w:val="center"/>
          </w:tcPr>
          <w:p w:rsidR="007C53EC" w:rsidRPr="00D4558F" w:rsidRDefault="007C53EC" w:rsidP="00DC3787">
            <w:pPr>
              <w:pStyle w:val="In-tableHeading"/>
              <w:rPr>
                <w:lang w:val="en-AU"/>
              </w:rPr>
            </w:pPr>
            <w:r w:rsidRPr="00D4558F">
              <w:rPr>
                <w:lang w:val="en-AU"/>
              </w:rPr>
              <w:t>Parameter</w:t>
            </w:r>
          </w:p>
        </w:tc>
        <w:tc>
          <w:tcPr>
            <w:tcW w:w="1965" w:type="pct"/>
            <w:shd w:val="clear" w:color="auto" w:fill="auto"/>
            <w:vAlign w:val="center"/>
          </w:tcPr>
          <w:p w:rsidR="007C53EC" w:rsidRPr="00D4558F" w:rsidRDefault="007C53EC" w:rsidP="00DC3787">
            <w:pPr>
              <w:pStyle w:val="In-tableHeading"/>
              <w:rPr>
                <w:lang w:val="en-AU"/>
              </w:rPr>
            </w:pPr>
            <w:r w:rsidRPr="00D4558F">
              <w:rPr>
                <w:lang w:val="en-AU"/>
              </w:rPr>
              <w:t>Value applied and source</w:t>
            </w:r>
          </w:p>
        </w:tc>
        <w:tc>
          <w:tcPr>
            <w:tcW w:w="2251" w:type="pct"/>
            <w:shd w:val="clear" w:color="auto" w:fill="auto"/>
            <w:vAlign w:val="center"/>
          </w:tcPr>
          <w:p w:rsidR="007C53EC" w:rsidRPr="007C53EC" w:rsidRDefault="007C53EC" w:rsidP="00DC3787">
            <w:pPr>
              <w:pStyle w:val="In-tableHeading"/>
              <w:rPr>
                <w:lang w:val="en-AU"/>
              </w:rPr>
            </w:pPr>
            <w:r w:rsidRPr="007C53EC">
              <w:rPr>
                <w:lang w:val="en-AU"/>
              </w:rPr>
              <w:t>Comment</w:t>
            </w:r>
          </w:p>
        </w:tc>
      </w:tr>
      <w:tr w:rsidR="007C53EC" w:rsidRPr="00D4558F" w:rsidTr="00C04ED3">
        <w:trPr>
          <w:cantSplit/>
        </w:trPr>
        <w:tc>
          <w:tcPr>
            <w:tcW w:w="784" w:type="pct"/>
            <w:shd w:val="clear" w:color="auto" w:fill="auto"/>
            <w:vAlign w:val="center"/>
          </w:tcPr>
          <w:p w:rsidR="007C53EC" w:rsidRPr="00D4558F" w:rsidRDefault="007C53EC" w:rsidP="00DC3787">
            <w:pPr>
              <w:pStyle w:val="TableText0"/>
            </w:pPr>
            <w:r w:rsidRPr="00D4558F">
              <w:t>Prevalent with XLH</w:t>
            </w:r>
          </w:p>
        </w:tc>
        <w:tc>
          <w:tcPr>
            <w:tcW w:w="1965" w:type="pct"/>
            <w:shd w:val="clear" w:color="auto" w:fill="auto"/>
            <w:vAlign w:val="center"/>
          </w:tcPr>
          <w:p w:rsidR="007C53EC" w:rsidRPr="00D4558F" w:rsidRDefault="007C53EC" w:rsidP="00DC3787">
            <w:pPr>
              <w:pStyle w:val="TableText0"/>
            </w:pPr>
            <w:r w:rsidRPr="00D4558F">
              <w:t>0.0017%</w:t>
            </w:r>
          </w:p>
          <w:p w:rsidR="007C53EC" w:rsidRPr="00D4558F" w:rsidRDefault="007C53EC" w:rsidP="00DC3787">
            <w:pPr>
              <w:pStyle w:val="TableText0"/>
            </w:pPr>
            <w:r w:rsidRPr="00D4558F">
              <w:t xml:space="preserve">Source: UK General Practice Research Database (GPRD), </w:t>
            </w:r>
            <w:r w:rsidRPr="00D4558F">
              <w:rPr>
                <w:i/>
              </w:rPr>
              <w:t>Hawley et al 2020</w:t>
            </w:r>
          </w:p>
        </w:tc>
        <w:tc>
          <w:tcPr>
            <w:tcW w:w="2251" w:type="pct"/>
            <w:shd w:val="clear" w:color="auto" w:fill="auto"/>
            <w:vAlign w:val="center"/>
          </w:tcPr>
          <w:p w:rsidR="007C53EC" w:rsidRPr="007C53EC" w:rsidRDefault="007C53EC" w:rsidP="00DC3787">
            <w:pPr>
              <w:pStyle w:val="TableText0"/>
            </w:pPr>
            <w:r w:rsidRPr="007C53EC">
              <w:rPr>
                <w:bCs w:val="0"/>
              </w:rPr>
              <w:t xml:space="preserve">Reasonable given lack of Australian data. </w:t>
            </w:r>
            <w:r w:rsidR="007B5CF6" w:rsidRPr="007C53EC">
              <w:rPr>
                <w:bCs w:val="0"/>
              </w:rPr>
              <w:t>Literature has also reported increasing prevalence of XLH over time</w:t>
            </w:r>
            <w:r w:rsidR="007B5CF6" w:rsidRPr="007C53EC">
              <w:rPr>
                <w:bCs w:val="0"/>
                <w:vertAlign w:val="superscript"/>
              </w:rPr>
              <w:footnoteReference w:id="5"/>
            </w:r>
            <w:r w:rsidR="007B5CF6" w:rsidRPr="007C53EC">
              <w:rPr>
                <w:bCs w:val="0"/>
              </w:rPr>
              <w:t xml:space="preserve">. </w:t>
            </w:r>
            <w:r w:rsidR="007B5CF6">
              <w:rPr>
                <w:bCs w:val="0"/>
              </w:rPr>
              <w:t xml:space="preserve">However, the DUSC considered the estimate of 0.0017% was an underestimate as 16 and 17 year olds were not included in the estimate and the estimate likely only identified severe cases. </w:t>
            </w:r>
            <w:r w:rsidR="004A46A3">
              <w:rPr>
                <w:bCs w:val="0"/>
              </w:rPr>
              <w:t>The pre-PBAC response indicated that d</w:t>
            </w:r>
            <w:r w:rsidRPr="007C53EC">
              <w:rPr>
                <w:bCs w:val="0"/>
              </w:rPr>
              <w:t xml:space="preserve">ata </w:t>
            </w:r>
            <w:r w:rsidR="004A46A3">
              <w:rPr>
                <w:bCs w:val="0"/>
              </w:rPr>
              <w:t xml:space="preserve">would </w:t>
            </w:r>
            <w:r w:rsidRPr="007C53EC">
              <w:rPr>
                <w:bCs w:val="0"/>
              </w:rPr>
              <w:t>be forthcoming from an Australian study to estimate prevalence of XLH in Australia</w:t>
            </w:r>
            <w:bookmarkStart w:id="31" w:name="_Ref60923084"/>
            <w:r w:rsidRPr="007C53EC">
              <w:rPr>
                <w:bCs w:val="0"/>
                <w:vertAlign w:val="superscript"/>
              </w:rPr>
              <w:footnoteReference w:id="6"/>
            </w:r>
            <w:bookmarkEnd w:id="31"/>
            <w:r w:rsidRPr="007C53EC">
              <w:rPr>
                <w:bCs w:val="0"/>
              </w:rPr>
              <w:t xml:space="preserve">. </w:t>
            </w:r>
          </w:p>
        </w:tc>
      </w:tr>
      <w:tr w:rsidR="007C53EC" w:rsidRPr="00D4558F" w:rsidTr="00C04ED3">
        <w:trPr>
          <w:cantSplit/>
        </w:trPr>
        <w:tc>
          <w:tcPr>
            <w:tcW w:w="784" w:type="pct"/>
            <w:shd w:val="clear" w:color="auto" w:fill="auto"/>
            <w:vAlign w:val="center"/>
          </w:tcPr>
          <w:p w:rsidR="007C53EC" w:rsidRPr="00D4558F" w:rsidRDefault="007C53EC" w:rsidP="00DC3787">
            <w:pPr>
              <w:pStyle w:val="TableText0"/>
              <w:keepNext w:val="0"/>
            </w:pPr>
            <w:r w:rsidRPr="00D4558F">
              <w:t xml:space="preserve">Uptake rate of </w:t>
            </w:r>
            <w:r>
              <w:t>burosumab</w:t>
            </w:r>
          </w:p>
        </w:tc>
        <w:tc>
          <w:tcPr>
            <w:tcW w:w="1965" w:type="pct"/>
            <w:shd w:val="clear" w:color="auto" w:fill="auto"/>
            <w:vAlign w:val="center"/>
          </w:tcPr>
          <w:p w:rsidR="007C53EC" w:rsidRPr="00D4558F" w:rsidRDefault="007C53EC" w:rsidP="00DC3787">
            <w:pPr>
              <w:pStyle w:val="TableText0"/>
              <w:keepNext w:val="0"/>
            </w:pPr>
            <w:r w:rsidRPr="00D4558F">
              <w:t>Yr 1: 70%, Yr 2: 80%, Yr 3 to Yr 6: 90%</w:t>
            </w:r>
          </w:p>
          <w:p w:rsidR="007C53EC" w:rsidRPr="00D4558F" w:rsidRDefault="007C53EC" w:rsidP="00DC3787">
            <w:pPr>
              <w:pStyle w:val="TableText0"/>
              <w:keepNext w:val="0"/>
            </w:pPr>
            <w:r w:rsidRPr="00D4558F">
              <w:t>Source: Assumption</w:t>
            </w:r>
          </w:p>
        </w:tc>
        <w:tc>
          <w:tcPr>
            <w:tcW w:w="2251" w:type="pct"/>
            <w:shd w:val="clear" w:color="auto" w:fill="auto"/>
            <w:vAlign w:val="center"/>
          </w:tcPr>
          <w:p w:rsidR="007C53EC" w:rsidRPr="007C53EC" w:rsidRDefault="007C53EC" w:rsidP="00DC3787">
            <w:pPr>
              <w:pStyle w:val="TableText0"/>
              <w:keepNext w:val="0"/>
              <w:rPr>
                <w:bCs w:val="0"/>
              </w:rPr>
            </w:pPr>
            <w:r w:rsidRPr="007C53EC">
              <w:rPr>
                <w:bCs w:val="0"/>
              </w:rPr>
              <w:t>The assumption could not be verified.</w:t>
            </w:r>
            <w:r w:rsidR="007B5CF6">
              <w:rPr>
                <w:bCs w:val="0"/>
              </w:rPr>
              <w:t xml:space="preserve"> DUSC considered that uptake would be high in newly diagnosed patients.</w:t>
            </w:r>
            <w:r w:rsidR="004A46A3">
              <w:rPr>
                <w:bCs w:val="0"/>
              </w:rPr>
              <w:t xml:space="preserve"> The pre-PBAC response stated that experience in the EAP suggested that uptake would be high.</w:t>
            </w:r>
          </w:p>
        </w:tc>
      </w:tr>
      <w:tr w:rsidR="007C53EC" w:rsidRPr="00D4558F" w:rsidTr="00C04ED3">
        <w:trPr>
          <w:cantSplit/>
        </w:trPr>
        <w:tc>
          <w:tcPr>
            <w:tcW w:w="784" w:type="pct"/>
            <w:shd w:val="clear" w:color="auto" w:fill="auto"/>
            <w:vAlign w:val="center"/>
          </w:tcPr>
          <w:p w:rsidR="007C53EC" w:rsidRPr="00D4558F" w:rsidRDefault="007C53EC" w:rsidP="00DC3787">
            <w:pPr>
              <w:pStyle w:val="TableText0"/>
              <w:keepNext w:val="0"/>
            </w:pPr>
            <w:r w:rsidRPr="00D4558F">
              <w:t xml:space="preserve">Compliance for </w:t>
            </w:r>
            <w:r>
              <w:t>burosumab</w:t>
            </w:r>
          </w:p>
        </w:tc>
        <w:tc>
          <w:tcPr>
            <w:tcW w:w="1965" w:type="pct"/>
            <w:shd w:val="clear" w:color="auto" w:fill="auto"/>
            <w:vAlign w:val="center"/>
          </w:tcPr>
          <w:p w:rsidR="007C53EC" w:rsidRPr="00D4558F" w:rsidRDefault="007C53EC" w:rsidP="00DC3787">
            <w:pPr>
              <w:pStyle w:val="TableText0"/>
              <w:keepNext w:val="0"/>
            </w:pPr>
            <w:r w:rsidRPr="00D4558F">
              <w:t>100%</w:t>
            </w:r>
          </w:p>
          <w:p w:rsidR="007C53EC" w:rsidRPr="00D4558F" w:rsidRDefault="007C53EC" w:rsidP="00DC3787">
            <w:pPr>
              <w:pStyle w:val="TableText0"/>
              <w:keepNext w:val="0"/>
            </w:pPr>
            <w:r w:rsidRPr="00D4558F">
              <w:t>Source: Assumption</w:t>
            </w:r>
          </w:p>
        </w:tc>
        <w:tc>
          <w:tcPr>
            <w:tcW w:w="2251" w:type="pct"/>
            <w:shd w:val="clear" w:color="auto" w:fill="auto"/>
            <w:vAlign w:val="center"/>
          </w:tcPr>
          <w:p w:rsidR="007C53EC" w:rsidRPr="007C53EC" w:rsidRDefault="007C53EC" w:rsidP="00DC3787">
            <w:pPr>
              <w:pStyle w:val="TableText0"/>
              <w:keepNext w:val="0"/>
              <w:rPr>
                <w:bCs w:val="0"/>
              </w:rPr>
            </w:pPr>
            <w:r w:rsidRPr="007C53EC">
              <w:rPr>
                <w:bCs w:val="0"/>
              </w:rPr>
              <w:t>This was consistent with 0% discontinuation assumed in the economic evaluation and the clinical data.</w:t>
            </w:r>
            <w:r w:rsidR="004A46A3">
              <w:rPr>
                <w:bCs w:val="0"/>
              </w:rPr>
              <w:t xml:space="preserve"> The pre-PBAC response stated that experience in the EAP suggested that compliance and persistence with burosumab would be high.</w:t>
            </w:r>
          </w:p>
        </w:tc>
      </w:tr>
      <w:tr w:rsidR="007C53EC" w:rsidRPr="00D4558F" w:rsidTr="00C04ED3">
        <w:trPr>
          <w:cantSplit/>
        </w:trPr>
        <w:tc>
          <w:tcPr>
            <w:tcW w:w="784" w:type="pct"/>
            <w:shd w:val="clear" w:color="auto" w:fill="auto"/>
            <w:vAlign w:val="center"/>
          </w:tcPr>
          <w:p w:rsidR="007C53EC" w:rsidRPr="00D4558F" w:rsidRDefault="007C53EC" w:rsidP="00DC3787">
            <w:pPr>
              <w:pStyle w:val="TableText0"/>
              <w:keepNext w:val="0"/>
            </w:pPr>
            <w:r w:rsidRPr="00D4558F">
              <w:t>Compliance for conventional therapy</w:t>
            </w:r>
          </w:p>
        </w:tc>
        <w:tc>
          <w:tcPr>
            <w:tcW w:w="1965" w:type="pct"/>
            <w:shd w:val="clear" w:color="auto" w:fill="auto"/>
            <w:vAlign w:val="center"/>
          </w:tcPr>
          <w:p w:rsidR="007C53EC" w:rsidRPr="00D4558F" w:rsidRDefault="007C53EC" w:rsidP="00DC3787">
            <w:pPr>
              <w:pStyle w:val="TableText0"/>
              <w:keepNext w:val="0"/>
            </w:pPr>
            <w:r w:rsidRPr="00D4558F">
              <w:t>75%</w:t>
            </w:r>
          </w:p>
          <w:p w:rsidR="007C53EC" w:rsidRPr="00D4558F" w:rsidRDefault="007C53EC" w:rsidP="00DC3787">
            <w:pPr>
              <w:pStyle w:val="TableText0"/>
              <w:keepNext w:val="0"/>
            </w:pPr>
            <w:r w:rsidRPr="00D4558F">
              <w:t>Source: Assumption</w:t>
            </w:r>
          </w:p>
        </w:tc>
        <w:tc>
          <w:tcPr>
            <w:tcW w:w="2251" w:type="pct"/>
            <w:shd w:val="clear" w:color="auto" w:fill="auto"/>
            <w:vAlign w:val="center"/>
          </w:tcPr>
          <w:p w:rsidR="007C53EC" w:rsidRPr="007C53EC" w:rsidRDefault="007C53EC" w:rsidP="00DC3787">
            <w:pPr>
              <w:pStyle w:val="TableText0"/>
              <w:keepNext w:val="0"/>
              <w:rPr>
                <w:bCs w:val="0"/>
              </w:rPr>
            </w:pPr>
            <w:r w:rsidRPr="007C53EC">
              <w:rPr>
                <w:bCs w:val="0"/>
              </w:rPr>
              <w:t>The assumption could not be verified, however clinical data from CL301 reported no discontinuations in the conventional therapy group during the 64-week treatment period. Nonetheless, the financial estimates were not sensitive to the compliance rate for conventional therapy.</w:t>
            </w:r>
          </w:p>
        </w:tc>
      </w:tr>
      <w:tr w:rsidR="007C53EC" w:rsidRPr="00D4558F" w:rsidTr="00C04ED3">
        <w:trPr>
          <w:cantSplit/>
        </w:trPr>
        <w:tc>
          <w:tcPr>
            <w:tcW w:w="784" w:type="pct"/>
            <w:vAlign w:val="center"/>
          </w:tcPr>
          <w:p w:rsidR="007C53EC" w:rsidRPr="00D4558F" w:rsidRDefault="004A46A3" w:rsidP="00DC3787">
            <w:pPr>
              <w:pStyle w:val="TableText0"/>
              <w:keepNext w:val="0"/>
            </w:pPr>
            <w:r>
              <w:rPr>
                <w:bCs w:val="0"/>
              </w:rPr>
              <w:t>B</w:t>
            </w:r>
            <w:r w:rsidR="007C53EC">
              <w:rPr>
                <w:bCs w:val="0"/>
              </w:rPr>
              <w:t>urosumab</w:t>
            </w:r>
            <w:r w:rsidR="007C53EC" w:rsidRPr="00D4558F">
              <w:rPr>
                <w:bCs w:val="0"/>
              </w:rPr>
              <w:t xml:space="preserve"> dose</w:t>
            </w:r>
          </w:p>
        </w:tc>
        <w:tc>
          <w:tcPr>
            <w:tcW w:w="1965" w:type="pct"/>
            <w:vAlign w:val="center"/>
          </w:tcPr>
          <w:p w:rsidR="007C53EC" w:rsidRPr="00D4558F" w:rsidRDefault="007C53EC" w:rsidP="00DC3787">
            <w:pPr>
              <w:pStyle w:val="TableText0"/>
              <w:keepNext w:val="0"/>
              <w:rPr>
                <w:bCs w:val="0"/>
              </w:rPr>
            </w:pPr>
            <w:r w:rsidRPr="00D4558F">
              <w:rPr>
                <w:bCs w:val="0"/>
              </w:rPr>
              <w:t>0.86 mg/kg Q2W</w:t>
            </w:r>
          </w:p>
          <w:p w:rsidR="007C53EC" w:rsidRPr="00D4558F" w:rsidRDefault="007C53EC" w:rsidP="00DC3787">
            <w:pPr>
              <w:pStyle w:val="TableText0"/>
              <w:keepNext w:val="0"/>
            </w:pPr>
            <w:r w:rsidRPr="00D4558F">
              <w:t xml:space="preserve">Source: </w:t>
            </w:r>
            <w:r w:rsidRPr="00D4558F">
              <w:rPr>
                <w:bCs w:val="0"/>
              </w:rPr>
              <w:t xml:space="preserve">Section 3.6, </w:t>
            </w:r>
            <w:r w:rsidRPr="00D4558F">
              <w:rPr>
                <w:bCs w:val="0"/>
                <w:i/>
              </w:rPr>
              <w:t>based on included studies.</w:t>
            </w:r>
          </w:p>
        </w:tc>
        <w:tc>
          <w:tcPr>
            <w:tcW w:w="2251" w:type="pct"/>
            <w:shd w:val="clear" w:color="auto" w:fill="auto"/>
            <w:vAlign w:val="center"/>
          </w:tcPr>
          <w:p w:rsidR="007C53EC" w:rsidRPr="007C53EC" w:rsidRDefault="007C53EC" w:rsidP="00DC3787">
            <w:pPr>
              <w:pStyle w:val="TableText0"/>
              <w:keepNext w:val="0"/>
            </w:pPr>
            <w:r w:rsidRPr="007C53EC">
              <w:rPr>
                <w:bCs w:val="0"/>
              </w:rPr>
              <w:t>As discussed in Economic Analysis, this may be an underestimate of the likely prescribed dose</w:t>
            </w:r>
            <w:r w:rsidR="00342380">
              <w:rPr>
                <w:bCs w:val="0"/>
              </w:rPr>
              <w:t xml:space="preserve"> as the mean dose from the Australian EAP data was 1.05 mg/kg</w:t>
            </w:r>
            <w:r w:rsidRPr="007C53EC">
              <w:rPr>
                <w:bCs w:val="0"/>
              </w:rPr>
              <w:t xml:space="preserve">. </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Conventional therapy dose</w:t>
            </w:r>
          </w:p>
        </w:tc>
        <w:tc>
          <w:tcPr>
            <w:tcW w:w="1965" w:type="pct"/>
            <w:shd w:val="clear" w:color="auto" w:fill="auto"/>
            <w:vAlign w:val="center"/>
          </w:tcPr>
          <w:p w:rsidR="007C53EC" w:rsidRPr="00D4558F" w:rsidRDefault="002E3780" w:rsidP="00C04ED3">
            <w:pPr>
              <w:pStyle w:val="TableText0"/>
              <w:keepNext w:val="0"/>
            </w:pPr>
            <w:r>
              <w:t>O</w:t>
            </w:r>
            <w:r w:rsidR="007C53EC" w:rsidRPr="00D4558F">
              <w:t>ral phosphate: 4 x 500 mg tablets per day</w:t>
            </w:r>
          </w:p>
          <w:p w:rsidR="007C53EC" w:rsidRPr="00D4558F" w:rsidRDefault="002E3780" w:rsidP="00C04ED3">
            <w:pPr>
              <w:pStyle w:val="TableText0"/>
              <w:keepNext w:val="0"/>
            </w:pPr>
            <w:r>
              <w:t>C</w:t>
            </w:r>
            <w:r w:rsidR="007C53EC" w:rsidRPr="00D4558F">
              <w:t>alcitriol: 25 ng/kg per day</w:t>
            </w:r>
          </w:p>
          <w:p w:rsidR="007C53EC" w:rsidRPr="00D4558F" w:rsidRDefault="007C53EC" w:rsidP="00C04ED3">
            <w:pPr>
              <w:pStyle w:val="TableText0"/>
              <w:keepNext w:val="0"/>
            </w:pPr>
            <w:r w:rsidRPr="00D4558F">
              <w:t>Source: Section 3.6 based on guidelines, PI, trial and expert advice</w:t>
            </w:r>
          </w:p>
        </w:tc>
        <w:tc>
          <w:tcPr>
            <w:tcW w:w="2251" w:type="pct"/>
            <w:shd w:val="clear" w:color="auto" w:fill="auto"/>
            <w:vAlign w:val="center"/>
          </w:tcPr>
          <w:p w:rsidR="007C53EC" w:rsidRPr="007C53EC" w:rsidRDefault="007C53EC" w:rsidP="00C04ED3">
            <w:pPr>
              <w:pStyle w:val="TableText0"/>
              <w:keepNext w:val="0"/>
            </w:pPr>
            <w:r w:rsidRPr="007C53EC">
              <w:t>The doses were consistent with the economic evaluation. The assumed doses did not account for variations across the weight-based dosing. The submission used a fixed dose of phosphate for all patients, which was not entirely consistent with the main trial and clinical guidelines. The weight-based dosing of calcitriol was within the range recommended by the guidelines but lower than the mean dose in the main trial, furthermore the average dose was rounded up to 250 ng (see below). In CL301 the mean daily dose by body weight for phosphate was approximately 41 mg/kg and calcitriol 30 ng/kg, and the guideline# recommended doses for phosphate is 20–60 mg/kg daily given 4-6 times per day in young patients and for calcitriol 20-30 ng/kg daily in 2-3 divided doses or 50 ng daily in patients &gt;12months adjusted on the basis of clinical and biochemical responses.</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Patient weight (kg)/age distribution</w:t>
            </w:r>
          </w:p>
        </w:tc>
        <w:tc>
          <w:tcPr>
            <w:tcW w:w="1965"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Caption w:val="Patient weight (kg)/age distribution"/>
            </w:tblPr>
            <w:tblGrid>
              <w:gridCol w:w="422"/>
              <w:gridCol w:w="971"/>
            </w:tblGrid>
            <w:tr w:rsidR="007C53EC" w:rsidRPr="00D4558F" w:rsidTr="00E21643">
              <w:trPr>
                <w:tblHeader/>
              </w:trPr>
              <w:tc>
                <w:tcPr>
                  <w:tcW w:w="422" w:type="dxa"/>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cstheme="majorBidi"/>
                      <w:bCs/>
                      <w:sz w:val="18"/>
                    </w:rPr>
                    <w:t>Age</w:t>
                  </w:r>
                </w:p>
              </w:tc>
              <w:tc>
                <w:tcPr>
                  <w:tcW w:w="971" w:type="dxa"/>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cstheme="majorBidi"/>
                      <w:bCs/>
                      <w:sz w:val="18"/>
                    </w:rPr>
                    <w:t>Mean weight</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10.48</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2</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12.74</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3</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14.24</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4</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16.72</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5</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18.24</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6</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20.74</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7</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23.00</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8</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26.00</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9</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28.76</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10</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32.52</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11</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36.78</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12</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41.52</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13</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46.00</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14</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50.45</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15</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53.91</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16</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57.34</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17</w:t>
                  </w:r>
                </w:p>
              </w:tc>
              <w:tc>
                <w:tcPr>
                  <w:tcW w:w="971"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60.72</w:t>
                  </w:r>
                </w:p>
              </w:tc>
            </w:tr>
          </w:tbl>
          <w:p w:rsidR="007C53EC" w:rsidRPr="00D4558F" w:rsidRDefault="007C53EC" w:rsidP="00C04ED3">
            <w:pPr>
              <w:pStyle w:val="TableText0"/>
              <w:keepNext w:val="0"/>
            </w:pPr>
            <w:r w:rsidRPr="00D4558F">
              <w:t>Source: Australasian Paediatric Endocrine Group (APEG) growth charts for boys and girls in Australia and New Zealand. Averaged across boys and girls assuming a 47.7% to 52.3% gender split.</w:t>
            </w:r>
            <w:bookmarkStart w:id="32" w:name="_GoBack"/>
            <w:bookmarkEnd w:id="32"/>
          </w:p>
        </w:tc>
        <w:tc>
          <w:tcPr>
            <w:tcW w:w="2251" w:type="pct"/>
            <w:shd w:val="clear" w:color="auto" w:fill="auto"/>
            <w:vAlign w:val="center"/>
          </w:tcPr>
          <w:p w:rsidR="007C53EC" w:rsidRPr="007C53EC" w:rsidRDefault="007C53EC" w:rsidP="00C04ED3">
            <w:pPr>
              <w:pStyle w:val="TableText0"/>
              <w:keepNext w:val="0"/>
            </w:pPr>
            <w:r w:rsidRPr="007C53EC">
              <w:t>Reasonable and consistent with the economic evaluation. The submission determined the average dose of burosumab treatment (rounded to nearest 10 mg) by body weight/age calculated as the mean dose multiplied by the mean body weight by age distribution in the Australian population. The XLH population is likely to be of smaller stature (and lower body weight) than the general population at the same age, due to effects on growth. XLH is also likely to be more prevalent in girls given it is an X chromosome linked disease. Both would lead to a lower burosumab dose, despite this overall dose of burosumab is still likely to be overestimated due to a potential underestimate of the prescribed mean dose for burosumab.</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Population weighting</w:t>
            </w:r>
          </w:p>
        </w:tc>
        <w:tc>
          <w:tcPr>
            <w:tcW w:w="1965" w:type="pct"/>
            <w:shd w:val="clear" w:color="auto" w:fill="auto"/>
            <w:vAlign w:val="center"/>
          </w:tcPr>
          <w:tbl>
            <w:tblPr>
              <w:tblStyle w:val="TableGrid"/>
              <w:tblW w:w="1412" w:type="dxa"/>
              <w:tblLayout w:type="fixed"/>
              <w:tblCellMar>
                <w:left w:w="28" w:type="dxa"/>
                <w:right w:w="28" w:type="dxa"/>
              </w:tblCellMar>
              <w:tblLook w:val="04A0" w:firstRow="1" w:lastRow="0" w:firstColumn="1" w:lastColumn="0" w:noHBand="0" w:noVBand="1"/>
              <w:tblCaption w:val="Population weighting"/>
            </w:tblPr>
            <w:tblGrid>
              <w:gridCol w:w="422"/>
              <w:gridCol w:w="990"/>
            </w:tblGrid>
            <w:tr w:rsidR="007C53EC" w:rsidRPr="00D4558F" w:rsidTr="00E21643">
              <w:trPr>
                <w:tblHeader/>
              </w:trPr>
              <w:tc>
                <w:tcPr>
                  <w:tcW w:w="422" w:type="dxa"/>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cstheme="majorBidi"/>
                      <w:bCs/>
                      <w:sz w:val="18"/>
                    </w:rPr>
                    <w:t>Age</w:t>
                  </w:r>
                </w:p>
              </w:tc>
              <w:tc>
                <w:tcPr>
                  <w:tcW w:w="990" w:type="dxa"/>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cstheme="majorBidi"/>
                      <w:bCs/>
                      <w:sz w:val="18"/>
                    </w:rPr>
                    <w:t>Weighting</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6.11%</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2</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6.05%</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3</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5.99%</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4</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5.77%</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5</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6.07%</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6</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5.97%</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7</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5.95%</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8</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6.02%</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9</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5.96%</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10</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5.94%</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11</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cstheme="majorBidi"/>
                      <w:bCs/>
                      <w:sz w:val="18"/>
                    </w:rPr>
                  </w:pPr>
                  <w:r w:rsidRPr="00D4558F">
                    <w:rPr>
                      <w:rFonts w:ascii="Arial Narrow" w:eastAsiaTheme="majorEastAsia" w:hAnsi="Arial Narrow"/>
                      <w:bCs/>
                      <w:color w:val="000000"/>
                      <w:sz w:val="18"/>
                      <w:szCs w:val="20"/>
                    </w:rPr>
                    <w:t>5.96%</w:t>
                  </w:r>
                </w:p>
              </w:tc>
            </w:tr>
            <w:tr w:rsidR="007C53EC" w:rsidRPr="00D4558F" w:rsidTr="00C04ED3">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12</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5.88%</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13</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5.88%</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14</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5.83%</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15</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5.65%</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16</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5.48%</w:t>
                  </w:r>
                </w:p>
              </w:tc>
            </w:tr>
            <w:tr w:rsidR="007C53EC" w:rsidRPr="00D4558F" w:rsidTr="00C04ED3">
              <w:tc>
                <w:tcPr>
                  <w:tcW w:w="422"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17</w:t>
                  </w:r>
                </w:p>
              </w:tc>
              <w:tc>
                <w:tcPr>
                  <w:tcW w:w="990"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eastAsiaTheme="majorEastAsia" w:hAnsi="Arial Narrow"/>
                      <w:bCs/>
                      <w:color w:val="000000"/>
                      <w:sz w:val="18"/>
                      <w:szCs w:val="20"/>
                    </w:rPr>
                  </w:pPr>
                  <w:r w:rsidRPr="00D4558F">
                    <w:rPr>
                      <w:rFonts w:ascii="Arial Narrow" w:eastAsiaTheme="majorEastAsia" w:hAnsi="Arial Narrow"/>
                      <w:bCs/>
                      <w:color w:val="000000"/>
                      <w:sz w:val="18"/>
                      <w:szCs w:val="20"/>
                    </w:rPr>
                    <w:t>5.47%</w:t>
                  </w:r>
                </w:p>
              </w:tc>
            </w:tr>
          </w:tbl>
          <w:p w:rsidR="007C53EC" w:rsidRPr="00D4558F" w:rsidRDefault="007C53EC" w:rsidP="00C04ED3">
            <w:pPr>
              <w:pStyle w:val="TableText0"/>
              <w:keepNext w:val="0"/>
            </w:pPr>
            <w:r w:rsidRPr="00D4558F">
              <w:t xml:space="preserve">Source: </w:t>
            </w:r>
            <w:r w:rsidRPr="00D4558F">
              <w:rPr>
                <w:bCs w:val="0"/>
              </w:rPr>
              <w:t>Calculated based on Y1 (2020) ABS population distribution by age (</w:t>
            </w:r>
            <w:r w:rsidRPr="00D4558F">
              <w:rPr>
                <w:bCs w:val="0"/>
                <w:i/>
              </w:rPr>
              <w:t>i.e., base population by age / total population 1-17 years)</w:t>
            </w:r>
          </w:p>
        </w:tc>
        <w:tc>
          <w:tcPr>
            <w:tcW w:w="2251" w:type="pct"/>
            <w:shd w:val="clear" w:color="auto" w:fill="auto"/>
            <w:vAlign w:val="center"/>
          </w:tcPr>
          <w:p w:rsidR="007C53EC" w:rsidRPr="007C53EC" w:rsidRDefault="007C53EC" w:rsidP="00C04ED3">
            <w:pPr>
              <w:pStyle w:val="TableText0"/>
              <w:keepNext w:val="0"/>
            </w:pPr>
            <w:r w:rsidRPr="007C53EC">
              <w:t xml:space="preserve">The submission derived the population weighting to estimate the average number and strengths of treatment units (e.g. vials) required per dose in the population distribution by body weight/age. The submission inappropriately assumed the population weighting based on the Yr (2021) ABS population distribution by age for all 6 years of listing. Age distribution in the general population may not reflect age distribution of patients with XLH. Furthermore, </w:t>
            </w:r>
            <w:r w:rsidR="00342380">
              <w:t xml:space="preserve">DUSC noted that the </w:t>
            </w:r>
            <w:r w:rsidRPr="007C53EC">
              <w:t>pattern of use is likely to change over time with older prevalent patients getting treated initially and younger patients in later years as incident (newly diagnosed patients) are treated. A higher proportion of older patients will increase total mg of burosumab needed and increase cost to PBS and vice versa.</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 xml:space="preserve">% </w:t>
            </w:r>
            <w:r>
              <w:t>burosumab</w:t>
            </w:r>
            <w:r w:rsidRPr="00D4558F">
              <w:t xml:space="preserve"> packs split by population weight/age distribution</w:t>
            </w:r>
          </w:p>
        </w:tc>
        <w:tc>
          <w:tcPr>
            <w:tcW w:w="1965"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Caption w:val="% burosumab packs split by population weight/age distribution"/>
            </w:tblPr>
            <w:tblGrid>
              <w:gridCol w:w="810"/>
              <w:gridCol w:w="1276"/>
            </w:tblGrid>
            <w:tr w:rsidR="007C53EC" w:rsidRPr="00D4558F" w:rsidTr="00E21643">
              <w:trPr>
                <w:tblHeader/>
              </w:trPr>
              <w:tc>
                <w:tcPr>
                  <w:tcW w:w="810" w:type="dxa"/>
                </w:tcPr>
                <w:p w:rsidR="007C53EC" w:rsidRPr="00D4558F" w:rsidRDefault="007C53EC" w:rsidP="00C04ED3">
                  <w:pPr>
                    <w:jc w:val="left"/>
                    <w:rPr>
                      <w:rFonts w:ascii="Arial Narrow" w:eastAsiaTheme="majorEastAsia" w:hAnsi="Arial Narrow" w:cstheme="majorBidi"/>
                      <w:bCs/>
                      <w:sz w:val="18"/>
                    </w:rPr>
                  </w:pPr>
                  <w:r>
                    <w:rPr>
                      <w:rFonts w:ascii="Arial Narrow" w:eastAsiaTheme="majorEastAsia" w:hAnsi="Arial Narrow" w:cstheme="majorBidi"/>
                      <w:bCs/>
                      <w:sz w:val="18"/>
                    </w:rPr>
                    <w:t>burosumab</w:t>
                  </w:r>
                </w:p>
              </w:tc>
              <w:tc>
                <w:tcPr>
                  <w:tcW w:w="1276"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 population split</w:t>
                  </w:r>
                </w:p>
              </w:tc>
            </w:tr>
            <w:tr w:rsidR="007C53EC" w:rsidRPr="00D4558F" w:rsidTr="00C04ED3">
              <w:tc>
                <w:tcPr>
                  <w:tcW w:w="810"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10mg</w:t>
                  </w:r>
                </w:p>
              </w:tc>
              <w:tc>
                <w:tcPr>
                  <w:tcW w:w="1276"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23.92%</w:t>
                  </w:r>
                </w:p>
              </w:tc>
            </w:tr>
            <w:tr w:rsidR="007C53EC" w:rsidRPr="00D4558F" w:rsidTr="00C04ED3">
              <w:tc>
                <w:tcPr>
                  <w:tcW w:w="810"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20mg</w:t>
                  </w:r>
                </w:p>
              </w:tc>
              <w:tc>
                <w:tcPr>
                  <w:tcW w:w="1276"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81.76%</w:t>
                  </w:r>
                </w:p>
              </w:tc>
            </w:tr>
            <w:tr w:rsidR="007C53EC" w:rsidRPr="00D4558F" w:rsidTr="00C04ED3">
              <w:tc>
                <w:tcPr>
                  <w:tcW w:w="810"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30mg</w:t>
                  </w:r>
                </w:p>
              </w:tc>
              <w:tc>
                <w:tcPr>
                  <w:tcW w:w="1276" w:type="dxa"/>
                </w:tcPr>
                <w:p w:rsidR="007C53EC" w:rsidRPr="00D4558F" w:rsidRDefault="007C53EC" w:rsidP="00C04ED3">
                  <w:pPr>
                    <w:jc w:val="left"/>
                    <w:rPr>
                      <w:rFonts w:ascii="Arial Narrow" w:eastAsiaTheme="majorEastAsia" w:hAnsi="Arial Narrow" w:cstheme="majorBidi"/>
                      <w:bCs/>
                      <w:sz w:val="18"/>
                    </w:rPr>
                  </w:pPr>
                  <w:r w:rsidRPr="00D4558F">
                    <w:rPr>
                      <w:rFonts w:ascii="Arial Narrow" w:eastAsiaTheme="majorEastAsia" w:hAnsi="Arial Narrow" w:cstheme="majorBidi"/>
                      <w:bCs/>
                      <w:sz w:val="18"/>
                    </w:rPr>
                    <w:t>28.51%</w:t>
                  </w:r>
                </w:p>
              </w:tc>
            </w:tr>
          </w:tbl>
          <w:p w:rsidR="007C53EC" w:rsidRPr="00D4558F" w:rsidRDefault="007C53EC" w:rsidP="00C04ED3">
            <w:pPr>
              <w:jc w:val="left"/>
              <w:rPr>
                <w:rFonts w:ascii="Arial Narrow" w:eastAsiaTheme="majorEastAsia" w:hAnsi="Arial Narrow" w:cstheme="majorBidi"/>
                <w:bCs/>
                <w:sz w:val="20"/>
                <w:szCs w:val="20"/>
              </w:rPr>
            </w:pPr>
            <w:r w:rsidRPr="00D4558F">
              <w:rPr>
                <w:rFonts w:ascii="Arial Narrow" w:hAnsi="Arial Narrow"/>
                <w:sz w:val="20"/>
                <w:szCs w:val="20"/>
              </w:rPr>
              <w:t xml:space="preserve">Source: </w:t>
            </w:r>
            <w:r w:rsidRPr="00D4558F">
              <w:rPr>
                <w:rFonts w:ascii="Arial Narrow" w:eastAsiaTheme="majorEastAsia" w:hAnsi="Arial Narrow" w:cstheme="majorBidi"/>
                <w:bCs/>
                <w:sz w:val="20"/>
                <w:szCs w:val="20"/>
              </w:rPr>
              <w:t>Calculation based on Section 3.6</w:t>
            </w:r>
          </w:p>
          <w:p w:rsidR="007C53EC" w:rsidRPr="00D4558F" w:rsidRDefault="007C53EC" w:rsidP="00C04ED3">
            <w:pPr>
              <w:pStyle w:val="TableText0"/>
              <w:keepNext w:val="0"/>
            </w:pPr>
            <w:r w:rsidRPr="00D4558F">
              <w:rPr>
                <w:bCs w:val="0"/>
                <w:i/>
                <w:szCs w:val="20"/>
              </w:rPr>
              <w:t xml:space="preserve">Sum of age/weight distribution (population weighting x number of </w:t>
            </w:r>
            <w:r>
              <w:rPr>
                <w:bCs w:val="0"/>
                <w:i/>
                <w:szCs w:val="20"/>
              </w:rPr>
              <w:t>burosumab</w:t>
            </w:r>
            <w:r w:rsidRPr="00D4558F">
              <w:rPr>
                <w:bCs w:val="0"/>
                <w:i/>
                <w:szCs w:val="20"/>
              </w:rPr>
              <w:t xml:space="preserve"> vials by strength</w:t>
            </w:r>
            <w:r w:rsidRPr="00D4558F">
              <w:rPr>
                <w:bCs w:val="0"/>
                <w:i/>
              </w:rPr>
              <w:t>)</w:t>
            </w:r>
          </w:p>
        </w:tc>
        <w:tc>
          <w:tcPr>
            <w:tcW w:w="2251" w:type="pct"/>
            <w:shd w:val="clear" w:color="auto" w:fill="auto"/>
            <w:vAlign w:val="center"/>
          </w:tcPr>
          <w:p w:rsidR="007C53EC" w:rsidRPr="007C53EC" w:rsidRDefault="007C53EC" w:rsidP="00C04ED3">
            <w:pPr>
              <w:pStyle w:val="TableText0"/>
              <w:keepNext w:val="0"/>
            </w:pPr>
            <w:r w:rsidRPr="007C53EC">
              <w:rPr>
                <w:bCs w:val="0"/>
              </w:rPr>
              <w:t>The submission estimated % burosumab pack split was simplistic and did not account for variations across the weight-based dosing and the required number packs or strengths. Sensitivity analysis was conducted assuming average weight ±20%.</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Calcitriol capsules (250 ng) / day by population weight/age distribution</w:t>
            </w:r>
          </w:p>
        </w:tc>
        <w:tc>
          <w:tcPr>
            <w:tcW w:w="1965" w:type="pct"/>
            <w:shd w:val="clear" w:color="auto" w:fill="auto"/>
            <w:vAlign w:val="center"/>
          </w:tcPr>
          <w:p w:rsidR="007C53EC" w:rsidRPr="00D4558F" w:rsidRDefault="007C53EC" w:rsidP="00C04ED3">
            <w:pPr>
              <w:pStyle w:val="TableText0"/>
              <w:keepNext w:val="0"/>
            </w:pPr>
            <w:r w:rsidRPr="00D4558F">
              <w:t>3.78</w:t>
            </w:r>
          </w:p>
          <w:p w:rsidR="007C53EC" w:rsidRPr="00D4558F" w:rsidRDefault="007C53EC" w:rsidP="00C04ED3">
            <w:pPr>
              <w:pStyle w:val="TableText0"/>
              <w:keepNext w:val="0"/>
            </w:pPr>
            <w:r w:rsidRPr="00D4558F">
              <w:t>Source: Calculation based on Section 3.6</w:t>
            </w:r>
          </w:p>
          <w:p w:rsidR="007C53EC" w:rsidRPr="007C53EC" w:rsidRDefault="007C53EC" w:rsidP="00C04ED3">
            <w:pPr>
              <w:pStyle w:val="TableText0"/>
              <w:keepNext w:val="0"/>
            </w:pPr>
            <w:r w:rsidRPr="007C53EC">
              <w:t>Sum of age/weight distribution (population weighting x number of calcitriol capsules)</w:t>
            </w:r>
          </w:p>
        </w:tc>
        <w:tc>
          <w:tcPr>
            <w:tcW w:w="2251" w:type="pct"/>
            <w:shd w:val="clear" w:color="auto" w:fill="auto"/>
            <w:vAlign w:val="center"/>
          </w:tcPr>
          <w:p w:rsidR="007C53EC" w:rsidRPr="007C53EC" w:rsidRDefault="007C53EC" w:rsidP="00C04ED3">
            <w:pPr>
              <w:pStyle w:val="TableText0"/>
              <w:keepNext w:val="0"/>
            </w:pPr>
            <w:r w:rsidRPr="007C53EC">
              <w:rPr>
                <w:bCs w:val="0"/>
              </w:rPr>
              <w:t>The average number of capsules per day may be an overestimate given the submission weight-based dosing of calcitriol was rounded up to 250 ng, however sensitivity analysis indicated the estimates were not sensitive to the average calcitriol capsules / day.</w:t>
            </w:r>
          </w:p>
        </w:tc>
      </w:tr>
      <w:tr w:rsidR="007C53EC" w:rsidRPr="00D4558F" w:rsidTr="00C04ED3">
        <w:trPr>
          <w:cantSplit/>
        </w:trPr>
        <w:tc>
          <w:tcPr>
            <w:tcW w:w="784" w:type="pct"/>
            <w:shd w:val="clear" w:color="auto" w:fill="auto"/>
            <w:vAlign w:val="center"/>
          </w:tcPr>
          <w:p w:rsidR="007C53EC" w:rsidRPr="00D4558F" w:rsidRDefault="004A46A3" w:rsidP="00C04ED3">
            <w:pPr>
              <w:pStyle w:val="TableText0"/>
              <w:keepNext w:val="0"/>
            </w:pPr>
            <w:r>
              <w:t>B</w:t>
            </w:r>
            <w:r w:rsidR="007C53EC">
              <w:t>urosumab</w:t>
            </w:r>
            <w:r w:rsidR="007C53EC" w:rsidRPr="00D4558F">
              <w:t xml:space="preserve"> scripts / year</w:t>
            </w:r>
          </w:p>
        </w:tc>
        <w:tc>
          <w:tcPr>
            <w:tcW w:w="1965" w:type="pct"/>
            <w:vAlign w:val="center"/>
          </w:tcPr>
          <w:p w:rsidR="007C53EC" w:rsidRPr="00D4558F" w:rsidRDefault="007C53EC" w:rsidP="00C04ED3">
            <w:pPr>
              <w:pStyle w:val="TableText0"/>
              <w:keepNext w:val="0"/>
              <w:rPr>
                <w:bCs w:val="0"/>
              </w:rPr>
            </w:pPr>
            <w:r w:rsidRPr="00D4558F">
              <w:rPr>
                <w:bCs w:val="0"/>
              </w:rPr>
              <w:t>13.04</w:t>
            </w:r>
          </w:p>
          <w:p w:rsidR="007C53EC" w:rsidRPr="00D4558F" w:rsidRDefault="007C53EC" w:rsidP="00C04ED3">
            <w:pPr>
              <w:pStyle w:val="TableText0"/>
              <w:keepNext w:val="0"/>
            </w:pPr>
            <w:r w:rsidRPr="00D4558F">
              <w:t xml:space="preserve">Source: </w:t>
            </w:r>
            <w:r w:rsidRPr="00D4558F">
              <w:rPr>
                <w:bCs w:val="0"/>
              </w:rPr>
              <w:t>Compliance (100%) x duration (13.04 months) x doses/month (2) / pack size (2)</w:t>
            </w:r>
          </w:p>
        </w:tc>
        <w:tc>
          <w:tcPr>
            <w:tcW w:w="2251" w:type="pct"/>
            <w:shd w:val="clear" w:color="auto" w:fill="auto"/>
            <w:vAlign w:val="center"/>
          </w:tcPr>
          <w:p w:rsidR="007C53EC" w:rsidRPr="007C53EC" w:rsidRDefault="007C53EC" w:rsidP="00DC3787">
            <w:pPr>
              <w:pStyle w:val="TableText0"/>
              <w:keepNext w:val="0"/>
            </w:pP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Conventional therapy scripts / year</w:t>
            </w:r>
          </w:p>
        </w:tc>
        <w:tc>
          <w:tcPr>
            <w:tcW w:w="1965" w:type="pct"/>
            <w:vAlign w:val="center"/>
          </w:tcPr>
          <w:p w:rsidR="007C53EC" w:rsidRPr="00D4558F" w:rsidRDefault="007C53EC" w:rsidP="00C04ED3">
            <w:pPr>
              <w:jc w:val="left"/>
              <w:rPr>
                <w:rFonts w:ascii="Arial Narrow" w:eastAsiaTheme="majorEastAsia" w:hAnsi="Arial Narrow" w:cstheme="majorBidi"/>
                <w:bCs/>
                <w:sz w:val="20"/>
              </w:rPr>
            </w:pPr>
            <w:r w:rsidRPr="00D4558F">
              <w:rPr>
                <w:rFonts w:ascii="Arial Narrow" w:eastAsiaTheme="majorEastAsia" w:hAnsi="Arial Narrow" w:cstheme="majorBidi"/>
                <w:bCs/>
                <w:sz w:val="20"/>
              </w:rPr>
              <w:t>Oral phosphate: 10.95</w:t>
            </w:r>
          </w:p>
          <w:p w:rsidR="007C53EC" w:rsidRPr="00D4558F" w:rsidRDefault="007C53EC" w:rsidP="00C04ED3">
            <w:pPr>
              <w:pStyle w:val="TableText0"/>
              <w:keepNext w:val="0"/>
              <w:rPr>
                <w:bCs w:val="0"/>
              </w:rPr>
            </w:pPr>
            <w:r w:rsidRPr="00D4558F">
              <w:rPr>
                <w:bCs w:val="0"/>
              </w:rPr>
              <w:t>Calcitriol: 10.35</w:t>
            </w:r>
          </w:p>
          <w:p w:rsidR="007C53EC" w:rsidRPr="00D4558F" w:rsidRDefault="007C53EC" w:rsidP="00C04ED3">
            <w:pPr>
              <w:pStyle w:val="TableText0"/>
              <w:keepNext w:val="0"/>
            </w:pPr>
            <w:r w:rsidRPr="00D4558F">
              <w:t xml:space="preserve">Source: </w:t>
            </w:r>
            <w:r w:rsidRPr="00D4558F">
              <w:rPr>
                <w:bCs w:val="0"/>
              </w:rPr>
              <w:t>Compliance (75%) x duration (13.04 months) x doses/month (112 phosphate and 105.9 calcitriol) / pack size (100)</w:t>
            </w:r>
          </w:p>
        </w:tc>
        <w:tc>
          <w:tcPr>
            <w:tcW w:w="2251" w:type="pct"/>
            <w:shd w:val="clear" w:color="auto" w:fill="auto"/>
            <w:vAlign w:val="center"/>
          </w:tcPr>
          <w:p w:rsidR="007C53EC" w:rsidRPr="007C53EC" w:rsidRDefault="007C53EC" w:rsidP="00C04ED3">
            <w:pPr>
              <w:pStyle w:val="TableText0"/>
              <w:keepNext w:val="0"/>
            </w:pPr>
            <w:r w:rsidRPr="007C53EC">
              <w:rPr>
                <w:bCs w:val="0"/>
              </w:rPr>
              <w:t>The estimates were simplistic and did not account for variations in weight-based dosing.</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 xml:space="preserve">Substitution rate </w:t>
            </w:r>
            <w:r>
              <w:t>burosumab</w:t>
            </w:r>
            <w:r w:rsidRPr="00D4558F">
              <w:t xml:space="preserve"> : conventional therapy</w:t>
            </w:r>
          </w:p>
        </w:tc>
        <w:tc>
          <w:tcPr>
            <w:tcW w:w="1965" w:type="pct"/>
            <w:vAlign w:val="center"/>
          </w:tcPr>
          <w:p w:rsidR="007C53EC" w:rsidRPr="00D4558F" w:rsidRDefault="007C53EC" w:rsidP="00C04ED3">
            <w:pPr>
              <w:jc w:val="left"/>
              <w:rPr>
                <w:rFonts w:ascii="Arial Narrow" w:eastAsiaTheme="majorEastAsia" w:hAnsi="Arial Narrow" w:cstheme="majorBidi"/>
                <w:bCs/>
                <w:sz w:val="20"/>
              </w:rPr>
            </w:pPr>
            <w:r w:rsidRPr="00D4558F">
              <w:rPr>
                <w:rFonts w:ascii="Arial Narrow" w:eastAsiaTheme="majorEastAsia" w:hAnsi="Arial Narrow" w:cstheme="majorBidi"/>
                <w:bCs/>
                <w:sz w:val="20"/>
              </w:rPr>
              <w:t>1 : 1</w:t>
            </w:r>
          </w:p>
          <w:p w:rsidR="007C53EC" w:rsidRPr="00D4558F" w:rsidRDefault="007C53EC" w:rsidP="00C04ED3">
            <w:pPr>
              <w:jc w:val="left"/>
              <w:rPr>
                <w:rFonts w:ascii="Arial Narrow" w:eastAsiaTheme="majorEastAsia" w:hAnsi="Arial Narrow" w:cstheme="majorBidi"/>
                <w:bCs/>
                <w:sz w:val="20"/>
              </w:rPr>
            </w:pPr>
            <w:r w:rsidRPr="00D4558F">
              <w:rPr>
                <w:rFonts w:ascii="Arial Narrow" w:eastAsiaTheme="majorEastAsia" w:hAnsi="Arial Narrow" w:cstheme="majorBidi"/>
                <w:bCs/>
                <w:sz w:val="20"/>
              </w:rPr>
              <w:t>Source: Assumption</w:t>
            </w:r>
          </w:p>
        </w:tc>
        <w:tc>
          <w:tcPr>
            <w:tcW w:w="2251" w:type="pct"/>
            <w:shd w:val="clear" w:color="auto" w:fill="auto"/>
            <w:vAlign w:val="center"/>
          </w:tcPr>
          <w:p w:rsidR="007C53EC" w:rsidRPr="007C53EC" w:rsidRDefault="007C53EC" w:rsidP="00C04ED3">
            <w:pPr>
              <w:pStyle w:val="TableText0"/>
              <w:keepNext w:val="0"/>
              <w:rPr>
                <w:bCs w:val="0"/>
              </w:rPr>
            </w:pPr>
            <w:r w:rsidRPr="007C53EC">
              <w:rPr>
                <w:bCs w:val="0"/>
              </w:rPr>
              <w:t>The submission assumed all eligible patients initiating burosumab would otherwise receive conventional therapy.</w:t>
            </w:r>
          </w:p>
        </w:tc>
      </w:tr>
      <w:tr w:rsidR="007C53EC" w:rsidRPr="00D4558F" w:rsidTr="00C04ED3">
        <w:trPr>
          <w:cantSplit/>
        </w:trPr>
        <w:tc>
          <w:tcPr>
            <w:tcW w:w="784" w:type="pct"/>
            <w:shd w:val="clear" w:color="auto" w:fill="auto"/>
            <w:vAlign w:val="center"/>
          </w:tcPr>
          <w:p w:rsidR="007C53EC" w:rsidRPr="00D4558F" w:rsidRDefault="007C53EC" w:rsidP="00C04ED3">
            <w:pPr>
              <w:pStyle w:val="TableText0"/>
              <w:keepNext w:val="0"/>
            </w:pPr>
            <w:r w:rsidRPr="00D4558F">
              <w:t>MBS cost</w:t>
            </w:r>
          </w:p>
        </w:tc>
        <w:tc>
          <w:tcPr>
            <w:tcW w:w="1965" w:type="pct"/>
            <w:shd w:val="clear" w:color="auto" w:fill="auto"/>
            <w:vAlign w:val="center"/>
          </w:tcPr>
          <w:p w:rsidR="007C53EC" w:rsidRPr="00D4558F" w:rsidRDefault="007C53EC" w:rsidP="00C04ED3">
            <w:pPr>
              <w:pStyle w:val="TableText0"/>
              <w:keepNext w:val="0"/>
            </w:pPr>
            <w:r w:rsidRPr="00D4558F">
              <w:t>$17.75</w:t>
            </w:r>
          </w:p>
          <w:p w:rsidR="007C53EC" w:rsidRPr="00D4558F" w:rsidRDefault="007C53EC" w:rsidP="00C04ED3">
            <w:pPr>
              <w:pStyle w:val="TableText0"/>
              <w:keepNext w:val="0"/>
            </w:pPr>
            <w:r w:rsidRPr="00D4558F">
              <w:t>Source: MBS item 3 (100%)</w:t>
            </w:r>
          </w:p>
        </w:tc>
        <w:tc>
          <w:tcPr>
            <w:tcW w:w="2251" w:type="pct"/>
            <w:shd w:val="clear" w:color="auto" w:fill="auto"/>
            <w:vAlign w:val="center"/>
          </w:tcPr>
          <w:p w:rsidR="007C53EC" w:rsidRPr="007C53EC" w:rsidRDefault="007C53EC" w:rsidP="00C04ED3">
            <w:pPr>
              <w:pStyle w:val="TableText0"/>
              <w:keepNext w:val="0"/>
            </w:pPr>
            <w:r w:rsidRPr="007C53EC">
              <w:t>Reasonable.</w:t>
            </w:r>
          </w:p>
        </w:tc>
      </w:tr>
    </w:tbl>
    <w:p w:rsidR="007C53EC" w:rsidRPr="00D4558F" w:rsidRDefault="007C53EC" w:rsidP="007C53EC">
      <w:pPr>
        <w:spacing w:after="120"/>
        <w:contextualSpacing/>
        <w:rPr>
          <w:rFonts w:ascii="Arial Narrow" w:hAnsi="Arial Narrow"/>
          <w:snapToGrid w:val="0"/>
          <w:sz w:val="20"/>
          <w:szCs w:val="22"/>
        </w:rPr>
      </w:pPr>
      <w:r w:rsidRPr="00D4558F">
        <w:rPr>
          <w:rFonts w:ascii="Arial Narrow" w:hAnsi="Arial Narrow"/>
          <w:snapToGrid w:val="0"/>
          <w:sz w:val="18"/>
          <w:szCs w:val="22"/>
        </w:rPr>
        <w:t>Source: Constructed during the evaluation from pp139-142 of the submission and parameters in the Section 4 Workbook (Financial Impact).xlsx.</w:t>
      </w:r>
    </w:p>
    <w:p w:rsidR="007C53EC" w:rsidRPr="00D4558F" w:rsidRDefault="007C53EC" w:rsidP="007C53EC">
      <w:pPr>
        <w:spacing w:after="120"/>
        <w:contextualSpacing/>
        <w:rPr>
          <w:rFonts w:ascii="Arial Narrow" w:hAnsi="Arial Narrow"/>
          <w:snapToGrid w:val="0"/>
          <w:sz w:val="18"/>
          <w:szCs w:val="22"/>
        </w:rPr>
      </w:pPr>
      <w:r w:rsidRPr="00D4558F">
        <w:rPr>
          <w:rFonts w:ascii="Arial Narrow" w:hAnsi="Arial Narrow"/>
          <w:snapToGrid w:val="0"/>
          <w:sz w:val="18"/>
          <w:szCs w:val="22"/>
        </w:rPr>
        <w:t>Abbreviations: SC=subcutaneous; Q2W=every 2 weeks; XLH=X-linked hypophosphataemia;</w:t>
      </w:r>
    </w:p>
    <w:p w:rsidR="007C53EC" w:rsidRPr="00D4558F" w:rsidRDefault="007C53EC" w:rsidP="007C53EC">
      <w:pPr>
        <w:tabs>
          <w:tab w:val="left" w:pos="142"/>
        </w:tabs>
        <w:spacing w:after="120"/>
        <w:ind w:left="140" w:hanging="140"/>
        <w:contextualSpacing/>
        <w:rPr>
          <w:rFonts w:ascii="Arial Narrow" w:hAnsi="Arial Narrow"/>
          <w:snapToGrid w:val="0"/>
          <w:sz w:val="18"/>
          <w:szCs w:val="22"/>
        </w:rPr>
      </w:pPr>
      <w:r w:rsidRPr="00D4558F">
        <w:rPr>
          <w:rFonts w:ascii="Arial Narrow" w:hAnsi="Arial Narrow"/>
          <w:snapToGrid w:val="0"/>
          <w:sz w:val="18"/>
          <w:szCs w:val="22"/>
        </w:rPr>
        <w:t>#</w:t>
      </w:r>
      <w:r w:rsidRPr="00D4558F">
        <w:rPr>
          <w:rFonts w:ascii="Arial Narrow" w:hAnsi="Arial Narrow"/>
          <w:snapToGrid w:val="0"/>
          <w:sz w:val="18"/>
          <w:szCs w:val="22"/>
        </w:rPr>
        <w:tab/>
        <w:t>Haffner D et al. 2019. Clinical practice recommendations for the diagnosis and management of X- linked hypophosphataemia: Consensus Statement. Nature Reviews Nephrology 15(7):435-455.</w:t>
      </w:r>
    </w:p>
    <w:p w:rsidR="007C53EC" w:rsidRPr="00D4558F" w:rsidRDefault="007C53EC" w:rsidP="007C53EC">
      <w:pPr>
        <w:spacing w:after="120"/>
        <w:contextualSpacing/>
        <w:rPr>
          <w:rFonts w:ascii="Arial Narrow" w:hAnsi="Arial Narrow"/>
          <w:snapToGrid w:val="0"/>
          <w:sz w:val="18"/>
          <w:szCs w:val="22"/>
        </w:rPr>
      </w:pPr>
    </w:p>
    <w:p w:rsidR="007C53EC" w:rsidRPr="00D4558F" w:rsidRDefault="007C53EC" w:rsidP="007C53EC">
      <w:pPr>
        <w:pStyle w:val="3-BodyText"/>
      </w:pPr>
      <w:r w:rsidRPr="00D4558F">
        <w:t xml:space="preserve">Table 14 summarises the estimated net financial implications to the PBS for the proposed listing of </w:t>
      </w:r>
      <w:r>
        <w:t>burosumab</w:t>
      </w:r>
      <w:r w:rsidRPr="00D4558F">
        <w:t xml:space="preserve"> for XLH over the first six years (assumed 2021-2026) of listing, based on: </w:t>
      </w:r>
      <w:r>
        <w:t>(</w:t>
      </w:r>
      <w:r w:rsidRPr="00D4558F">
        <w:t>i) the estimated Australian population (age 1 to 17)</w:t>
      </w:r>
      <w:r>
        <w:t>;</w:t>
      </w:r>
      <w:r w:rsidRPr="00D4558F">
        <w:t xml:space="preserve"> </w:t>
      </w:r>
      <w:r>
        <w:t>(</w:t>
      </w:r>
      <w:r w:rsidRPr="00D4558F">
        <w:t>ii) XLH prevalence rate of 1.7 per 100,000 paediatrics</w:t>
      </w:r>
      <w:r>
        <w:t>;</w:t>
      </w:r>
      <w:r w:rsidRPr="00D4558F">
        <w:t xml:space="preserve"> </w:t>
      </w:r>
      <w:r>
        <w:t>(</w:t>
      </w:r>
      <w:r w:rsidRPr="00D4558F">
        <w:t xml:space="preserve">iii) assumed uptake rates for </w:t>
      </w:r>
      <w:r>
        <w:t>burosumab;</w:t>
      </w:r>
      <w:r w:rsidRPr="00D4558F">
        <w:t xml:space="preserve"> </w:t>
      </w:r>
      <w:r>
        <w:t>(</w:t>
      </w:r>
      <w:r w:rsidRPr="00D4558F">
        <w:t>iv) mean dose 0.86 mg/kg (from study CL301)</w:t>
      </w:r>
      <w:r>
        <w:t>;</w:t>
      </w:r>
      <w:r w:rsidRPr="00D4558F">
        <w:t xml:space="preserve"> and </w:t>
      </w:r>
      <w:r>
        <w:t>(</w:t>
      </w:r>
      <w:r w:rsidRPr="00D4558F">
        <w:t>v) assumed 100% compliance (0% discontinuation).</w:t>
      </w:r>
    </w:p>
    <w:p w:rsidR="007C53EC" w:rsidRPr="00D4558F" w:rsidRDefault="007C53EC" w:rsidP="007C53EC">
      <w:pPr>
        <w:keepNext/>
        <w:rPr>
          <w:rFonts w:ascii="Arial Narrow" w:hAnsi="Arial Narrow"/>
          <w:b/>
          <w:bCs/>
          <w:sz w:val="20"/>
          <w:szCs w:val="20"/>
        </w:rPr>
      </w:pPr>
      <w:r w:rsidRPr="00D4558F">
        <w:rPr>
          <w:rFonts w:ascii="Arial Narrow" w:hAnsi="Arial Narrow"/>
          <w:b/>
          <w:bCs/>
          <w:sz w:val="20"/>
          <w:szCs w:val="20"/>
        </w:rPr>
        <w:t>Table 14: Estimated use and financial implications to the PBS/RPBS</w:t>
      </w:r>
      <w:r w:rsidRPr="00D4558F">
        <w:rPr>
          <w:rFonts w:ascii="Arial Narrow" w:hAnsi="Arial Narrow"/>
          <w:b/>
          <w:bCs/>
          <w:sz w:val="20"/>
          <w:szCs w:val="20"/>
          <w:vertAlign w:val="superscript"/>
        </w:rPr>
        <w:t>a</w:t>
      </w:r>
      <w:r w:rsidRPr="00D4558F">
        <w:rPr>
          <w:rFonts w:ascii="Arial Narrow" w:hAnsi="Arial Narrow"/>
          <w:b/>
          <w:bCs/>
          <w:sz w:val="20"/>
          <w:szCs w:val="20"/>
        </w:rPr>
        <w:t xml:space="preserve"> for the proposed listing of </w:t>
      </w:r>
      <w:r>
        <w:rPr>
          <w:rFonts w:ascii="Arial Narrow" w:hAnsi="Arial Narrow"/>
          <w:b/>
          <w:bCs/>
          <w:sz w:val="20"/>
          <w:szCs w:val="20"/>
        </w:rPr>
        <w:t>burosumab</w:t>
      </w:r>
      <w:r w:rsidRPr="00D4558F">
        <w:rPr>
          <w:rFonts w:ascii="Arial Narrow" w:hAnsi="Arial Narrow"/>
          <w:b/>
          <w:bCs/>
          <w:sz w:val="20"/>
          <w:szCs w:val="20"/>
        </w:rPr>
        <w:t xml:space="preserve"> using effective prices</w:t>
      </w:r>
    </w:p>
    <w:tbl>
      <w:tblPr>
        <w:tblStyle w:val="TableGrid"/>
        <w:tblW w:w="0" w:type="auto"/>
        <w:tblCellMar>
          <w:left w:w="28" w:type="dxa"/>
          <w:right w:w="28" w:type="dxa"/>
        </w:tblCellMar>
        <w:tblLook w:val="04A0" w:firstRow="1" w:lastRow="0" w:firstColumn="1" w:lastColumn="0" w:noHBand="0" w:noVBand="1"/>
        <w:tblCaption w:val="Table 14: Estimated use and financial implications to the PBS/RPBSa for the proposed listing of burosumab using effective prices"/>
      </w:tblPr>
      <w:tblGrid>
        <w:gridCol w:w="2510"/>
        <w:gridCol w:w="1060"/>
        <w:gridCol w:w="1099"/>
        <w:gridCol w:w="1138"/>
        <w:gridCol w:w="1099"/>
        <w:gridCol w:w="1051"/>
        <w:gridCol w:w="1060"/>
      </w:tblGrid>
      <w:tr w:rsidR="007C53EC" w:rsidRPr="00D4558F" w:rsidTr="00E21643">
        <w:trPr>
          <w:tblHeader/>
        </w:trPr>
        <w:tc>
          <w:tcPr>
            <w:tcW w:w="2689" w:type="dxa"/>
          </w:tcPr>
          <w:p w:rsidR="007C53EC" w:rsidRPr="00D4558F" w:rsidRDefault="007C53EC" w:rsidP="00C04ED3">
            <w:pPr>
              <w:keepNext/>
              <w:rPr>
                <w:rFonts w:ascii="Arial Narrow" w:hAnsi="Arial Narrow"/>
                <w:sz w:val="20"/>
                <w:szCs w:val="20"/>
              </w:rPr>
            </w:pPr>
          </w:p>
        </w:tc>
        <w:tc>
          <w:tcPr>
            <w:tcW w:w="1054"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1</w:t>
            </w:r>
          </w:p>
        </w:tc>
        <w:tc>
          <w:tcPr>
            <w:tcW w:w="1055"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2</w:t>
            </w:r>
          </w:p>
        </w:tc>
        <w:tc>
          <w:tcPr>
            <w:tcW w:w="1055"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3</w:t>
            </w:r>
          </w:p>
        </w:tc>
        <w:tc>
          <w:tcPr>
            <w:tcW w:w="1054"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4</w:t>
            </w:r>
          </w:p>
        </w:tc>
        <w:tc>
          <w:tcPr>
            <w:tcW w:w="1055"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5</w:t>
            </w:r>
          </w:p>
        </w:tc>
        <w:tc>
          <w:tcPr>
            <w:tcW w:w="1055" w:type="dxa"/>
            <w:vAlign w:val="center"/>
          </w:tcPr>
          <w:p w:rsidR="007C53EC" w:rsidRPr="00D4558F" w:rsidRDefault="007C53EC" w:rsidP="00C04ED3">
            <w:pPr>
              <w:keepNext/>
              <w:jc w:val="center"/>
              <w:rPr>
                <w:rFonts w:ascii="Arial Narrow" w:hAnsi="Arial Narrow"/>
                <w:b/>
                <w:sz w:val="20"/>
                <w:szCs w:val="20"/>
              </w:rPr>
            </w:pPr>
            <w:r w:rsidRPr="00D4558F">
              <w:rPr>
                <w:rFonts w:ascii="Arial Narrow" w:hAnsi="Arial Narrow"/>
                <w:b/>
                <w:sz w:val="20"/>
                <w:szCs w:val="20"/>
              </w:rPr>
              <w:t>Year 6</w:t>
            </w:r>
          </w:p>
        </w:tc>
      </w:tr>
      <w:tr w:rsidR="007C53EC" w:rsidRPr="00D4558F" w:rsidTr="00C04ED3">
        <w:tc>
          <w:tcPr>
            <w:tcW w:w="9017" w:type="dxa"/>
            <w:gridSpan w:val="7"/>
            <w:vAlign w:val="center"/>
          </w:tcPr>
          <w:p w:rsidR="007C53EC" w:rsidRPr="00D4558F" w:rsidRDefault="007C53EC" w:rsidP="00C04ED3">
            <w:pPr>
              <w:keepNext/>
              <w:jc w:val="left"/>
              <w:rPr>
                <w:rFonts w:ascii="Arial Narrow" w:hAnsi="Arial Narrow"/>
                <w:b/>
                <w:sz w:val="20"/>
                <w:szCs w:val="20"/>
              </w:rPr>
            </w:pPr>
            <w:r w:rsidRPr="00D4558F">
              <w:rPr>
                <w:rFonts w:ascii="Arial Narrow" w:hAnsi="Arial Narrow"/>
                <w:b/>
                <w:sz w:val="20"/>
                <w:szCs w:val="20"/>
              </w:rPr>
              <w:t>Estimation of number of treated patients</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Australian population (age 1-17)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1</w:t>
            </w:r>
          </w:p>
        </w:tc>
      </w:tr>
      <w:tr w:rsidR="007C53EC" w:rsidRPr="00D4558F" w:rsidTr="00C04ED3">
        <w:tc>
          <w:tcPr>
            <w:tcW w:w="2689" w:type="dxa"/>
            <w:vAlign w:val="center"/>
          </w:tcPr>
          <w:p w:rsidR="007C53EC" w:rsidRPr="00D4558F" w:rsidRDefault="007C53EC" w:rsidP="00C04ED3">
            <w:pPr>
              <w:keepNext/>
              <w:jc w:val="left"/>
              <w:rPr>
                <w:rFonts w:ascii="Arial Narrow" w:hAnsi="Arial Narrow"/>
                <w:sz w:val="20"/>
                <w:szCs w:val="20"/>
              </w:rPr>
            </w:pPr>
            <w:r w:rsidRPr="00D4558F">
              <w:rPr>
                <w:rFonts w:ascii="Arial Narrow" w:hAnsi="Arial Narrow"/>
                <w:sz w:val="20"/>
                <w:szCs w:val="20"/>
              </w:rPr>
              <w:t>Eligible patients with XLH confirmed</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Pr>
                <w:rFonts w:ascii="Arial Narrow" w:hAnsi="Arial Narrow"/>
                <w:sz w:val="20"/>
                <w:szCs w:val="20"/>
              </w:rPr>
              <w:t>burosumab</w:t>
            </w:r>
            <w:r w:rsidRPr="00D4558F">
              <w:rPr>
                <w:rFonts w:ascii="Arial Narrow" w:hAnsi="Arial Narrow"/>
                <w:sz w:val="20"/>
                <w:szCs w:val="20"/>
              </w:rPr>
              <w:t xml:space="preserve"> Uptake rate</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70%</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80%</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90%</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90%</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90%</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sz w:val="20"/>
                <w:szCs w:val="20"/>
              </w:rPr>
            </w:pPr>
            <w:r w:rsidRPr="00D4558F">
              <w:rPr>
                <w:rFonts w:ascii="Arial Narrow" w:hAnsi="Arial Narrow"/>
                <w:sz w:val="20"/>
                <w:szCs w:val="20"/>
              </w:rPr>
              <w:t>90%</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 xml:space="preserve">Total patients treated with </w:t>
            </w:r>
            <w:r>
              <w:rPr>
                <w:rFonts w:ascii="Arial Narrow" w:hAnsi="Arial Narrow"/>
                <w:sz w:val="20"/>
                <w:szCs w:val="20"/>
              </w:rPr>
              <w:t>burosumab</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9017" w:type="dxa"/>
            <w:gridSpan w:val="7"/>
            <w:tcBorders>
              <w:right w:val="single" w:sz="4" w:space="0" w:color="auto"/>
            </w:tcBorders>
            <w:vAlign w:val="center"/>
          </w:tcPr>
          <w:p w:rsidR="007C53EC" w:rsidRPr="00D4558F" w:rsidRDefault="007C53EC" w:rsidP="00C04ED3">
            <w:pPr>
              <w:keepNext/>
              <w:jc w:val="left"/>
              <w:rPr>
                <w:rFonts w:ascii="Arial Narrow" w:hAnsi="Arial Narrow"/>
                <w:b/>
                <w:color w:val="000000"/>
                <w:sz w:val="20"/>
                <w:szCs w:val="20"/>
              </w:rPr>
            </w:pPr>
            <w:r w:rsidRPr="00D4558F">
              <w:rPr>
                <w:rFonts w:ascii="Arial Narrow" w:hAnsi="Arial Narrow"/>
                <w:b/>
                <w:color w:val="000000"/>
                <w:sz w:val="20"/>
                <w:szCs w:val="20"/>
              </w:rPr>
              <w:t xml:space="preserve">Estimation of the use and financial impact of </w:t>
            </w:r>
            <w:r>
              <w:rPr>
                <w:rFonts w:ascii="Arial Narrow" w:hAnsi="Arial Narrow"/>
                <w:b/>
                <w:color w:val="000000"/>
                <w:sz w:val="20"/>
                <w:szCs w:val="20"/>
              </w:rPr>
              <w:t>burosumab</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 xml:space="preserve">Total number of </w:t>
            </w:r>
            <w:r>
              <w:rPr>
                <w:rFonts w:ascii="Arial Narrow" w:hAnsi="Arial Narrow"/>
                <w:sz w:val="20"/>
                <w:szCs w:val="20"/>
              </w:rPr>
              <w:t>burosumab</w:t>
            </w:r>
            <w:r w:rsidRPr="00D4558F">
              <w:rPr>
                <w:rFonts w:ascii="Arial Narrow" w:hAnsi="Arial Narrow"/>
                <w:sz w:val="20"/>
                <w:szCs w:val="20"/>
              </w:rPr>
              <w:t xml:space="preserve"> scripts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b/>
                <w:sz w:val="20"/>
                <w:szCs w:val="20"/>
              </w:rPr>
            </w:pPr>
            <w:r>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r>
      <w:tr w:rsidR="007C53EC" w:rsidRPr="00D4558F" w:rsidTr="00C04ED3">
        <w:tc>
          <w:tcPr>
            <w:tcW w:w="2689" w:type="dxa"/>
          </w:tcPr>
          <w:p w:rsidR="007C53EC" w:rsidRPr="00D4558F" w:rsidRDefault="007C53EC" w:rsidP="00C04ED3">
            <w:pPr>
              <w:keepNext/>
              <w:ind w:left="115"/>
              <w:rPr>
                <w:rFonts w:ascii="Arial Narrow" w:hAnsi="Arial Narrow"/>
                <w:sz w:val="20"/>
                <w:szCs w:val="20"/>
              </w:rPr>
            </w:pPr>
            <w:r>
              <w:rPr>
                <w:rFonts w:ascii="Arial Narrow" w:hAnsi="Arial Narrow"/>
                <w:sz w:val="20"/>
                <w:szCs w:val="20"/>
              </w:rPr>
              <w:t>burosumab</w:t>
            </w:r>
            <w:r w:rsidRPr="00D4558F">
              <w:rPr>
                <w:rFonts w:ascii="Arial Narrow" w:hAnsi="Arial Narrow"/>
                <w:sz w:val="20"/>
                <w:szCs w:val="20"/>
              </w:rPr>
              <w:t xml:space="preserve"> 2 x 10 mg</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2689" w:type="dxa"/>
          </w:tcPr>
          <w:p w:rsidR="007C53EC" w:rsidRPr="00D4558F" w:rsidRDefault="007C53EC" w:rsidP="00C04ED3">
            <w:pPr>
              <w:keepNext/>
              <w:ind w:left="115"/>
              <w:rPr>
                <w:rFonts w:ascii="Arial Narrow" w:hAnsi="Arial Narrow"/>
                <w:sz w:val="20"/>
                <w:szCs w:val="20"/>
              </w:rPr>
            </w:pPr>
            <w:r>
              <w:rPr>
                <w:rFonts w:ascii="Arial Narrow" w:hAnsi="Arial Narrow"/>
                <w:sz w:val="20"/>
                <w:szCs w:val="20"/>
              </w:rPr>
              <w:t>burosumab</w:t>
            </w:r>
            <w:r w:rsidRPr="00D4558F">
              <w:rPr>
                <w:rFonts w:ascii="Arial Narrow" w:hAnsi="Arial Narrow"/>
                <w:sz w:val="20"/>
                <w:szCs w:val="20"/>
              </w:rPr>
              <w:t xml:space="preserve"> 2 x 20 mgs</w:t>
            </w:r>
          </w:p>
        </w:tc>
        <w:tc>
          <w:tcPr>
            <w:tcW w:w="1054" w:type="dxa"/>
            <w:tcBorders>
              <w:top w:val="nil"/>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c>
          <w:tcPr>
            <w:tcW w:w="1054"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092C11">
              <w:rPr>
                <w:rFonts w:ascii="Arial Narrow" w:hAnsi="Arial Narrow"/>
                <w:snapToGrid w:val="0"/>
                <w:sz w:val="18"/>
                <w:szCs w:val="22"/>
                <w:vertAlign w:val="superscript"/>
              </w:rPr>
              <w:t>3</w:t>
            </w:r>
          </w:p>
        </w:tc>
      </w:tr>
      <w:tr w:rsidR="007C53EC" w:rsidRPr="00D4558F" w:rsidTr="00C04ED3">
        <w:tc>
          <w:tcPr>
            <w:tcW w:w="2689" w:type="dxa"/>
          </w:tcPr>
          <w:p w:rsidR="007C53EC" w:rsidRPr="00D4558F" w:rsidRDefault="007C53EC" w:rsidP="00C04ED3">
            <w:pPr>
              <w:keepNext/>
              <w:ind w:left="115"/>
              <w:rPr>
                <w:rFonts w:ascii="Arial Narrow" w:hAnsi="Arial Narrow"/>
                <w:sz w:val="20"/>
                <w:szCs w:val="20"/>
              </w:rPr>
            </w:pPr>
            <w:r>
              <w:rPr>
                <w:rFonts w:ascii="Arial Narrow" w:hAnsi="Arial Narrow"/>
                <w:sz w:val="20"/>
                <w:szCs w:val="20"/>
              </w:rPr>
              <w:t>burosumab</w:t>
            </w:r>
            <w:r w:rsidRPr="00D4558F">
              <w:rPr>
                <w:rFonts w:ascii="Arial Narrow" w:hAnsi="Arial Narrow"/>
                <w:sz w:val="20"/>
                <w:szCs w:val="20"/>
              </w:rPr>
              <w:t xml:space="preserve"> 2 x 30 mg</w:t>
            </w:r>
          </w:p>
        </w:tc>
        <w:tc>
          <w:tcPr>
            <w:tcW w:w="1054" w:type="dxa"/>
            <w:tcBorders>
              <w:top w:val="nil"/>
              <w:left w:val="single" w:sz="4" w:space="0" w:color="auto"/>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4"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nil"/>
              <w:left w:val="nil"/>
              <w:bottom w:val="single" w:sz="4" w:space="0" w:color="auto"/>
              <w:right w:val="single" w:sz="4" w:space="0" w:color="auto"/>
            </w:tcBorders>
            <w:shd w:val="clear" w:color="auto" w:fill="auto"/>
            <w:vAlign w:val="center"/>
          </w:tcPr>
          <w:p w:rsidR="007C53EC" w:rsidRPr="00A47328" w:rsidRDefault="00A47328" w:rsidP="00C04ED3">
            <w:pPr>
              <w:keepNext/>
              <w:jc w:val="center"/>
              <w:rPr>
                <w:rFonts w:ascii="Arial Narrow" w:hAnsi="Arial Narrow"/>
                <w:sz w:val="20"/>
                <w:szCs w:val="20"/>
              </w:rPr>
            </w:pPr>
            <w:r>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 xml:space="preserve">Net cost PBS/RPBS, </w:t>
            </w:r>
            <w:r>
              <w:rPr>
                <w:rFonts w:ascii="Arial Narrow" w:hAnsi="Arial Narrow"/>
                <w:sz w:val="20"/>
                <w:szCs w:val="20"/>
              </w:rPr>
              <w:t>burosumab</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4</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r>
      <w:tr w:rsidR="007C53EC" w:rsidRPr="00D4558F" w:rsidTr="00C04ED3">
        <w:tc>
          <w:tcPr>
            <w:tcW w:w="9017" w:type="dxa"/>
            <w:gridSpan w:val="7"/>
            <w:vAlign w:val="center"/>
          </w:tcPr>
          <w:p w:rsidR="007C53EC" w:rsidRPr="00D4558F" w:rsidRDefault="007C53EC" w:rsidP="00C04ED3">
            <w:pPr>
              <w:keepNext/>
              <w:jc w:val="left"/>
              <w:rPr>
                <w:rFonts w:ascii="Arial Narrow" w:hAnsi="Arial Narrow"/>
                <w:b/>
                <w:sz w:val="20"/>
                <w:szCs w:val="20"/>
              </w:rPr>
            </w:pPr>
            <w:r w:rsidRPr="00D4558F">
              <w:rPr>
                <w:rFonts w:ascii="Arial Narrow" w:hAnsi="Arial Narrow"/>
                <w:b/>
                <w:sz w:val="20"/>
                <w:szCs w:val="20"/>
              </w:rPr>
              <w:t>Estimation changes in use and financial impact of conventional therapy (oral phosphate and calcitriol)</w:t>
            </w:r>
          </w:p>
        </w:tc>
      </w:tr>
      <w:tr w:rsidR="007C53EC" w:rsidRPr="00D4558F" w:rsidTr="00C04ED3">
        <w:tc>
          <w:tcPr>
            <w:tcW w:w="2689" w:type="dxa"/>
            <w:vAlign w:val="center"/>
          </w:tcPr>
          <w:p w:rsidR="007C53EC" w:rsidRPr="00D4558F" w:rsidRDefault="007C53EC" w:rsidP="00C04ED3">
            <w:pPr>
              <w:keepNext/>
              <w:jc w:val="left"/>
              <w:rPr>
                <w:rFonts w:ascii="Arial Narrow" w:hAnsi="Arial Narrow"/>
                <w:sz w:val="20"/>
                <w:szCs w:val="20"/>
              </w:rPr>
            </w:pPr>
            <w:r w:rsidRPr="00D4558F">
              <w:rPr>
                <w:rFonts w:ascii="Arial Narrow" w:hAnsi="Arial Narrow"/>
                <w:sz w:val="20"/>
                <w:szCs w:val="20"/>
              </w:rPr>
              <w:t>Total number of oral phosphate and calcitriol scripts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A51147">
              <w:rPr>
                <w:rFonts w:ascii="Arial Narrow" w:hAnsi="Arial Narrow"/>
                <w:snapToGrid w:val="0"/>
                <w:sz w:val="18"/>
                <w:szCs w:val="22"/>
                <w:vertAlign w:val="superscript"/>
              </w:rPr>
              <w:t>3</w:t>
            </w:r>
          </w:p>
        </w:tc>
      </w:tr>
      <w:tr w:rsidR="007C53EC" w:rsidRPr="00D4558F" w:rsidTr="00C04ED3">
        <w:tc>
          <w:tcPr>
            <w:tcW w:w="2689" w:type="dxa"/>
          </w:tcPr>
          <w:p w:rsidR="007C53EC" w:rsidRPr="00D4558F" w:rsidRDefault="007C53EC" w:rsidP="00C04ED3">
            <w:pPr>
              <w:keepNext/>
              <w:ind w:left="115"/>
              <w:rPr>
                <w:rFonts w:ascii="Arial Narrow" w:hAnsi="Arial Narrow"/>
                <w:sz w:val="20"/>
                <w:szCs w:val="20"/>
              </w:rPr>
            </w:pPr>
            <w:r w:rsidRPr="00D4558F">
              <w:rPr>
                <w:rFonts w:ascii="Arial Narrow" w:hAnsi="Arial Narrow"/>
                <w:sz w:val="20"/>
                <w:szCs w:val="20"/>
              </w:rPr>
              <w:t>Phosphorus 500 mg tablets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r>
      <w:tr w:rsidR="007C53EC" w:rsidRPr="00D4558F" w:rsidTr="00C04ED3">
        <w:tc>
          <w:tcPr>
            <w:tcW w:w="2689" w:type="dxa"/>
          </w:tcPr>
          <w:p w:rsidR="007C53EC" w:rsidRPr="00D4558F" w:rsidRDefault="007C53EC" w:rsidP="00C04ED3">
            <w:pPr>
              <w:keepNext/>
              <w:ind w:left="115"/>
              <w:rPr>
                <w:rFonts w:ascii="Arial Narrow" w:hAnsi="Arial Narrow"/>
                <w:sz w:val="20"/>
                <w:szCs w:val="20"/>
              </w:rPr>
            </w:pPr>
            <w:r w:rsidRPr="00D4558F">
              <w:rPr>
                <w:rFonts w:ascii="Arial Narrow" w:hAnsi="Arial Narrow"/>
                <w:sz w:val="20"/>
                <w:szCs w:val="20"/>
              </w:rPr>
              <w:t>Calcitriol 0.25 mcg capsule</w:t>
            </w:r>
          </w:p>
        </w:tc>
        <w:tc>
          <w:tcPr>
            <w:tcW w:w="1054" w:type="dxa"/>
            <w:tcBorders>
              <w:top w:val="nil"/>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4" w:type="dxa"/>
            <w:tcBorders>
              <w:top w:val="nil"/>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nil"/>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color w:val="000000"/>
                <w:sz w:val="20"/>
                <w:szCs w:val="20"/>
              </w:rPr>
            </w:pPr>
            <w:r w:rsidRPr="00D4558F">
              <w:rPr>
                <w:rFonts w:ascii="Arial Narrow" w:hAnsi="Arial Narrow"/>
                <w:color w:val="000000"/>
                <w:sz w:val="20"/>
                <w:szCs w:val="20"/>
              </w:rPr>
              <w:t>-</w:t>
            </w:r>
            <w:r w:rsidR="00A47328">
              <w:rPr>
                <w:rFonts w:ascii="Arial Narrow" w:hAnsi="Arial Narrow"/>
                <w:noProof/>
                <w:color w:val="000000"/>
                <w:sz w:val="20"/>
                <w:szCs w:val="20"/>
                <w:highlight w:val="black"/>
              </w:rPr>
              <w:t>'''''''''</w:t>
            </w:r>
            <w:r w:rsidR="00A51147">
              <w:rPr>
                <w:rFonts w:ascii="Arial Narrow" w:hAnsi="Arial Narrow"/>
                <w:snapToGrid w:val="0"/>
                <w:sz w:val="18"/>
                <w:szCs w:val="22"/>
                <w:vertAlign w:val="superscript"/>
              </w:rPr>
              <w:t>3</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Net cost PBS/RPBS, oral phosphate and calcitriol</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6</w:t>
            </w:r>
          </w:p>
        </w:tc>
      </w:tr>
      <w:tr w:rsidR="007C53EC" w:rsidRPr="00D4558F" w:rsidTr="00C04ED3">
        <w:tc>
          <w:tcPr>
            <w:tcW w:w="9017" w:type="dxa"/>
            <w:gridSpan w:val="7"/>
            <w:vAlign w:val="center"/>
          </w:tcPr>
          <w:p w:rsidR="007C53EC" w:rsidRPr="00D4558F" w:rsidRDefault="007C53EC" w:rsidP="00C04ED3">
            <w:pPr>
              <w:keepNext/>
              <w:jc w:val="left"/>
              <w:rPr>
                <w:rFonts w:ascii="Arial Narrow" w:hAnsi="Arial Narrow"/>
                <w:b/>
                <w:sz w:val="20"/>
                <w:szCs w:val="20"/>
              </w:rPr>
            </w:pPr>
            <w:r w:rsidRPr="00D4558F">
              <w:rPr>
                <w:rFonts w:ascii="Arial Narrow" w:hAnsi="Arial Narrow"/>
                <w:b/>
                <w:sz w:val="20"/>
                <w:szCs w:val="20"/>
              </w:rPr>
              <w:t>Estimated financial implications for the PBS/RPBS and the health budget</w:t>
            </w:r>
          </w:p>
        </w:tc>
      </w:tr>
      <w:tr w:rsidR="007C53EC" w:rsidRPr="00D4558F" w:rsidTr="00C04ED3">
        <w:tc>
          <w:tcPr>
            <w:tcW w:w="2689" w:type="dxa"/>
          </w:tcPr>
          <w:p w:rsidR="007C53EC" w:rsidRPr="00D4558F" w:rsidRDefault="007C53EC" w:rsidP="00C04ED3">
            <w:pPr>
              <w:keepNext/>
              <w:rPr>
                <w:rFonts w:ascii="Arial Narrow" w:hAnsi="Arial Narrow"/>
                <w:sz w:val="20"/>
                <w:szCs w:val="20"/>
              </w:rPr>
            </w:pPr>
            <w:r w:rsidRPr="00D4558F">
              <w:rPr>
                <w:rFonts w:ascii="Arial Narrow" w:hAnsi="Arial Narrow"/>
                <w:sz w:val="20"/>
                <w:szCs w:val="20"/>
              </w:rPr>
              <w:t>Net change in scripts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Pr="00D4558F">
              <w:rPr>
                <w:rFonts w:ascii="Arial Narrow" w:hAnsi="Arial Narrow"/>
                <w:bCs/>
                <w:color w:val="000000"/>
                <w:sz w:val="20"/>
                <w:szCs w:val="20"/>
              </w:rPr>
              <w:t xml:space="preserve"> </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sidRPr="00D4558F">
              <w:rPr>
                <w:rFonts w:ascii="Arial Narrow" w:hAnsi="Arial Narrow"/>
                <w:bCs/>
                <w:color w:val="000000"/>
                <w:sz w:val="20"/>
                <w:szCs w:val="20"/>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sidRPr="00D4558F">
              <w:rPr>
                <w:rFonts w:ascii="Arial Narrow" w:hAnsi="Arial Narrow"/>
                <w:bCs/>
                <w:color w:val="000000"/>
                <w:sz w:val="20"/>
                <w:szCs w:val="20"/>
              </w:rPr>
              <w:t xml:space="preserve"> </w:t>
            </w:r>
          </w:p>
        </w:tc>
      </w:tr>
      <w:tr w:rsidR="007C53EC" w:rsidRPr="00D4558F" w:rsidTr="00C04ED3">
        <w:tc>
          <w:tcPr>
            <w:tcW w:w="2689" w:type="dxa"/>
            <w:vAlign w:val="center"/>
          </w:tcPr>
          <w:p w:rsidR="007C53EC" w:rsidRPr="00D4558F" w:rsidRDefault="007C53EC" w:rsidP="00C04ED3">
            <w:pPr>
              <w:keepNext/>
              <w:jc w:val="left"/>
              <w:rPr>
                <w:rFonts w:ascii="Arial Narrow" w:hAnsi="Arial Narrow"/>
                <w:sz w:val="20"/>
                <w:szCs w:val="20"/>
              </w:rPr>
            </w:pPr>
            <w:r w:rsidRPr="00D4558F">
              <w:rPr>
                <w:rFonts w:ascii="Arial Narrow" w:hAnsi="Arial Narrow"/>
                <w:sz w:val="20"/>
                <w:szCs w:val="20"/>
              </w:rPr>
              <w:t>Net change in authorities</w:t>
            </w:r>
          </w:p>
        </w:tc>
        <w:tc>
          <w:tcPr>
            <w:tcW w:w="1054"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4"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2689" w:type="dxa"/>
            <w:vAlign w:val="center"/>
          </w:tcPr>
          <w:p w:rsidR="007C53EC" w:rsidRPr="00D4558F" w:rsidRDefault="007C53EC" w:rsidP="00C04ED3">
            <w:pPr>
              <w:keepNext/>
              <w:ind w:left="115"/>
              <w:rPr>
                <w:rFonts w:ascii="Arial Narrow" w:hAnsi="Arial Narrow"/>
                <w:sz w:val="20"/>
                <w:szCs w:val="20"/>
              </w:rPr>
            </w:pPr>
            <w:r w:rsidRPr="00D4558F">
              <w:rPr>
                <w:rFonts w:ascii="Arial Narrow" w:hAnsi="Arial Narrow"/>
                <w:sz w:val="20"/>
                <w:szCs w:val="20"/>
              </w:rPr>
              <w:t>Streamlined</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sidRPr="00D4558F">
              <w:rPr>
                <w:rFonts w:ascii="Arial Narrow" w:hAnsi="Arial Narrow"/>
                <w:bCs/>
                <w:color w:val="000000"/>
                <w:sz w:val="20"/>
                <w:szCs w:val="20"/>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sidRPr="00D4558F">
              <w:rPr>
                <w:rFonts w:ascii="Arial Narrow" w:hAnsi="Arial Narrow"/>
                <w:bCs/>
                <w:color w:val="000000"/>
                <w:sz w:val="20"/>
                <w:szCs w:val="20"/>
              </w:rPr>
              <w:t xml:space="preserve"> </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keepNext/>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r>
      <w:tr w:rsidR="007C53EC" w:rsidRPr="00D4558F" w:rsidTr="00C04ED3">
        <w:tc>
          <w:tcPr>
            <w:tcW w:w="2689" w:type="dxa"/>
            <w:vAlign w:val="center"/>
          </w:tcPr>
          <w:p w:rsidR="007C53EC" w:rsidRPr="00D4558F" w:rsidRDefault="007C53EC" w:rsidP="00C04ED3">
            <w:pPr>
              <w:ind w:left="115"/>
              <w:rPr>
                <w:rFonts w:ascii="Arial Narrow" w:hAnsi="Arial Narrow"/>
                <w:sz w:val="20"/>
                <w:szCs w:val="20"/>
              </w:rPr>
            </w:pPr>
            <w:r w:rsidRPr="00D4558F">
              <w:rPr>
                <w:rFonts w:ascii="Arial Narrow" w:hAnsi="Arial Narrow"/>
                <w:sz w:val="20"/>
                <w:szCs w:val="20"/>
              </w:rPr>
              <w:t>Written</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sidR="007C53EC" w:rsidRPr="00D4558F">
              <w:rPr>
                <w:rFonts w:ascii="Arial Narrow" w:hAnsi="Arial Narrow"/>
                <w:bCs/>
                <w:color w:val="000000"/>
                <w:sz w:val="20"/>
                <w:szCs w:val="20"/>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Pr>
                <w:rFonts w:ascii="Arial Narrow" w:hAnsi="Arial Narrow"/>
                <w:bCs/>
                <w:noProof/>
                <w:color w:val="000000"/>
                <w:sz w:val="20"/>
                <w:szCs w:val="20"/>
                <w:highlight w:val="black"/>
              </w:rPr>
              <w:t xml:space="preserve"> </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Pr>
                <w:rFonts w:ascii="Arial Narrow" w:hAnsi="Arial Narrow"/>
                <w:bCs/>
                <w:noProof/>
                <w:color w:val="000000"/>
                <w:sz w:val="20"/>
                <w:szCs w:val="20"/>
                <w:highlight w:val="black"/>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Pr>
                <w:rFonts w:ascii="Arial Narrow" w:hAnsi="Arial Narrow"/>
                <w:bCs/>
                <w:noProof/>
                <w:color w:val="000000"/>
                <w:sz w:val="20"/>
                <w:szCs w:val="20"/>
                <w:highlight w:val="black"/>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2</w:t>
            </w:r>
            <w:r>
              <w:rPr>
                <w:rFonts w:ascii="Arial Narrow" w:hAnsi="Arial Narrow"/>
                <w:bCs/>
                <w:noProof/>
                <w:color w:val="000000"/>
                <w:sz w:val="20"/>
                <w:szCs w:val="20"/>
                <w:highlight w:val="black"/>
              </w:rPr>
              <w:t xml:space="preserve"> </w:t>
            </w:r>
          </w:p>
        </w:tc>
      </w:tr>
      <w:tr w:rsidR="007C53EC" w:rsidRPr="00D4558F" w:rsidTr="00C04ED3">
        <w:tc>
          <w:tcPr>
            <w:tcW w:w="2689" w:type="dxa"/>
            <w:vAlign w:val="center"/>
          </w:tcPr>
          <w:p w:rsidR="007C53EC" w:rsidRPr="00D4558F" w:rsidRDefault="007C53EC" w:rsidP="00C04ED3">
            <w:pPr>
              <w:jc w:val="left"/>
              <w:rPr>
                <w:rFonts w:ascii="Arial Narrow" w:hAnsi="Arial Narrow"/>
                <w:sz w:val="20"/>
                <w:szCs w:val="20"/>
              </w:rPr>
            </w:pPr>
            <w:r w:rsidRPr="00D4558F">
              <w:rPr>
                <w:rFonts w:ascii="Arial Narrow" w:hAnsi="Arial Narrow"/>
                <w:sz w:val="20"/>
                <w:szCs w:val="20"/>
              </w:rPr>
              <w:t>Net cost PBS/RPBS, proposed listing</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4</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r>
      <w:tr w:rsidR="007C53EC" w:rsidRPr="00D4558F" w:rsidTr="00C04ED3">
        <w:tc>
          <w:tcPr>
            <w:tcW w:w="2689" w:type="dxa"/>
            <w:vAlign w:val="center"/>
          </w:tcPr>
          <w:p w:rsidR="007C53EC" w:rsidRPr="00D4558F" w:rsidRDefault="007C53EC" w:rsidP="00C04ED3">
            <w:pPr>
              <w:jc w:val="left"/>
              <w:rPr>
                <w:rFonts w:ascii="Arial Narrow" w:hAnsi="Arial Narrow"/>
                <w:sz w:val="20"/>
                <w:szCs w:val="20"/>
              </w:rPr>
            </w:pPr>
            <w:r w:rsidRPr="00D4558F">
              <w:rPr>
                <w:rFonts w:ascii="Arial Narrow" w:hAnsi="Arial Narrow"/>
                <w:sz w:val="20"/>
                <w:szCs w:val="20"/>
              </w:rPr>
              <w:t>Number of MBS (Item 3) services</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p>
        </w:tc>
        <w:tc>
          <w:tcPr>
            <w:tcW w:w="1055" w:type="dxa"/>
            <w:tcBorders>
              <w:top w:val="single" w:sz="4" w:space="0" w:color="auto"/>
              <w:left w:val="nil"/>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r>
              <w:rPr>
                <w:rFonts w:ascii="Arial Narrow" w:hAnsi="Arial Narrow"/>
                <w:bCs/>
                <w:noProof/>
                <w:color w:val="000000"/>
                <w:sz w:val="20"/>
                <w:szCs w:val="20"/>
                <w:highlight w:val="black"/>
              </w:rPr>
              <w:t xml:space="preserve"> </w:t>
            </w:r>
          </w:p>
        </w:tc>
        <w:tc>
          <w:tcPr>
            <w:tcW w:w="1055" w:type="dxa"/>
            <w:tcBorders>
              <w:top w:val="single" w:sz="4" w:space="0" w:color="auto"/>
              <w:left w:val="nil"/>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r>
              <w:rPr>
                <w:rFonts w:ascii="Arial Narrow" w:hAnsi="Arial Narrow"/>
                <w:bCs/>
                <w:noProof/>
                <w:color w:val="000000"/>
                <w:sz w:val="20"/>
                <w:szCs w:val="20"/>
                <w:highlight w:val="black"/>
              </w:rPr>
              <w:t xml:space="preserve"> </w:t>
            </w:r>
          </w:p>
        </w:tc>
        <w:tc>
          <w:tcPr>
            <w:tcW w:w="1054" w:type="dxa"/>
            <w:tcBorders>
              <w:top w:val="single" w:sz="4" w:space="0" w:color="auto"/>
              <w:left w:val="nil"/>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r>
              <w:rPr>
                <w:rFonts w:ascii="Arial Narrow" w:hAnsi="Arial Narrow"/>
                <w:bCs/>
                <w:noProof/>
                <w:color w:val="000000"/>
                <w:sz w:val="20"/>
                <w:szCs w:val="20"/>
                <w:highlight w:val="black"/>
              </w:rPr>
              <w:t xml:space="preserve"> </w:t>
            </w:r>
          </w:p>
        </w:tc>
        <w:tc>
          <w:tcPr>
            <w:tcW w:w="1055" w:type="dxa"/>
            <w:tcBorders>
              <w:top w:val="single" w:sz="4" w:space="0" w:color="auto"/>
              <w:left w:val="nil"/>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r>
              <w:rPr>
                <w:rFonts w:ascii="Arial Narrow" w:hAnsi="Arial Narrow"/>
                <w:bCs/>
                <w:noProof/>
                <w:color w:val="000000"/>
                <w:sz w:val="20"/>
                <w:szCs w:val="20"/>
                <w:highlight w:val="black"/>
              </w:rPr>
              <w:t xml:space="preserve"> </w:t>
            </w:r>
          </w:p>
        </w:tc>
        <w:tc>
          <w:tcPr>
            <w:tcW w:w="1055" w:type="dxa"/>
            <w:tcBorders>
              <w:top w:val="single" w:sz="4" w:space="0" w:color="auto"/>
              <w:left w:val="nil"/>
              <w:bottom w:val="single" w:sz="4" w:space="0" w:color="auto"/>
              <w:right w:val="single" w:sz="4" w:space="0" w:color="auto"/>
            </w:tcBorders>
            <w:shd w:val="clear" w:color="auto" w:fill="auto"/>
          </w:tcPr>
          <w:p w:rsidR="007C53EC" w:rsidRPr="00A47328" w:rsidRDefault="00A47328" w:rsidP="00C04ED3">
            <w:pPr>
              <w:jc w:val="center"/>
              <w:rPr>
                <w:rFonts w:ascii="Arial Narrow" w:hAnsi="Arial Narrow"/>
                <w:bCs/>
                <w:color w:val="000000"/>
                <w:sz w:val="20"/>
                <w:szCs w:val="20"/>
              </w:rPr>
            </w:pPr>
            <w:r>
              <w:rPr>
                <w:rFonts w:ascii="Arial Narrow" w:hAnsi="Arial Narrow"/>
                <w:bCs/>
                <w:noProof/>
                <w:color w:val="000000"/>
                <w:sz w:val="20"/>
                <w:szCs w:val="20"/>
                <w:highlight w:val="black"/>
              </w:rPr>
              <w:t>''''''''''''</w:t>
            </w:r>
            <w:r w:rsidR="00A51147">
              <w:rPr>
                <w:rFonts w:ascii="Arial Narrow" w:hAnsi="Arial Narrow"/>
                <w:snapToGrid w:val="0"/>
                <w:sz w:val="18"/>
                <w:szCs w:val="22"/>
                <w:vertAlign w:val="superscript"/>
              </w:rPr>
              <w:t>3</w:t>
            </w:r>
            <w:r>
              <w:rPr>
                <w:rFonts w:ascii="Arial Narrow" w:hAnsi="Arial Narrow"/>
                <w:bCs/>
                <w:noProof/>
                <w:color w:val="000000"/>
                <w:sz w:val="20"/>
                <w:szCs w:val="20"/>
                <w:highlight w:val="black"/>
              </w:rPr>
              <w:t xml:space="preserve"> </w:t>
            </w:r>
          </w:p>
        </w:tc>
      </w:tr>
      <w:tr w:rsidR="007C53EC" w:rsidRPr="00D4558F" w:rsidTr="00C04ED3">
        <w:tc>
          <w:tcPr>
            <w:tcW w:w="2689" w:type="dxa"/>
          </w:tcPr>
          <w:p w:rsidR="007C53EC" w:rsidRPr="00D4558F" w:rsidRDefault="007C53EC" w:rsidP="00C04ED3">
            <w:pPr>
              <w:rPr>
                <w:rFonts w:ascii="Arial Narrow" w:hAnsi="Arial Narrow"/>
                <w:sz w:val="20"/>
                <w:szCs w:val="20"/>
              </w:rPr>
            </w:pPr>
            <w:r w:rsidRPr="00D4558F">
              <w:rPr>
                <w:rFonts w:ascii="Arial Narrow" w:hAnsi="Arial Narrow"/>
                <w:sz w:val="20"/>
                <w:szCs w:val="20"/>
              </w:rPr>
              <w:t>Net cost to MBS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Cs/>
                <w:color w:val="000000"/>
                <w:sz w:val="20"/>
                <w:szCs w:val="20"/>
              </w:rPr>
            </w:pPr>
            <w:r w:rsidRPr="00D4558F">
              <w:rPr>
                <w:rFonts w:ascii="Arial Narrow" w:hAnsi="Arial Narrow"/>
                <w:bCs/>
                <w:color w:val="000000"/>
                <w:sz w:val="20"/>
                <w:szCs w:val="20"/>
              </w:rPr>
              <w:t>$</w:t>
            </w:r>
            <w:r w:rsidR="00A47328">
              <w:rPr>
                <w:rFonts w:ascii="Arial Narrow" w:hAnsi="Arial Narrow"/>
                <w:bCs/>
                <w:noProof/>
                <w:color w:val="000000"/>
                <w:sz w:val="20"/>
                <w:szCs w:val="20"/>
                <w:highlight w:val="black"/>
              </w:rPr>
              <w:t>'''''''''''''''''</w:t>
            </w:r>
            <w:r w:rsidR="002C6971">
              <w:rPr>
                <w:rFonts w:ascii="Arial Narrow" w:hAnsi="Arial Narrow"/>
                <w:snapToGrid w:val="0"/>
                <w:sz w:val="18"/>
                <w:szCs w:val="22"/>
                <w:vertAlign w:val="superscript"/>
              </w:rPr>
              <w:t>6</w:t>
            </w:r>
          </w:p>
        </w:tc>
      </w:tr>
      <w:tr w:rsidR="007C53EC" w:rsidRPr="00D4558F" w:rsidTr="00C04ED3">
        <w:tc>
          <w:tcPr>
            <w:tcW w:w="2689" w:type="dxa"/>
          </w:tcPr>
          <w:p w:rsidR="007C53EC" w:rsidRPr="00D4558F" w:rsidRDefault="007C53EC" w:rsidP="00C04ED3">
            <w:pPr>
              <w:rPr>
                <w:rFonts w:ascii="Arial Narrow" w:hAnsi="Arial Narrow"/>
                <w:sz w:val="20"/>
                <w:szCs w:val="20"/>
              </w:rPr>
            </w:pPr>
            <w:r w:rsidRPr="00D4558F">
              <w:rPr>
                <w:rFonts w:ascii="Arial Narrow" w:hAnsi="Arial Narrow"/>
                <w:sz w:val="20"/>
                <w:szCs w:val="20"/>
              </w:rPr>
              <w:t>Net change to government budget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4</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4"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c>
          <w:tcPr>
            <w:tcW w:w="1055" w:type="dxa"/>
            <w:tcBorders>
              <w:top w:val="single" w:sz="4" w:space="0" w:color="auto"/>
              <w:left w:val="nil"/>
              <w:bottom w:val="single" w:sz="4" w:space="0" w:color="auto"/>
              <w:right w:val="single" w:sz="4" w:space="0" w:color="auto"/>
            </w:tcBorders>
            <w:shd w:val="clear" w:color="auto" w:fill="auto"/>
            <w:vAlign w:val="center"/>
          </w:tcPr>
          <w:p w:rsidR="007C53EC" w:rsidRPr="00D4558F" w:rsidRDefault="007C53EC" w:rsidP="00C04ED3">
            <w:pPr>
              <w:jc w:val="center"/>
              <w:rPr>
                <w:rFonts w:ascii="Arial Narrow" w:hAnsi="Arial Narrow"/>
                <w:b/>
                <w:bCs/>
                <w:color w:val="000000"/>
                <w:sz w:val="20"/>
                <w:szCs w:val="20"/>
              </w:rPr>
            </w:pPr>
            <w:r w:rsidRPr="00D4558F">
              <w:rPr>
                <w:rFonts w:ascii="Arial Narrow" w:hAnsi="Arial Narrow"/>
                <w:b/>
                <w:bCs/>
                <w:color w:val="000000"/>
                <w:sz w:val="20"/>
                <w:szCs w:val="20"/>
              </w:rPr>
              <w:t>$</w:t>
            </w:r>
            <w:r w:rsidR="00A47328">
              <w:rPr>
                <w:rFonts w:ascii="Arial Narrow" w:hAnsi="Arial Narrow"/>
                <w:b/>
                <w:bCs/>
                <w:noProof/>
                <w:color w:val="000000"/>
                <w:sz w:val="20"/>
                <w:szCs w:val="20"/>
                <w:highlight w:val="black"/>
              </w:rPr>
              <w:t>''''''''''''''''''''''</w:t>
            </w:r>
            <w:r w:rsidR="002C6971">
              <w:rPr>
                <w:rFonts w:ascii="Arial Narrow" w:hAnsi="Arial Narrow"/>
                <w:snapToGrid w:val="0"/>
                <w:sz w:val="18"/>
                <w:szCs w:val="22"/>
                <w:vertAlign w:val="superscript"/>
              </w:rPr>
              <w:t>5</w:t>
            </w:r>
          </w:p>
        </w:tc>
      </w:tr>
    </w:tbl>
    <w:p w:rsidR="007C53EC" w:rsidRPr="00D4558F" w:rsidRDefault="007C53EC" w:rsidP="007C53EC">
      <w:pPr>
        <w:spacing w:after="120"/>
        <w:contextualSpacing/>
        <w:rPr>
          <w:rFonts w:ascii="Arial Narrow" w:hAnsi="Arial Narrow"/>
          <w:snapToGrid w:val="0"/>
          <w:sz w:val="18"/>
          <w:szCs w:val="22"/>
        </w:rPr>
      </w:pPr>
      <w:r w:rsidRPr="00D4558F">
        <w:rPr>
          <w:rFonts w:ascii="Arial Narrow" w:hAnsi="Arial Narrow"/>
          <w:snapToGrid w:val="0"/>
          <w:sz w:val="18"/>
          <w:szCs w:val="22"/>
        </w:rPr>
        <w:t>Source: Tables 4.1 to 4.5, pp141-142 of the submission and Section 4 Workbook (Financial Impact).xlsx.</w:t>
      </w:r>
    </w:p>
    <w:p w:rsidR="007C53EC" w:rsidRPr="00D4558F" w:rsidRDefault="007C53EC" w:rsidP="007C53EC">
      <w:pPr>
        <w:spacing w:after="120"/>
        <w:contextualSpacing/>
        <w:rPr>
          <w:rFonts w:ascii="Arial Narrow" w:hAnsi="Arial Narrow"/>
          <w:snapToGrid w:val="0"/>
          <w:sz w:val="18"/>
          <w:szCs w:val="22"/>
        </w:rPr>
      </w:pPr>
      <w:r w:rsidRPr="00D4558F">
        <w:rPr>
          <w:rFonts w:ascii="Arial Narrow" w:hAnsi="Arial Narrow"/>
          <w:snapToGrid w:val="0"/>
          <w:sz w:val="18"/>
          <w:szCs w:val="22"/>
        </w:rPr>
        <w:t>Abbreviations: XLH=X-linked hypophosphataemia;</w:t>
      </w:r>
    </w:p>
    <w:p w:rsidR="007C53EC" w:rsidRDefault="007C53EC" w:rsidP="007C53EC">
      <w:pPr>
        <w:tabs>
          <w:tab w:val="left" w:pos="142"/>
        </w:tabs>
        <w:spacing w:after="120"/>
        <w:contextualSpacing/>
        <w:rPr>
          <w:rFonts w:ascii="Arial Narrow" w:hAnsi="Arial Narrow"/>
          <w:snapToGrid w:val="0"/>
          <w:sz w:val="18"/>
          <w:szCs w:val="22"/>
        </w:rPr>
      </w:pPr>
      <w:r w:rsidRPr="00D4558F">
        <w:rPr>
          <w:rFonts w:ascii="Arial Narrow" w:hAnsi="Arial Narrow"/>
          <w:snapToGrid w:val="0"/>
          <w:sz w:val="18"/>
          <w:szCs w:val="22"/>
          <w:vertAlign w:val="superscript"/>
        </w:rPr>
        <w:t>a</w:t>
      </w:r>
      <w:r w:rsidRPr="00D4558F">
        <w:rPr>
          <w:rFonts w:ascii="Arial Narrow" w:hAnsi="Arial Narrow"/>
          <w:snapToGrid w:val="0"/>
          <w:sz w:val="18"/>
          <w:szCs w:val="22"/>
        </w:rPr>
        <w:tab/>
        <w:t xml:space="preserve">The submission excluded RPBS co-payment from the financial estimates because it is not applicable to </w:t>
      </w:r>
      <w:r>
        <w:rPr>
          <w:rFonts w:ascii="Arial Narrow" w:hAnsi="Arial Narrow"/>
          <w:snapToGrid w:val="0"/>
          <w:sz w:val="18"/>
          <w:szCs w:val="22"/>
        </w:rPr>
        <w:t>burosumab</w:t>
      </w:r>
      <w:r w:rsidRPr="00D4558F">
        <w:rPr>
          <w:rFonts w:ascii="Arial Narrow" w:hAnsi="Arial Narrow"/>
          <w:snapToGrid w:val="0"/>
          <w:sz w:val="18"/>
          <w:szCs w:val="22"/>
        </w:rPr>
        <w:t>.</w:t>
      </w:r>
    </w:p>
    <w:p w:rsidR="00A51147" w:rsidRPr="002C6971" w:rsidRDefault="00A51147"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rPr>
        <w:t>The redacted values correspond to the following ranges:</w:t>
      </w:r>
    </w:p>
    <w:p w:rsidR="00A51147" w:rsidRPr="002C6971" w:rsidRDefault="00A51147"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1</w:t>
      </w:r>
      <w:r w:rsidRPr="002C6971">
        <w:rPr>
          <w:rFonts w:ascii="Arial Narrow" w:hAnsi="Arial Narrow"/>
          <w:i/>
          <w:snapToGrid w:val="0"/>
          <w:sz w:val="18"/>
          <w:szCs w:val="22"/>
        </w:rPr>
        <w:t xml:space="preserve"> 4,000,000 to &lt; 6,000,000</w:t>
      </w:r>
    </w:p>
    <w:p w:rsidR="00A51147" w:rsidRPr="002C6971" w:rsidRDefault="00A51147"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2</w:t>
      </w:r>
      <w:r w:rsidRPr="002C6971">
        <w:rPr>
          <w:rFonts w:ascii="Arial Narrow" w:hAnsi="Arial Narrow"/>
          <w:i/>
          <w:snapToGrid w:val="0"/>
          <w:sz w:val="18"/>
          <w:szCs w:val="22"/>
        </w:rPr>
        <w:t xml:space="preserve"> &lt; 500</w:t>
      </w:r>
    </w:p>
    <w:p w:rsidR="00A51147" w:rsidRPr="002C6971" w:rsidRDefault="00A51147"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3</w:t>
      </w:r>
      <w:r w:rsidRPr="002C6971">
        <w:rPr>
          <w:rFonts w:ascii="Arial Narrow" w:hAnsi="Arial Narrow"/>
          <w:i/>
          <w:snapToGrid w:val="0"/>
          <w:sz w:val="18"/>
          <w:szCs w:val="22"/>
        </w:rPr>
        <w:t xml:space="preserve"> 500 to &lt; 5,000</w:t>
      </w:r>
    </w:p>
    <w:p w:rsidR="002C6971" w:rsidRPr="002C6971" w:rsidRDefault="002C6971"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4</w:t>
      </w:r>
      <w:r w:rsidRPr="002C6971">
        <w:rPr>
          <w:rFonts w:ascii="Arial Narrow" w:hAnsi="Arial Narrow"/>
          <w:i/>
          <w:snapToGrid w:val="0"/>
          <w:sz w:val="18"/>
          <w:szCs w:val="22"/>
        </w:rPr>
        <w:t xml:space="preserve"> $10 million to &lt; $20 million</w:t>
      </w:r>
    </w:p>
    <w:p w:rsidR="002C6971" w:rsidRPr="002C6971" w:rsidRDefault="002C6971"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5</w:t>
      </w:r>
      <w:r w:rsidRPr="002C6971">
        <w:rPr>
          <w:rFonts w:ascii="Arial Narrow" w:hAnsi="Arial Narrow"/>
          <w:i/>
          <w:snapToGrid w:val="0"/>
          <w:sz w:val="18"/>
          <w:szCs w:val="22"/>
        </w:rPr>
        <w:t xml:space="preserve"> $20 million to &lt; $30 million</w:t>
      </w:r>
    </w:p>
    <w:p w:rsidR="002C6971" w:rsidRPr="002C6971" w:rsidRDefault="002C6971" w:rsidP="007C53EC">
      <w:pPr>
        <w:tabs>
          <w:tab w:val="left" w:pos="142"/>
        </w:tabs>
        <w:spacing w:after="120"/>
        <w:contextualSpacing/>
        <w:rPr>
          <w:rFonts w:ascii="Arial Narrow" w:hAnsi="Arial Narrow"/>
          <w:i/>
          <w:snapToGrid w:val="0"/>
          <w:sz w:val="18"/>
          <w:szCs w:val="22"/>
        </w:rPr>
      </w:pPr>
      <w:r w:rsidRPr="002C6971">
        <w:rPr>
          <w:rFonts w:ascii="Arial Narrow" w:hAnsi="Arial Narrow"/>
          <w:i/>
          <w:snapToGrid w:val="0"/>
          <w:sz w:val="18"/>
          <w:szCs w:val="22"/>
          <w:vertAlign w:val="superscript"/>
        </w:rPr>
        <w:t>6</w:t>
      </w:r>
      <w:r w:rsidRPr="002C6971">
        <w:rPr>
          <w:rFonts w:ascii="Arial Narrow" w:hAnsi="Arial Narrow"/>
          <w:i/>
          <w:snapToGrid w:val="0"/>
          <w:sz w:val="18"/>
          <w:szCs w:val="22"/>
        </w:rPr>
        <w:t xml:space="preserve"> $0 to &lt; $10 million</w:t>
      </w:r>
    </w:p>
    <w:p w:rsidR="007C53EC" w:rsidRPr="007C53EC" w:rsidRDefault="007C53EC" w:rsidP="007C53EC">
      <w:pPr>
        <w:pStyle w:val="3-BodyText"/>
      </w:pPr>
      <w:r w:rsidRPr="00D4558F">
        <w:t xml:space="preserve">The net cost to PBS/RPBS was estimated to be </w:t>
      </w:r>
      <w:r w:rsidR="002C6971">
        <w:t>$100 million to &lt; $200</w:t>
      </w:r>
      <w:r>
        <w:t xml:space="preserve"> million</w:t>
      </w:r>
      <w:r w:rsidRPr="00D4558F">
        <w:t xml:space="preserve"> (plus $309,700 net cost to MBS) over the first six years of listing.</w:t>
      </w:r>
      <w:r w:rsidRPr="00D4558F">
        <w:rPr>
          <w:i/>
        </w:rPr>
        <w:t xml:space="preserve"> </w:t>
      </w:r>
      <w:r w:rsidRPr="007C53EC">
        <w:t xml:space="preserve">The </w:t>
      </w:r>
      <w:r w:rsidR="007B5CF6">
        <w:t xml:space="preserve">DUSC considered that the </w:t>
      </w:r>
      <w:r w:rsidRPr="007C53EC">
        <w:t xml:space="preserve">financial estimates were uncertain given the lack of Australian data on which to base the eligible population and the potentially inappropriate assumptions used in the estimates. For example, the submission assumed that: </w:t>
      </w:r>
    </w:p>
    <w:p w:rsidR="007C53EC" w:rsidRPr="007C53EC" w:rsidRDefault="007C53EC" w:rsidP="007C53EC">
      <w:pPr>
        <w:pStyle w:val="3-BodyText"/>
        <w:numPr>
          <w:ilvl w:val="1"/>
          <w:numId w:val="13"/>
        </w:numPr>
        <w:ind w:left="1134" w:hanging="425"/>
      </w:pPr>
      <w:r w:rsidRPr="007C53EC">
        <w:t xml:space="preserve">the Year 1 (2020) bodyweight/age distribution in the population would be maintained over the first six years of listing and that age distribution of the PBS XLH population would follow that of the general population (with patient numbers evenly split across all ages &lt; 18 years). However, </w:t>
      </w:r>
      <w:r w:rsidR="00342380">
        <w:t xml:space="preserve">DUSC noted that </w:t>
      </w:r>
      <w:r w:rsidRPr="007C53EC">
        <w:t xml:space="preserve">it is more likely to see the pattern of use changing over time; initially, prevalent patients are likely to be older and with greater disease duration; however, as the prevalent population is treated, the mean age of incident patients commencing burosumab treatment  is likely to be closer to 1 year of age (or age of diagnosis); </w:t>
      </w:r>
    </w:p>
    <w:p w:rsidR="007C53EC" w:rsidRPr="007C53EC" w:rsidRDefault="007C53EC" w:rsidP="007C53EC">
      <w:pPr>
        <w:pStyle w:val="3-BodyText"/>
        <w:numPr>
          <w:ilvl w:val="1"/>
          <w:numId w:val="13"/>
        </w:numPr>
        <w:ind w:left="1134" w:hanging="425"/>
      </w:pPr>
      <w:r w:rsidRPr="007C53EC">
        <w:t>patients would receive an average dose of 0.86 mg/kg which is likely an underestimate. Australian EAP data suggested a mean dose of approximately 1.05 mg/kg. In addition, the submission did not apply weight-based dosing for oral phosphorus</w:t>
      </w:r>
      <w:r w:rsidR="00342380">
        <w:t>. The PSCR stated that the maximum permitted dose in CL301 was lower than that proposed in the draft Product Information and that the prescribed doses may be higher than in the clinical trial and that this would have implications for both the costs and effects  of burosumab</w:t>
      </w:r>
      <w:r w:rsidRPr="007C53EC">
        <w:t xml:space="preserve">; and </w:t>
      </w:r>
    </w:p>
    <w:p w:rsidR="007C53EC" w:rsidRPr="007C53EC" w:rsidRDefault="007C53EC" w:rsidP="007C53EC">
      <w:pPr>
        <w:pStyle w:val="3-BodyText"/>
        <w:numPr>
          <w:ilvl w:val="1"/>
          <w:numId w:val="13"/>
        </w:numPr>
        <w:ind w:left="1134" w:hanging="425"/>
      </w:pPr>
      <w:r w:rsidRPr="007C53EC">
        <w:t>there would be 100% compliance and zero attrition, which was conservative.</w:t>
      </w:r>
    </w:p>
    <w:p w:rsidR="007C53EC" w:rsidRPr="007C53EC" w:rsidRDefault="007C53EC" w:rsidP="007C53EC">
      <w:pPr>
        <w:pStyle w:val="3-BodyText"/>
      </w:pPr>
      <w:r w:rsidRPr="007C53EC">
        <w:t>Importantly, while the estimates reflected the requested population for burosumab in children and adolescents, the submission ignored the likely leakage of use of burosumab to those beyond age 18 years given burosumab continues to have meaningful benefits outside of rickets and growth into adulthood, such as improving serum phosphorus levels, physical functioning, pain and stiffness.</w:t>
      </w:r>
    </w:p>
    <w:p w:rsidR="00F87F89" w:rsidRPr="00D4558F" w:rsidRDefault="00F87F89" w:rsidP="00F87F89">
      <w:pPr>
        <w:pStyle w:val="4-SubsectionHeading"/>
      </w:pPr>
      <w:r w:rsidRPr="00D4558F">
        <w:t>Financial Management – Risk Sharing Arrangements</w:t>
      </w:r>
      <w:bookmarkEnd w:id="28"/>
      <w:bookmarkEnd w:id="29"/>
      <w:bookmarkEnd w:id="30"/>
    </w:p>
    <w:p w:rsidR="00F87F89" w:rsidRDefault="00F87F89" w:rsidP="00F87F89">
      <w:pPr>
        <w:pStyle w:val="ListParagraph"/>
        <w:numPr>
          <w:ilvl w:val="1"/>
          <w:numId w:val="1"/>
        </w:numPr>
      </w:pPr>
      <w:r w:rsidRPr="00D4558F">
        <w:t xml:space="preserve">The submission stated that the sponsor is willing to enter into a risk share arrangement to manage uncertainties around the financial estimates, relating to prevalence of XLH in the paediatric population, uptake rate, duration and utilisation and cost of </w:t>
      </w:r>
      <w:r w:rsidR="003631B0">
        <w:t>burosumab</w:t>
      </w:r>
      <w:r w:rsidRPr="00D4558F">
        <w:t>, with details to be agreed once the final context of listing and the extent of uncertainties are better understood.</w:t>
      </w:r>
    </w:p>
    <w:p w:rsidR="00AA3AEA" w:rsidRPr="004E3390" w:rsidRDefault="00B53825" w:rsidP="004E3390">
      <w:pPr>
        <w:pStyle w:val="ListBullet"/>
        <w:ind w:left="680"/>
        <w:rPr>
          <w:i/>
        </w:rPr>
      </w:pPr>
      <w:r w:rsidRPr="00B53825">
        <w:rPr>
          <w:i/>
        </w:rPr>
        <w:t>For more detail on PBAC’s view, see section 7 PBAC outcome.</w:t>
      </w:r>
    </w:p>
    <w:p w:rsidR="007C53EC" w:rsidRPr="00D52702" w:rsidRDefault="007C53EC" w:rsidP="004E3390">
      <w:pPr>
        <w:pStyle w:val="2-SectionHeading"/>
      </w:pPr>
      <w:r w:rsidRPr="00D52702">
        <w:t>PBAC Outcome</w:t>
      </w:r>
    </w:p>
    <w:p w:rsidR="009C4CD7" w:rsidRDefault="009C4CD7" w:rsidP="009C4CD7">
      <w:pPr>
        <w:widowControl w:val="0"/>
        <w:numPr>
          <w:ilvl w:val="1"/>
          <w:numId w:val="1"/>
        </w:numPr>
        <w:spacing w:after="120"/>
      </w:pPr>
      <w:r w:rsidRPr="009E3834">
        <w:t xml:space="preserve">The PBAC </w:t>
      </w:r>
      <w:r w:rsidRPr="009C4CD7">
        <w:t>did not recommend</w:t>
      </w:r>
      <w:r w:rsidRPr="009E3834">
        <w:t xml:space="preserve"> burosumab </w:t>
      </w:r>
      <w:r>
        <w:t xml:space="preserve">for </w:t>
      </w:r>
      <w:r w:rsidRPr="009E3834">
        <w:t xml:space="preserve">the treatment of </w:t>
      </w:r>
      <w:r w:rsidR="00E17297">
        <w:t>paediatric patients with X</w:t>
      </w:r>
      <w:r w:rsidRPr="009E3834">
        <w:t>-linked hypophosphataemia</w:t>
      </w:r>
      <w:r>
        <w:t xml:space="preserve"> (XLH)</w:t>
      </w:r>
      <w:r w:rsidRPr="009E3834">
        <w:t xml:space="preserve">. The PBAC considered that there were complex issues relating to the clinical evidence presented and the proposed restriction. In addition, the PBAC considered that the incremental cost effectiveness ratio </w:t>
      </w:r>
      <w:r w:rsidR="00621065">
        <w:t xml:space="preserve">(ICER) </w:t>
      </w:r>
      <w:r w:rsidRPr="009E3834">
        <w:t>was high and likely underestimated and that the financial estimates were highly uncertain.</w:t>
      </w:r>
    </w:p>
    <w:p w:rsidR="009C4CD7" w:rsidRDefault="009C4CD7" w:rsidP="009C4CD7">
      <w:pPr>
        <w:widowControl w:val="0"/>
        <w:numPr>
          <w:ilvl w:val="1"/>
          <w:numId w:val="1"/>
        </w:numPr>
        <w:spacing w:after="120"/>
      </w:pPr>
      <w:r>
        <w:t xml:space="preserve">The PBAC </w:t>
      </w:r>
      <w:r w:rsidR="00E17297">
        <w:t xml:space="preserve">recognised the </w:t>
      </w:r>
      <w:r w:rsidR="00E17297" w:rsidRPr="009E3834">
        <w:t xml:space="preserve">high clinical need </w:t>
      </w:r>
      <w:r w:rsidR="00E17297">
        <w:t xml:space="preserve">for effective treatments to treat XLH and </w:t>
      </w:r>
      <w:r w:rsidR="00ED421D">
        <w:t>that current standard of c</w:t>
      </w:r>
      <w:r w:rsidR="00D8241C">
        <w:t>a</w:t>
      </w:r>
      <w:r w:rsidR="00ED421D">
        <w:t xml:space="preserve">re was suboptimal. The PBAC </w:t>
      </w:r>
      <w:r w:rsidR="00E17297">
        <w:t xml:space="preserve">noted the </w:t>
      </w:r>
      <w:r w:rsidR="00E17297" w:rsidRPr="009E3834">
        <w:t xml:space="preserve">strong consumer support for </w:t>
      </w:r>
      <w:r w:rsidR="00E17297">
        <w:t xml:space="preserve">burosumab describing </w:t>
      </w:r>
      <w:r w:rsidR="002D1D42" w:rsidRPr="00BA5AAB">
        <w:rPr>
          <w:snapToGrid w:val="0"/>
          <w:lang w:val="en-US"/>
        </w:rPr>
        <w:t>a range of benefits</w:t>
      </w:r>
      <w:r w:rsidR="00E17297">
        <w:t xml:space="preserve"> </w:t>
      </w:r>
      <w:r w:rsidR="002D1D42" w:rsidRPr="00BA5AAB">
        <w:rPr>
          <w:snapToGrid w:val="0"/>
          <w:lang w:val="en-US"/>
        </w:rPr>
        <w:t>including the ease of administration compared to currently available therapies, the effectiveness of the treatment, the tolerability of the treatment and the improved quality of life associated with the treatment</w:t>
      </w:r>
      <w:r w:rsidR="00E17297">
        <w:t>.</w:t>
      </w:r>
      <w:r w:rsidR="00740797">
        <w:t xml:space="preserve"> </w:t>
      </w:r>
      <w:r w:rsidR="002D1D42" w:rsidRPr="00EF02F3">
        <w:rPr>
          <w:iCs/>
          <w:lang w:val="en-US"/>
        </w:rPr>
        <w:t xml:space="preserve">The PBAC also considered input from XLH Australia Incorporated that had been summarised by the Consumer Evidence and Engagement Unit </w:t>
      </w:r>
      <w:r w:rsidR="0053453F">
        <w:rPr>
          <w:iCs/>
          <w:lang w:val="en-US"/>
        </w:rPr>
        <w:t xml:space="preserve">of the </w:t>
      </w:r>
      <w:r w:rsidR="0053453F" w:rsidRPr="0053453F">
        <w:rPr>
          <w:iCs/>
          <w:lang w:val="en-US"/>
        </w:rPr>
        <w:t>Department of Health</w:t>
      </w:r>
      <w:r w:rsidR="0053453F">
        <w:rPr>
          <w:iCs/>
          <w:lang w:val="en-US"/>
        </w:rPr>
        <w:t xml:space="preserve"> </w:t>
      </w:r>
      <w:r w:rsidR="002D1D42" w:rsidRPr="00EF02F3">
        <w:rPr>
          <w:iCs/>
          <w:lang w:val="en-US"/>
        </w:rPr>
        <w:t xml:space="preserve">from a meeting with XLH Australia Incorporated representatives.  This input outlined the impact of the condition on gross motor skills, mental health as well as issues around oral health, pain and need for corrective surgery. </w:t>
      </w:r>
      <w:r w:rsidR="00740797" w:rsidRPr="00EF02F3">
        <w:t>T</w:t>
      </w:r>
      <w:r w:rsidR="00740797">
        <w:t>he PBAC also noted that the consumer input was strongly supportive of a broad PBS listing across all ages, including adults with XLH. The PBAC considered that the available evidence suggests that all patients may receive some benefit from burosumab, but that this benefit, particularly in adults, need</w:t>
      </w:r>
      <w:r w:rsidR="00D62E79">
        <w:t>ed</w:t>
      </w:r>
      <w:r w:rsidR="00740797">
        <w:t xml:space="preserve"> to be better quantified.</w:t>
      </w:r>
    </w:p>
    <w:p w:rsidR="00E17297" w:rsidRDefault="00E17297" w:rsidP="009C4CD7">
      <w:pPr>
        <w:widowControl w:val="0"/>
        <w:numPr>
          <w:ilvl w:val="1"/>
          <w:numId w:val="1"/>
        </w:numPr>
        <w:spacing w:after="120"/>
      </w:pPr>
      <w:r>
        <w:t>The PBAC noted that the submission nominated conventional therapy, consisting of oral phosphorus and calcitriol, as the comparator. The PBAC considered that this was appropriate.</w:t>
      </w:r>
    </w:p>
    <w:p w:rsidR="00E17297" w:rsidRDefault="00E17297" w:rsidP="009C4CD7">
      <w:pPr>
        <w:widowControl w:val="0"/>
        <w:numPr>
          <w:ilvl w:val="1"/>
          <w:numId w:val="1"/>
        </w:numPr>
        <w:spacing w:after="120"/>
      </w:pPr>
      <w:r>
        <w:t xml:space="preserve">The PBAC noted that </w:t>
      </w:r>
      <w:r w:rsidR="00A86D98">
        <w:t>the submission was primarily based on one small, randomised clinical trial, CL301</w:t>
      </w:r>
      <w:r w:rsidR="00621065">
        <w:t xml:space="preserve"> (N = 61)</w:t>
      </w:r>
      <w:r w:rsidR="00A86D98">
        <w:t>, which compared burosumab to conventional therapy in children aged 1 to 12 years of age</w:t>
      </w:r>
      <w:r w:rsidR="00CC181D">
        <w:t xml:space="preserve">, with two </w:t>
      </w:r>
      <w:r w:rsidR="00621065">
        <w:t xml:space="preserve">small, </w:t>
      </w:r>
      <w:r w:rsidR="00CC181D">
        <w:t xml:space="preserve">non-comparative studies (CL201 and CL205) presented as supportive evidence. The PBAC noted that a relevant trial, KRN23-003, was inappropriately excluded from the submission as the study treatment was via self-administration </w:t>
      </w:r>
      <w:r w:rsidR="00CC24D2">
        <w:t xml:space="preserve">(which the PBAC considered would be important for equity of access particularly for rural and remote patients) </w:t>
      </w:r>
      <w:r w:rsidR="00CC181D">
        <w:t xml:space="preserve">and that a number of clinical trials were available </w:t>
      </w:r>
      <w:r w:rsidR="00EC251A">
        <w:t xml:space="preserve">that evaluated </w:t>
      </w:r>
      <w:r w:rsidR="00CC181D">
        <w:t>th</w:t>
      </w:r>
      <w:r w:rsidR="00FB7802">
        <w:t>e effects of burosumab in adults</w:t>
      </w:r>
      <w:r w:rsidR="00CC181D">
        <w:t xml:space="preserve">. </w:t>
      </w:r>
    </w:p>
    <w:p w:rsidR="00C4638B" w:rsidRDefault="00C4638B" w:rsidP="009C4CD7">
      <w:pPr>
        <w:widowControl w:val="0"/>
        <w:numPr>
          <w:ilvl w:val="1"/>
          <w:numId w:val="1"/>
        </w:numPr>
        <w:spacing w:after="120"/>
      </w:pPr>
      <w:r>
        <w:t>The PBAC noted that the population in CL301</w:t>
      </w:r>
      <w:r w:rsidR="008862D1">
        <w:t>, CL201 and CL205</w:t>
      </w:r>
      <w:r>
        <w:t xml:space="preserve"> (i.e. children aged 1 to 12 years) did not match </w:t>
      </w:r>
      <w:r w:rsidR="004F5E29">
        <w:t>the population in the proposed restriction (i.e. children up to the age of 18 years).</w:t>
      </w:r>
      <w:r w:rsidR="0035584A">
        <w:t xml:space="preserve"> Further, the PBAC noted that the proposed restriction only required patients to have ‘confirmed XLH in the patient’s medical records’. The PBAC recommended that the restriction include more cli</w:t>
      </w:r>
      <w:r w:rsidR="00EC251A">
        <w:t>nically based criteria such as</w:t>
      </w:r>
      <w:r w:rsidR="0035584A">
        <w:t xml:space="preserve"> serum phosphate levels and radiographic evidence of rickets and include confirmation of a PHEX pathogenic variant.</w:t>
      </w:r>
      <w:r w:rsidR="00D62E79">
        <w:t xml:space="preserve"> In addition, the PBAC recommended that the restriction include continuation criteria which reflected the maintained effects of burosumab.</w:t>
      </w:r>
    </w:p>
    <w:p w:rsidR="00CC181D" w:rsidRDefault="00CC181D" w:rsidP="009C4CD7">
      <w:pPr>
        <w:widowControl w:val="0"/>
        <w:numPr>
          <w:ilvl w:val="1"/>
          <w:numId w:val="1"/>
        </w:numPr>
        <w:spacing w:after="120"/>
      </w:pPr>
      <w:r>
        <w:t>The PBAC noted that the primary outcomes presented</w:t>
      </w:r>
      <w:r w:rsidR="00621065">
        <w:t>, and used to quantify the clinical effectiveness of burosumab in children,</w:t>
      </w:r>
      <w:r>
        <w:t xml:space="preserve"> were the rickets severity score (RSS) and the radiographic global impression of change (RGI-C). The PBAC </w:t>
      </w:r>
      <w:r w:rsidR="00A506B3">
        <w:t>note</w:t>
      </w:r>
      <w:r>
        <w:t>d that these outcomes did not capture</w:t>
      </w:r>
      <w:r w:rsidR="00A506B3">
        <w:t xml:space="preserve"> aspects of XLH which were important to patients such as changes in gross motor skills, the need for corrective surgery, pain and oral health.</w:t>
      </w:r>
    </w:p>
    <w:p w:rsidR="00A506B3" w:rsidRDefault="00A506B3" w:rsidP="009C4CD7">
      <w:pPr>
        <w:widowControl w:val="0"/>
        <w:numPr>
          <w:ilvl w:val="1"/>
          <w:numId w:val="1"/>
        </w:numPr>
        <w:spacing w:after="120"/>
      </w:pPr>
      <w:r>
        <w:t xml:space="preserve">The PBAC noted that the results of CL301 demonstrated that burosumab was associated with statistically significant changes in RSS and RGI-C at Weeks 40 and 64. </w:t>
      </w:r>
      <w:r w:rsidR="001A752E" w:rsidRPr="00EF02F3">
        <w:t xml:space="preserve">However, the PBAC considered </w:t>
      </w:r>
      <w:r w:rsidR="001C5CE3" w:rsidRPr="00EF02F3">
        <w:t>the</w:t>
      </w:r>
      <w:r w:rsidR="001A752E" w:rsidRPr="00EF02F3">
        <w:t xml:space="preserve"> </w:t>
      </w:r>
      <w:r w:rsidR="001C5CE3" w:rsidRPr="00EF02F3">
        <w:t>RSS response defined as a ≥</w:t>
      </w:r>
      <w:r w:rsidR="00EF02F3" w:rsidRPr="00EF02F3">
        <w:t xml:space="preserve"> </w:t>
      </w:r>
      <w:r w:rsidR="001A752E" w:rsidRPr="00EF02F3">
        <w:t xml:space="preserve">1 point change was not </w:t>
      </w:r>
      <w:r w:rsidR="001C5CE3" w:rsidRPr="00EF02F3">
        <w:t xml:space="preserve">well justified, and </w:t>
      </w:r>
      <w:r w:rsidR="001A752E" w:rsidRPr="00EF02F3">
        <w:t>result</w:t>
      </w:r>
      <w:r w:rsidR="001C5CE3" w:rsidRPr="00EF02F3">
        <w:t>ed</w:t>
      </w:r>
      <w:r w:rsidR="001A752E" w:rsidRPr="00EF02F3">
        <w:t xml:space="preserve"> in an 100% response rate for burosum</w:t>
      </w:r>
      <w:r w:rsidR="00EF02F3" w:rsidRPr="00EF02F3">
        <w:t>a</w:t>
      </w:r>
      <w:r w:rsidR="001A752E" w:rsidRPr="00EF02F3">
        <w:t>b at 64 weeks compared to 50% response for conventional therapy</w:t>
      </w:r>
      <w:r w:rsidR="004C0C26" w:rsidRPr="00EF02F3">
        <w:t xml:space="preserve"> in trial CL301</w:t>
      </w:r>
      <w:r w:rsidR="001A752E" w:rsidRPr="00EF02F3">
        <w:t xml:space="preserve">. </w:t>
      </w:r>
      <w:r w:rsidR="00C4638B" w:rsidRPr="00EF02F3">
        <w:t xml:space="preserve">The PBAC also noted that the </w:t>
      </w:r>
      <w:r w:rsidR="00EC251A">
        <w:t xml:space="preserve">radiological effects of burosumab appeared to be greater than the more patient-relevant effects of </w:t>
      </w:r>
      <w:r w:rsidR="00C4638B" w:rsidRPr="00EF02F3">
        <w:t xml:space="preserve">growth, </w:t>
      </w:r>
      <w:r w:rsidR="00C4638B">
        <w:t>the six minute walk test (6MWT)</w:t>
      </w:r>
      <w:r w:rsidR="00EC251A">
        <w:t>, pain, fatigue, mobility, tooth abscesses and dental caries, which for some outcomes favoured the conventional therapy arm (e.g. tooth abscesses) and for others appeared to be no different (e.g. PROMIS fatigue).</w:t>
      </w:r>
    </w:p>
    <w:p w:rsidR="00C4638B" w:rsidRDefault="00C4638B" w:rsidP="009C4CD7">
      <w:pPr>
        <w:widowControl w:val="0"/>
        <w:numPr>
          <w:ilvl w:val="1"/>
          <w:numId w:val="1"/>
        </w:numPr>
        <w:spacing w:after="120"/>
      </w:pPr>
      <w:r>
        <w:t>The PBAC</w:t>
      </w:r>
      <w:r w:rsidR="00D43B21">
        <w:t xml:space="preserve">, noting that </w:t>
      </w:r>
      <w:r w:rsidR="00D43B21" w:rsidRPr="002D1D42">
        <w:t xml:space="preserve">no </w:t>
      </w:r>
      <w:r w:rsidR="002D1D42" w:rsidRPr="002D1D42">
        <w:t xml:space="preserve">clinical trial </w:t>
      </w:r>
      <w:r w:rsidR="00D43B21" w:rsidRPr="002D1D42">
        <w:t>data</w:t>
      </w:r>
      <w:r w:rsidR="00D43B21">
        <w:t xml:space="preserve"> was presented for children aged 13 to 17 years,</w:t>
      </w:r>
      <w:r>
        <w:t xml:space="preserve"> considered that for children aged 1 to 12 years of age, burosumab was superior in terms of e</w:t>
      </w:r>
      <w:r w:rsidR="002D1D42">
        <w:t>ffectiveness</w:t>
      </w:r>
      <w:r>
        <w:t xml:space="preserve"> </w:t>
      </w:r>
      <w:r w:rsidR="008862D1">
        <w:t xml:space="preserve">compared </w:t>
      </w:r>
      <w:r>
        <w:t>to conventional therapy.</w:t>
      </w:r>
      <w:r w:rsidR="002D1D42">
        <w:t xml:space="preserve"> The PBAC noted that long term effects </w:t>
      </w:r>
      <w:r w:rsidR="00B95197">
        <w:t>we</w:t>
      </w:r>
      <w:r w:rsidR="002D1D42">
        <w:t>re unknown given the</w:t>
      </w:r>
      <w:r w:rsidR="001C5831">
        <w:t xml:space="preserve"> limited trial data</w:t>
      </w:r>
      <w:r w:rsidR="00B95197">
        <w:t>, up</w:t>
      </w:r>
      <w:r w:rsidR="001C5831">
        <w:t xml:space="preserve"> to 160 weeks for efficacy and 214 weeks for safety outcomes.</w:t>
      </w:r>
    </w:p>
    <w:p w:rsidR="004F5E29" w:rsidRDefault="004F5E29" w:rsidP="001A752E">
      <w:pPr>
        <w:widowControl w:val="0"/>
        <w:numPr>
          <w:ilvl w:val="1"/>
          <w:numId w:val="1"/>
        </w:numPr>
        <w:spacing w:after="120"/>
      </w:pPr>
      <w:r>
        <w:t>In terms of safety, the PBAC noted that although the rate of serious adverse events (AEs) and Grade 3 or 4 AEs were similar between burosumab and conventional therapy, burosumab was associated with more dental caries, tooth abscesses, diarrhoea and cough as well as administration site conditions such as pyrexia.</w:t>
      </w:r>
      <w:r w:rsidR="00522259">
        <w:t xml:space="preserve"> The PBAC also noted that long term use of conventional therapy is associated with nephrocalcinosis and secondary hyperparathyroidism.</w:t>
      </w:r>
      <w:r w:rsidR="00496995">
        <w:t xml:space="preserve"> Overall, the PBAC considered that burosumab had a different safety profile compared to conventional therapy</w:t>
      </w:r>
      <w:r w:rsidR="00AC4913">
        <w:t xml:space="preserve"> with more appreciable short-term side-effects</w:t>
      </w:r>
      <w:r w:rsidR="00496995">
        <w:t xml:space="preserve">. </w:t>
      </w:r>
      <w:r w:rsidR="00522259">
        <w:t xml:space="preserve"> </w:t>
      </w:r>
    </w:p>
    <w:p w:rsidR="00FB7802" w:rsidRDefault="00FB7802" w:rsidP="009C4CD7">
      <w:pPr>
        <w:widowControl w:val="0"/>
        <w:numPr>
          <w:ilvl w:val="1"/>
          <w:numId w:val="1"/>
        </w:numPr>
        <w:spacing w:after="120"/>
      </w:pPr>
      <w:r>
        <w:t xml:space="preserve">The PBAC noted that the submission presented a cost utility analysis which compared burosumab with conventional therapy in children aged less than 18 years. </w:t>
      </w:r>
    </w:p>
    <w:p w:rsidR="00874DA5" w:rsidRPr="00C51D79" w:rsidRDefault="00B32363" w:rsidP="009C4CD7">
      <w:pPr>
        <w:widowControl w:val="0"/>
        <w:numPr>
          <w:ilvl w:val="1"/>
          <w:numId w:val="1"/>
        </w:numPr>
        <w:spacing w:after="120"/>
      </w:pPr>
      <w:r>
        <w:t>The PBAC considered that the proposed base case ICER of $</w:t>
      </w:r>
      <w:r w:rsidR="002C6971">
        <w:t>655,000 to &lt; $755,000</w:t>
      </w:r>
      <w:r>
        <w:t xml:space="preserve"> per quality adjusted life year (QALY) gained was highly uncertain and likely highly optimistic. </w:t>
      </w:r>
      <w:r w:rsidR="00874DA5">
        <w:t xml:space="preserve">The PBAC noted </w:t>
      </w:r>
      <w:r w:rsidR="002F0AF4">
        <w:t>the</w:t>
      </w:r>
      <w:r w:rsidR="00874DA5">
        <w:t xml:space="preserve"> limitations with the economic analysis </w:t>
      </w:r>
      <w:r w:rsidR="002F0AF4">
        <w:t>as</w:t>
      </w:r>
      <w:r w:rsidR="00874DA5">
        <w:t xml:space="preserve"> outlined in </w:t>
      </w:r>
      <w:r w:rsidR="00874DA5" w:rsidRPr="00C51D79">
        <w:t>paragraphs 6.45 to 6.51</w:t>
      </w:r>
      <w:r w:rsidR="002C7D43" w:rsidRPr="00C51D79">
        <w:t xml:space="preserve">, </w:t>
      </w:r>
      <w:r w:rsidR="002F0AF4" w:rsidRPr="00C51D79">
        <w:t xml:space="preserve">and considered the key limitations </w:t>
      </w:r>
      <w:r w:rsidR="00805FAA" w:rsidRPr="00C51D79">
        <w:t xml:space="preserve">were </w:t>
      </w:r>
      <w:r w:rsidR="002F0AF4" w:rsidRPr="00C51D79">
        <w:t>as follows</w:t>
      </w:r>
      <w:r w:rsidR="00874DA5" w:rsidRPr="00C51D79">
        <w:t>:</w:t>
      </w:r>
    </w:p>
    <w:p w:rsidR="00874DA5" w:rsidRDefault="00621065" w:rsidP="002F0AF4">
      <w:pPr>
        <w:widowControl w:val="0"/>
        <w:numPr>
          <w:ilvl w:val="1"/>
          <w:numId w:val="24"/>
        </w:numPr>
        <w:spacing w:after="120"/>
        <w:ind w:left="1077" w:hanging="357"/>
      </w:pPr>
      <w:r>
        <w:t>t</w:t>
      </w:r>
      <w:r w:rsidR="00874DA5">
        <w:t xml:space="preserve">he application of </w:t>
      </w:r>
      <w:r w:rsidR="00012B30">
        <w:t xml:space="preserve">change in </w:t>
      </w:r>
      <w:r w:rsidR="00874DA5">
        <w:t xml:space="preserve">RSS as the only modelled outcome. The PBAC considered that </w:t>
      </w:r>
      <w:r w:rsidR="00B32363">
        <w:t xml:space="preserve">the clinical impact of </w:t>
      </w:r>
      <w:r w:rsidR="00874DA5">
        <w:t xml:space="preserve">RSS </w:t>
      </w:r>
      <w:r w:rsidR="00B32363">
        <w:t xml:space="preserve">improvement </w:t>
      </w:r>
      <w:r w:rsidR="00874DA5">
        <w:t>was unlikely to capture patient relevant outcomes</w:t>
      </w:r>
      <w:r w:rsidR="002F0AF4">
        <w:t>. Also, the u</w:t>
      </w:r>
      <w:r w:rsidR="00D8241C" w:rsidRPr="002F0AF4">
        <w:rPr>
          <w:lang w:val="en-US"/>
        </w:rPr>
        <w:t xml:space="preserve">se </w:t>
      </w:r>
      <w:r w:rsidR="002F0AF4">
        <w:rPr>
          <w:lang w:val="en-US"/>
        </w:rPr>
        <w:t xml:space="preserve">of </w:t>
      </w:r>
      <w:r w:rsidR="00D8241C" w:rsidRPr="002F0AF4">
        <w:rPr>
          <w:lang w:val="en-US"/>
        </w:rPr>
        <w:t xml:space="preserve">RSS with favourable dichotomisation (healed) </w:t>
      </w:r>
      <w:r w:rsidR="002F0AF4">
        <w:rPr>
          <w:lang w:val="en-US"/>
        </w:rPr>
        <w:t>appeared to be</w:t>
      </w:r>
      <w:r w:rsidR="00D8241C" w:rsidRPr="002F0AF4">
        <w:rPr>
          <w:lang w:val="en-US"/>
        </w:rPr>
        <w:t xml:space="preserve"> inconsistent with trial-based patient reported outcomes</w:t>
      </w:r>
      <w:r w:rsidR="00CD3B9F">
        <w:t>;</w:t>
      </w:r>
    </w:p>
    <w:p w:rsidR="00012B30" w:rsidRDefault="00621065" w:rsidP="00B32363">
      <w:pPr>
        <w:widowControl w:val="0"/>
        <w:numPr>
          <w:ilvl w:val="1"/>
          <w:numId w:val="24"/>
        </w:numPr>
        <w:spacing w:after="120"/>
        <w:ind w:left="1077" w:hanging="357"/>
      </w:pPr>
      <w:r>
        <w:t>t</w:t>
      </w:r>
      <w:r w:rsidR="00CD3B9F">
        <w:t>hat the comparative clinical data were derived from heterogeneous sources (pooling of data from CL301, CL201 and CL205 for the burosumab arm and from CL301 and a UK chart review for the conventional therapy arm)</w:t>
      </w:r>
      <w:r w:rsidR="00012B30">
        <w:t>;</w:t>
      </w:r>
      <w:r w:rsidR="00B32363">
        <w:t xml:space="preserve"> </w:t>
      </w:r>
    </w:p>
    <w:p w:rsidR="002F0AF4" w:rsidRDefault="008517BC" w:rsidP="00B32363">
      <w:pPr>
        <w:widowControl w:val="0"/>
        <w:numPr>
          <w:ilvl w:val="1"/>
          <w:numId w:val="24"/>
        </w:numPr>
        <w:spacing w:after="120"/>
        <w:ind w:left="1077" w:hanging="357"/>
      </w:pPr>
      <w:r>
        <w:t xml:space="preserve">costs of </w:t>
      </w:r>
      <w:r w:rsidR="002F0AF4">
        <w:t>harms were not considered;</w:t>
      </w:r>
    </w:p>
    <w:p w:rsidR="002F0AF4" w:rsidRDefault="008517BC" w:rsidP="002F0AF4">
      <w:pPr>
        <w:widowControl w:val="0"/>
        <w:numPr>
          <w:ilvl w:val="1"/>
          <w:numId w:val="24"/>
        </w:numPr>
        <w:spacing w:after="120"/>
        <w:ind w:left="1077" w:hanging="357"/>
      </w:pPr>
      <w:r>
        <w:t xml:space="preserve">the </w:t>
      </w:r>
      <w:r w:rsidR="002F0AF4">
        <w:t xml:space="preserve">average dose applied in the </w:t>
      </w:r>
      <w:r w:rsidR="00805EA3">
        <w:t>model</w:t>
      </w:r>
      <w:r w:rsidR="002F0AF4">
        <w:t xml:space="preserve"> of 0.86 mg/kg being lower than the mean dose received by children in the </w:t>
      </w:r>
      <w:r w:rsidR="00805FAA">
        <w:t>Early Access Program (</w:t>
      </w:r>
      <w:r w:rsidR="002F0AF4">
        <w:t>EAP</w:t>
      </w:r>
      <w:r w:rsidR="00805FAA">
        <w:t>)</w:t>
      </w:r>
      <w:r w:rsidR="002F0AF4">
        <w:t xml:space="preserve"> of 1.05 mg/kg and the maximum dose in the draft Product Information of 2 mg/kg;</w:t>
      </w:r>
    </w:p>
    <w:p w:rsidR="00CD3B9F" w:rsidRDefault="00621065" w:rsidP="00B32363">
      <w:pPr>
        <w:widowControl w:val="0"/>
        <w:numPr>
          <w:ilvl w:val="1"/>
          <w:numId w:val="24"/>
        </w:numPr>
        <w:spacing w:after="120"/>
        <w:ind w:left="1077" w:hanging="357"/>
      </w:pPr>
      <w:r>
        <w:t>t</w:t>
      </w:r>
      <w:r w:rsidR="00012B30">
        <w:t xml:space="preserve">hat no supporting </w:t>
      </w:r>
      <w:r w:rsidR="00B32363">
        <w:t>clinical</w:t>
      </w:r>
      <w:r w:rsidR="00EE3578">
        <w:t xml:space="preserve"> trial</w:t>
      </w:r>
      <w:r w:rsidR="00B32363">
        <w:t xml:space="preserve"> data for children aged 13 to 17 years</w:t>
      </w:r>
      <w:r w:rsidR="00012B30">
        <w:t xml:space="preserve"> was available. The model assumed the benefit in children treated between 13 to 17 years would be the same as that in children treated between 0 and 12 years</w:t>
      </w:r>
      <w:r w:rsidR="00CD3B9F">
        <w:t>;</w:t>
      </w:r>
    </w:p>
    <w:p w:rsidR="00CD3B9F" w:rsidRDefault="00621065" w:rsidP="00B32363">
      <w:pPr>
        <w:widowControl w:val="0"/>
        <w:numPr>
          <w:ilvl w:val="1"/>
          <w:numId w:val="24"/>
        </w:numPr>
        <w:spacing w:after="120"/>
        <w:ind w:left="1077" w:hanging="357"/>
      </w:pPr>
      <w:r>
        <w:t>t</w:t>
      </w:r>
      <w:r w:rsidR="00CD3B9F">
        <w:t xml:space="preserve">hat </w:t>
      </w:r>
      <w:r w:rsidR="00012B30">
        <w:t xml:space="preserve">annualised transition probabilities, which were derived from 64 week follow up data, were assumed to remain constant up to 18 years. This resulted in </w:t>
      </w:r>
      <w:r w:rsidR="00CD3B9F">
        <w:t xml:space="preserve">almost all burosumab patients </w:t>
      </w:r>
      <w:r w:rsidR="00012B30">
        <w:t xml:space="preserve">entering the </w:t>
      </w:r>
      <w:r w:rsidR="00CD3B9F">
        <w:t xml:space="preserve"> </w:t>
      </w:r>
      <w:r w:rsidR="00012B30">
        <w:t>‘</w:t>
      </w:r>
      <w:r w:rsidR="00CD3B9F">
        <w:t>healed</w:t>
      </w:r>
      <w:r w:rsidR="008862D1">
        <w:t>’</w:t>
      </w:r>
      <w:r w:rsidR="00CD3B9F">
        <w:t xml:space="preserve"> </w:t>
      </w:r>
      <w:r w:rsidR="00012B30">
        <w:t xml:space="preserve">state </w:t>
      </w:r>
      <w:r w:rsidR="00CD3B9F">
        <w:t>by Year 10</w:t>
      </w:r>
      <w:r w:rsidR="00012B30">
        <w:t>. In addition, benefits attained by age 18 for patients in the burosumab arm were assumed to remain until death</w:t>
      </w:r>
      <w:r w:rsidR="008862D1">
        <w:t>,</w:t>
      </w:r>
      <w:r w:rsidR="00012B30">
        <w:t xml:space="preserve"> despite </w:t>
      </w:r>
      <w:r w:rsidR="008862D1">
        <w:t xml:space="preserve">patients </w:t>
      </w:r>
      <w:r w:rsidR="00CD3B9F">
        <w:t>stopp</w:t>
      </w:r>
      <w:r w:rsidR="00012B30">
        <w:t>ing</w:t>
      </w:r>
      <w:r w:rsidR="00CD3B9F">
        <w:t xml:space="preserve"> treatment at 18 years.</w:t>
      </w:r>
    </w:p>
    <w:p w:rsidR="009C291F" w:rsidRDefault="009C291F" w:rsidP="009C4CD7">
      <w:pPr>
        <w:widowControl w:val="0"/>
        <w:numPr>
          <w:ilvl w:val="1"/>
          <w:numId w:val="1"/>
        </w:numPr>
        <w:spacing w:after="120"/>
      </w:pPr>
      <w:r>
        <w:t>The PBAC noted that the submission used UK data to estimate the prevalence of XLH in children in Australia. Noting that 55 paediatric patients were enrolled in the EAP, the PBAC considered that the estimated number of paediatric patients (approximately 100 per year) was reasonable. However, the PBAC considered that the estimated financial impact of listing burosumab was likely underestimated due to</w:t>
      </w:r>
      <w:r w:rsidR="008862D1">
        <w:t xml:space="preserve"> the</w:t>
      </w:r>
      <w:r>
        <w:t>:</w:t>
      </w:r>
    </w:p>
    <w:p w:rsidR="009C291F" w:rsidRPr="009540B3" w:rsidRDefault="00805FAA" w:rsidP="008862D1">
      <w:pPr>
        <w:widowControl w:val="0"/>
        <w:numPr>
          <w:ilvl w:val="1"/>
          <w:numId w:val="25"/>
        </w:numPr>
        <w:spacing w:after="120"/>
        <w:ind w:left="1077" w:hanging="357"/>
      </w:pPr>
      <w:r>
        <w:t xml:space="preserve">Uncertainty in the dose, with lower dosed in the clinical trial than in the EAP as noted in </w:t>
      </w:r>
      <w:r w:rsidRPr="009540B3">
        <w:t xml:space="preserve">paragraph 7.11; </w:t>
      </w:r>
    </w:p>
    <w:p w:rsidR="002E3780" w:rsidRDefault="002E3780" w:rsidP="008862D1">
      <w:pPr>
        <w:widowControl w:val="0"/>
        <w:numPr>
          <w:ilvl w:val="1"/>
          <w:numId w:val="25"/>
        </w:numPr>
        <w:spacing w:after="120"/>
        <w:ind w:left="1077" w:hanging="357"/>
      </w:pPr>
      <w:r>
        <w:t>application of uptake rates of 70% in Year 1 and 80% in Year 2. The PBAC considered that uptake would be higher in the initial years;</w:t>
      </w:r>
    </w:p>
    <w:p w:rsidR="002E3780" w:rsidRDefault="002E3780" w:rsidP="008862D1">
      <w:pPr>
        <w:widowControl w:val="0"/>
        <w:numPr>
          <w:ilvl w:val="1"/>
          <w:numId w:val="25"/>
        </w:numPr>
        <w:spacing w:after="120"/>
        <w:ind w:left="1077" w:hanging="357"/>
      </w:pPr>
      <w:r>
        <w:t>likelihood that more older</w:t>
      </w:r>
      <w:r w:rsidR="008862D1">
        <w:t>, and hence heavier,</w:t>
      </w:r>
      <w:r>
        <w:t xml:space="preserve"> prevalent patients would be treated initially;</w:t>
      </w:r>
    </w:p>
    <w:p w:rsidR="009C291F" w:rsidRDefault="009C291F" w:rsidP="007D4E09">
      <w:pPr>
        <w:widowControl w:val="0"/>
        <w:numPr>
          <w:ilvl w:val="1"/>
          <w:numId w:val="25"/>
        </w:numPr>
        <w:spacing w:after="120"/>
        <w:ind w:left="1077" w:hanging="357"/>
      </w:pPr>
      <w:r>
        <w:t>absence of treatments for harms</w:t>
      </w:r>
      <w:r w:rsidR="00D43B21">
        <w:t xml:space="preserve"> and adverse events</w:t>
      </w:r>
      <w:r>
        <w:t>, e.g. dental abscesses</w:t>
      </w:r>
      <w:r w:rsidR="0035584A">
        <w:t>; and</w:t>
      </w:r>
    </w:p>
    <w:p w:rsidR="0035584A" w:rsidRDefault="0035584A" w:rsidP="007D4E09">
      <w:pPr>
        <w:widowControl w:val="0"/>
        <w:numPr>
          <w:ilvl w:val="1"/>
          <w:numId w:val="25"/>
        </w:numPr>
        <w:spacing w:after="120"/>
        <w:ind w:left="1077" w:hanging="357"/>
      </w:pPr>
      <w:r>
        <w:t xml:space="preserve">potential </w:t>
      </w:r>
      <w:r w:rsidR="00EC251A">
        <w:t>for more cases to be identified if burosumab was listed on the PBS and PHEX mutation testing was more readily available.</w:t>
      </w:r>
    </w:p>
    <w:p w:rsidR="008862D1" w:rsidRDefault="002E3780" w:rsidP="009C4CD7">
      <w:pPr>
        <w:widowControl w:val="0"/>
        <w:numPr>
          <w:ilvl w:val="1"/>
          <w:numId w:val="1"/>
        </w:numPr>
        <w:spacing w:after="120"/>
      </w:pPr>
      <w:r>
        <w:t xml:space="preserve">The PBAC </w:t>
      </w:r>
      <w:r w:rsidR="004E2C55">
        <w:t xml:space="preserve">noted that there were a number of complex issues arising from the submission. </w:t>
      </w:r>
      <w:r w:rsidR="008862D1">
        <w:t>A</w:t>
      </w:r>
      <w:r w:rsidR="00325A6F">
        <w:t xml:space="preserve">lthough the </w:t>
      </w:r>
      <w:r w:rsidR="004E2C55">
        <w:t xml:space="preserve">benefits of burosumab treatment would likely </w:t>
      </w:r>
      <w:r w:rsidR="00325A6F">
        <w:t xml:space="preserve">attenuate with age due to the normal maturation process of bones, </w:t>
      </w:r>
      <w:r w:rsidR="004E2C55">
        <w:t xml:space="preserve">the </w:t>
      </w:r>
      <w:r w:rsidR="008862D1">
        <w:t xml:space="preserve">PBAC considered that the </w:t>
      </w:r>
      <w:r w:rsidR="004E2C55">
        <w:t>restriction should be age agnostic</w:t>
      </w:r>
      <w:r w:rsidR="004D697B">
        <w:t xml:space="preserve"> as there is likely</w:t>
      </w:r>
      <w:r w:rsidR="00B32363">
        <w:t xml:space="preserve"> to be continued benefits in adults in terms of normalisation of serum phosphate levels, improved physical functioning, fracture healing and reduced stiffness</w:t>
      </w:r>
      <w:r w:rsidR="004E2C55">
        <w:t xml:space="preserve">. </w:t>
      </w:r>
      <w:r w:rsidR="004D697B">
        <w:t>T</w:t>
      </w:r>
      <w:r w:rsidR="008862D1">
        <w:t xml:space="preserve">he PBAC </w:t>
      </w:r>
      <w:r w:rsidR="004D697B">
        <w:t xml:space="preserve">also noted the strong consumer support for an age agnostic listing, the importance of equity of access and that the effects of XLH are lifelong. Therefore, the PBAC </w:t>
      </w:r>
      <w:r w:rsidR="008862D1">
        <w:t>recommended that any future submission should present all the available clinical data for burosumab use in children and in adults</w:t>
      </w:r>
      <w:r w:rsidR="00C94977">
        <w:t xml:space="preserve">, including any trials with self-administration, which </w:t>
      </w:r>
      <w:r w:rsidR="00805FAA">
        <w:t>may</w:t>
      </w:r>
      <w:r w:rsidR="00C94977">
        <w:t xml:space="preserve"> be important for equity of access</w:t>
      </w:r>
      <w:r w:rsidR="008862D1">
        <w:t>.</w:t>
      </w:r>
    </w:p>
    <w:p w:rsidR="008862D1" w:rsidRDefault="004E2C55" w:rsidP="009C4CD7">
      <w:pPr>
        <w:widowControl w:val="0"/>
        <w:numPr>
          <w:ilvl w:val="1"/>
          <w:numId w:val="1"/>
        </w:numPr>
        <w:spacing w:after="120"/>
      </w:pPr>
      <w:r>
        <w:t xml:space="preserve">The PBAC recognised that </w:t>
      </w:r>
      <w:r w:rsidR="008862D1">
        <w:t>an age agnostic restriction</w:t>
      </w:r>
      <w:r>
        <w:t xml:space="preserve"> would </w:t>
      </w:r>
      <w:r w:rsidR="00C332F5">
        <w:t xml:space="preserve">further </w:t>
      </w:r>
      <w:r>
        <w:t xml:space="preserve">affect the cost effectiveness of burosumab. The PBAC, noting that XLH is a rare disease and that burosumab has a high therapeutic value, considered that a substantial price reduction would be required to </w:t>
      </w:r>
      <w:r w:rsidR="00325A6F">
        <w:t xml:space="preserve">address the </w:t>
      </w:r>
      <w:r w:rsidR="00D43B21">
        <w:t xml:space="preserve">numerous </w:t>
      </w:r>
      <w:r w:rsidR="00325A6F">
        <w:t xml:space="preserve">uncertainties in the model and </w:t>
      </w:r>
      <w:r w:rsidR="00D43B21">
        <w:t xml:space="preserve">to </w:t>
      </w:r>
      <w:r>
        <w:t>achieve a reasonable ICER</w:t>
      </w:r>
      <w:r w:rsidR="0035584A">
        <w:t xml:space="preserve"> in the whole XLH population</w:t>
      </w:r>
      <w:r w:rsidR="00325A6F">
        <w:t xml:space="preserve">. </w:t>
      </w:r>
    </w:p>
    <w:p w:rsidR="009C291F" w:rsidRDefault="00325A6F" w:rsidP="009C4CD7">
      <w:pPr>
        <w:widowControl w:val="0"/>
        <w:numPr>
          <w:ilvl w:val="1"/>
          <w:numId w:val="1"/>
        </w:numPr>
        <w:spacing w:after="120"/>
      </w:pPr>
      <w:r>
        <w:t xml:space="preserve">The PBAC also </w:t>
      </w:r>
      <w:r w:rsidR="008862D1">
        <w:t>recognised that an age agnostic restriction would affect the utilisation and financial impact estimations. The PBAC considered that data from the Australian prevalence study, which is nearing completion, should be used to inform utilisation estimates</w:t>
      </w:r>
      <w:r w:rsidR="00FC4598">
        <w:t xml:space="preserve"> in the paediatric and adult populations. In addition, the PBAC </w:t>
      </w:r>
      <w:r>
        <w:t xml:space="preserve">considered </w:t>
      </w:r>
      <w:r w:rsidR="004E2C55">
        <w:t>that a Risk Sharing Arrangement (RSA) w</w:t>
      </w:r>
      <w:r w:rsidR="00FC4598">
        <w:t xml:space="preserve">hich consisted of </w:t>
      </w:r>
      <w:r w:rsidR="004E2C55">
        <w:t xml:space="preserve">fixed </w:t>
      </w:r>
      <w:r w:rsidR="00FC4598">
        <w:t xml:space="preserve">expenditure </w:t>
      </w:r>
      <w:r w:rsidR="004E2C55">
        <w:t>caps</w:t>
      </w:r>
      <w:r w:rsidR="008862D1">
        <w:t>,</w:t>
      </w:r>
      <w:r w:rsidR="00FC4598">
        <w:t xml:space="preserve"> </w:t>
      </w:r>
      <w:r w:rsidR="004E2C55">
        <w:t>beyond which rebates were applied</w:t>
      </w:r>
      <w:r w:rsidR="008862D1">
        <w:t>,</w:t>
      </w:r>
      <w:r w:rsidR="004E2C55">
        <w:t xml:space="preserve"> would be necessary</w:t>
      </w:r>
      <w:r w:rsidR="008862D1">
        <w:t xml:space="preserve"> to mitigate risk relating to the financial impact of listing burosumab</w:t>
      </w:r>
      <w:r w:rsidR="004E2C55">
        <w:t>.</w:t>
      </w:r>
      <w:r>
        <w:t xml:space="preserve"> </w:t>
      </w:r>
    </w:p>
    <w:p w:rsidR="00FC4598" w:rsidRDefault="00FC4598" w:rsidP="009C4CD7">
      <w:pPr>
        <w:widowControl w:val="0"/>
        <w:numPr>
          <w:ilvl w:val="1"/>
          <w:numId w:val="1"/>
        </w:numPr>
        <w:spacing w:after="120"/>
      </w:pPr>
      <w:r>
        <w:t>The PBAC advised that a resubmission</w:t>
      </w:r>
      <w:r w:rsidR="00C332F5">
        <w:t xml:space="preserve">, which </w:t>
      </w:r>
      <w:r w:rsidR="00D62E79">
        <w:t>proposed revised restriction</w:t>
      </w:r>
      <w:r w:rsidR="00D43B21">
        <w:t>s</w:t>
      </w:r>
      <w:r w:rsidR="00D62E79">
        <w:t xml:space="preserve">, presented all available clinical data, included a substantial price reduction and </w:t>
      </w:r>
      <w:r w:rsidR="004D697B">
        <w:t>a revised economic evaluation</w:t>
      </w:r>
      <w:r w:rsidR="00D62E79">
        <w:t>, presented updated utilisation and financial impact estimates, and which presented a proposed RSA</w:t>
      </w:r>
      <w:r w:rsidR="00D43B21">
        <w:t xml:space="preserve"> for the age agnostic XLH population</w:t>
      </w:r>
      <w:r w:rsidR="00C332F5">
        <w:t>,</w:t>
      </w:r>
      <w:r>
        <w:t xml:space="preserve"> could be lodged at any future standard due date for PBAC submissions using the standard re-entry pathway. The PBAC noted that in the pre-PBAC response the sponsor asked that consideration be given to whether burosumab might be suitable for the facilitated resolution pathway</w:t>
      </w:r>
      <w:r w:rsidR="00300B45">
        <w:t>. The PBAC considered that there were multiple outstanding issues which needed to be resolved</w:t>
      </w:r>
      <w:r w:rsidR="00631978">
        <w:t xml:space="preserve"> and therefore that a standard re-entry pathway was appropriate</w:t>
      </w:r>
      <w:r w:rsidR="00300B45">
        <w:t xml:space="preserve">. </w:t>
      </w:r>
    </w:p>
    <w:p w:rsidR="00300B45" w:rsidRDefault="00300B45" w:rsidP="009C4CD7">
      <w:pPr>
        <w:widowControl w:val="0"/>
        <w:numPr>
          <w:ilvl w:val="1"/>
          <w:numId w:val="1"/>
        </w:numPr>
        <w:spacing w:after="120"/>
      </w:pPr>
      <w:r>
        <w:t>The PBAC noted that this submission is eligible for an Independent Review.</w:t>
      </w:r>
    </w:p>
    <w:p w:rsidR="007C53EC" w:rsidRPr="00525B39" w:rsidRDefault="007C53EC" w:rsidP="007C53E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7C53EC" w:rsidRPr="00525B39" w:rsidRDefault="007C53EC" w:rsidP="007C53EC">
      <w:pPr>
        <w:rPr>
          <w:rFonts w:asciiTheme="minorHAnsi" w:hAnsiTheme="minorHAnsi"/>
          <w:bCs/>
          <w:snapToGrid w:val="0"/>
          <w:lang w:val="en-GB"/>
        </w:rPr>
      </w:pPr>
      <w:r w:rsidRPr="00525B39">
        <w:rPr>
          <w:rFonts w:asciiTheme="minorHAnsi" w:hAnsiTheme="minorHAnsi"/>
          <w:bCs/>
          <w:snapToGrid w:val="0"/>
          <w:lang w:val="en-GB"/>
        </w:rPr>
        <w:t xml:space="preserve">Rejected </w:t>
      </w:r>
    </w:p>
    <w:p w:rsidR="007F518E" w:rsidRPr="007F518E" w:rsidRDefault="007F518E" w:rsidP="007F518E">
      <w:pPr>
        <w:pStyle w:val="2-SectionHeading"/>
      </w:pPr>
      <w:r w:rsidRPr="00C07617">
        <w:t>Context for Decision</w:t>
      </w:r>
    </w:p>
    <w:p w:rsidR="007F518E" w:rsidRPr="007129F2" w:rsidRDefault="007F518E" w:rsidP="007F518E">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F518E" w:rsidRPr="007F518E" w:rsidRDefault="007F518E" w:rsidP="007F518E">
      <w:pPr>
        <w:pStyle w:val="2-SectionHeading"/>
      </w:pPr>
      <w:r>
        <w:t>Sponsor’s Comment</w:t>
      </w:r>
    </w:p>
    <w:p w:rsidR="00FF5DFB" w:rsidRPr="00FF5DFB" w:rsidRDefault="00FF5DFB" w:rsidP="00FF5DFB">
      <w:pPr>
        <w:pStyle w:val="2-SectionHeading"/>
        <w:numPr>
          <w:ilvl w:val="0"/>
          <w:numId w:val="0"/>
        </w:numPr>
        <w:ind w:left="720"/>
        <w:rPr>
          <w:b w:val="0"/>
          <w:sz w:val="24"/>
          <w:lang w:val="en-GB"/>
        </w:rPr>
      </w:pPr>
      <w:r w:rsidRPr="00FF5DFB">
        <w:rPr>
          <w:b w:val="0"/>
          <w:sz w:val="24"/>
          <w:lang w:val="en-GB"/>
        </w:rPr>
        <w:t>Kyowa Kirin Australia is disappointed by the decision not to recommend the PBS listing of burosumab (Crysvita) for the treatment of children with X-linked hypophosphataemia (XLH). There is a high clinical need for new treatments for this condition and Kyowa Kirin will continue to work towards bringing burosumab to XLH patients in Australia</w:t>
      </w:r>
      <w:r w:rsidR="00F81C55">
        <w:rPr>
          <w:b w:val="0"/>
          <w:sz w:val="24"/>
          <w:lang w:val="en-GB"/>
        </w:rPr>
        <w:t>.</w:t>
      </w:r>
    </w:p>
    <w:p w:rsidR="00DF2286" w:rsidRPr="00D4558F" w:rsidRDefault="00DF2286" w:rsidP="00300B45">
      <w:pPr>
        <w:jc w:val="left"/>
        <w:rPr>
          <w:color w:val="3366FF"/>
        </w:rPr>
      </w:pPr>
    </w:p>
    <w:sectPr w:rsidR="00DF2286" w:rsidRPr="00D4558F" w:rsidSect="00A83FD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4C4AB" w16cid:durableId="23AA83A4"/>
  <w16cid:commentId w16cid:paraId="5FF7EF60" w16cid:durableId="23AA83A5"/>
  <w16cid:commentId w16cid:paraId="4B9918DC" w16cid:durableId="23AA83A6"/>
  <w16cid:commentId w16cid:paraId="4EFE0C17" w16cid:durableId="23AA83A7"/>
  <w16cid:commentId w16cid:paraId="007B7B55" w16cid:durableId="23AA83A8"/>
  <w16cid:commentId w16cid:paraId="796EA02C" w16cid:durableId="23AA9F13"/>
  <w16cid:commentId w16cid:paraId="4E7F1853" w16cid:durableId="23AA83A9"/>
  <w16cid:commentId w16cid:paraId="56801B57" w16cid:durableId="23AB128F"/>
  <w16cid:commentId w16cid:paraId="798B4EC1" w16cid:durableId="23AA83AA"/>
  <w16cid:commentId w16cid:paraId="2C1AD024" w16cid:durableId="23AB0D95"/>
  <w16cid:commentId w16cid:paraId="61A4EBD2" w16cid:durableId="23AA83AC"/>
  <w16cid:commentId w16cid:paraId="5B58C866" w16cid:durableId="23AA9DB6"/>
  <w16cid:commentId w16cid:paraId="3CD99A04" w16cid:durableId="23AB0D98"/>
  <w16cid:commentId w16cid:paraId="14506805" w16cid:durableId="23AA83AD"/>
  <w16cid:commentId w16cid:paraId="2BD4E949" w16cid:durableId="23AA8723"/>
  <w16cid:commentId w16cid:paraId="46EEB410" w16cid:durableId="23AA83AE"/>
  <w16cid:commentId w16cid:paraId="2E18C44B" w16cid:durableId="23AA880B"/>
  <w16cid:commentId w16cid:paraId="2553E3A1" w16cid:durableId="23AA83AF"/>
  <w16cid:commentId w16cid:paraId="6F3806EF" w16cid:durableId="23AA890F"/>
  <w16cid:commentId w16cid:paraId="761F4D1D" w16cid:durableId="23AA83B0"/>
  <w16cid:commentId w16cid:paraId="3B235DA7" w16cid:durableId="23AA8D59"/>
  <w16cid:commentId w16cid:paraId="143D74F1" w16cid:durableId="23AA83B1"/>
  <w16cid:commentId w16cid:paraId="5138C43A" w16cid:durableId="23AA83B2"/>
  <w16cid:commentId w16cid:paraId="5AD512B5" w16cid:durableId="23AAA19C"/>
  <w16cid:commentId w16cid:paraId="1289DF3F" w16cid:durableId="23AA83B3"/>
  <w16cid:commentId w16cid:paraId="2E8F31F1" w16cid:durableId="23AA9670"/>
  <w16cid:commentId w16cid:paraId="2663AACE" w16cid:durableId="23AA83B4"/>
  <w16cid:commentId w16cid:paraId="6DA68CDA" w16cid:durableId="23AA83B5"/>
  <w16cid:commentId w16cid:paraId="2B322AFD" w16cid:durableId="23AA96BE"/>
  <w16cid:commentId w16cid:paraId="38E8936E" w16cid:durableId="23AA83B6"/>
  <w16cid:commentId w16cid:paraId="5248DE83" w16cid:durableId="23AA969D"/>
  <w16cid:commentId w16cid:paraId="1F6C35D1" w16cid:durableId="23AA83B7"/>
  <w16cid:commentId w16cid:paraId="2DA29A61" w16cid:durableId="23AB1842"/>
  <w16cid:commentId w16cid:paraId="021FEF38" w16cid:durableId="23AA83B8"/>
  <w16cid:commentId w16cid:paraId="11469D9B" w16cid:durableId="23AA83B9"/>
  <w16cid:commentId w16cid:paraId="73255A12" w16cid:durableId="23AA83BA"/>
  <w16cid:commentId w16cid:paraId="7DE10DB4" w16cid:durableId="23AB1896"/>
  <w16cid:commentId w16cid:paraId="7D6B1C5C" w16cid:durableId="23AA83BB"/>
  <w16cid:commentId w16cid:paraId="615F1CDA" w16cid:durableId="23AA83BC"/>
  <w16cid:commentId w16cid:paraId="18DE128D" w16cid:durableId="23AA83BD"/>
  <w16cid:commentId w16cid:paraId="54A157D5" w16cid:durableId="23AB1907"/>
  <w16cid:commentId w16cid:paraId="0ED11D9F" w16cid:durableId="23AA83BE"/>
  <w16cid:commentId w16cid:paraId="1C7061E8" w16cid:durableId="23AA83BF"/>
  <w16cid:commentId w16cid:paraId="32679E70" w16cid:durableId="23AA83C0"/>
  <w16cid:commentId w16cid:paraId="0F39BF4D" w16cid:durableId="23AB19F3"/>
  <w16cid:commentId w16cid:paraId="096DE282" w16cid:durableId="23AA83C1"/>
  <w16cid:commentId w16cid:paraId="16A0016E" w16cid:durableId="23AA83C2"/>
  <w16cid:commentId w16cid:paraId="48ED1A76" w16cid:durableId="23AA83C3"/>
  <w16cid:commentId w16cid:paraId="1DE0BDEA" w16cid:durableId="23AA83C4"/>
  <w16cid:commentId w16cid:paraId="545E19AF" w16cid:durableId="23AA83C5"/>
  <w16cid:commentId w16cid:paraId="1D031842" w16cid:durableId="23AB15B5"/>
  <w16cid:commentId w16cid:paraId="5F6B310D" w16cid:durableId="23AA83C6"/>
  <w16cid:commentId w16cid:paraId="78890574" w16cid:durableId="23AA83C7"/>
  <w16cid:commentId w16cid:paraId="1704D74F" w16cid:durableId="23AA83C8"/>
  <w16cid:commentId w16cid:paraId="3F943261" w16cid:durableId="23AB1A48"/>
  <w16cid:commentId w16cid:paraId="7D49A8F4" w16cid:durableId="23AA83C9"/>
  <w16cid:commentId w16cid:paraId="746E0604" w16cid:durableId="23AA83CA"/>
  <w16cid:commentId w16cid:paraId="4DE3E613" w16cid:durableId="23AB1AFC"/>
  <w16cid:commentId w16cid:paraId="35D810AD" w16cid:durableId="23AA83CB"/>
  <w16cid:commentId w16cid:paraId="3D953784" w16cid:durableId="23AA83CC"/>
  <w16cid:commentId w16cid:paraId="28D7EF81" w16cid:durableId="23AA83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3F" w:rsidRDefault="00EE663F" w:rsidP="00124A51">
      <w:r>
        <w:separator/>
      </w:r>
    </w:p>
    <w:p w:rsidR="00EE663F" w:rsidRDefault="00EE663F"/>
  </w:endnote>
  <w:endnote w:type="continuationSeparator" w:id="0">
    <w:p w:rsidR="00EE663F" w:rsidRDefault="00EE663F" w:rsidP="00124A51">
      <w:r>
        <w:continuationSeparator/>
      </w:r>
    </w:p>
    <w:p w:rsidR="00EE663F" w:rsidRDefault="00EE6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Default="00EE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Default="00EE663F">
    <w:pPr>
      <w:pStyle w:val="Footer"/>
      <w:jc w:val="center"/>
    </w:pPr>
  </w:p>
  <w:p w:rsidR="00EE663F" w:rsidRPr="00B53825" w:rsidRDefault="00230F9A">
    <w:pPr>
      <w:pStyle w:val="Footer"/>
      <w:jc w:val="center"/>
      <w:rPr>
        <w:b/>
      </w:rPr>
    </w:pPr>
    <w:sdt>
      <w:sdtPr>
        <w:id w:val="-1988614415"/>
        <w:docPartObj>
          <w:docPartGallery w:val="Page Numbers (Bottom of Page)"/>
          <w:docPartUnique/>
        </w:docPartObj>
      </w:sdtPr>
      <w:sdtEndPr>
        <w:rPr>
          <w:b/>
          <w:noProof/>
        </w:rPr>
      </w:sdtEndPr>
      <w:sdtContent>
        <w:r w:rsidR="00EE663F" w:rsidRPr="00B53825">
          <w:rPr>
            <w:b/>
          </w:rPr>
          <w:fldChar w:fldCharType="begin"/>
        </w:r>
        <w:r w:rsidR="00EE663F" w:rsidRPr="00B53825">
          <w:rPr>
            <w:b/>
          </w:rPr>
          <w:instrText xml:space="preserve"> PAGE   \* MERGEFORMAT </w:instrText>
        </w:r>
        <w:r w:rsidR="00EE663F" w:rsidRPr="00B53825">
          <w:rPr>
            <w:b/>
          </w:rPr>
          <w:fldChar w:fldCharType="separate"/>
        </w:r>
        <w:r>
          <w:rPr>
            <w:b/>
            <w:noProof/>
          </w:rPr>
          <w:t>36</w:t>
        </w:r>
        <w:r w:rsidR="00EE663F" w:rsidRPr="00B53825">
          <w:rPr>
            <w:b/>
            <w:noProof/>
          </w:rPr>
          <w:fldChar w:fldCharType="end"/>
        </w:r>
      </w:sdtContent>
    </w:sdt>
  </w:p>
  <w:p w:rsidR="00EE663F" w:rsidRDefault="00EE663F" w:rsidP="00890F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Default="00EE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3F" w:rsidRDefault="00EE663F" w:rsidP="00124A51">
      <w:r>
        <w:separator/>
      </w:r>
    </w:p>
    <w:p w:rsidR="00EE663F" w:rsidRDefault="00EE663F"/>
  </w:footnote>
  <w:footnote w:type="continuationSeparator" w:id="0">
    <w:p w:rsidR="00EE663F" w:rsidRDefault="00EE663F" w:rsidP="00124A51">
      <w:r>
        <w:continuationSeparator/>
      </w:r>
    </w:p>
    <w:p w:rsidR="00EE663F" w:rsidRDefault="00EE663F"/>
  </w:footnote>
  <w:footnote w:id="1">
    <w:p w:rsidR="00EE663F" w:rsidRDefault="00EE663F" w:rsidP="007F180D">
      <w:pPr>
        <w:pStyle w:val="FootnoteText"/>
      </w:pPr>
      <w:r>
        <w:rPr>
          <w:rStyle w:val="FootnoteReference"/>
        </w:rPr>
        <w:footnoteRef/>
      </w:r>
      <w:r>
        <w:t xml:space="preserve"> </w:t>
      </w:r>
      <w:r w:rsidRPr="00C36095">
        <w:rPr>
          <w:sz w:val="16"/>
          <w:szCs w:val="16"/>
        </w:rPr>
        <w:t>Insogna, K.L., Briot, K., Imel, E.A., Kamenický, P., Ruppe, M.D., Portale, A.A., Weber, T., Pitukcheewanont, P., Cheong, H.I., Jan de Beur, S., Imanishi, Y., Ito, N., Lachmann, R.H., Tanaka, H., Perwad, F., Zhang, L., Chen, C.‐Y., Theodore‐Oklota, C., Mealiffe, M., San Martin, J., Carpenter, T.O. and (2018), A Randomized, Double‐Blind, Placebo‐Controlled, Phase 3 Trial Evaluating the Efficacy of Burosumab, an Anti‐FGF23 Antibody, in Adults With X‐Linked Hypophosphatemia: Week 24 Primary Analysis. J Bone Miner Res, 33: 1383-1393.</w:t>
      </w:r>
    </w:p>
  </w:footnote>
  <w:footnote w:id="2">
    <w:p w:rsidR="00EE663F" w:rsidRDefault="00EE663F" w:rsidP="00002B2A">
      <w:pPr>
        <w:pStyle w:val="FootnoteText"/>
      </w:pPr>
      <w:r>
        <w:rPr>
          <w:rStyle w:val="FootnoteReference"/>
        </w:rPr>
        <w:footnoteRef/>
      </w:r>
      <w:r>
        <w:t xml:space="preserve"> </w:t>
      </w:r>
      <w:r w:rsidRPr="00C36095">
        <w:rPr>
          <w:sz w:val="16"/>
          <w:szCs w:val="16"/>
        </w:rPr>
        <w:t>CADTH Common Drug Review: Canadian Drug Expert Committee Recommendation, Burosumab. May 2020.</w:t>
      </w:r>
    </w:p>
  </w:footnote>
  <w:footnote w:id="3">
    <w:p w:rsidR="00EE663F" w:rsidRDefault="00EE663F" w:rsidP="00D32DBC">
      <w:pPr>
        <w:pStyle w:val="FootnoteText"/>
        <w:jc w:val="left"/>
      </w:pPr>
      <w:r w:rsidRPr="00AA050A">
        <w:rPr>
          <w:rStyle w:val="FootnoteReference"/>
          <w:sz w:val="18"/>
        </w:rPr>
        <w:footnoteRef/>
      </w:r>
      <w:r w:rsidRPr="00AA050A">
        <w:rPr>
          <w:sz w:val="18"/>
        </w:rPr>
        <w:t xml:space="preserve"> </w:t>
      </w:r>
      <w:r w:rsidRPr="00C36095">
        <w:rPr>
          <w:sz w:val="18"/>
        </w:rPr>
        <w:t>National Institute for Health and Care Excellence (NICE). 2018. Burosumab for treating X-linked hypophosphataemia</w:t>
      </w:r>
      <w:r>
        <w:rPr>
          <w:sz w:val="18"/>
        </w:rPr>
        <w:t xml:space="preserve"> [ID1151]</w:t>
      </w:r>
      <w:r w:rsidRPr="00C36095">
        <w:rPr>
          <w:sz w:val="18"/>
        </w:rPr>
        <w:t xml:space="preserve"> – </w:t>
      </w:r>
      <w:r>
        <w:rPr>
          <w:sz w:val="18"/>
        </w:rPr>
        <w:t>Highly Specialised Technology Evaluation</w:t>
      </w:r>
      <w:r w:rsidRPr="00C36095">
        <w:rPr>
          <w:sz w:val="18"/>
        </w:rPr>
        <w:t>. NICE UK</w:t>
      </w:r>
      <w:r>
        <w:rPr>
          <w:sz w:val="18"/>
        </w:rPr>
        <w:t xml:space="preserve">: </w:t>
      </w:r>
      <w:hyperlink r:id="rId1" w:history="1">
        <w:r w:rsidRPr="00F616CC">
          <w:rPr>
            <w:rStyle w:val="Hyperlink"/>
            <w:sz w:val="18"/>
          </w:rPr>
          <w:t>https://www.nice.org.uk/guidance/hst8/evidence/evaluation-consultation-committee-papers-pdf-6590861101</w:t>
        </w:r>
      </w:hyperlink>
    </w:p>
  </w:footnote>
  <w:footnote w:id="4">
    <w:p w:rsidR="00EE663F" w:rsidRDefault="00EE663F">
      <w:pPr>
        <w:pStyle w:val="FootnoteText"/>
      </w:pPr>
      <w:r>
        <w:rPr>
          <w:rStyle w:val="FootnoteReference"/>
        </w:rPr>
        <w:footnoteRef/>
      </w:r>
      <w:r>
        <w:t xml:space="preserve"> </w:t>
      </w:r>
      <w:r w:rsidRPr="00AA050A">
        <w:rPr>
          <w:sz w:val="16"/>
        </w:rPr>
        <w:t>Whyte MP, Fujita KP, Moseley S, Thompson DD, McAlister WH. 2018. Validation of a Novel Scoring System for Changes in Skeletal Manifestations of Hypophosphatasia in Newborns, Infants, and Children: The Radiographic Global Impression of Change Scale. Journal of Bone and Mineral Research 33(5):868-874</w:t>
      </w:r>
      <w:r>
        <w:rPr>
          <w:sz w:val="16"/>
        </w:rPr>
        <w:t>.</w:t>
      </w:r>
    </w:p>
  </w:footnote>
  <w:footnote w:id="5">
    <w:p w:rsidR="00EE663F" w:rsidRDefault="00EE663F" w:rsidP="007B5CF6">
      <w:pPr>
        <w:pStyle w:val="FootnoteText"/>
      </w:pPr>
      <w:r w:rsidRPr="00F87F89">
        <w:rPr>
          <w:rStyle w:val="FootnoteReference"/>
          <w:sz w:val="16"/>
          <w:szCs w:val="16"/>
        </w:rPr>
        <w:footnoteRef/>
      </w:r>
      <w:r w:rsidRPr="00F87F89">
        <w:rPr>
          <w:sz w:val="16"/>
          <w:szCs w:val="16"/>
        </w:rPr>
        <w:t xml:space="preserve"> Hawley, S., Shaw, N. J., Delmestri, A., Prieto-Alhambra, D., Cooper, C., Pinedo-Villanueva, R., &amp; Javaid, M. K. (2020). Prevalence and Mortality of Individuals With X-Linked Hypophosphatemia: A United Kingdom Real-World Data Analysis. The Journal of clinical endocrinology and metabolism, 105(3), e871–e878. </w:t>
      </w:r>
      <w:hyperlink r:id="rId2" w:history="1">
        <w:r w:rsidRPr="00F87F89">
          <w:rPr>
            <w:rStyle w:val="Hyperlink"/>
            <w:sz w:val="16"/>
            <w:szCs w:val="16"/>
          </w:rPr>
          <w:t>https://doi.org/10.1210/clinem/dgz203</w:t>
        </w:r>
      </w:hyperlink>
    </w:p>
  </w:footnote>
  <w:footnote w:id="6">
    <w:p w:rsidR="00EE663F" w:rsidRPr="00F87F89" w:rsidRDefault="00EE663F" w:rsidP="007C53EC">
      <w:pPr>
        <w:pStyle w:val="FootnoteText"/>
        <w:rPr>
          <w:sz w:val="16"/>
          <w:szCs w:val="16"/>
        </w:rPr>
      </w:pPr>
      <w:r w:rsidRPr="00F87F89">
        <w:rPr>
          <w:rStyle w:val="FootnoteReference"/>
          <w:sz w:val="16"/>
          <w:szCs w:val="16"/>
        </w:rPr>
        <w:footnoteRef/>
      </w:r>
      <w:r w:rsidRPr="00F87F89">
        <w:rPr>
          <w:sz w:val="16"/>
          <w:szCs w:val="16"/>
        </w:rPr>
        <w:t xml:space="preserve"> X-Linked Hypophosphataemic Rickets (XLH) Prevalence Study, A one-off survey conducted by the Australian Paediatric Surveilance Unit (APSU) Study protocol, Commenced June 2020, available from: </w:t>
      </w:r>
      <w:hyperlink r:id="rId3" w:history="1">
        <w:r w:rsidRPr="00F87F89">
          <w:rPr>
            <w:rStyle w:val="Hyperlink"/>
            <w:sz w:val="16"/>
            <w:szCs w:val="16"/>
          </w:rPr>
          <w:t>https://www.apsu.org.au/assets/current-studies/XLH-Prevalence-Protocol-V3-June-2020.pdf</w:t>
        </w:r>
      </w:hyperlink>
      <w:r w:rsidRPr="00F87F89">
        <w:rPr>
          <w:sz w:val="16"/>
          <w:szCs w:val="16"/>
        </w:rPr>
        <w:t xml:space="preserve">, accessed 6 Jan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Default="00EE6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Pr="00B53825" w:rsidRDefault="00EE663F" w:rsidP="00B53825">
    <w:pPr>
      <w:jc w:val="center"/>
      <w:rPr>
        <w:i/>
      </w:rPr>
    </w:pPr>
    <w:r>
      <w:rPr>
        <w:i/>
      </w:rPr>
      <w:t>Public Summary Document</w:t>
    </w:r>
    <w:r w:rsidRPr="00B53825">
      <w:rPr>
        <w:i/>
      </w:rPr>
      <w:t xml:space="preserve"> – March 2021 PBAC Meeting</w:t>
    </w:r>
  </w:p>
  <w:p w:rsidR="00EE663F" w:rsidRPr="00B53825" w:rsidRDefault="00EE663F" w:rsidP="00B53825">
    <w:pP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F" w:rsidRDefault="00EE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F36A8"/>
    <w:multiLevelType w:val="hybridMultilevel"/>
    <w:tmpl w:val="5A6082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836E23"/>
    <w:multiLevelType w:val="hybridMultilevel"/>
    <w:tmpl w:val="E1C030DC"/>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25295"/>
    <w:multiLevelType w:val="multilevel"/>
    <w:tmpl w:val="BD1A41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0C126C"/>
    <w:multiLevelType w:val="multilevel"/>
    <w:tmpl w:val="E988BE96"/>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8173C"/>
    <w:multiLevelType w:val="hybridMultilevel"/>
    <w:tmpl w:val="25349802"/>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891619"/>
    <w:multiLevelType w:val="multilevel"/>
    <w:tmpl w:val="E988BE96"/>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B930F0"/>
    <w:multiLevelType w:val="hybridMultilevel"/>
    <w:tmpl w:val="64FE054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0137CF"/>
    <w:multiLevelType w:val="hybridMultilevel"/>
    <w:tmpl w:val="8632985E"/>
    <w:lvl w:ilvl="0" w:tplc="FFFFFFFF">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714A02"/>
    <w:multiLevelType w:val="hybridMultilevel"/>
    <w:tmpl w:val="AD1C87CE"/>
    <w:lvl w:ilvl="0" w:tplc="0C090001">
      <w:start w:val="1"/>
      <w:numFmt w:val="bullet"/>
      <w:lvlText w:val=""/>
      <w:lvlJc w:val="left"/>
      <w:pPr>
        <w:ind w:left="720" w:hanging="360"/>
      </w:pPr>
      <w:rPr>
        <w:rFonts w:ascii="Symbol" w:hAnsi="Symbol" w:hint="default"/>
      </w:rPr>
    </w:lvl>
    <w:lvl w:ilvl="1" w:tplc="B018371A">
      <w:start w:val="1"/>
      <w:numFmt w:val="bullet"/>
      <w:lvlText w:val="-"/>
      <w:lvlJc w:val="left"/>
      <w:pPr>
        <w:ind w:left="1440" w:hanging="360"/>
      </w:pPr>
      <w:rPr>
        <w:rFonts w:ascii="Arial Narrow" w:hAnsi="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4F7FB0"/>
    <w:multiLevelType w:val="hybridMultilevel"/>
    <w:tmpl w:val="AAFC2CD0"/>
    <w:lvl w:ilvl="0" w:tplc="FFFFFFFF">
      <w:start w:val="1"/>
      <w:numFmt w:val="bullet"/>
      <w:lvlText w:val="•"/>
      <w:lvlJc w:val="left"/>
      <w:pPr>
        <w:ind w:left="1068" w:hanging="360"/>
      </w:p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800684"/>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619C5"/>
    <w:multiLevelType w:val="hybridMultilevel"/>
    <w:tmpl w:val="B9BCDD42"/>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E966BC"/>
    <w:multiLevelType w:val="hybridMultilevel"/>
    <w:tmpl w:val="FC54E3B2"/>
    <w:lvl w:ilvl="0" w:tplc="D15EA30E">
      <w:start w:val="1"/>
      <w:numFmt w:val="bullet"/>
      <w:lvlText w:val="•"/>
      <w:lvlJc w:val="left"/>
      <w:pPr>
        <w:tabs>
          <w:tab w:val="num" w:pos="720"/>
        </w:tabs>
        <w:ind w:left="720" w:hanging="360"/>
      </w:pPr>
      <w:rPr>
        <w:rFonts w:ascii="Arial" w:hAnsi="Arial" w:hint="default"/>
      </w:rPr>
    </w:lvl>
    <w:lvl w:ilvl="1" w:tplc="F700846E">
      <w:start w:val="1"/>
      <w:numFmt w:val="bullet"/>
      <w:lvlText w:val="•"/>
      <w:lvlJc w:val="left"/>
      <w:pPr>
        <w:tabs>
          <w:tab w:val="num" w:pos="1440"/>
        </w:tabs>
        <w:ind w:left="1440" w:hanging="360"/>
      </w:pPr>
      <w:rPr>
        <w:rFonts w:ascii="Arial" w:hAnsi="Arial" w:hint="default"/>
      </w:rPr>
    </w:lvl>
    <w:lvl w:ilvl="2" w:tplc="D0587038" w:tentative="1">
      <w:start w:val="1"/>
      <w:numFmt w:val="bullet"/>
      <w:lvlText w:val="•"/>
      <w:lvlJc w:val="left"/>
      <w:pPr>
        <w:tabs>
          <w:tab w:val="num" w:pos="2160"/>
        </w:tabs>
        <w:ind w:left="2160" w:hanging="360"/>
      </w:pPr>
      <w:rPr>
        <w:rFonts w:ascii="Arial" w:hAnsi="Arial" w:hint="default"/>
      </w:rPr>
    </w:lvl>
    <w:lvl w:ilvl="3" w:tplc="9956E9E6" w:tentative="1">
      <w:start w:val="1"/>
      <w:numFmt w:val="bullet"/>
      <w:lvlText w:val="•"/>
      <w:lvlJc w:val="left"/>
      <w:pPr>
        <w:tabs>
          <w:tab w:val="num" w:pos="2880"/>
        </w:tabs>
        <w:ind w:left="2880" w:hanging="360"/>
      </w:pPr>
      <w:rPr>
        <w:rFonts w:ascii="Arial" w:hAnsi="Arial" w:hint="default"/>
      </w:rPr>
    </w:lvl>
    <w:lvl w:ilvl="4" w:tplc="AC98C260" w:tentative="1">
      <w:start w:val="1"/>
      <w:numFmt w:val="bullet"/>
      <w:lvlText w:val="•"/>
      <w:lvlJc w:val="left"/>
      <w:pPr>
        <w:tabs>
          <w:tab w:val="num" w:pos="3600"/>
        </w:tabs>
        <w:ind w:left="3600" w:hanging="360"/>
      </w:pPr>
      <w:rPr>
        <w:rFonts w:ascii="Arial" w:hAnsi="Arial" w:hint="default"/>
      </w:rPr>
    </w:lvl>
    <w:lvl w:ilvl="5" w:tplc="646ACC64" w:tentative="1">
      <w:start w:val="1"/>
      <w:numFmt w:val="bullet"/>
      <w:lvlText w:val="•"/>
      <w:lvlJc w:val="left"/>
      <w:pPr>
        <w:tabs>
          <w:tab w:val="num" w:pos="4320"/>
        </w:tabs>
        <w:ind w:left="4320" w:hanging="360"/>
      </w:pPr>
      <w:rPr>
        <w:rFonts w:ascii="Arial" w:hAnsi="Arial" w:hint="default"/>
      </w:rPr>
    </w:lvl>
    <w:lvl w:ilvl="6" w:tplc="C5F268BC" w:tentative="1">
      <w:start w:val="1"/>
      <w:numFmt w:val="bullet"/>
      <w:lvlText w:val="•"/>
      <w:lvlJc w:val="left"/>
      <w:pPr>
        <w:tabs>
          <w:tab w:val="num" w:pos="5040"/>
        </w:tabs>
        <w:ind w:left="5040" w:hanging="360"/>
      </w:pPr>
      <w:rPr>
        <w:rFonts w:ascii="Arial" w:hAnsi="Arial" w:hint="default"/>
      </w:rPr>
    </w:lvl>
    <w:lvl w:ilvl="7" w:tplc="6BDA018E" w:tentative="1">
      <w:start w:val="1"/>
      <w:numFmt w:val="bullet"/>
      <w:lvlText w:val="•"/>
      <w:lvlJc w:val="left"/>
      <w:pPr>
        <w:tabs>
          <w:tab w:val="num" w:pos="5760"/>
        </w:tabs>
        <w:ind w:left="5760" w:hanging="360"/>
      </w:pPr>
      <w:rPr>
        <w:rFonts w:ascii="Arial" w:hAnsi="Arial" w:hint="default"/>
      </w:rPr>
    </w:lvl>
    <w:lvl w:ilvl="8" w:tplc="E4BCB4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9205E"/>
    <w:multiLevelType w:val="hybridMultilevel"/>
    <w:tmpl w:val="C8F28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DB8C38A8"/>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634876"/>
    <w:multiLevelType w:val="hybridMultilevel"/>
    <w:tmpl w:val="DC3EF460"/>
    <w:lvl w:ilvl="0" w:tplc="0C090003">
      <w:start w:val="1"/>
      <w:numFmt w:val="bullet"/>
      <w:lvlText w:val="o"/>
      <w:lvlJc w:val="left"/>
      <w:pPr>
        <w:ind w:left="1494" w:hanging="360"/>
      </w:pPr>
      <w:rPr>
        <w:rFonts w:ascii="Courier New" w:hAnsi="Courier New" w:cs="Courier New"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23"/>
  </w:num>
  <w:num w:numId="2">
    <w:abstractNumId w:val="17"/>
  </w:num>
  <w:num w:numId="3">
    <w:abstractNumId w:val="18"/>
  </w:num>
  <w:num w:numId="4">
    <w:abstractNumId w:val="23"/>
  </w:num>
  <w:num w:numId="5">
    <w:abstractNumId w:val="14"/>
  </w:num>
  <w:num w:numId="6">
    <w:abstractNumId w:val="16"/>
  </w:num>
  <w:num w:numId="7">
    <w:abstractNumId w:val="22"/>
  </w:num>
  <w:num w:numId="8">
    <w:abstractNumId w:val="19"/>
  </w:num>
  <w:num w:numId="9">
    <w:abstractNumId w:val="15"/>
  </w:num>
  <w:num w:numId="10">
    <w:abstractNumId w:val="7"/>
  </w:num>
  <w:num w:numId="11">
    <w:abstractNumId w:val="2"/>
  </w:num>
  <w:num w:numId="12">
    <w:abstractNumId w:val="24"/>
  </w:num>
  <w:num w:numId="13">
    <w:abstractNumId w:val="5"/>
  </w:num>
  <w:num w:numId="14">
    <w:abstractNumId w:val="12"/>
  </w:num>
  <w:num w:numId="15">
    <w:abstractNumId w:val="1"/>
  </w:num>
  <w:num w:numId="16">
    <w:abstractNumId w:val="8"/>
  </w:num>
  <w:num w:numId="17">
    <w:abstractNumId w:val="3"/>
  </w:num>
  <w:num w:numId="18">
    <w:abstractNumId w:val="21"/>
  </w:num>
  <w:num w:numId="19">
    <w:abstractNumId w:val="4"/>
  </w:num>
  <w:num w:numId="20">
    <w:abstractNumId w:val="0"/>
  </w:num>
  <w:num w:numId="21">
    <w:abstractNumId w:val="10"/>
  </w:num>
  <w:num w:numId="22">
    <w:abstractNumId w:val="13"/>
  </w:num>
  <w:num w:numId="23">
    <w:abstractNumId w:val="9"/>
  </w:num>
  <w:num w:numId="24">
    <w:abstractNumId w:val="6"/>
  </w:num>
  <w:num w:numId="25">
    <w:abstractNumId w:val="11"/>
  </w:num>
  <w:num w:numId="26">
    <w:abstractNumId w:val="20"/>
  </w:num>
  <w:num w:numId="27">
    <w:abstractNumId w:val="23"/>
  </w:num>
  <w:num w:numId="2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s-MX"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743"/>
    <w:rsid w:val="00002B2A"/>
    <w:rsid w:val="00003499"/>
    <w:rsid w:val="000039B7"/>
    <w:rsid w:val="0000639A"/>
    <w:rsid w:val="000100E4"/>
    <w:rsid w:val="00011891"/>
    <w:rsid w:val="00012355"/>
    <w:rsid w:val="00012B30"/>
    <w:rsid w:val="00013247"/>
    <w:rsid w:val="00014E83"/>
    <w:rsid w:val="00014F7C"/>
    <w:rsid w:val="00015886"/>
    <w:rsid w:val="000162EF"/>
    <w:rsid w:val="00016F92"/>
    <w:rsid w:val="000207C9"/>
    <w:rsid w:val="00020F3F"/>
    <w:rsid w:val="00021392"/>
    <w:rsid w:val="0002225F"/>
    <w:rsid w:val="00023763"/>
    <w:rsid w:val="00025F1F"/>
    <w:rsid w:val="000274B8"/>
    <w:rsid w:val="000278BA"/>
    <w:rsid w:val="00030F16"/>
    <w:rsid w:val="00032012"/>
    <w:rsid w:val="00032EF5"/>
    <w:rsid w:val="00033863"/>
    <w:rsid w:val="00035AF8"/>
    <w:rsid w:val="00035D7D"/>
    <w:rsid w:val="00035DC0"/>
    <w:rsid w:val="00036758"/>
    <w:rsid w:val="00036829"/>
    <w:rsid w:val="00037EB9"/>
    <w:rsid w:val="00040895"/>
    <w:rsid w:val="00041149"/>
    <w:rsid w:val="0004153A"/>
    <w:rsid w:val="00041EB4"/>
    <w:rsid w:val="000435EE"/>
    <w:rsid w:val="00043C37"/>
    <w:rsid w:val="00045017"/>
    <w:rsid w:val="00045A2B"/>
    <w:rsid w:val="0004698F"/>
    <w:rsid w:val="00047F4F"/>
    <w:rsid w:val="00050121"/>
    <w:rsid w:val="00051A80"/>
    <w:rsid w:val="000539D0"/>
    <w:rsid w:val="00054621"/>
    <w:rsid w:val="000546D7"/>
    <w:rsid w:val="00054AEC"/>
    <w:rsid w:val="0005517E"/>
    <w:rsid w:val="000553CC"/>
    <w:rsid w:val="00056128"/>
    <w:rsid w:val="00056ECF"/>
    <w:rsid w:val="00057912"/>
    <w:rsid w:val="000604DF"/>
    <w:rsid w:val="00062BE2"/>
    <w:rsid w:val="000653B5"/>
    <w:rsid w:val="00066360"/>
    <w:rsid w:val="00066AF8"/>
    <w:rsid w:val="00067827"/>
    <w:rsid w:val="00071248"/>
    <w:rsid w:val="000720B9"/>
    <w:rsid w:val="000737F7"/>
    <w:rsid w:val="0007672F"/>
    <w:rsid w:val="000769A6"/>
    <w:rsid w:val="00076B54"/>
    <w:rsid w:val="000774F0"/>
    <w:rsid w:val="00077C54"/>
    <w:rsid w:val="00080909"/>
    <w:rsid w:val="00080E04"/>
    <w:rsid w:val="000811CB"/>
    <w:rsid w:val="000812CA"/>
    <w:rsid w:val="000817C1"/>
    <w:rsid w:val="00081E63"/>
    <w:rsid w:val="0008258D"/>
    <w:rsid w:val="00083E99"/>
    <w:rsid w:val="00084518"/>
    <w:rsid w:val="00084FA8"/>
    <w:rsid w:val="000856C5"/>
    <w:rsid w:val="00085C31"/>
    <w:rsid w:val="00086BAC"/>
    <w:rsid w:val="00090274"/>
    <w:rsid w:val="000902D9"/>
    <w:rsid w:val="00090C7E"/>
    <w:rsid w:val="00091E91"/>
    <w:rsid w:val="00092600"/>
    <w:rsid w:val="0009262B"/>
    <w:rsid w:val="00092ACF"/>
    <w:rsid w:val="00092C11"/>
    <w:rsid w:val="00093310"/>
    <w:rsid w:val="0009445C"/>
    <w:rsid w:val="00095200"/>
    <w:rsid w:val="00095FE5"/>
    <w:rsid w:val="00096284"/>
    <w:rsid w:val="00097A45"/>
    <w:rsid w:val="000A0158"/>
    <w:rsid w:val="000A1BC0"/>
    <w:rsid w:val="000A20C3"/>
    <w:rsid w:val="000A5AFA"/>
    <w:rsid w:val="000A6039"/>
    <w:rsid w:val="000A6A6E"/>
    <w:rsid w:val="000A7453"/>
    <w:rsid w:val="000A7D08"/>
    <w:rsid w:val="000B0121"/>
    <w:rsid w:val="000B0670"/>
    <w:rsid w:val="000B0A81"/>
    <w:rsid w:val="000B0E75"/>
    <w:rsid w:val="000B2DCB"/>
    <w:rsid w:val="000B5984"/>
    <w:rsid w:val="000B5CE0"/>
    <w:rsid w:val="000B6826"/>
    <w:rsid w:val="000B6CAC"/>
    <w:rsid w:val="000B7612"/>
    <w:rsid w:val="000B78AE"/>
    <w:rsid w:val="000C082B"/>
    <w:rsid w:val="000C1E9E"/>
    <w:rsid w:val="000C3DF9"/>
    <w:rsid w:val="000C52E4"/>
    <w:rsid w:val="000C6713"/>
    <w:rsid w:val="000D03A7"/>
    <w:rsid w:val="000D1BFC"/>
    <w:rsid w:val="000D1D5D"/>
    <w:rsid w:val="000D281A"/>
    <w:rsid w:val="000D2848"/>
    <w:rsid w:val="000D326A"/>
    <w:rsid w:val="000D41E8"/>
    <w:rsid w:val="000D51FB"/>
    <w:rsid w:val="000E0640"/>
    <w:rsid w:val="000E0DB1"/>
    <w:rsid w:val="000E135D"/>
    <w:rsid w:val="000E70D7"/>
    <w:rsid w:val="000E7B49"/>
    <w:rsid w:val="000F00BA"/>
    <w:rsid w:val="000F23A5"/>
    <w:rsid w:val="000F316A"/>
    <w:rsid w:val="000F3C74"/>
    <w:rsid w:val="000F4BB8"/>
    <w:rsid w:val="000F4FA6"/>
    <w:rsid w:val="000F4FA9"/>
    <w:rsid w:val="000F53FB"/>
    <w:rsid w:val="000F56B1"/>
    <w:rsid w:val="000F66E9"/>
    <w:rsid w:val="000F7127"/>
    <w:rsid w:val="000F7B54"/>
    <w:rsid w:val="001007CD"/>
    <w:rsid w:val="00100F8A"/>
    <w:rsid w:val="0010311A"/>
    <w:rsid w:val="0010419E"/>
    <w:rsid w:val="0010452E"/>
    <w:rsid w:val="00105AE2"/>
    <w:rsid w:val="001060C6"/>
    <w:rsid w:val="001069D6"/>
    <w:rsid w:val="00106B80"/>
    <w:rsid w:val="0011032E"/>
    <w:rsid w:val="0011348B"/>
    <w:rsid w:val="00115837"/>
    <w:rsid w:val="00115982"/>
    <w:rsid w:val="00116C53"/>
    <w:rsid w:val="00121799"/>
    <w:rsid w:val="001222FC"/>
    <w:rsid w:val="00123466"/>
    <w:rsid w:val="00123902"/>
    <w:rsid w:val="00124A51"/>
    <w:rsid w:val="00126621"/>
    <w:rsid w:val="00126B1D"/>
    <w:rsid w:val="001275C8"/>
    <w:rsid w:val="001301E9"/>
    <w:rsid w:val="00131D82"/>
    <w:rsid w:val="00132B22"/>
    <w:rsid w:val="00133D36"/>
    <w:rsid w:val="00135BAF"/>
    <w:rsid w:val="0013700C"/>
    <w:rsid w:val="00137645"/>
    <w:rsid w:val="0014015A"/>
    <w:rsid w:val="001406AA"/>
    <w:rsid w:val="00140E99"/>
    <w:rsid w:val="00141C63"/>
    <w:rsid w:val="00143F67"/>
    <w:rsid w:val="00144160"/>
    <w:rsid w:val="001441E3"/>
    <w:rsid w:val="00145540"/>
    <w:rsid w:val="001456B0"/>
    <w:rsid w:val="001477B6"/>
    <w:rsid w:val="001503F8"/>
    <w:rsid w:val="00150635"/>
    <w:rsid w:val="00153CFF"/>
    <w:rsid w:val="00154657"/>
    <w:rsid w:val="00156C75"/>
    <w:rsid w:val="00156F8F"/>
    <w:rsid w:val="00157130"/>
    <w:rsid w:val="001576B1"/>
    <w:rsid w:val="0016047B"/>
    <w:rsid w:val="00160A4C"/>
    <w:rsid w:val="001618F9"/>
    <w:rsid w:val="001624A8"/>
    <w:rsid w:val="00162913"/>
    <w:rsid w:val="00163EFF"/>
    <w:rsid w:val="00163F66"/>
    <w:rsid w:val="00164D69"/>
    <w:rsid w:val="001661FB"/>
    <w:rsid w:val="001671A0"/>
    <w:rsid w:val="0016767F"/>
    <w:rsid w:val="00167EDF"/>
    <w:rsid w:val="0017351F"/>
    <w:rsid w:val="00173565"/>
    <w:rsid w:val="00173ACD"/>
    <w:rsid w:val="00173B07"/>
    <w:rsid w:val="001751FA"/>
    <w:rsid w:val="00175FB5"/>
    <w:rsid w:val="00181D9C"/>
    <w:rsid w:val="00184B0E"/>
    <w:rsid w:val="00185DBB"/>
    <w:rsid w:val="00186B66"/>
    <w:rsid w:val="0018752F"/>
    <w:rsid w:val="001930A7"/>
    <w:rsid w:val="00193838"/>
    <w:rsid w:val="0019400D"/>
    <w:rsid w:val="001946C3"/>
    <w:rsid w:val="00194AD8"/>
    <w:rsid w:val="00194D51"/>
    <w:rsid w:val="00195222"/>
    <w:rsid w:val="00195519"/>
    <w:rsid w:val="001975D8"/>
    <w:rsid w:val="001A0499"/>
    <w:rsid w:val="001A1431"/>
    <w:rsid w:val="001A178E"/>
    <w:rsid w:val="001A3642"/>
    <w:rsid w:val="001A43FA"/>
    <w:rsid w:val="001A47C5"/>
    <w:rsid w:val="001A508E"/>
    <w:rsid w:val="001A59FB"/>
    <w:rsid w:val="001A5E9E"/>
    <w:rsid w:val="001A6354"/>
    <w:rsid w:val="001A6366"/>
    <w:rsid w:val="001A6651"/>
    <w:rsid w:val="001A6E12"/>
    <w:rsid w:val="001A752E"/>
    <w:rsid w:val="001A7650"/>
    <w:rsid w:val="001A7AE8"/>
    <w:rsid w:val="001B1BAE"/>
    <w:rsid w:val="001B204E"/>
    <w:rsid w:val="001B2372"/>
    <w:rsid w:val="001B3443"/>
    <w:rsid w:val="001B4525"/>
    <w:rsid w:val="001B4902"/>
    <w:rsid w:val="001B4D20"/>
    <w:rsid w:val="001B5AE4"/>
    <w:rsid w:val="001C018D"/>
    <w:rsid w:val="001C2987"/>
    <w:rsid w:val="001C2A9B"/>
    <w:rsid w:val="001C4299"/>
    <w:rsid w:val="001C4874"/>
    <w:rsid w:val="001C5831"/>
    <w:rsid w:val="001C5CE3"/>
    <w:rsid w:val="001C5F94"/>
    <w:rsid w:val="001C6535"/>
    <w:rsid w:val="001C6E66"/>
    <w:rsid w:val="001D1060"/>
    <w:rsid w:val="001D1100"/>
    <w:rsid w:val="001D1288"/>
    <w:rsid w:val="001D1391"/>
    <w:rsid w:val="001D25D7"/>
    <w:rsid w:val="001D2E66"/>
    <w:rsid w:val="001D4553"/>
    <w:rsid w:val="001D50B2"/>
    <w:rsid w:val="001D536E"/>
    <w:rsid w:val="001D6173"/>
    <w:rsid w:val="001D667A"/>
    <w:rsid w:val="001D7337"/>
    <w:rsid w:val="001D7645"/>
    <w:rsid w:val="001E1D1E"/>
    <w:rsid w:val="001E1E86"/>
    <w:rsid w:val="001E238E"/>
    <w:rsid w:val="001E2483"/>
    <w:rsid w:val="001E2B1E"/>
    <w:rsid w:val="001E2CFF"/>
    <w:rsid w:val="001E2F24"/>
    <w:rsid w:val="001E2F6A"/>
    <w:rsid w:val="001E30D4"/>
    <w:rsid w:val="001E34DF"/>
    <w:rsid w:val="001E3A99"/>
    <w:rsid w:val="001E3ABD"/>
    <w:rsid w:val="001E5060"/>
    <w:rsid w:val="001E52EB"/>
    <w:rsid w:val="001E5993"/>
    <w:rsid w:val="001E61D2"/>
    <w:rsid w:val="001E6F15"/>
    <w:rsid w:val="001E740C"/>
    <w:rsid w:val="001E7B4E"/>
    <w:rsid w:val="001F1235"/>
    <w:rsid w:val="001F1CB3"/>
    <w:rsid w:val="001F38B5"/>
    <w:rsid w:val="001F4081"/>
    <w:rsid w:val="001F7361"/>
    <w:rsid w:val="002011B0"/>
    <w:rsid w:val="00201F25"/>
    <w:rsid w:val="00203181"/>
    <w:rsid w:val="00203783"/>
    <w:rsid w:val="0020385F"/>
    <w:rsid w:val="00203A6E"/>
    <w:rsid w:val="002044F5"/>
    <w:rsid w:val="00204514"/>
    <w:rsid w:val="00204B70"/>
    <w:rsid w:val="00205087"/>
    <w:rsid w:val="0020598F"/>
    <w:rsid w:val="002068A0"/>
    <w:rsid w:val="00207021"/>
    <w:rsid w:val="0020724B"/>
    <w:rsid w:val="0020732F"/>
    <w:rsid w:val="00207D00"/>
    <w:rsid w:val="00210126"/>
    <w:rsid w:val="0021040A"/>
    <w:rsid w:val="002105C1"/>
    <w:rsid w:val="00211BA8"/>
    <w:rsid w:val="00212D1D"/>
    <w:rsid w:val="00212E43"/>
    <w:rsid w:val="002138BD"/>
    <w:rsid w:val="00213EF5"/>
    <w:rsid w:val="002149B4"/>
    <w:rsid w:val="00216BF5"/>
    <w:rsid w:val="00216E74"/>
    <w:rsid w:val="00216EEB"/>
    <w:rsid w:val="002176D9"/>
    <w:rsid w:val="00220602"/>
    <w:rsid w:val="00220AF7"/>
    <w:rsid w:val="00223B49"/>
    <w:rsid w:val="00223C2F"/>
    <w:rsid w:val="00223D5A"/>
    <w:rsid w:val="00224DD4"/>
    <w:rsid w:val="002278A0"/>
    <w:rsid w:val="00227B69"/>
    <w:rsid w:val="00230521"/>
    <w:rsid w:val="002309CC"/>
    <w:rsid w:val="00230F9A"/>
    <w:rsid w:val="002316EB"/>
    <w:rsid w:val="0023209F"/>
    <w:rsid w:val="0023378E"/>
    <w:rsid w:val="00233C01"/>
    <w:rsid w:val="0023413C"/>
    <w:rsid w:val="002346F0"/>
    <w:rsid w:val="002350E1"/>
    <w:rsid w:val="00235AB2"/>
    <w:rsid w:val="0023629D"/>
    <w:rsid w:val="00236CC5"/>
    <w:rsid w:val="00237255"/>
    <w:rsid w:val="0023761D"/>
    <w:rsid w:val="002376EF"/>
    <w:rsid w:val="00241D4F"/>
    <w:rsid w:val="002424AF"/>
    <w:rsid w:val="002439DC"/>
    <w:rsid w:val="00243F69"/>
    <w:rsid w:val="002441D2"/>
    <w:rsid w:val="00244DC8"/>
    <w:rsid w:val="002458BA"/>
    <w:rsid w:val="00245CE9"/>
    <w:rsid w:val="0024636C"/>
    <w:rsid w:val="00246793"/>
    <w:rsid w:val="0024753C"/>
    <w:rsid w:val="00247925"/>
    <w:rsid w:val="002504E4"/>
    <w:rsid w:val="00251006"/>
    <w:rsid w:val="00251038"/>
    <w:rsid w:val="00251C43"/>
    <w:rsid w:val="00251CEF"/>
    <w:rsid w:val="002524D5"/>
    <w:rsid w:val="0025335D"/>
    <w:rsid w:val="00253B1D"/>
    <w:rsid w:val="0025414C"/>
    <w:rsid w:val="00254DCF"/>
    <w:rsid w:val="0025534B"/>
    <w:rsid w:val="00255B20"/>
    <w:rsid w:val="00255BB7"/>
    <w:rsid w:val="00257541"/>
    <w:rsid w:val="00257915"/>
    <w:rsid w:val="00257A39"/>
    <w:rsid w:val="00257AC4"/>
    <w:rsid w:val="00260591"/>
    <w:rsid w:val="00261EEF"/>
    <w:rsid w:val="00262A1A"/>
    <w:rsid w:val="00262A87"/>
    <w:rsid w:val="00264D26"/>
    <w:rsid w:val="00265546"/>
    <w:rsid w:val="00267642"/>
    <w:rsid w:val="00267AEA"/>
    <w:rsid w:val="002700E6"/>
    <w:rsid w:val="0027294B"/>
    <w:rsid w:val="00273D31"/>
    <w:rsid w:val="00273EB4"/>
    <w:rsid w:val="00274682"/>
    <w:rsid w:val="00275C5A"/>
    <w:rsid w:val="00276C17"/>
    <w:rsid w:val="002809F0"/>
    <w:rsid w:val="00281014"/>
    <w:rsid w:val="002824AE"/>
    <w:rsid w:val="00282C3E"/>
    <w:rsid w:val="002849B7"/>
    <w:rsid w:val="0028665D"/>
    <w:rsid w:val="00287F81"/>
    <w:rsid w:val="00290169"/>
    <w:rsid w:val="00293E28"/>
    <w:rsid w:val="0029458E"/>
    <w:rsid w:val="00295F17"/>
    <w:rsid w:val="002960A1"/>
    <w:rsid w:val="00296940"/>
    <w:rsid w:val="002A0BF0"/>
    <w:rsid w:val="002A14AB"/>
    <w:rsid w:val="002A2ADE"/>
    <w:rsid w:val="002A2F50"/>
    <w:rsid w:val="002A5542"/>
    <w:rsid w:val="002A63C7"/>
    <w:rsid w:val="002A7A2E"/>
    <w:rsid w:val="002B05A1"/>
    <w:rsid w:val="002B09A4"/>
    <w:rsid w:val="002B1BE7"/>
    <w:rsid w:val="002B1C1F"/>
    <w:rsid w:val="002B432F"/>
    <w:rsid w:val="002B4E71"/>
    <w:rsid w:val="002B5119"/>
    <w:rsid w:val="002B62B3"/>
    <w:rsid w:val="002B6754"/>
    <w:rsid w:val="002B6CCE"/>
    <w:rsid w:val="002B7638"/>
    <w:rsid w:val="002C12AC"/>
    <w:rsid w:val="002C2510"/>
    <w:rsid w:val="002C2775"/>
    <w:rsid w:val="002C27C1"/>
    <w:rsid w:val="002C36B3"/>
    <w:rsid w:val="002C5099"/>
    <w:rsid w:val="002C5889"/>
    <w:rsid w:val="002C6800"/>
    <w:rsid w:val="002C6971"/>
    <w:rsid w:val="002C6AC2"/>
    <w:rsid w:val="002C71CE"/>
    <w:rsid w:val="002C7D43"/>
    <w:rsid w:val="002C7F21"/>
    <w:rsid w:val="002D08F8"/>
    <w:rsid w:val="002D1D42"/>
    <w:rsid w:val="002D2767"/>
    <w:rsid w:val="002D2949"/>
    <w:rsid w:val="002D3483"/>
    <w:rsid w:val="002D577C"/>
    <w:rsid w:val="002D5966"/>
    <w:rsid w:val="002D6261"/>
    <w:rsid w:val="002E1071"/>
    <w:rsid w:val="002E15B9"/>
    <w:rsid w:val="002E2158"/>
    <w:rsid w:val="002E2A37"/>
    <w:rsid w:val="002E2CCD"/>
    <w:rsid w:val="002E3780"/>
    <w:rsid w:val="002E472E"/>
    <w:rsid w:val="002E4F02"/>
    <w:rsid w:val="002E5926"/>
    <w:rsid w:val="002E5E4A"/>
    <w:rsid w:val="002E70DC"/>
    <w:rsid w:val="002E74C7"/>
    <w:rsid w:val="002E7722"/>
    <w:rsid w:val="002F00C4"/>
    <w:rsid w:val="002F07BA"/>
    <w:rsid w:val="002F0AF4"/>
    <w:rsid w:val="002F0DA9"/>
    <w:rsid w:val="002F1014"/>
    <w:rsid w:val="002F1AF6"/>
    <w:rsid w:val="002F604A"/>
    <w:rsid w:val="002F643C"/>
    <w:rsid w:val="002F683E"/>
    <w:rsid w:val="002F71C0"/>
    <w:rsid w:val="002F74F1"/>
    <w:rsid w:val="002F7E7C"/>
    <w:rsid w:val="00300B45"/>
    <w:rsid w:val="00301017"/>
    <w:rsid w:val="0030155F"/>
    <w:rsid w:val="0030243F"/>
    <w:rsid w:val="003049E4"/>
    <w:rsid w:val="0030587B"/>
    <w:rsid w:val="00306D98"/>
    <w:rsid w:val="00307861"/>
    <w:rsid w:val="0030786C"/>
    <w:rsid w:val="0031031A"/>
    <w:rsid w:val="00310520"/>
    <w:rsid w:val="00310981"/>
    <w:rsid w:val="003124D9"/>
    <w:rsid w:val="00312594"/>
    <w:rsid w:val="003131CA"/>
    <w:rsid w:val="00314B37"/>
    <w:rsid w:val="003152C8"/>
    <w:rsid w:val="003153D1"/>
    <w:rsid w:val="00315498"/>
    <w:rsid w:val="003159BA"/>
    <w:rsid w:val="00316474"/>
    <w:rsid w:val="00316C3E"/>
    <w:rsid w:val="00322107"/>
    <w:rsid w:val="00322355"/>
    <w:rsid w:val="00322846"/>
    <w:rsid w:val="003239AB"/>
    <w:rsid w:val="00324331"/>
    <w:rsid w:val="00325A6F"/>
    <w:rsid w:val="00326199"/>
    <w:rsid w:val="00326397"/>
    <w:rsid w:val="00326DA7"/>
    <w:rsid w:val="003270E4"/>
    <w:rsid w:val="0032761E"/>
    <w:rsid w:val="0032798C"/>
    <w:rsid w:val="003303D2"/>
    <w:rsid w:val="003305F5"/>
    <w:rsid w:val="00330DAA"/>
    <w:rsid w:val="00330F5C"/>
    <w:rsid w:val="00332635"/>
    <w:rsid w:val="003346F4"/>
    <w:rsid w:val="003366C9"/>
    <w:rsid w:val="003371B0"/>
    <w:rsid w:val="00340DF1"/>
    <w:rsid w:val="00342380"/>
    <w:rsid w:val="003462C9"/>
    <w:rsid w:val="003517F9"/>
    <w:rsid w:val="00351BA9"/>
    <w:rsid w:val="00351D2D"/>
    <w:rsid w:val="00354194"/>
    <w:rsid w:val="00354F64"/>
    <w:rsid w:val="0035584A"/>
    <w:rsid w:val="0035620E"/>
    <w:rsid w:val="00357EB4"/>
    <w:rsid w:val="003602FF"/>
    <w:rsid w:val="00360345"/>
    <w:rsid w:val="003606FF"/>
    <w:rsid w:val="00361A05"/>
    <w:rsid w:val="003624C4"/>
    <w:rsid w:val="0036319C"/>
    <w:rsid w:val="003631B0"/>
    <w:rsid w:val="00363B00"/>
    <w:rsid w:val="003654AC"/>
    <w:rsid w:val="003706F3"/>
    <w:rsid w:val="003710CF"/>
    <w:rsid w:val="003715A8"/>
    <w:rsid w:val="00373051"/>
    <w:rsid w:val="0037358A"/>
    <w:rsid w:val="003750F6"/>
    <w:rsid w:val="003760FC"/>
    <w:rsid w:val="00380B3E"/>
    <w:rsid w:val="00380BFB"/>
    <w:rsid w:val="00380D77"/>
    <w:rsid w:val="00381A86"/>
    <w:rsid w:val="003822B8"/>
    <w:rsid w:val="0038365C"/>
    <w:rsid w:val="0038369B"/>
    <w:rsid w:val="00383789"/>
    <w:rsid w:val="00383B78"/>
    <w:rsid w:val="0038425D"/>
    <w:rsid w:val="00385A9D"/>
    <w:rsid w:val="00385D98"/>
    <w:rsid w:val="00387C51"/>
    <w:rsid w:val="003902B1"/>
    <w:rsid w:val="0039179C"/>
    <w:rsid w:val="00392885"/>
    <w:rsid w:val="00393B6E"/>
    <w:rsid w:val="00396159"/>
    <w:rsid w:val="00396450"/>
    <w:rsid w:val="00396896"/>
    <w:rsid w:val="00396FD0"/>
    <w:rsid w:val="003A0A34"/>
    <w:rsid w:val="003A16C3"/>
    <w:rsid w:val="003A1A7A"/>
    <w:rsid w:val="003A2392"/>
    <w:rsid w:val="003A2831"/>
    <w:rsid w:val="003A2977"/>
    <w:rsid w:val="003A3CB6"/>
    <w:rsid w:val="003A3ED1"/>
    <w:rsid w:val="003A44DB"/>
    <w:rsid w:val="003A5495"/>
    <w:rsid w:val="003B2818"/>
    <w:rsid w:val="003B3672"/>
    <w:rsid w:val="003B3971"/>
    <w:rsid w:val="003B4684"/>
    <w:rsid w:val="003B546D"/>
    <w:rsid w:val="003B55D1"/>
    <w:rsid w:val="003B5B61"/>
    <w:rsid w:val="003B6C57"/>
    <w:rsid w:val="003B70A0"/>
    <w:rsid w:val="003C1654"/>
    <w:rsid w:val="003C19A7"/>
    <w:rsid w:val="003C1C1E"/>
    <w:rsid w:val="003C295C"/>
    <w:rsid w:val="003C4E3D"/>
    <w:rsid w:val="003C5542"/>
    <w:rsid w:val="003C7D19"/>
    <w:rsid w:val="003C7D2F"/>
    <w:rsid w:val="003D1828"/>
    <w:rsid w:val="003D1DE4"/>
    <w:rsid w:val="003D1E19"/>
    <w:rsid w:val="003D1E9A"/>
    <w:rsid w:val="003D2422"/>
    <w:rsid w:val="003D324E"/>
    <w:rsid w:val="003D39A1"/>
    <w:rsid w:val="003D3FBF"/>
    <w:rsid w:val="003D4A30"/>
    <w:rsid w:val="003D55A9"/>
    <w:rsid w:val="003D7452"/>
    <w:rsid w:val="003D79BB"/>
    <w:rsid w:val="003D7C98"/>
    <w:rsid w:val="003D7D9D"/>
    <w:rsid w:val="003E0543"/>
    <w:rsid w:val="003E40EB"/>
    <w:rsid w:val="003E536A"/>
    <w:rsid w:val="003E68E3"/>
    <w:rsid w:val="003E749E"/>
    <w:rsid w:val="003F0016"/>
    <w:rsid w:val="003F2E2C"/>
    <w:rsid w:val="003F4156"/>
    <w:rsid w:val="003F5ADF"/>
    <w:rsid w:val="003F5F25"/>
    <w:rsid w:val="00400B29"/>
    <w:rsid w:val="004028EA"/>
    <w:rsid w:val="0040420F"/>
    <w:rsid w:val="0040504B"/>
    <w:rsid w:val="004059F4"/>
    <w:rsid w:val="00407FE5"/>
    <w:rsid w:val="004101B0"/>
    <w:rsid w:val="00410326"/>
    <w:rsid w:val="00410708"/>
    <w:rsid w:val="00410EC7"/>
    <w:rsid w:val="00411B39"/>
    <w:rsid w:val="004127A7"/>
    <w:rsid w:val="00413A1E"/>
    <w:rsid w:val="00414476"/>
    <w:rsid w:val="00414C2E"/>
    <w:rsid w:val="00414DC6"/>
    <w:rsid w:val="004151CF"/>
    <w:rsid w:val="00416364"/>
    <w:rsid w:val="00416B02"/>
    <w:rsid w:val="00417EE9"/>
    <w:rsid w:val="0042047F"/>
    <w:rsid w:val="00420AA6"/>
    <w:rsid w:val="00420B9F"/>
    <w:rsid w:val="0042192C"/>
    <w:rsid w:val="00422260"/>
    <w:rsid w:val="00422771"/>
    <w:rsid w:val="0042413F"/>
    <w:rsid w:val="004241E4"/>
    <w:rsid w:val="0042609C"/>
    <w:rsid w:val="0043094B"/>
    <w:rsid w:val="004319F8"/>
    <w:rsid w:val="00431E55"/>
    <w:rsid w:val="004321F6"/>
    <w:rsid w:val="00433044"/>
    <w:rsid w:val="00434088"/>
    <w:rsid w:val="004343FC"/>
    <w:rsid w:val="004371AE"/>
    <w:rsid w:val="004375B9"/>
    <w:rsid w:val="004428D0"/>
    <w:rsid w:val="00442BA0"/>
    <w:rsid w:val="00444185"/>
    <w:rsid w:val="004443A7"/>
    <w:rsid w:val="0044442C"/>
    <w:rsid w:val="00444C6A"/>
    <w:rsid w:val="00444F1E"/>
    <w:rsid w:val="00445941"/>
    <w:rsid w:val="00445B1E"/>
    <w:rsid w:val="004464EB"/>
    <w:rsid w:val="00446872"/>
    <w:rsid w:val="00447D26"/>
    <w:rsid w:val="00447DFC"/>
    <w:rsid w:val="00450292"/>
    <w:rsid w:val="004537C2"/>
    <w:rsid w:val="00453F6D"/>
    <w:rsid w:val="00455D45"/>
    <w:rsid w:val="00455E62"/>
    <w:rsid w:val="00457C4D"/>
    <w:rsid w:val="00462850"/>
    <w:rsid w:val="004628FA"/>
    <w:rsid w:val="00463978"/>
    <w:rsid w:val="00464595"/>
    <w:rsid w:val="004645C0"/>
    <w:rsid w:val="004658B5"/>
    <w:rsid w:val="00465CFA"/>
    <w:rsid w:val="00471EA5"/>
    <w:rsid w:val="00472A79"/>
    <w:rsid w:val="00472EC4"/>
    <w:rsid w:val="00473846"/>
    <w:rsid w:val="00473F19"/>
    <w:rsid w:val="0047449C"/>
    <w:rsid w:val="00475E22"/>
    <w:rsid w:val="0048088E"/>
    <w:rsid w:val="00480F2B"/>
    <w:rsid w:val="00482720"/>
    <w:rsid w:val="00482FDC"/>
    <w:rsid w:val="004835E7"/>
    <w:rsid w:val="004867E2"/>
    <w:rsid w:val="00490B17"/>
    <w:rsid w:val="00490EAE"/>
    <w:rsid w:val="00491B3A"/>
    <w:rsid w:val="0049231E"/>
    <w:rsid w:val="00492CFD"/>
    <w:rsid w:val="00494207"/>
    <w:rsid w:val="004943E5"/>
    <w:rsid w:val="00494960"/>
    <w:rsid w:val="00494DD5"/>
    <w:rsid w:val="00495AE9"/>
    <w:rsid w:val="004962D2"/>
    <w:rsid w:val="00496995"/>
    <w:rsid w:val="004A012D"/>
    <w:rsid w:val="004A0DA1"/>
    <w:rsid w:val="004A13D6"/>
    <w:rsid w:val="004A46A3"/>
    <w:rsid w:val="004A52E9"/>
    <w:rsid w:val="004A5EF9"/>
    <w:rsid w:val="004A6040"/>
    <w:rsid w:val="004A6597"/>
    <w:rsid w:val="004A7848"/>
    <w:rsid w:val="004B00F6"/>
    <w:rsid w:val="004B024F"/>
    <w:rsid w:val="004B1CB4"/>
    <w:rsid w:val="004B2F18"/>
    <w:rsid w:val="004B388D"/>
    <w:rsid w:val="004B3DDB"/>
    <w:rsid w:val="004B437F"/>
    <w:rsid w:val="004B44FD"/>
    <w:rsid w:val="004B48BB"/>
    <w:rsid w:val="004B4F24"/>
    <w:rsid w:val="004B58BB"/>
    <w:rsid w:val="004B5CFC"/>
    <w:rsid w:val="004B6F32"/>
    <w:rsid w:val="004B6F79"/>
    <w:rsid w:val="004B774D"/>
    <w:rsid w:val="004C0C26"/>
    <w:rsid w:val="004C2E2D"/>
    <w:rsid w:val="004C367E"/>
    <w:rsid w:val="004C4AED"/>
    <w:rsid w:val="004C5756"/>
    <w:rsid w:val="004C6604"/>
    <w:rsid w:val="004C6663"/>
    <w:rsid w:val="004D07CE"/>
    <w:rsid w:val="004D2936"/>
    <w:rsid w:val="004D2C2D"/>
    <w:rsid w:val="004D697B"/>
    <w:rsid w:val="004D69B5"/>
    <w:rsid w:val="004D7227"/>
    <w:rsid w:val="004E0E7F"/>
    <w:rsid w:val="004E0EB8"/>
    <w:rsid w:val="004E165A"/>
    <w:rsid w:val="004E18E9"/>
    <w:rsid w:val="004E28DF"/>
    <w:rsid w:val="004E2ADC"/>
    <w:rsid w:val="004E2C55"/>
    <w:rsid w:val="004E3390"/>
    <w:rsid w:val="004E3546"/>
    <w:rsid w:val="004E3EDC"/>
    <w:rsid w:val="004E421A"/>
    <w:rsid w:val="004E43B2"/>
    <w:rsid w:val="004E507A"/>
    <w:rsid w:val="004E5A21"/>
    <w:rsid w:val="004E6529"/>
    <w:rsid w:val="004E6D51"/>
    <w:rsid w:val="004F1D02"/>
    <w:rsid w:val="004F219B"/>
    <w:rsid w:val="004F2679"/>
    <w:rsid w:val="004F2F21"/>
    <w:rsid w:val="004F3DE5"/>
    <w:rsid w:val="004F5E29"/>
    <w:rsid w:val="004F6913"/>
    <w:rsid w:val="004F7865"/>
    <w:rsid w:val="00500082"/>
    <w:rsid w:val="0050174E"/>
    <w:rsid w:val="00501854"/>
    <w:rsid w:val="0050219B"/>
    <w:rsid w:val="00503F17"/>
    <w:rsid w:val="00506928"/>
    <w:rsid w:val="00506955"/>
    <w:rsid w:val="005077EF"/>
    <w:rsid w:val="00510180"/>
    <w:rsid w:val="005105E9"/>
    <w:rsid w:val="00511996"/>
    <w:rsid w:val="00511AD5"/>
    <w:rsid w:val="00511D35"/>
    <w:rsid w:val="00511DC7"/>
    <w:rsid w:val="005142C5"/>
    <w:rsid w:val="00514BFC"/>
    <w:rsid w:val="0051501B"/>
    <w:rsid w:val="005152B5"/>
    <w:rsid w:val="00515A11"/>
    <w:rsid w:val="00516124"/>
    <w:rsid w:val="00516A16"/>
    <w:rsid w:val="00520F12"/>
    <w:rsid w:val="0052123C"/>
    <w:rsid w:val="00521319"/>
    <w:rsid w:val="00522259"/>
    <w:rsid w:val="00522BC8"/>
    <w:rsid w:val="00522F9A"/>
    <w:rsid w:val="00523C28"/>
    <w:rsid w:val="00524CE4"/>
    <w:rsid w:val="00524FCD"/>
    <w:rsid w:val="00527FFE"/>
    <w:rsid w:val="00530AD9"/>
    <w:rsid w:val="0053176B"/>
    <w:rsid w:val="0053453F"/>
    <w:rsid w:val="00536033"/>
    <w:rsid w:val="00536F42"/>
    <w:rsid w:val="00537182"/>
    <w:rsid w:val="00541EDD"/>
    <w:rsid w:val="00542743"/>
    <w:rsid w:val="00542C2D"/>
    <w:rsid w:val="005437BE"/>
    <w:rsid w:val="00545C4D"/>
    <w:rsid w:val="005478BD"/>
    <w:rsid w:val="005479E3"/>
    <w:rsid w:val="00551985"/>
    <w:rsid w:val="00551ABB"/>
    <w:rsid w:val="00552BD3"/>
    <w:rsid w:val="005532A0"/>
    <w:rsid w:val="00555109"/>
    <w:rsid w:val="00556B35"/>
    <w:rsid w:val="0055741A"/>
    <w:rsid w:val="00561137"/>
    <w:rsid w:val="005611B7"/>
    <w:rsid w:val="005618D4"/>
    <w:rsid w:val="00562837"/>
    <w:rsid w:val="00562B6D"/>
    <w:rsid w:val="00564CB5"/>
    <w:rsid w:val="00565DF0"/>
    <w:rsid w:val="0056696F"/>
    <w:rsid w:val="00566A3F"/>
    <w:rsid w:val="005718F9"/>
    <w:rsid w:val="00571ED2"/>
    <w:rsid w:val="00572269"/>
    <w:rsid w:val="0057244A"/>
    <w:rsid w:val="00572720"/>
    <w:rsid w:val="00572F26"/>
    <w:rsid w:val="00574F05"/>
    <w:rsid w:val="005750C5"/>
    <w:rsid w:val="005752DE"/>
    <w:rsid w:val="00575D8D"/>
    <w:rsid w:val="00576972"/>
    <w:rsid w:val="005773E2"/>
    <w:rsid w:val="00577480"/>
    <w:rsid w:val="00577F15"/>
    <w:rsid w:val="00581746"/>
    <w:rsid w:val="00583699"/>
    <w:rsid w:val="00585CDD"/>
    <w:rsid w:val="00587058"/>
    <w:rsid w:val="00587BAC"/>
    <w:rsid w:val="005915D0"/>
    <w:rsid w:val="00591957"/>
    <w:rsid w:val="00591CD3"/>
    <w:rsid w:val="005920AF"/>
    <w:rsid w:val="00597BF9"/>
    <w:rsid w:val="005A2738"/>
    <w:rsid w:val="005A277F"/>
    <w:rsid w:val="005A309A"/>
    <w:rsid w:val="005A373D"/>
    <w:rsid w:val="005A38BD"/>
    <w:rsid w:val="005A7F38"/>
    <w:rsid w:val="005B0B58"/>
    <w:rsid w:val="005B1044"/>
    <w:rsid w:val="005B1E88"/>
    <w:rsid w:val="005B421A"/>
    <w:rsid w:val="005B4E53"/>
    <w:rsid w:val="005B5857"/>
    <w:rsid w:val="005B7C09"/>
    <w:rsid w:val="005C0323"/>
    <w:rsid w:val="005C0813"/>
    <w:rsid w:val="005C1B83"/>
    <w:rsid w:val="005C25FF"/>
    <w:rsid w:val="005C2D55"/>
    <w:rsid w:val="005C31CE"/>
    <w:rsid w:val="005C346B"/>
    <w:rsid w:val="005C4CA7"/>
    <w:rsid w:val="005C7D97"/>
    <w:rsid w:val="005C7FB0"/>
    <w:rsid w:val="005D044D"/>
    <w:rsid w:val="005D0ABD"/>
    <w:rsid w:val="005D18AD"/>
    <w:rsid w:val="005D26B4"/>
    <w:rsid w:val="005D391E"/>
    <w:rsid w:val="005D47FC"/>
    <w:rsid w:val="005D593C"/>
    <w:rsid w:val="005D5E73"/>
    <w:rsid w:val="005D7E76"/>
    <w:rsid w:val="005E1641"/>
    <w:rsid w:val="005E5241"/>
    <w:rsid w:val="005E6CBC"/>
    <w:rsid w:val="005E72FF"/>
    <w:rsid w:val="005E73C0"/>
    <w:rsid w:val="005F1AA8"/>
    <w:rsid w:val="005F2706"/>
    <w:rsid w:val="005F5608"/>
    <w:rsid w:val="005F6A8F"/>
    <w:rsid w:val="005F6BB7"/>
    <w:rsid w:val="005F7588"/>
    <w:rsid w:val="005F7ED0"/>
    <w:rsid w:val="00601D6F"/>
    <w:rsid w:val="00602105"/>
    <w:rsid w:val="006023A8"/>
    <w:rsid w:val="00603DB9"/>
    <w:rsid w:val="00604109"/>
    <w:rsid w:val="00605462"/>
    <w:rsid w:val="00605B74"/>
    <w:rsid w:val="006061EE"/>
    <w:rsid w:val="00606FBA"/>
    <w:rsid w:val="00607669"/>
    <w:rsid w:val="006076F4"/>
    <w:rsid w:val="00607AFD"/>
    <w:rsid w:val="00612BA3"/>
    <w:rsid w:val="00612F97"/>
    <w:rsid w:val="0061345D"/>
    <w:rsid w:val="0061549B"/>
    <w:rsid w:val="00616802"/>
    <w:rsid w:val="00617E12"/>
    <w:rsid w:val="00620C25"/>
    <w:rsid w:val="00621065"/>
    <w:rsid w:val="00621477"/>
    <w:rsid w:val="00621ADA"/>
    <w:rsid w:val="00623DA0"/>
    <w:rsid w:val="00623F7B"/>
    <w:rsid w:val="006253C9"/>
    <w:rsid w:val="00626AEF"/>
    <w:rsid w:val="00626EBF"/>
    <w:rsid w:val="0063092B"/>
    <w:rsid w:val="0063158F"/>
    <w:rsid w:val="00631960"/>
    <w:rsid w:val="00631978"/>
    <w:rsid w:val="00631D6B"/>
    <w:rsid w:val="00632183"/>
    <w:rsid w:val="00632E54"/>
    <w:rsid w:val="006330A1"/>
    <w:rsid w:val="00633AC7"/>
    <w:rsid w:val="0063479F"/>
    <w:rsid w:val="006353F0"/>
    <w:rsid w:val="006357B5"/>
    <w:rsid w:val="00635E78"/>
    <w:rsid w:val="006364A1"/>
    <w:rsid w:val="0063678E"/>
    <w:rsid w:val="00637292"/>
    <w:rsid w:val="00637A25"/>
    <w:rsid w:val="00637BFD"/>
    <w:rsid w:val="00640320"/>
    <w:rsid w:val="00641C14"/>
    <w:rsid w:val="00641C4E"/>
    <w:rsid w:val="00641FB3"/>
    <w:rsid w:val="00643718"/>
    <w:rsid w:val="0064434C"/>
    <w:rsid w:val="0064708F"/>
    <w:rsid w:val="0064716A"/>
    <w:rsid w:val="006471CC"/>
    <w:rsid w:val="00647A29"/>
    <w:rsid w:val="006506D9"/>
    <w:rsid w:val="0065079F"/>
    <w:rsid w:val="00652A28"/>
    <w:rsid w:val="0065379F"/>
    <w:rsid w:val="006554CE"/>
    <w:rsid w:val="00656188"/>
    <w:rsid w:val="0065715A"/>
    <w:rsid w:val="00660D61"/>
    <w:rsid w:val="006610F1"/>
    <w:rsid w:val="00661C6B"/>
    <w:rsid w:val="0066534F"/>
    <w:rsid w:val="00671004"/>
    <w:rsid w:val="006725D3"/>
    <w:rsid w:val="00672646"/>
    <w:rsid w:val="00672D2C"/>
    <w:rsid w:val="006747E8"/>
    <w:rsid w:val="00674B9C"/>
    <w:rsid w:val="00674E42"/>
    <w:rsid w:val="00677AFF"/>
    <w:rsid w:val="006811DA"/>
    <w:rsid w:val="006813F8"/>
    <w:rsid w:val="00682112"/>
    <w:rsid w:val="006825F4"/>
    <w:rsid w:val="006829C1"/>
    <w:rsid w:val="00682BA6"/>
    <w:rsid w:val="00686957"/>
    <w:rsid w:val="006872BA"/>
    <w:rsid w:val="006906ED"/>
    <w:rsid w:val="00690795"/>
    <w:rsid w:val="00691648"/>
    <w:rsid w:val="006917D7"/>
    <w:rsid w:val="00691FB6"/>
    <w:rsid w:val="006926FC"/>
    <w:rsid w:val="00693119"/>
    <w:rsid w:val="00693672"/>
    <w:rsid w:val="0069434C"/>
    <w:rsid w:val="00694F44"/>
    <w:rsid w:val="00696F51"/>
    <w:rsid w:val="006970DF"/>
    <w:rsid w:val="006979A5"/>
    <w:rsid w:val="006A11AF"/>
    <w:rsid w:val="006A2FEC"/>
    <w:rsid w:val="006A450A"/>
    <w:rsid w:val="006A51EF"/>
    <w:rsid w:val="006A5CBD"/>
    <w:rsid w:val="006A6B99"/>
    <w:rsid w:val="006A7E5F"/>
    <w:rsid w:val="006A7F33"/>
    <w:rsid w:val="006B261B"/>
    <w:rsid w:val="006B2C90"/>
    <w:rsid w:val="006B35E6"/>
    <w:rsid w:val="006B465A"/>
    <w:rsid w:val="006B6DD0"/>
    <w:rsid w:val="006C0399"/>
    <w:rsid w:val="006C1F2B"/>
    <w:rsid w:val="006C2A8E"/>
    <w:rsid w:val="006C3255"/>
    <w:rsid w:val="006C3F26"/>
    <w:rsid w:val="006C4CCD"/>
    <w:rsid w:val="006C6E71"/>
    <w:rsid w:val="006C79A8"/>
    <w:rsid w:val="006D0D17"/>
    <w:rsid w:val="006D29CA"/>
    <w:rsid w:val="006D34B7"/>
    <w:rsid w:val="006D3C7D"/>
    <w:rsid w:val="006D3FAE"/>
    <w:rsid w:val="006D4104"/>
    <w:rsid w:val="006D4659"/>
    <w:rsid w:val="006D5D5F"/>
    <w:rsid w:val="006D68E8"/>
    <w:rsid w:val="006D68FB"/>
    <w:rsid w:val="006D7609"/>
    <w:rsid w:val="006D7CE0"/>
    <w:rsid w:val="006E2868"/>
    <w:rsid w:val="006E2DF7"/>
    <w:rsid w:val="006E30B3"/>
    <w:rsid w:val="006E435B"/>
    <w:rsid w:val="006E4428"/>
    <w:rsid w:val="006E4A8D"/>
    <w:rsid w:val="006E4D55"/>
    <w:rsid w:val="006E58E1"/>
    <w:rsid w:val="006E6D31"/>
    <w:rsid w:val="006E7F55"/>
    <w:rsid w:val="006F306C"/>
    <w:rsid w:val="006F4947"/>
    <w:rsid w:val="006F63A5"/>
    <w:rsid w:val="0070142B"/>
    <w:rsid w:val="00701C51"/>
    <w:rsid w:val="0070273C"/>
    <w:rsid w:val="0070276E"/>
    <w:rsid w:val="00702B96"/>
    <w:rsid w:val="00702F8F"/>
    <w:rsid w:val="007064ED"/>
    <w:rsid w:val="00706A19"/>
    <w:rsid w:val="007079FC"/>
    <w:rsid w:val="00707ACC"/>
    <w:rsid w:val="00707C98"/>
    <w:rsid w:val="00711A36"/>
    <w:rsid w:val="00711F2A"/>
    <w:rsid w:val="00714C26"/>
    <w:rsid w:val="0071529C"/>
    <w:rsid w:val="007170DA"/>
    <w:rsid w:val="007172AD"/>
    <w:rsid w:val="00717BFC"/>
    <w:rsid w:val="00717E2C"/>
    <w:rsid w:val="00717ECB"/>
    <w:rsid w:val="00720801"/>
    <w:rsid w:val="00720E87"/>
    <w:rsid w:val="00722B1B"/>
    <w:rsid w:val="00723F92"/>
    <w:rsid w:val="0072416F"/>
    <w:rsid w:val="00726D54"/>
    <w:rsid w:val="007275F1"/>
    <w:rsid w:val="00727C94"/>
    <w:rsid w:val="00731B0A"/>
    <w:rsid w:val="00731EAE"/>
    <w:rsid w:val="00733073"/>
    <w:rsid w:val="00733D0E"/>
    <w:rsid w:val="00734C23"/>
    <w:rsid w:val="00735033"/>
    <w:rsid w:val="0073520F"/>
    <w:rsid w:val="00735328"/>
    <w:rsid w:val="007356A5"/>
    <w:rsid w:val="00736796"/>
    <w:rsid w:val="0073685B"/>
    <w:rsid w:val="00740797"/>
    <w:rsid w:val="00743687"/>
    <w:rsid w:val="0074371D"/>
    <w:rsid w:val="007444BA"/>
    <w:rsid w:val="00744799"/>
    <w:rsid w:val="007449BF"/>
    <w:rsid w:val="00744C75"/>
    <w:rsid w:val="00746230"/>
    <w:rsid w:val="00746BC0"/>
    <w:rsid w:val="007471FD"/>
    <w:rsid w:val="00747E5D"/>
    <w:rsid w:val="007510B4"/>
    <w:rsid w:val="00752142"/>
    <w:rsid w:val="007523F9"/>
    <w:rsid w:val="0075357E"/>
    <w:rsid w:val="007554F1"/>
    <w:rsid w:val="007573E8"/>
    <w:rsid w:val="00760C4E"/>
    <w:rsid w:val="00760F9E"/>
    <w:rsid w:val="007627BE"/>
    <w:rsid w:val="00762A96"/>
    <w:rsid w:val="00763A75"/>
    <w:rsid w:val="00763C4D"/>
    <w:rsid w:val="00764F03"/>
    <w:rsid w:val="0076500D"/>
    <w:rsid w:val="00765B1A"/>
    <w:rsid w:val="00765D8E"/>
    <w:rsid w:val="00766222"/>
    <w:rsid w:val="00770D3A"/>
    <w:rsid w:val="0077292F"/>
    <w:rsid w:val="00773BFF"/>
    <w:rsid w:val="00775F78"/>
    <w:rsid w:val="00776001"/>
    <w:rsid w:val="00777335"/>
    <w:rsid w:val="00781B53"/>
    <w:rsid w:val="00783C10"/>
    <w:rsid w:val="007843F2"/>
    <w:rsid w:val="00785952"/>
    <w:rsid w:val="00785A9F"/>
    <w:rsid w:val="00786C3A"/>
    <w:rsid w:val="00786F67"/>
    <w:rsid w:val="00790B85"/>
    <w:rsid w:val="007925DF"/>
    <w:rsid w:val="00793973"/>
    <w:rsid w:val="00794D8F"/>
    <w:rsid w:val="00794DE5"/>
    <w:rsid w:val="007975A9"/>
    <w:rsid w:val="0079796F"/>
    <w:rsid w:val="007A06DB"/>
    <w:rsid w:val="007A08AA"/>
    <w:rsid w:val="007A0A12"/>
    <w:rsid w:val="007A132D"/>
    <w:rsid w:val="007A1345"/>
    <w:rsid w:val="007A2DDB"/>
    <w:rsid w:val="007A3D79"/>
    <w:rsid w:val="007A49B6"/>
    <w:rsid w:val="007A5E4B"/>
    <w:rsid w:val="007A62F3"/>
    <w:rsid w:val="007A70BA"/>
    <w:rsid w:val="007B0D68"/>
    <w:rsid w:val="007B251D"/>
    <w:rsid w:val="007B2FCF"/>
    <w:rsid w:val="007B4F58"/>
    <w:rsid w:val="007B528D"/>
    <w:rsid w:val="007B5CF6"/>
    <w:rsid w:val="007B5F05"/>
    <w:rsid w:val="007B63CA"/>
    <w:rsid w:val="007B696B"/>
    <w:rsid w:val="007B6E67"/>
    <w:rsid w:val="007B77D1"/>
    <w:rsid w:val="007C07C7"/>
    <w:rsid w:val="007C07FE"/>
    <w:rsid w:val="007C1CD9"/>
    <w:rsid w:val="007C1D25"/>
    <w:rsid w:val="007C318A"/>
    <w:rsid w:val="007C32EF"/>
    <w:rsid w:val="007C361D"/>
    <w:rsid w:val="007C4861"/>
    <w:rsid w:val="007C4B84"/>
    <w:rsid w:val="007C53EC"/>
    <w:rsid w:val="007C58A5"/>
    <w:rsid w:val="007C70FF"/>
    <w:rsid w:val="007C7C25"/>
    <w:rsid w:val="007D004F"/>
    <w:rsid w:val="007D0B38"/>
    <w:rsid w:val="007D4E09"/>
    <w:rsid w:val="007D5440"/>
    <w:rsid w:val="007D5B55"/>
    <w:rsid w:val="007D5D3A"/>
    <w:rsid w:val="007D6521"/>
    <w:rsid w:val="007D69EB"/>
    <w:rsid w:val="007D754D"/>
    <w:rsid w:val="007E0174"/>
    <w:rsid w:val="007E128F"/>
    <w:rsid w:val="007E2BA7"/>
    <w:rsid w:val="007E420D"/>
    <w:rsid w:val="007E649B"/>
    <w:rsid w:val="007F00B5"/>
    <w:rsid w:val="007F1017"/>
    <w:rsid w:val="007F17F6"/>
    <w:rsid w:val="007F180D"/>
    <w:rsid w:val="007F1C57"/>
    <w:rsid w:val="007F4A3F"/>
    <w:rsid w:val="007F4A61"/>
    <w:rsid w:val="007F518E"/>
    <w:rsid w:val="007F51C4"/>
    <w:rsid w:val="007F5255"/>
    <w:rsid w:val="007F56CC"/>
    <w:rsid w:val="007F5C5F"/>
    <w:rsid w:val="007F61C2"/>
    <w:rsid w:val="007F6E8F"/>
    <w:rsid w:val="007F7374"/>
    <w:rsid w:val="0080068A"/>
    <w:rsid w:val="0080247D"/>
    <w:rsid w:val="00802E29"/>
    <w:rsid w:val="008039B7"/>
    <w:rsid w:val="00805142"/>
    <w:rsid w:val="008056AF"/>
    <w:rsid w:val="00805EA3"/>
    <w:rsid w:val="00805FAA"/>
    <w:rsid w:val="00805FCE"/>
    <w:rsid w:val="008074AE"/>
    <w:rsid w:val="00807A8B"/>
    <w:rsid w:val="00811383"/>
    <w:rsid w:val="00812149"/>
    <w:rsid w:val="0081244E"/>
    <w:rsid w:val="00812CAC"/>
    <w:rsid w:val="00815C40"/>
    <w:rsid w:val="0081621E"/>
    <w:rsid w:val="00816361"/>
    <w:rsid w:val="008166EF"/>
    <w:rsid w:val="008169D4"/>
    <w:rsid w:val="00816FEF"/>
    <w:rsid w:val="008207DD"/>
    <w:rsid w:val="00820A8C"/>
    <w:rsid w:val="008215FB"/>
    <w:rsid w:val="00823174"/>
    <w:rsid w:val="0082483A"/>
    <w:rsid w:val="00825751"/>
    <w:rsid w:val="008264EB"/>
    <w:rsid w:val="00830D28"/>
    <w:rsid w:val="00831038"/>
    <w:rsid w:val="008313F7"/>
    <w:rsid w:val="008339C2"/>
    <w:rsid w:val="00833A4C"/>
    <w:rsid w:val="00833B05"/>
    <w:rsid w:val="008349C4"/>
    <w:rsid w:val="00834CB2"/>
    <w:rsid w:val="00834D15"/>
    <w:rsid w:val="008362B4"/>
    <w:rsid w:val="00836961"/>
    <w:rsid w:val="00837BE8"/>
    <w:rsid w:val="00840CA2"/>
    <w:rsid w:val="00842D0D"/>
    <w:rsid w:val="0084374F"/>
    <w:rsid w:val="00844A22"/>
    <w:rsid w:val="00844C71"/>
    <w:rsid w:val="00844DB6"/>
    <w:rsid w:val="0084606D"/>
    <w:rsid w:val="00847703"/>
    <w:rsid w:val="00847DF5"/>
    <w:rsid w:val="00850E36"/>
    <w:rsid w:val="008517BC"/>
    <w:rsid w:val="0085309D"/>
    <w:rsid w:val="008557C7"/>
    <w:rsid w:val="00855975"/>
    <w:rsid w:val="00856897"/>
    <w:rsid w:val="00856E9A"/>
    <w:rsid w:val="0086075D"/>
    <w:rsid w:val="00860947"/>
    <w:rsid w:val="00862128"/>
    <w:rsid w:val="00862502"/>
    <w:rsid w:val="00862CC1"/>
    <w:rsid w:val="008660D4"/>
    <w:rsid w:val="00866895"/>
    <w:rsid w:val="00867415"/>
    <w:rsid w:val="00871FA9"/>
    <w:rsid w:val="008728E9"/>
    <w:rsid w:val="00872F82"/>
    <w:rsid w:val="0087325F"/>
    <w:rsid w:val="008737F4"/>
    <w:rsid w:val="00873DFE"/>
    <w:rsid w:val="008742BF"/>
    <w:rsid w:val="00874DA5"/>
    <w:rsid w:val="008750CC"/>
    <w:rsid w:val="00875A40"/>
    <w:rsid w:val="00875AA3"/>
    <w:rsid w:val="00882874"/>
    <w:rsid w:val="00882E3C"/>
    <w:rsid w:val="00883787"/>
    <w:rsid w:val="008855E4"/>
    <w:rsid w:val="008862D1"/>
    <w:rsid w:val="00886CD2"/>
    <w:rsid w:val="00890A5D"/>
    <w:rsid w:val="00890FA5"/>
    <w:rsid w:val="00891291"/>
    <w:rsid w:val="00891E6F"/>
    <w:rsid w:val="0089275D"/>
    <w:rsid w:val="00892A36"/>
    <w:rsid w:val="00893239"/>
    <w:rsid w:val="00894248"/>
    <w:rsid w:val="00894489"/>
    <w:rsid w:val="008963A5"/>
    <w:rsid w:val="00896D5D"/>
    <w:rsid w:val="008A1021"/>
    <w:rsid w:val="008A1A7F"/>
    <w:rsid w:val="008A21EF"/>
    <w:rsid w:val="008A23DA"/>
    <w:rsid w:val="008A252D"/>
    <w:rsid w:val="008A2C7D"/>
    <w:rsid w:val="008A3363"/>
    <w:rsid w:val="008A3371"/>
    <w:rsid w:val="008A3A9C"/>
    <w:rsid w:val="008A3C3E"/>
    <w:rsid w:val="008A60D8"/>
    <w:rsid w:val="008A67E7"/>
    <w:rsid w:val="008A6CFA"/>
    <w:rsid w:val="008A79DE"/>
    <w:rsid w:val="008B1757"/>
    <w:rsid w:val="008B23D4"/>
    <w:rsid w:val="008B6C36"/>
    <w:rsid w:val="008B71DB"/>
    <w:rsid w:val="008B7992"/>
    <w:rsid w:val="008B7D7E"/>
    <w:rsid w:val="008C0930"/>
    <w:rsid w:val="008C2AF9"/>
    <w:rsid w:val="008C4ABB"/>
    <w:rsid w:val="008C51C9"/>
    <w:rsid w:val="008C52B9"/>
    <w:rsid w:val="008C5610"/>
    <w:rsid w:val="008C5739"/>
    <w:rsid w:val="008C7312"/>
    <w:rsid w:val="008C7ECB"/>
    <w:rsid w:val="008D06EF"/>
    <w:rsid w:val="008D089F"/>
    <w:rsid w:val="008D0975"/>
    <w:rsid w:val="008D1A8E"/>
    <w:rsid w:val="008D1FBF"/>
    <w:rsid w:val="008D3B86"/>
    <w:rsid w:val="008D4755"/>
    <w:rsid w:val="008D4C3D"/>
    <w:rsid w:val="008D66F0"/>
    <w:rsid w:val="008D743C"/>
    <w:rsid w:val="008D7F4E"/>
    <w:rsid w:val="008E0AAE"/>
    <w:rsid w:val="008E0D3C"/>
    <w:rsid w:val="008E0E4E"/>
    <w:rsid w:val="008E1B9E"/>
    <w:rsid w:val="008E1EA4"/>
    <w:rsid w:val="008E2271"/>
    <w:rsid w:val="008E3C0C"/>
    <w:rsid w:val="008E55AB"/>
    <w:rsid w:val="008E60C5"/>
    <w:rsid w:val="008E6E5B"/>
    <w:rsid w:val="008F120A"/>
    <w:rsid w:val="008F1E04"/>
    <w:rsid w:val="008F27E0"/>
    <w:rsid w:val="008F48EB"/>
    <w:rsid w:val="008F4F0B"/>
    <w:rsid w:val="008F5836"/>
    <w:rsid w:val="00902033"/>
    <w:rsid w:val="009046C4"/>
    <w:rsid w:val="009062A5"/>
    <w:rsid w:val="00906A4B"/>
    <w:rsid w:val="00910EB5"/>
    <w:rsid w:val="00910FA7"/>
    <w:rsid w:val="00911272"/>
    <w:rsid w:val="00912B62"/>
    <w:rsid w:val="009135D6"/>
    <w:rsid w:val="00914C77"/>
    <w:rsid w:val="00916168"/>
    <w:rsid w:val="00916A76"/>
    <w:rsid w:val="00916DA5"/>
    <w:rsid w:val="00920DEF"/>
    <w:rsid w:val="00921ACB"/>
    <w:rsid w:val="0092369B"/>
    <w:rsid w:val="009246F3"/>
    <w:rsid w:val="00933A6F"/>
    <w:rsid w:val="0093423D"/>
    <w:rsid w:val="0093453A"/>
    <w:rsid w:val="00934988"/>
    <w:rsid w:val="00937089"/>
    <w:rsid w:val="00943730"/>
    <w:rsid w:val="009439B8"/>
    <w:rsid w:val="00944F8A"/>
    <w:rsid w:val="009465F3"/>
    <w:rsid w:val="00950F67"/>
    <w:rsid w:val="009510A2"/>
    <w:rsid w:val="00953257"/>
    <w:rsid w:val="009540B3"/>
    <w:rsid w:val="0095474C"/>
    <w:rsid w:val="00956BBF"/>
    <w:rsid w:val="009624FE"/>
    <w:rsid w:val="00962CB9"/>
    <w:rsid w:val="00963268"/>
    <w:rsid w:val="00963D34"/>
    <w:rsid w:val="00963EA1"/>
    <w:rsid w:val="00964312"/>
    <w:rsid w:val="00965B8A"/>
    <w:rsid w:val="00967A59"/>
    <w:rsid w:val="00970336"/>
    <w:rsid w:val="0097071F"/>
    <w:rsid w:val="0097130E"/>
    <w:rsid w:val="009717AC"/>
    <w:rsid w:val="009751C1"/>
    <w:rsid w:val="00976022"/>
    <w:rsid w:val="00980501"/>
    <w:rsid w:val="009811F1"/>
    <w:rsid w:val="00981716"/>
    <w:rsid w:val="00981A94"/>
    <w:rsid w:val="00983112"/>
    <w:rsid w:val="00983E57"/>
    <w:rsid w:val="00985A50"/>
    <w:rsid w:val="00985DE2"/>
    <w:rsid w:val="0098675D"/>
    <w:rsid w:val="00990D1C"/>
    <w:rsid w:val="00990F87"/>
    <w:rsid w:val="009926E0"/>
    <w:rsid w:val="009943B3"/>
    <w:rsid w:val="0099451E"/>
    <w:rsid w:val="00995468"/>
    <w:rsid w:val="00996B1A"/>
    <w:rsid w:val="009A0AC5"/>
    <w:rsid w:val="009A2DCC"/>
    <w:rsid w:val="009A3E56"/>
    <w:rsid w:val="009A47B5"/>
    <w:rsid w:val="009A5ABC"/>
    <w:rsid w:val="009A5D36"/>
    <w:rsid w:val="009A63D7"/>
    <w:rsid w:val="009A7CAD"/>
    <w:rsid w:val="009A7F10"/>
    <w:rsid w:val="009B2665"/>
    <w:rsid w:val="009B3E26"/>
    <w:rsid w:val="009B75E2"/>
    <w:rsid w:val="009C047C"/>
    <w:rsid w:val="009C0AA1"/>
    <w:rsid w:val="009C291F"/>
    <w:rsid w:val="009C3706"/>
    <w:rsid w:val="009C3A3A"/>
    <w:rsid w:val="009C47EA"/>
    <w:rsid w:val="009C4CD7"/>
    <w:rsid w:val="009C577C"/>
    <w:rsid w:val="009C6920"/>
    <w:rsid w:val="009C6CEA"/>
    <w:rsid w:val="009C7B85"/>
    <w:rsid w:val="009D0254"/>
    <w:rsid w:val="009D038B"/>
    <w:rsid w:val="009D13D2"/>
    <w:rsid w:val="009D15EE"/>
    <w:rsid w:val="009D1A64"/>
    <w:rsid w:val="009D4638"/>
    <w:rsid w:val="009D5B91"/>
    <w:rsid w:val="009D792E"/>
    <w:rsid w:val="009E014D"/>
    <w:rsid w:val="009E034A"/>
    <w:rsid w:val="009E0DFE"/>
    <w:rsid w:val="009E0E60"/>
    <w:rsid w:val="009E31F6"/>
    <w:rsid w:val="009E42F3"/>
    <w:rsid w:val="009E4C07"/>
    <w:rsid w:val="009E5040"/>
    <w:rsid w:val="009F0540"/>
    <w:rsid w:val="009F2751"/>
    <w:rsid w:val="009F306C"/>
    <w:rsid w:val="009F4298"/>
    <w:rsid w:val="009F63EE"/>
    <w:rsid w:val="009F6554"/>
    <w:rsid w:val="009F6BA1"/>
    <w:rsid w:val="009F7BDD"/>
    <w:rsid w:val="00A00BC8"/>
    <w:rsid w:val="00A01184"/>
    <w:rsid w:val="00A037C2"/>
    <w:rsid w:val="00A039DE"/>
    <w:rsid w:val="00A03D43"/>
    <w:rsid w:val="00A03E7E"/>
    <w:rsid w:val="00A04380"/>
    <w:rsid w:val="00A05472"/>
    <w:rsid w:val="00A05976"/>
    <w:rsid w:val="00A05C32"/>
    <w:rsid w:val="00A0653F"/>
    <w:rsid w:val="00A11CD0"/>
    <w:rsid w:val="00A11CDD"/>
    <w:rsid w:val="00A13948"/>
    <w:rsid w:val="00A13961"/>
    <w:rsid w:val="00A1555B"/>
    <w:rsid w:val="00A155C5"/>
    <w:rsid w:val="00A15C08"/>
    <w:rsid w:val="00A16AB8"/>
    <w:rsid w:val="00A16AD8"/>
    <w:rsid w:val="00A16F76"/>
    <w:rsid w:val="00A17CC4"/>
    <w:rsid w:val="00A20034"/>
    <w:rsid w:val="00A213B3"/>
    <w:rsid w:val="00A21C95"/>
    <w:rsid w:val="00A21CF3"/>
    <w:rsid w:val="00A24813"/>
    <w:rsid w:val="00A250EC"/>
    <w:rsid w:val="00A25DCC"/>
    <w:rsid w:val="00A27AEC"/>
    <w:rsid w:val="00A3079A"/>
    <w:rsid w:val="00A320DB"/>
    <w:rsid w:val="00A32945"/>
    <w:rsid w:val="00A34EA6"/>
    <w:rsid w:val="00A35D16"/>
    <w:rsid w:val="00A360DE"/>
    <w:rsid w:val="00A36780"/>
    <w:rsid w:val="00A37447"/>
    <w:rsid w:val="00A37A58"/>
    <w:rsid w:val="00A37BCD"/>
    <w:rsid w:val="00A4063C"/>
    <w:rsid w:val="00A41689"/>
    <w:rsid w:val="00A418AD"/>
    <w:rsid w:val="00A41B56"/>
    <w:rsid w:val="00A42592"/>
    <w:rsid w:val="00A43C59"/>
    <w:rsid w:val="00A47328"/>
    <w:rsid w:val="00A47AC1"/>
    <w:rsid w:val="00A5038D"/>
    <w:rsid w:val="00A506B3"/>
    <w:rsid w:val="00A50ECD"/>
    <w:rsid w:val="00A51147"/>
    <w:rsid w:val="00A511F3"/>
    <w:rsid w:val="00A518F3"/>
    <w:rsid w:val="00A52729"/>
    <w:rsid w:val="00A53675"/>
    <w:rsid w:val="00A53BD6"/>
    <w:rsid w:val="00A564D7"/>
    <w:rsid w:val="00A56B6A"/>
    <w:rsid w:val="00A578DC"/>
    <w:rsid w:val="00A6363C"/>
    <w:rsid w:val="00A640E2"/>
    <w:rsid w:val="00A64D65"/>
    <w:rsid w:val="00A655AE"/>
    <w:rsid w:val="00A6725B"/>
    <w:rsid w:val="00A67EB2"/>
    <w:rsid w:val="00A70605"/>
    <w:rsid w:val="00A730F8"/>
    <w:rsid w:val="00A73134"/>
    <w:rsid w:val="00A7586A"/>
    <w:rsid w:val="00A76001"/>
    <w:rsid w:val="00A777B2"/>
    <w:rsid w:val="00A779F3"/>
    <w:rsid w:val="00A825D4"/>
    <w:rsid w:val="00A828F6"/>
    <w:rsid w:val="00A82B73"/>
    <w:rsid w:val="00A83FDA"/>
    <w:rsid w:val="00A859ED"/>
    <w:rsid w:val="00A86CC0"/>
    <w:rsid w:val="00A86D98"/>
    <w:rsid w:val="00A86E8B"/>
    <w:rsid w:val="00A87164"/>
    <w:rsid w:val="00A87A87"/>
    <w:rsid w:val="00A92E07"/>
    <w:rsid w:val="00A93072"/>
    <w:rsid w:val="00A93656"/>
    <w:rsid w:val="00A938BD"/>
    <w:rsid w:val="00A93953"/>
    <w:rsid w:val="00A93A20"/>
    <w:rsid w:val="00A959D8"/>
    <w:rsid w:val="00A96CA4"/>
    <w:rsid w:val="00AA050A"/>
    <w:rsid w:val="00AA113D"/>
    <w:rsid w:val="00AA3AEA"/>
    <w:rsid w:val="00AA6612"/>
    <w:rsid w:val="00AA6BD5"/>
    <w:rsid w:val="00AA6BD8"/>
    <w:rsid w:val="00AA6C7D"/>
    <w:rsid w:val="00AA73BF"/>
    <w:rsid w:val="00AA7FD6"/>
    <w:rsid w:val="00AB042A"/>
    <w:rsid w:val="00AB19EF"/>
    <w:rsid w:val="00AB2179"/>
    <w:rsid w:val="00AB2D34"/>
    <w:rsid w:val="00AB3213"/>
    <w:rsid w:val="00AB3430"/>
    <w:rsid w:val="00AB37B9"/>
    <w:rsid w:val="00AB4AD1"/>
    <w:rsid w:val="00AB5E07"/>
    <w:rsid w:val="00AB725C"/>
    <w:rsid w:val="00AB747A"/>
    <w:rsid w:val="00AB7CFA"/>
    <w:rsid w:val="00AC1EF2"/>
    <w:rsid w:val="00AC34B8"/>
    <w:rsid w:val="00AC4913"/>
    <w:rsid w:val="00AC5338"/>
    <w:rsid w:val="00AC5983"/>
    <w:rsid w:val="00AC5B48"/>
    <w:rsid w:val="00AC5EC4"/>
    <w:rsid w:val="00AC7005"/>
    <w:rsid w:val="00AD1450"/>
    <w:rsid w:val="00AD5B02"/>
    <w:rsid w:val="00AD64C8"/>
    <w:rsid w:val="00AD6502"/>
    <w:rsid w:val="00AE0695"/>
    <w:rsid w:val="00AE0B4F"/>
    <w:rsid w:val="00AE3E7E"/>
    <w:rsid w:val="00AE41D4"/>
    <w:rsid w:val="00AE4D9C"/>
    <w:rsid w:val="00AE662F"/>
    <w:rsid w:val="00AF0F56"/>
    <w:rsid w:val="00AF1315"/>
    <w:rsid w:val="00AF19BF"/>
    <w:rsid w:val="00AF1ACA"/>
    <w:rsid w:val="00AF2590"/>
    <w:rsid w:val="00AF2DC3"/>
    <w:rsid w:val="00AF6EA4"/>
    <w:rsid w:val="00B0061A"/>
    <w:rsid w:val="00B029ED"/>
    <w:rsid w:val="00B033E5"/>
    <w:rsid w:val="00B03A63"/>
    <w:rsid w:val="00B06347"/>
    <w:rsid w:val="00B066F1"/>
    <w:rsid w:val="00B13322"/>
    <w:rsid w:val="00B14B3B"/>
    <w:rsid w:val="00B15DC6"/>
    <w:rsid w:val="00B16945"/>
    <w:rsid w:val="00B16FB0"/>
    <w:rsid w:val="00B201A4"/>
    <w:rsid w:val="00B201D1"/>
    <w:rsid w:val="00B20A85"/>
    <w:rsid w:val="00B213A6"/>
    <w:rsid w:val="00B235B0"/>
    <w:rsid w:val="00B24DF6"/>
    <w:rsid w:val="00B26A70"/>
    <w:rsid w:val="00B3073E"/>
    <w:rsid w:val="00B32363"/>
    <w:rsid w:val="00B32B02"/>
    <w:rsid w:val="00B34FE2"/>
    <w:rsid w:val="00B35166"/>
    <w:rsid w:val="00B351CC"/>
    <w:rsid w:val="00B354FC"/>
    <w:rsid w:val="00B357D8"/>
    <w:rsid w:val="00B360F4"/>
    <w:rsid w:val="00B36A00"/>
    <w:rsid w:val="00B37BFC"/>
    <w:rsid w:val="00B400A4"/>
    <w:rsid w:val="00B40358"/>
    <w:rsid w:val="00B409F2"/>
    <w:rsid w:val="00B41614"/>
    <w:rsid w:val="00B42851"/>
    <w:rsid w:val="00B42F80"/>
    <w:rsid w:val="00B435CB"/>
    <w:rsid w:val="00B44696"/>
    <w:rsid w:val="00B4601B"/>
    <w:rsid w:val="00B4767E"/>
    <w:rsid w:val="00B479BB"/>
    <w:rsid w:val="00B505C8"/>
    <w:rsid w:val="00B50CF6"/>
    <w:rsid w:val="00B50DB8"/>
    <w:rsid w:val="00B5278E"/>
    <w:rsid w:val="00B53654"/>
    <w:rsid w:val="00B53825"/>
    <w:rsid w:val="00B53905"/>
    <w:rsid w:val="00B54B5B"/>
    <w:rsid w:val="00B5562E"/>
    <w:rsid w:val="00B55D65"/>
    <w:rsid w:val="00B56D99"/>
    <w:rsid w:val="00B57000"/>
    <w:rsid w:val="00B60939"/>
    <w:rsid w:val="00B60AFD"/>
    <w:rsid w:val="00B61819"/>
    <w:rsid w:val="00B62081"/>
    <w:rsid w:val="00B62715"/>
    <w:rsid w:val="00B62D35"/>
    <w:rsid w:val="00B63287"/>
    <w:rsid w:val="00B65611"/>
    <w:rsid w:val="00B6638F"/>
    <w:rsid w:val="00B673A8"/>
    <w:rsid w:val="00B67D82"/>
    <w:rsid w:val="00B70E8E"/>
    <w:rsid w:val="00B714FB"/>
    <w:rsid w:val="00B7306B"/>
    <w:rsid w:val="00B739C1"/>
    <w:rsid w:val="00B76C92"/>
    <w:rsid w:val="00B80657"/>
    <w:rsid w:val="00B80AA0"/>
    <w:rsid w:val="00B812B2"/>
    <w:rsid w:val="00B818A4"/>
    <w:rsid w:val="00B81BDA"/>
    <w:rsid w:val="00B82FB3"/>
    <w:rsid w:val="00B84117"/>
    <w:rsid w:val="00B85008"/>
    <w:rsid w:val="00B858F0"/>
    <w:rsid w:val="00B85AA2"/>
    <w:rsid w:val="00B8649C"/>
    <w:rsid w:val="00B8695D"/>
    <w:rsid w:val="00B87F0A"/>
    <w:rsid w:val="00B9141E"/>
    <w:rsid w:val="00B92D0B"/>
    <w:rsid w:val="00B93126"/>
    <w:rsid w:val="00B9335E"/>
    <w:rsid w:val="00B9483F"/>
    <w:rsid w:val="00B94945"/>
    <w:rsid w:val="00B94D92"/>
    <w:rsid w:val="00B94DD6"/>
    <w:rsid w:val="00B95197"/>
    <w:rsid w:val="00B97A64"/>
    <w:rsid w:val="00BA0DE2"/>
    <w:rsid w:val="00BA1880"/>
    <w:rsid w:val="00BA2B43"/>
    <w:rsid w:val="00BA2CC3"/>
    <w:rsid w:val="00BA322D"/>
    <w:rsid w:val="00BA4A51"/>
    <w:rsid w:val="00BA4CFE"/>
    <w:rsid w:val="00BA5AAB"/>
    <w:rsid w:val="00BA602A"/>
    <w:rsid w:val="00BA63FA"/>
    <w:rsid w:val="00BA6FA9"/>
    <w:rsid w:val="00BA7727"/>
    <w:rsid w:val="00BB00B3"/>
    <w:rsid w:val="00BB00DE"/>
    <w:rsid w:val="00BB0BDD"/>
    <w:rsid w:val="00BB176C"/>
    <w:rsid w:val="00BB1DDC"/>
    <w:rsid w:val="00BB2A73"/>
    <w:rsid w:val="00BB3A45"/>
    <w:rsid w:val="00BB4ACC"/>
    <w:rsid w:val="00BB4AD0"/>
    <w:rsid w:val="00BB703E"/>
    <w:rsid w:val="00BB732D"/>
    <w:rsid w:val="00BB7405"/>
    <w:rsid w:val="00BC34FE"/>
    <w:rsid w:val="00BC3631"/>
    <w:rsid w:val="00BC38E3"/>
    <w:rsid w:val="00BC4CCA"/>
    <w:rsid w:val="00BC591F"/>
    <w:rsid w:val="00BC7D6D"/>
    <w:rsid w:val="00BD0D5B"/>
    <w:rsid w:val="00BD2108"/>
    <w:rsid w:val="00BD4700"/>
    <w:rsid w:val="00BD68A3"/>
    <w:rsid w:val="00BD6938"/>
    <w:rsid w:val="00BD6CF3"/>
    <w:rsid w:val="00BE0857"/>
    <w:rsid w:val="00BE0ECA"/>
    <w:rsid w:val="00BE13BF"/>
    <w:rsid w:val="00BE2180"/>
    <w:rsid w:val="00BE21F2"/>
    <w:rsid w:val="00BE37F0"/>
    <w:rsid w:val="00BE4275"/>
    <w:rsid w:val="00BE761E"/>
    <w:rsid w:val="00BF06AE"/>
    <w:rsid w:val="00BF0F95"/>
    <w:rsid w:val="00BF12E7"/>
    <w:rsid w:val="00BF2433"/>
    <w:rsid w:val="00BF2706"/>
    <w:rsid w:val="00BF2C55"/>
    <w:rsid w:val="00BF2E21"/>
    <w:rsid w:val="00BF479F"/>
    <w:rsid w:val="00BF5526"/>
    <w:rsid w:val="00BF61C9"/>
    <w:rsid w:val="00BF6C94"/>
    <w:rsid w:val="00C00424"/>
    <w:rsid w:val="00C0087B"/>
    <w:rsid w:val="00C03521"/>
    <w:rsid w:val="00C040DF"/>
    <w:rsid w:val="00C048C2"/>
    <w:rsid w:val="00C04ED3"/>
    <w:rsid w:val="00C05751"/>
    <w:rsid w:val="00C05A6A"/>
    <w:rsid w:val="00C10993"/>
    <w:rsid w:val="00C115E1"/>
    <w:rsid w:val="00C1179F"/>
    <w:rsid w:val="00C120B9"/>
    <w:rsid w:val="00C12C14"/>
    <w:rsid w:val="00C14B5D"/>
    <w:rsid w:val="00C15F04"/>
    <w:rsid w:val="00C179B3"/>
    <w:rsid w:val="00C17E3F"/>
    <w:rsid w:val="00C200AA"/>
    <w:rsid w:val="00C202EE"/>
    <w:rsid w:val="00C20789"/>
    <w:rsid w:val="00C20BE3"/>
    <w:rsid w:val="00C227B3"/>
    <w:rsid w:val="00C237ED"/>
    <w:rsid w:val="00C24632"/>
    <w:rsid w:val="00C25418"/>
    <w:rsid w:val="00C25764"/>
    <w:rsid w:val="00C25D9C"/>
    <w:rsid w:val="00C2778B"/>
    <w:rsid w:val="00C27AF6"/>
    <w:rsid w:val="00C31649"/>
    <w:rsid w:val="00C330A4"/>
    <w:rsid w:val="00C332F5"/>
    <w:rsid w:val="00C33FBB"/>
    <w:rsid w:val="00C3434C"/>
    <w:rsid w:val="00C40385"/>
    <w:rsid w:val="00C41768"/>
    <w:rsid w:val="00C455E2"/>
    <w:rsid w:val="00C4638B"/>
    <w:rsid w:val="00C475AA"/>
    <w:rsid w:val="00C50764"/>
    <w:rsid w:val="00C50B26"/>
    <w:rsid w:val="00C51D79"/>
    <w:rsid w:val="00C533BA"/>
    <w:rsid w:val="00C534F9"/>
    <w:rsid w:val="00C53644"/>
    <w:rsid w:val="00C5384D"/>
    <w:rsid w:val="00C53C98"/>
    <w:rsid w:val="00C54DEA"/>
    <w:rsid w:val="00C55E51"/>
    <w:rsid w:val="00C56B24"/>
    <w:rsid w:val="00C56FCF"/>
    <w:rsid w:val="00C57B6C"/>
    <w:rsid w:val="00C60893"/>
    <w:rsid w:val="00C62611"/>
    <w:rsid w:val="00C628A6"/>
    <w:rsid w:val="00C64344"/>
    <w:rsid w:val="00C65108"/>
    <w:rsid w:val="00C65576"/>
    <w:rsid w:val="00C66165"/>
    <w:rsid w:val="00C67C33"/>
    <w:rsid w:val="00C7055E"/>
    <w:rsid w:val="00C7060A"/>
    <w:rsid w:val="00C7151A"/>
    <w:rsid w:val="00C717E3"/>
    <w:rsid w:val="00C71F60"/>
    <w:rsid w:val="00C72241"/>
    <w:rsid w:val="00C7406E"/>
    <w:rsid w:val="00C74623"/>
    <w:rsid w:val="00C74B72"/>
    <w:rsid w:val="00C750C8"/>
    <w:rsid w:val="00C7560F"/>
    <w:rsid w:val="00C77020"/>
    <w:rsid w:val="00C77252"/>
    <w:rsid w:val="00C80648"/>
    <w:rsid w:val="00C8064D"/>
    <w:rsid w:val="00C80A0E"/>
    <w:rsid w:val="00C81A72"/>
    <w:rsid w:val="00C8213F"/>
    <w:rsid w:val="00C82470"/>
    <w:rsid w:val="00C82FB3"/>
    <w:rsid w:val="00C847DE"/>
    <w:rsid w:val="00C85154"/>
    <w:rsid w:val="00C858EF"/>
    <w:rsid w:val="00C8797A"/>
    <w:rsid w:val="00C87A14"/>
    <w:rsid w:val="00C900B8"/>
    <w:rsid w:val="00C90C71"/>
    <w:rsid w:val="00C90E72"/>
    <w:rsid w:val="00C91FD1"/>
    <w:rsid w:val="00C931CF"/>
    <w:rsid w:val="00C9386C"/>
    <w:rsid w:val="00C938CF"/>
    <w:rsid w:val="00C94053"/>
    <w:rsid w:val="00C94977"/>
    <w:rsid w:val="00C9624D"/>
    <w:rsid w:val="00C969DA"/>
    <w:rsid w:val="00CA18BC"/>
    <w:rsid w:val="00CA2C77"/>
    <w:rsid w:val="00CA444F"/>
    <w:rsid w:val="00CA5245"/>
    <w:rsid w:val="00CA71F4"/>
    <w:rsid w:val="00CA768E"/>
    <w:rsid w:val="00CA7B09"/>
    <w:rsid w:val="00CB0E45"/>
    <w:rsid w:val="00CB12A5"/>
    <w:rsid w:val="00CB1CAC"/>
    <w:rsid w:val="00CB2F2A"/>
    <w:rsid w:val="00CB3492"/>
    <w:rsid w:val="00CB5B1A"/>
    <w:rsid w:val="00CB6B22"/>
    <w:rsid w:val="00CB6BE9"/>
    <w:rsid w:val="00CB7120"/>
    <w:rsid w:val="00CB7F5F"/>
    <w:rsid w:val="00CC181D"/>
    <w:rsid w:val="00CC1B39"/>
    <w:rsid w:val="00CC24D2"/>
    <w:rsid w:val="00CC35EA"/>
    <w:rsid w:val="00CC3848"/>
    <w:rsid w:val="00CD1CC8"/>
    <w:rsid w:val="00CD2055"/>
    <w:rsid w:val="00CD2368"/>
    <w:rsid w:val="00CD35D3"/>
    <w:rsid w:val="00CD3B9F"/>
    <w:rsid w:val="00CD3F77"/>
    <w:rsid w:val="00CD43D0"/>
    <w:rsid w:val="00CD6ADC"/>
    <w:rsid w:val="00CD7193"/>
    <w:rsid w:val="00CE0117"/>
    <w:rsid w:val="00CE0B68"/>
    <w:rsid w:val="00CE2B64"/>
    <w:rsid w:val="00CE38C8"/>
    <w:rsid w:val="00CE41CD"/>
    <w:rsid w:val="00CE473C"/>
    <w:rsid w:val="00CE6274"/>
    <w:rsid w:val="00CE77B6"/>
    <w:rsid w:val="00CF2163"/>
    <w:rsid w:val="00CF2B8D"/>
    <w:rsid w:val="00CF30EB"/>
    <w:rsid w:val="00CF456B"/>
    <w:rsid w:val="00CF4FEE"/>
    <w:rsid w:val="00CF5A22"/>
    <w:rsid w:val="00CF61E3"/>
    <w:rsid w:val="00CF7B07"/>
    <w:rsid w:val="00CF7D0B"/>
    <w:rsid w:val="00D015D8"/>
    <w:rsid w:val="00D0262E"/>
    <w:rsid w:val="00D05972"/>
    <w:rsid w:val="00D05E3D"/>
    <w:rsid w:val="00D06139"/>
    <w:rsid w:val="00D06C58"/>
    <w:rsid w:val="00D07A2D"/>
    <w:rsid w:val="00D110BD"/>
    <w:rsid w:val="00D1139B"/>
    <w:rsid w:val="00D13675"/>
    <w:rsid w:val="00D141E1"/>
    <w:rsid w:val="00D15314"/>
    <w:rsid w:val="00D17D6C"/>
    <w:rsid w:val="00D2026F"/>
    <w:rsid w:val="00D2155B"/>
    <w:rsid w:val="00D21767"/>
    <w:rsid w:val="00D220C9"/>
    <w:rsid w:val="00D22185"/>
    <w:rsid w:val="00D22766"/>
    <w:rsid w:val="00D23532"/>
    <w:rsid w:val="00D23D11"/>
    <w:rsid w:val="00D244B6"/>
    <w:rsid w:val="00D26E89"/>
    <w:rsid w:val="00D2754D"/>
    <w:rsid w:val="00D27B27"/>
    <w:rsid w:val="00D30884"/>
    <w:rsid w:val="00D319DB"/>
    <w:rsid w:val="00D31FA8"/>
    <w:rsid w:val="00D32DBC"/>
    <w:rsid w:val="00D33BE9"/>
    <w:rsid w:val="00D33F93"/>
    <w:rsid w:val="00D34DF1"/>
    <w:rsid w:val="00D357FF"/>
    <w:rsid w:val="00D423F8"/>
    <w:rsid w:val="00D424C7"/>
    <w:rsid w:val="00D43B21"/>
    <w:rsid w:val="00D43B2A"/>
    <w:rsid w:val="00D43D83"/>
    <w:rsid w:val="00D44A3E"/>
    <w:rsid w:val="00D44F6A"/>
    <w:rsid w:val="00D4558F"/>
    <w:rsid w:val="00D4609F"/>
    <w:rsid w:val="00D4740A"/>
    <w:rsid w:val="00D47575"/>
    <w:rsid w:val="00D50245"/>
    <w:rsid w:val="00D52296"/>
    <w:rsid w:val="00D5243B"/>
    <w:rsid w:val="00D524E1"/>
    <w:rsid w:val="00D533EC"/>
    <w:rsid w:val="00D53B32"/>
    <w:rsid w:val="00D5590F"/>
    <w:rsid w:val="00D56A95"/>
    <w:rsid w:val="00D5755B"/>
    <w:rsid w:val="00D610F0"/>
    <w:rsid w:val="00D61D85"/>
    <w:rsid w:val="00D61DCB"/>
    <w:rsid w:val="00D62E79"/>
    <w:rsid w:val="00D65574"/>
    <w:rsid w:val="00D66553"/>
    <w:rsid w:val="00D672AF"/>
    <w:rsid w:val="00D70F16"/>
    <w:rsid w:val="00D72F57"/>
    <w:rsid w:val="00D73CD5"/>
    <w:rsid w:val="00D76347"/>
    <w:rsid w:val="00D76A44"/>
    <w:rsid w:val="00D815EF"/>
    <w:rsid w:val="00D81F26"/>
    <w:rsid w:val="00D8241C"/>
    <w:rsid w:val="00D824C8"/>
    <w:rsid w:val="00D86231"/>
    <w:rsid w:val="00D904B3"/>
    <w:rsid w:val="00D9134B"/>
    <w:rsid w:val="00D91923"/>
    <w:rsid w:val="00D9265C"/>
    <w:rsid w:val="00D93753"/>
    <w:rsid w:val="00D93A95"/>
    <w:rsid w:val="00D95BBE"/>
    <w:rsid w:val="00DA21CC"/>
    <w:rsid w:val="00DA30EA"/>
    <w:rsid w:val="00DA3167"/>
    <w:rsid w:val="00DA4DC3"/>
    <w:rsid w:val="00DA64E0"/>
    <w:rsid w:val="00DA77A5"/>
    <w:rsid w:val="00DB0815"/>
    <w:rsid w:val="00DB1ADF"/>
    <w:rsid w:val="00DB2160"/>
    <w:rsid w:val="00DB25D6"/>
    <w:rsid w:val="00DB3DBF"/>
    <w:rsid w:val="00DB484F"/>
    <w:rsid w:val="00DB685A"/>
    <w:rsid w:val="00DC04F6"/>
    <w:rsid w:val="00DC0690"/>
    <w:rsid w:val="00DC08E3"/>
    <w:rsid w:val="00DC12D6"/>
    <w:rsid w:val="00DC1D65"/>
    <w:rsid w:val="00DC264B"/>
    <w:rsid w:val="00DC3787"/>
    <w:rsid w:val="00DC3979"/>
    <w:rsid w:val="00DC3C57"/>
    <w:rsid w:val="00DC4D96"/>
    <w:rsid w:val="00DC5229"/>
    <w:rsid w:val="00DC5501"/>
    <w:rsid w:val="00DC5614"/>
    <w:rsid w:val="00DC7154"/>
    <w:rsid w:val="00DC765F"/>
    <w:rsid w:val="00DC7E8A"/>
    <w:rsid w:val="00DD01CF"/>
    <w:rsid w:val="00DD03CB"/>
    <w:rsid w:val="00DD0642"/>
    <w:rsid w:val="00DD0F78"/>
    <w:rsid w:val="00DD273C"/>
    <w:rsid w:val="00DD3F28"/>
    <w:rsid w:val="00DD42CF"/>
    <w:rsid w:val="00DD4537"/>
    <w:rsid w:val="00DD4CA7"/>
    <w:rsid w:val="00DD4E15"/>
    <w:rsid w:val="00DE08AF"/>
    <w:rsid w:val="00DE2304"/>
    <w:rsid w:val="00DE3138"/>
    <w:rsid w:val="00DE37F8"/>
    <w:rsid w:val="00DE4FCB"/>
    <w:rsid w:val="00DE5D07"/>
    <w:rsid w:val="00DE72A7"/>
    <w:rsid w:val="00DE7832"/>
    <w:rsid w:val="00DF163A"/>
    <w:rsid w:val="00DF18FC"/>
    <w:rsid w:val="00DF2286"/>
    <w:rsid w:val="00DF22B8"/>
    <w:rsid w:val="00DF2713"/>
    <w:rsid w:val="00DF3A37"/>
    <w:rsid w:val="00DF5D2B"/>
    <w:rsid w:val="00E00D06"/>
    <w:rsid w:val="00E00E8E"/>
    <w:rsid w:val="00E01104"/>
    <w:rsid w:val="00E0213B"/>
    <w:rsid w:val="00E0256E"/>
    <w:rsid w:val="00E05630"/>
    <w:rsid w:val="00E06632"/>
    <w:rsid w:val="00E06DBB"/>
    <w:rsid w:val="00E10149"/>
    <w:rsid w:val="00E11340"/>
    <w:rsid w:val="00E122A1"/>
    <w:rsid w:val="00E12361"/>
    <w:rsid w:val="00E1285D"/>
    <w:rsid w:val="00E13842"/>
    <w:rsid w:val="00E14721"/>
    <w:rsid w:val="00E16372"/>
    <w:rsid w:val="00E17297"/>
    <w:rsid w:val="00E20731"/>
    <w:rsid w:val="00E20E4D"/>
    <w:rsid w:val="00E20ED6"/>
    <w:rsid w:val="00E21358"/>
    <w:rsid w:val="00E21643"/>
    <w:rsid w:val="00E2249B"/>
    <w:rsid w:val="00E22A0D"/>
    <w:rsid w:val="00E244F6"/>
    <w:rsid w:val="00E2771E"/>
    <w:rsid w:val="00E311EF"/>
    <w:rsid w:val="00E320F6"/>
    <w:rsid w:val="00E32180"/>
    <w:rsid w:val="00E33B97"/>
    <w:rsid w:val="00E34504"/>
    <w:rsid w:val="00E34948"/>
    <w:rsid w:val="00E3642C"/>
    <w:rsid w:val="00E37569"/>
    <w:rsid w:val="00E401B2"/>
    <w:rsid w:val="00E41D90"/>
    <w:rsid w:val="00E41E30"/>
    <w:rsid w:val="00E42F73"/>
    <w:rsid w:val="00E4370E"/>
    <w:rsid w:val="00E43D70"/>
    <w:rsid w:val="00E43F8D"/>
    <w:rsid w:val="00E44F55"/>
    <w:rsid w:val="00E46413"/>
    <w:rsid w:val="00E466F3"/>
    <w:rsid w:val="00E46703"/>
    <w:rsid w:val="00E468A9"/>
    <w:rsid w:val="00E46B13"/>
    <w:rsid w:val="00E47B2C"/>
    <w:rsid w:val="00E47F5E"/>
    <w:rsid w:val="00E50988"/>
    <w:rsid w:val="00E51560"/>
    <w:rsid w:val="00E51AE0"/>
    <w:rsid w:val="00E52442"/>
    <w:rsid w:val="00E5274D"/>
    <w:rsid w:val="00E52D6A"/>
    <w:rsid w:val="00E5378D"/>
    <w:rsid w:val="00E53FC8"/>
    <w:rsid w:val="00E54347"/>
    <w:rsid w:val="00E54AF2"/>
    <w:rsid w:val="00E551AD"/>
    <w:rsid w:val="00E55424"/>
    <w:rsid w:val="00E55915"/>
    <w:rsid w:val="00E55BB5"/>
    <w:rsid w:val="00E55F89"/>
    <w:rsid w:val="00E56602"/>
    <w:rsid w:val="00E609BB"/>
    <w:rsid w:val="00E63123"/>
    <w:rsid w:val="00E65E79"/>
    <w:rsid w:val="00E66BA2"/>
    <w:rsid w:val="00E66CCC"/>
    <w:rsid w:val="00E67416"/>
    <w:rsid w:val="00E701D1"/>
    <w:rsid w:val="00E715CA"/>
    <w:rsid w:val="00E718B6"/>
    <w:rsid w:val="00E723BA"/>
    <w:rsid w:val="00E7300C"/>
    <w:rsid w:val="00E73581"/>
    <w:rsid w:val="00E766DA"/>
    <w:rsid w:val="00E776D8"/>
    <w:rsid w:val="00E833F7"/>
    <w:rsid w:val="00E83BDF"/>
    <w:rsid w:val="00E84E71"/>
    <w:rsid w:val="00E87A1D"/>
    <w:rsid w:val="00E90100"/>
    <w:rsid w:val="00E90114"/>
    <w:rsid w:val="00E9094A"/>
    <w:rsid w:val="00E91D35"/>
    <w:rsid w:val="00E926A5"/>
    <w:rsid w:val="00E94203"/>
    <w:rsid w:val="00E94CF9"/>
    <w:rsid w:val="00E968AE"/>
    <w:rsid w:val="00E97DB1"/>
    <w:rsid w:val="00E97E1C"/>
    <w:rsid w:val="00EA17C3"/>
    <w:rsid w:val="00EA2CAA"/>
    <w:rsid w:val="00EA301D"/>
    <w:rsid w:val="00EA32CF"/>
    <w:rsid w:val="00EA3864"/>
    <w:rsid w:val="00EA4EF7"/>
    <w:rsid w:val="00EA56B7"/>
    <w:rsid w:val="00EA5F58"/>
    <w:rsid w:val="00EA7F1C"/>
    <w:rsid w:val="00EB02C9"/>
    <w:rsid w:val="00EB15B6"/>
    <w:rsid w:val="00EB16F0"/>
    <w:rsid w:val="00EB1BBD"/>
    <w:rsid w:val="00EB2102"/>
    <w:rsid w:val="00EB3D06"/>
    <w:rsid w:val="00EB4916"/>
    <w:rsid w:val="00EB6379"/>
    <w:rsid w:val="00EB744E"/>
    <w:rsid w:val="00EB7F93"/>
    <w:rsid w:val="00EC00C9"/>
    <w:rsid w:val="00EC0DD9"/>
    <w:rsid w:val="00EC251A"/>
    <w:rsid w:val="00EC2649"/>
    <w:rsid w:val="00EC31ED"/>
    <w:rsid w:val="00EC3D91"/>
    <w:rsid w:val="00EC475C"/>
    <w:rsid w:val="00EC4E3D"/>
    <w:rsid w:val="00EC5836"/>
    <w:rsid w:val="00EC688C"/>
    <w:rsid w:val="00EC790F"/>
    <w:rsid w:val="00ED421D"/>
    <w:rsid w:val="00ED43D4"/>
    <w:rsid w:val="00ED57EA"/>
    <w:rsid w:val="00ED5BD4"/>
    <w:rsid w:val="00ED6154"/>
    <w:rsid w:val="00ED7145"/>
    <w:rsid w:val="00EE07D3"/>
    <w:rsid w:val="00EE1996"/>
    <w:rsid w:val="00EE1C01"/>
    <w:rsid w:val="00EE22AF"/>
    <w:rsid w:val="00EE3578"/>
    <w:rsid w:val="00EE4113"/>
    <w:rsid w:val="00EE4E5D"/>
    <w:rsid w:val="00EE5E29"/>
    <w:rsid w:val="00EE663F"/>
    <w:rsid w:val="00EE7611"/>
    <w:rsid w:val="00EF0171"/>
    <w:rsid w:val="00EF02F3"/>
    <w:rsid w:val="00EF065F"/>
    <w:rsid w:val="00EF0D4D"/>
    <w:rsid w:val="00EF1A8F"/>
    <w:rsid w:val="00EF1B25"/>
    <w:rsid w:val="00EF1DA0"/>
    <w:rsid w:val="00EF34AA"/>
    <w:rsid w:val="00EF4747"/>
    <w:rsid w:val="00EF4BF8"/>
    <w:rsid w:val="00EF62E7"/>
    <w:rsid w:val="00EF6A0A"/>
    <w:rsid w:val="00F00E9A"/>
    <w:rsid w:val="00F02253"/>
    <w:rsid w:val="00F026A6"/>
    <w:rsid w:val="00F03C2E"/>
    <w:rsid w:val="00F04A66"/>
    <w:rsid w:val="00F04B4B"/>
    <w:rsid w:val="00F0516C"/>
    <w:rsid w:val="00F067A2"/>
    <w:rsid w:val="00F07B9E"/>
    <w:rsid w:val="00F1116F"/>
    <w:rsid w:val="00F1263A"/>
    <w:rsid w:val="00F12B0F"/>
    <w:rsid w:val="00F12EDB"/>
    <w:rsid w:val="00F15B77"/>
    <w:rsid w:val="00F179BD"/>
    <w:rsid w:val="00F20632"/>
    <w:rsid w:val="00F207E7"/>
    <w:rsid w:val="00F21722"/>
    <w:rsid w:val="00F234F5"/>
    <w:rsid w:val="00F240CF"/>
    <w:rsid w:val="00F24837"/>
    <w:rsid w:val="00F249BB"/>
    <w:rsid w:val="00F24F8B"/>
    <w:rsid w:val="00F256BC"/>
    <w:rsid w:val="00F2575F"/>
    <w:rsid w:val="00F27565"/>
    <w:rsid w:val="00F3109B"/>
    <w:rsid w:val="00F310D4"/>
    <w:rsid w:val="00F31D5A"/>
    <w:rsid w:val="00F32993"/>
    <w:rsid w:val="00F33975"/>
    <w:rsid w:val="00F33B50"/>
    <w:rsid w:val="00F33DE9"/>
    <w:rsid w:val="00F342D6"/>
    <w:rsid w:val="00F35E6D"/>
    <w:rsid w:val="00F3608D"/>
    <w:rsid w:val="00F3619A"/>
    <w:rsid w:val="00F3714B"/>
    <w:rsid w:val="00F378C7"/>
    <w:rsid w:val="00F4019D"/>
    <w:rsid w:val="00F40A4F"/>
    <w:rsid w:val="00F40AAA"/>
    <w:rsid w:val="00F40BA7"/>
    <w:rsid w:val="00F40F9D"/>
    <w:rsid w:val="00F41ACD"/>
    <w:rsid w:val="00F42257"/>
    <w:rsid w:val="00F43AE5"/>
    <w:rsid w:val="00F45F00"/>
    <w:rsid w:val="00F46CB6"/>
    <w:rsid w:val="00F47419"/>
    <w:rsid w:val="00F4756D"/>
    <w:rsid w:val="00F475CA"/>
    <w:rsid w:val="00F47DE8"/>
    <w:rsid w:val="00F5000E"/>
    <w:rsid w:val="00F542C1"/>
    <w:rsid w:val="00F55E73"/>
    <w:rsid w:val="00F55EDA"/>
    <w:rsid w:val="00F56C80"/>
    <w:rsid w:val="00F60092"/>
    <w:rsid w:val="00F6153B"/>
    <w:rsid w:val="00F61C18"/>
    <w:rsid w:val="00F63716"/>
    <w:rsid w:val="00F63A26"/>
    <w:rsid w:val="00F648D4"/>
    <w:rsid w:val="00F64E51"/>
    <w:rsid w:val="00F64F01"/>
    <w:rsid w:val="00F65F4B"/>
    <w:rsid w:val="00F668A2"/>
    <w:rsid w:val="00F67A69"/>
    <w:rsid w:val="00F70BFF"/>
    <w:rsid w:val="00F70C9D"/>
    <w:rsid w:val="00F71855"/>
    <w:rsid w:val="00F74CD9"/>
    <w:rsid w:val="00F754C7"/>
    <w:rsid w:val="00F76D22"/>
    <w:rsid w:val="00F80A7B"/>
    <w:rsid w:val="00F80E5D"/>
    <w:rsid w:val="00F81759"/>
    <w:rsid w:val="00F81C55"/>
    <w:rsid w:val="00F81E78"/>
    <w:rsid w:val="00F8461A"/>
    <w:rsid w:val="00F851CE"/>
    <w:rsid w:val="00F870BA"/>
    <w:rsid w:val="00F87F89"/>
    <w:rsid w:val="00F91219"/>
    <w:rsid w:val="00F92444"/>
    <w:rsid w:val="00F92635"/>
    <w:rsid w:val="00F933CF"/>
    <w:rsid w:val="00F9393E"/>
    <w:rsid w:val="00F96FD0"/>
    <w:rsid w:val="00F97A78"/>
    <w:rsid w:val="00FA0B20"/>
    <w:rsid w:val="00FA24E7"/>
    <w:rsid w:val="00FA350B"/>
    <w:rsid w:val="00FA3C8E"/>
    <w:rsid w:val="00FA4151"/>
    <w:rsid w:val="00FA5871"/>
    <w:rsid w:val="00FA5EE6"/>
    <w:rsid w:val="00FA6D5E"/>
    <w:rsid w:val="00FA7956"/>
    <w:rsid w:val="00FA7BEC"/>
    <w:rsid w:val="00FB06E9"/>
    <w:rsid w:val="00FB2FCB"/>
    <w:rsid w:val="00FB45D7"/>
    <w:rsid w:val="00FB6964"/>
    <w:rsid w:val="00FB6CD0"/>
    <w:rsid w:val="00FB7802"/>
    <w:rsid w:val="00FB7C55"/>
    <w:rsid w:val="00FC1074"/>
    <w:rsid w:val="00FC1884"/>
    <w:rsid w:val="00FC371D"/>
    <w:rsid w:val="00FC4598"/>
    <w:rsid w:val="00FC5A71"/>
    <w:rsid w:val="00FC5F0B"/>
    <w:rsid w:val="00FC71AE"/>
    <w:rsid w:val="00FC7E33"/>
    <w:rsid w:val="00FD023C"/>
    <w:rsid w:val="00FD0F69"/>
    <w:rsid w:val="00FD1A9F"/>
    <w:rsid w:val="00FD1D77"/>
    <w:rsid w:val="00FD2100"/>
    <w:rsid w:val="00FD436C"/>
    <w:rsid w:val="00FD446D"/>
    <w:rsid w:val="00FD4F2C"/>
    <w:rsid w:val="00FD6391"/>
    <w:rsid w:val="00FD6394"/>
    <w:rsid w:val="00FD645F"/>
    <w:rsid w:val="00FE0396"/>
    <w:rsid w:val="00FE0E6C"/>
    <w:rsid w:val="00FE1CDC"/>
    <w:rsid w:val="00FE4F6F"/>
    <w:rsid w:val="00FE4F70"/>
    <w:rsid w:val="00FE70C3"/>
    <w:rsid w:val="00FF2AD9"/>
    <w:rsid w:val="00FF359F"/>
    <w:rsid w:val="00FF3DCF"/>
    <w:rsid w:val="00FF4053"/>
    <w:rsid w:val="00FF492C"/>
    <w:rsid w:val="00FF4A21"/>
    <w:rsid w:val="00FF4B08"/>
    <w:rsid w:val="00FF5AA3"/>
    <w:rsid w:val="00FF5AD8"/>
    <w:rsid w:val="00FF5DFB"/>
    <w:rsid w:val="00FF633D"/>
    <w:rsid w:val="00FF69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ED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E7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7E649B"/>
    <w:rPr>
      <w:sz w:val="20"/>
      <w:szCs w:val="20"/>
    </w:rPr>
  </w:style>
  <w:style w:type="character" w:customStyle="1" w:styleId="FootnoteTextChar">
    <w:name w:val="Footnote Text Char"/>
    <w:basedOn w:val="DefaultParagraphFont"/>
    <w:link w:val="FootnoteText"/>
    <w:semiHidden/>
    <w:rsid w:val="007E649B"/>
    <w:rPr>
      <w:rFonts w:ascii="Calibri" w:hAnsi="Calibri" w:cs="Arial"/>
    </w:rPr>
  </w:style>
  <w:style w:type="character" w:styleId="FootnoteReference">
    <w:name w:val="footnote reference"/>
    <w:basedOn w:val="DefaultParagraphFont"/>
    <w:semiHidden/>
    <w:unhideWhenUsed/>
    <w:rsid w:val="007E649B"/>
    <w:rPr>
      <w:vertAlign w:val="superscript"/>
    </w:rPr>
  </w:style>
  <w:style w:type="character" w:customStyle="1" w:styleId="UnresolvedMention1">
    <w:name w:val="Unresolved Mention1"/>
    <w:basedOn w:val="DefaultParagraphFont"/>
    <w:uiPriority w:val="99"/>
    <w:semiHidden/>
    <w:unhideWhenUsed/>
    <w:rsid w:val="00DF2286"/>
    <w:rPr>
      <w:color w:val="605E5C"/>
      <w:shd w:val="clear" w:color="auto" w:fill="E1DFDD"/>
    </w:rPr>
  </w:style>
  <w:style w:type="character" w:customStyle="1" w:styleId="CaptionFootnoteChar">
    <w:name w:val="Caption Footnote Char"/>
    <w:basedOn w:val="CaptionChar"/>
    <w:link w:val="CaptionFootnote"/>
    <w:rsid w:val="00DF2286"/>
    <w:rPr>
      <w:rFonts w:ascii="Candara" w:hAnsi="Candara"/>
      <w:b w:val="0"/>
      <w:bCs/>
      <w:snapToGrid/>
      <w:color w:val="4F81BD" w:themeColor="accent1"/>
      <w:sz w:val="16"/>
      <w:szCs w:val="18"/>
      <w:lang w:eastAsia="en-US"/>
    </w:rPr>
  </w:style>
  <w:style w:type="paragraph" w:customStyle="1" w:styleId="CaptionFootnote">
    <w:name w:val="Caption Footnote"/>
    <w:basedOn w:val="Caption"/>
    <w:link w:val="CaptionFootnoteChar"/>
    <w:qFormat/>
    <w:rsid w:val="00DF2286"/>
    <w:pPr>
      <w:widowControl w:val="0"/>
      <w:spacing w:after="0"/>
      <w:jc w:val="left"/>
    </w:pPr>
    <w:rPr>
      <w:rFonts w:ascii="Candara" w:hAnsi="Candara" w:cs="Times New Roman"/>
      <w:b w:val="0"/>
      <w:sz w:val="16"/>
      <w:lang w:eastAsia="en-US"/>
    </w:rPr>
  </w:style>
  <w:style w:type="character" w:customStyle="1" w:styleId="UnresolvedMention10">
    <w:name w:val="Unresolved Mention1"/>
    <w:basedOn w:val="DefaultParagraphFont"/>
    <w:uiPriority w:val="99"/>
    <w:semiHidden/>
    <w:unhideWhenUsed/>
    <w:rsid w:val="00DC4D96"/>
    <w:rPr>
      <w:color w:val="605E5C"/>
      <w:shd w:val="clear" w:color="auto" w:fill="E1DFDD"/>
    </w:rPr>
  </w:style>
  <w:style w:type="paragraph" w:styleId="EndnoteText">
    <w:name w:val="endnote text"/>
    <w:basedOn w:val="Normal"/>
    <w:link w:val="EndnoteTextChar"/>
    <w:semiHidden/>
    <w:unhideWhenUsed/>
    <w:rsid w:val="00DC4D96"/>
    <w:rPr>
      <w:sz w:val="20"/>
      <w:szCs w:val="20"/>
    </w:rPr>
  </w:style>
  <w:style w:type="character" w:customStyle="1" w:styleId="EndnoteTextChar">
    <w:name w:val="Endnote Text Char"/>
    <w:basedOn w:val="DefaultParagraphFont"/>
    <w:link w:val="EndnoteText"/>
    <w:semiHidden/>
    <w:rsid w:val="00DC4D96"/>
    <w:rPr>
      <w:rFonts w:ascii="Calibri" w:hAnsi="Calibri" w:cs="Arial"/>
    </w:rPr>
  </w:style>
  <w:style w:type="character" w:styleId="EndnoteReference">
    <w:name w:val="endnote reference"/>
    <w:basedOn w:val="DefaultParagraphFont"/>
    <w:semiHidden/>
    <w:unhideWhenUsed/>
    <w:rsid w:val="00DC4D96"/>
    <w:rPr>
      <w:vertAlign w:val="superscript"/>
    </w:rPr>
  </w:style>
  <w:style w:type="paragraph" w:customStyle="1" w:styleId="V50Instructions">
    <w:name w:val="V5.0 Instructions"/>
    <w:basedOn w:val="Normal"/>
    <w:link w:val="V50InstructionsChar"/>
    <w:qFormat/>
    <w:rsid w:val="00DC4D96"/>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C4D96"/>
    <w:rPr>
      <w:rFonts w:asciiTheme="minorHAnsi" w:eastAsiaTheme="minorHAnsi" w:hAnsiTheme="minorHAnsi" w:cstheme="minorBidi"/>
      <w:color w:val="4BACC6" w:themeColor="accent5"/>
      <w:sz w:val="24"/>
      <w:szCs w:val="22"/>
      <w:lang w:eastAsia="en-US"/>
    </w:rPr>
  </w:style>
  <w:style w:type="paragraph" w:customStyle="1" w:styleId="Default">
    <w:name w:val="Default"/>
    <w:rsid w:val="00DC4D96"/>
    <w:pPr>
      <w:autoSpaceDE w:val="0"/>
      <w:autoSpaceDN w:val="0"/>
      <w:adjustRightInd w:val="0"/>
    </w:pPr>
    <w:rPr>
      <w:rFonts w:ascii="Arial" w:hAnsi="Arial" w:cs="Arial"/>
      <w:color w:val="000000"/>
      <w:sz w:val="24"/>
      <w:szCs w:val="24"/>
    </w:rPr>
  </w:style>
  <w:style w:type="table" w:customStyle="1" w:styleId="Summarybox6">
    <w:name w:val="Summary box6"/>
    <w:basedOn w:val="TableNormal"/>
    <w:next w:val="TableGrid"/>
    <w:uiPriority w:val="59"/>
    <w:rsid w:val="00DC4D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C4D96"/>
    <w:rPr>
      <w:color w:val="605E5C"/>
      <w:shd w:val="clear" w:color="auto" w:fill="E1DFDD"/>
    </w:rPr>
  </w:style>
  <w:style w:type="paragraph" w:customStyle="1" w:styleId="Table">
    <w:name w:val="Table"/>
    <w:basedOn w:val="Normal"/>
    <w:link w:val="TableChar"/>
    <w:qFormat/>
    <w:rsid w:val="00DC4D96"/>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DC4D96"/>
    <w:rPr>
      <w:rFonts w:ascii="Candara" w:eastAsiaTheme="majorEastAsia" w:hAnsi="Candara" w:cstheme="majorBidi"/>
      <w:szCs w:val="22"/>
      <w:lang w:eastAsia="en-US" w:bidi="en-US"/>
    </w:rPr>
  </w:style>
  <w:style w:type="paragraph" w:customStyle="1" w:styleId="TableCentre">
    <w:name w:val="Table Centre"/>
    <w:basedOn w:val="Table"/>
    <w:qFormat/>
    <w:rsid w:val="00DC4D96"/>
    <w:pPr>
      <w:jc w:val="center"/>
    </w:pPr>
  </w:style>
  <w:style w:type="character" w:customStyle="1" w:styleId="UnresolvedMention3">
    <w:name w:val="Unresolved Mention3"/>
    <w:basedOn w:val="DefaultParagraphFont"/>
    <w:uiPriority w:val="99"/>
    <w:semiHidden/>
    <w:unhideWhenUsed/>
    <w:rsid w:val="00DC4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0802">
      <w:bodyDiv w:val="1"/>
      <w:marLeft w:val="0"/>
      <w:marRight w:val="0"/>
      <w:marTop w:val="0"/>
      <w:marBottom w:val="0"/>
      <w:divBdr>
        <w:top w:val="none" w:sz="0" w:space="0" w:color="auto"/>
        <w:left w:val="none" w:sz="0" w:space="0" w:color="auto"/>
        <w:bottom w:val="none" w:sz="0" w:space="0" w:color="auto"/>
        <w:right w:val="none" w:sz="0" w:space="0" w:color="auto"/>
      </w:divBdr>
    </w:div>
    <w:div w:id="1761096075">
      <w:bodyDiv w:val="1"/>
      <w:marLeft w:val="0"/>
      <w:marRight w:val="0"/>
      <w:marTop w:val="0"/>
      <w:marBottom w:val="0"/>
      <w:divBdr>
        <w:top w:val="none" w:sz="0" w:space="0" w:color="auto"/>
        <w:left w:val="none" w:sz="0" w:space="0" w:color="auto"/>
        <w:bottom w:val="none" w:sz="0" w:space="0" w:color="auto"/>
        <w:right w:val="none" w:sz="0" w:space="0" w:color="auto"/>
      </w:divBdr>
    </w:div>
    <w:div w:id="1793015485">
      <w:bodyDiv w:val="1"/>
      <w:marLeft w:val="0"/>
      <w:marRight w:val="0"/>
      <w:marTop w:val="0"/>
      <w:marBottom w:val="0"/>
      <w:divBdr>
        <w:top w:val="none" w:sz="0" w:space="0" w:color="auto"/>
        <w:left w:val="none" w:sz="0" w:space="0" w:color="auto"/>
        <w:bottom w:val="none" w:sz="0" w:space="0" w:color="auto"/>
        <w:right w:val="none" w:sz="0" w:space="0" w:color="auto"/>
      </w:divBdr>
    </w:div>
    <w:div w:id="1798332859">
      <w:bodyDiv w:val="1"/>
      <w:marLeft w:val="0"/>
      <w:marRight w:val="0"/>
      <w:marTop w:val="0"/>
      <w:marBottom w:val="0"/>
      <w:divBdr>
        <w:top w:val="none" w:sz="0" w:space="0" w:color="auto"/>
        <w:left w:val="none" w:sz="0" w:space="0" w:color="auto"/>
        <w:bottom w:val="none" w:sz="0" w:space="0" w:color="auto"/>
        <w:right w:val="none" w:sz="0" w:space="0" w:color="auto"/>
      </w:divBdr>
      <w:divsChild>
        <w:div w:id="2111771986">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45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psu.org.au/assets/current-studies/XLH-Prevalence-Protocol-V3-June-2020.pdf" TargetMode="External"/><Relationship Id="rId2" Type="http://schemas.openxmlformats.org/officeDocument/2006/relationships/hyperlink" Target="https://doi.org/10.1210/clinem/dgz203" TargetMode="External"/><Relationship Id="rId1" Type="http://schemas.openxmlformats.org/officeDocument/2006/relationships/hyperlink" Target="https://www.nice.org.uk/guidance/hst8/evidence/evaluation-consultation-committee-papers-pdf-659086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9F31-0CCD-4F6D-B20E-8FEA2FD0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16047</Words>
  <Characters>89629</Characters>
  <Application>Microsoft Office Word</Application>
  <DocSecurity>0</DocSecurity>
  <Lines>746</Lines>
  <Paragraphs>210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5.02	BUROSUMAB, Injection 10 mg in 1 mL, Injection 20 mg in 1 mL, Injection 30 m</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studies</vt:lpstr>
      <vt:lpstr>    Comparative effectiveness</vt:lpstr>
      <vt:lpstr>    Comparative harms</vt:lpstr>
      <vt:lpstr>    Benefits/harms</vt:lpstr>
      <vt:lpstr>    Clinical claim</vt:lpstr>
      <vt:lpstr>    Economic analysis </vt:lpstr>
      <vt:lpstr>    Drug cost/patient/year</vt:lpstr>
      <vt:lpstr>    Estimated PBS usage &amp; financial implications</vt:lpstr>
      <vt:lpstr>    Financial Management – Risk Sharing Arrangements</vt:lpstr>
      <vt:lpstr>PBAC Outcome</vt:lpstr>
    </vt:vector>
  </TitlesOfParts>
  <Company/>
  <LinksUpToDate>false</LinksUpToDate>
  <CharactersWithSpaces>105466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2021-11-07T23:53:00Z</dcterms:created>
  <dcterms:modified xsi:type="dcterms:W3CDTF">2021-11-07T23:53:00Z</dcterms:modified>
</cp:coreProperties>
</file>