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4FE" w:rsidRDefault="00BC368D" w:rsidP="000714FE">
      <w:pPr>
        <w:pStyle w:val="1-MainHeading"/>
      </w:pPr>
      <w:bookmarkStart w:id="0" w:name="_Toc62047611"/>
      <w:r>
        <w:t>5.01</w:t>
      </w:r>
      <w:r w:rsidR="00163F66">
        <w:tab/>
      </w:r>
      <w:r w:rsidR="001B0917" w:rsidRPr="0009609E">
        <w:t>BUDESONIDE</w:t>
      </w:r>
      <w:r w:rsidR="001B0917">
        <w:t>,</w:t>
      </w:r>
      <w:r w:rsidR="001B0917">
        <w:br/>
      </w:r>
      <w:r w:rsidR="00186BDA">
        <w:t>T</w:t>
      </w:r>
      <w:r w:rsidR="007037CB">
        <w:t>ablet (</w:t>
      </w:r>
      <w:r w:rsidR="001B0917" w:rsidRPr="0009609E">
        <w:t>orally disintegrating</w:t>
      </w:r>
      <w:r w:rsidR="007037CB">
        <w:t xml:space="preserve">) </w:t>
      </w:r>
      <w:r w:rsidR="001B0917">
        <w:t>1 mg,</w:t>
      </w:r>
      <w:r w:rsidR="001B0917">
        <w:br/>
      </w:r>
      <w:r w:rsidR="001B0917" w:rsidRPr="0009609E">
        <w:t>Jorveza®</w:t>
      </w:r>
      <w:r w:rsidR="001B0917" w:rsidRPr="004A6040">
        <w:t>,</w:t>
      </w:r>
      <w:r w:rsidR="001B0917" w:rsidRPr="004A6040">
        <w:br/>
      </w:r>
      <w:r w:rsidR="001B0917" w:rsidRPr="0009609E">
        <w:t>Dr Falk Pharma Australia</w:t>
      </w:r>
      <w:r w:rsidR="001B0917" w:rsidRPr="004A6040">
        <w:t>.</w:t>
      </w:r>
      <w:bookmarkEnd w:id="0"/>
    </w:p>
    <w:p w:rsidR="001B0917" w:rsidRPr="00407F2D" w:rsidRDefault="001B0917" w:rsidP="001B0917">
      <w:pPr>
        <w:pStyle w:val="2-SectionHeading"/>
      </w:pPr>
      <w:bookmarkStart w:id="1" w:name="_Toc62047613"/>
      <w:bookmarkStart w:id="2" w:name="_Toc22897645"/>
      <w:r w:rsidRPr="00407F2D">
        <w:t xml:space="preserve">Purpose of </w:t>
      </w:r>
      <w:r>
        <w:t>submission</w:t>
      </w:r>
      <w:bookmarkEnd w:id="1"/>
    </w:p>
    <w:p w:rsidR="001B0917" w:rsidRPr="008B1757" w:rsidRDefault="001B0917" w:rsidP="001B0917">
      <w:pPr>
        <w:pStyle w:val="3-BodyText"/>
      </w:pPr>
      <w:r>
        <w:t xml:space="preserve">The submission </w:t>
      </w:r>
      <w:r w:rsidRPr="004E18E9">
        <w:t>requested</w:t>
      </w:r>
      <w:r>
        <w:t xml:space="preserve"> </w:t>
      </w:r>
      <w:r w:rsidRPr="004E18E9">
        <w:t>Authority Required</w:t>
      </w:r>
      <w:r>
        <w:t xml:space="preserve"> (Streamlined)</w:t>
      </w:r>
      <w:r w:rsidRPr="004E18E9">
        <w:t xml:space="preserve"> listing for</w:t>
      </w:r>
      <w:r>
        <w:t xml:space="preserve"> </w:t>
      </w:r>
      <w:r w:rsidRPr="00CC1684">
        <w:t xml:space="preserve">budesonide </w:t>
      </w:r>
      <w:r w:rsidR="007037CB">
        <w:br/>
      </w:r>
      <w:r w:rsidRPr="00CC1684">
        <w:t>1 mg orally disintegrating tablets (BOT)</w:t>
      </w:r>
      <w:r>
        <w:t xml:space="preserve"> </w:t>
      </w:r>
      <w:r w:rsidRPr="004E18E9">
        <w:t>for the treatment of</w:t>
      </w:r>
      <w:r>
        <w:t xml:space="preserve"> </w:t>
      </w:r>
      <w:r w:rsidRPr="00913DA9">
        <w:t>eosinophilic oesophagitis</w:t>
      </w:r>
      <w:r>
        <w:t xml:space="preserve"> (EoE)</w:t>
      </w:r>
      <w:r w:rsidRPr="004E18E9">
        <w:t xml:space="preserve">. </w:t>
      </w:r>
      <w:r w:rsidR="0085274C">
        <w:t>The key components of the clinical issues addressed in the submission are summarised in Table 1.</w:t>
      </w:r>
    </w:p>
    <w:p w:rsidR="001B0917" w:rsidRPr="004A6040" w:rsidRDefault="001B0917" w:rsidP="001B0917">
      <w:pPr>
        <w:pStyle w:val="TableFigureHeading"/>
        <w:rPr>
          <w:rStyle w:val="CommentReference"/>
          <w:b/>
          <w:szCs w:val="24"/>
        </w:rPr>
      </w:pPr>
      <w:r w:rsidRPr="004A6040">
        <w:rPr>
          <w:rStyle w:val="CommentReference"/>
          <w:b/>
          <w:szCs w:val="24"/>
        </w:rPr>
        <w:t xml:space="preserve">Table </w:t>
      </w:r>
      <w:r>
        <w:rPr>
          <w:rStyle w:val="CommentReference"/>
          <w:b/>
          <w:szCs w:val="24"/>
        </w:rPr>
        <w:t>1</w:t>
      </w:r>
      <w:r w:rsidRPr="004A6040">
        <w:rPr>
          <w:rStyle w:val="CommentReference"/>
          <w:b/>
          <w:szCs w:val="24"/>
        </w:rPr>
        <w:t>: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1B0917" w:rsidRPr="00A518F3" w:rsidTr="00DA5F85">
        <w:tc>
          <w:tcPr>
            <w:tcW w:w="1668" w:type="dxa"/>
            <w:vAlign w:val="center"/>
          </w:tcPr>
          <w:p w:rsidR="001B0917" w:rsidRPr="00A518F3" w:rsidRDefault="001B0917" w:rsidP="00DA5F85">
            <w:pPr>
              <w:pStyle w:val="In-tableHeading"/>
            </w:pPr>
            <w:r w:rsidRPr="00A518F3">
              <w:t>Component</w:t>
            </w:r>
          </w:p>
        </w:tc>
        <w:tc>
          <w:tcPr>
            <w:tcW w:w="7488" w:type="dxa"/>
            <w:vAlign w:val="center"/>
          </w:tcPr>
          <w:p w:rsidR="001B0917" w:rsidRPr="00A518F3" w:rsidRDefault="001B0917" w:rsidP="00DA5F85">
            <w:pPr>
              <w:pStyle w:val="In-tableHeading"/>
            </w:pPr>
            <w:r w:rsidRPr="00A518F3">
              <w:t>Description</w:t>
            </w:r>
          </w:p>
        </w:tc>
      </w:tr>
      <w:tr w:rsidR="001B0917" w:rsidTr="00DA5F85">
        <w:tc>
          <w:tcPr>
            <w:tcW w:w="1668" w:type="dxa"/>
            <w:vAlign w:val="center"/>
          </w:tcPr>
          <w:p w:rsidR="001B0917" w:rsidRDefault="001B0917" w:rsidP="00DA5F85">
            <w:pPr>
              <w:pStyle w:val="TableText0"/>
            </w:pPr>
            <w:r>
              <w:t>Population</w:t>
            </w:r>
          </w:p>
        </w:tc>
        <w:tc>
          <w:tcPr>
            <w:tcW w:w="7488" w:type="dxa"/>
            <w:vAlign w:val="center"/>
          </w:tcPr>
          <w:p w:rsidR="001B0917" w:rsidRDefault="001B0917" w:rsidP="00DA5F85">
            <w:pPr>
              <w:pStyle w:val="TableText0"/>
            </w:pPr>
            <w:r w:rsidRPr="00857258">
              <w:t>Adults diagnosed with eosinophilic oesophagitis (EoE)</w:t>
            </w:r>
          </w:p>
        </w:tc>
      </w:tr>
      <w:tr w:rsidR="001B0917" w:rsidTr="00DA5F85">
        <w:tc>
          <w:tcPr>
            <w:tcW w:w="1668" w:type="dxa"/>
            <w:vAlign w:val="center"/>
          </w:tcPr>
          <w:p w:rsidR="001B0917" w:rsidRDefault="001B0917" w:rsidP="00DA5F85">
            <w:pPr>
              <w:pStyle w:val="TableText0"/>
            </w:pPr>
            <w:r>
              <w:t>Intervention</w:t>
            </w:r>
          </w:p>
        </w:tc>
        <w:tc>
          <w:tcPr>
            <w:tcW w:w="7488" w:type="dxa"/>
            <w:vAlign w:val="center"/>
          </w:tcPr>
          <w:p w:rsidR="001B0917" w:rsidRDefault="001B0917" w:rsidP="00DA5F85">
            <w:pPr>
              <w:pStyle w:val="TableText0"/>
            </w:pPr>
            <w:r>
              <w:t>B</w:t>
            </w:r>
            <w:r w:rsidRPr="00A66BC1">
              <w:t>udesonide</w:t>
            </w:r>
            <w:r>
              <w:t xml:space="preserve"> 1 mg </w:t>
            </w:r>
            <w:r w:rsidRPr="00A66BC1">
              <w:t xml:space="preserve">orally disintegrating tablets (topical corticosteroid) </w:t>
            </w:r>
          </w:p>
        </w:tc>
      </w:tr>
      <w:tr w:rsidR="001B0917" w:rsidTr="00DA5F85">
        <w:tc>
          <w:tcPr>
            <w:tcW w:w="1668" w:type="dxa"/>
            <w:vAlign w:val="center"/>
          </w:tcPr>
          <w:p w:rsidR="001B0917" w:rsidRDefault="001B0917" w:rsidP="00DA5F85">
            <w:pPr>
              <w:pStyle w:val="TableText0"/>
            </w:pPr>
            <w:r>
              <w:t>Comparator</w:t>
            </w:r>
          </w:p>
        </w:tc>
        <w:tc>
          <w:tcPr>
            <w:tcW w:w="7488" w:type="dxa"/>
            <w:vAlign w:val="center"/>
          </w:tcPr>
          <w:p w:rsidR="001B0917" w:rsidRDefault="001B0917" w:rsidP="00DA5F85">
            <w:pPr>
              <w:pStyle w:val="TableText0"/>
            </w:pPr>
            <w:r w:rsidRPr="00B479DD">
              <w:t>Placebo</w:t>
            </w:r>
          </w:p>
        </w:tc>
      </w:tr>
      <w:tr w:rsidR="001B0917" w:rsidTr="00DA5F85">
        <w:tc>
          <w:tcPr>
            <w:tcW w:w="1668" w:type="dxa"/>
            <w:tcBorders>
              <w:bottom w:val="single" w:sz="4" w:space="0" w:color="auto"/>
            </w:tcBorders>
            <w:vAlign w:val="center"/>
          </w:tcPr>
          <w:p w:rsidR="001B0917" w:rsidRDefault="001B0917" w:rsidP="00DA5F85">
            <w:pPr>
              <w:pStyle w:val="TableText0"/>
            </w:pPr>
            <w:r>
              <w:t>Outcomes</w:t>
            </w:r>
          </w:p>
        </w:tc>
        <w:tc>
          <w:tcPr>
            <w:tcW w:w="7488" w:type="dxa"/>
            <w:tcBorders>
              <w:bottom w:val="single" w:sz="4" w:space="0" w:color="auto"/>
            </w:tcBorders>
            <w:vAlign w:val="center"/>
          </w:tcPr>
          <w:p w:rsidR="001B0917" w:rsidRPr="003A37CE" w:rsidRDefault="001B0917" w:rsidP="00DA5F85">
            <w:pPr>
              <w:pStyle w:val="TableText0"/>
              <w:rPr>
                <w:u w:val="single"/>
              </w:rPr>
            </w:pPr>
            <w:r w:rsidRPr="003A37CE">
              <w:rPr>
                <w:u w:val="single"/>
              </w:rPr>
              <w:t>Induction of remission (EOS-1/BUL-1 trial)</w:t>
            </w:r>
          </w:p>
          <w:p w:rsidR="001B0917" w:rsidRDefault="001B0917" w:rsidP="00DA5F85">
            <w:pPr>
              <w:pStyle w:val="TableText0"/>
            </w:pPr>
            <w:r>
              <w:t>Primary: clinicohistologic remission (composite)</w:t>
            </w:r>
          </w:p>
          <w:p w:rsidR="001B0917" w:rsidRDefault="001B0917" w:rsidP="00DA5F85">
            <w:pPr>
              <w:pStyle w:val="TableText0"/>
            </w:pPr>
            <w:r>
              <w:t>Secondary: histologic remission; change in peak eosinophil count; resolution of symptoms based on NRS scores for dysphagia and odynodysphagia; EEsAI-PRO score/ VDQ score/ AMS score; modSHS; EoE QoL-A; Safety</w:t>
            </w:r>
          </w:p>
          <w:p w:rsidR="001B0917" w:rsidRDefault="001B0917" w:rsidP="00DA5F85">
            <w:pPr>
              <w:pStyle w:val="TableText0"/>
            </w:pPr>
          </w:p>
          <w:p w:rsidR="001B0917" w:rsidRPr="003A37CE" w:rsidRDefault="001B0917" w:rsidP="00DA5F85">
            <w:pPr>
              <w:pStyle w:val="TableText0"/>
              <w:rPr>
                <w:u w:val="single"/>
              </w:rPr>
            </w:pPr>
            <w:r w:rsidRPr="003A37CE">
              <w:rPr>
                <w:u w:val="single"/>
              </w:rPr>
              <w:t>Maintenance of remission (EOS-2/BUL-2 trial)</w:t>
            </w:r>
          </w:p>
          <w:p w:rsidR="001B0917" w:rsidRDefault="001B0917" w:rsidP="00DA5F85">
            <w:pPr>
              <w:pStyle w:val="TableText0"/>
            </w:pPr>
            <w:r>
              <w:t xml:space="preserve">Primary: maintenance of clinicohistologic remission (free of treatment failure [composite]) </w:t>
            </w:r>
          </w:p>
          <w:p w:rsidR="001B0917" w:rsidRDefault="001B0917" w:rsidP="00DA5F85">
            <w:pPr>
              <w:pStyle w:val="TableText0"/>
            </w:pPr>
            <w:r>
              <w:t>Secondary: clinical relapse; histologic relapse; change in peak eosinophil count; EEsAI-PRO relapse; deep disease remission; modified EREFS (grading of major features); endoscopist’s overall assessment of EoE activity; safety</w:t>
            </w:r>
          </w:p>
        </w:tc>
      </w:tr>
      <w:tr w:rsidR="001B0917" w:rsidTr="00DA5F85">
        <w:tc>
          <w:tcPr>
            <w:tcW w:w="1668" w:type="dxa"/>
            <w:tcBorders>
              <w:bottom w:val="single" w:sz="4" w:space="0" w:color="auto"/>
            </w:tcBorders>
            <w:vAlign w:val="center"/>
          </w:tcPr>
          <w:p w:rsidR="001B0917" w:rsidRDefault="001B0917" w:rsidP="00DA5F85">
            <w:pPr>
              <w:pStyle w:val="TableText0"/>
            </w:pPr>
            <w:r>
              <w:t>Clinical claim</w:t>
            </w:r>
          </w:p>
        </w:tc>
        <w:tc>
          <w:tcPr>
            <w:tcW w:w="7488" w:type="dxa"/>
            <w:tcBorders>
              <w:bottom w:val="single" w:sz="4" w:space="0" w:color="auto"/>
            </w:tcBorders>
            <w:vAlign w:val="center"/>
          </w:tcPr>
          <w:p w:rsidR="001B0917" w:rsidRDefault="001B0917" w:rsidP="00DA5F85">
            <w:pPr>
              <w:pStyle w:val="TableText0"/>
            </w:pPr>
            <w:r>
              <w:t>In adults diagnosed with EoE:</w:t>
            </w:r>
          </w:p>
          <w:p w:rsidR="001B0917" w:rsidRDefault="001B0917" w:rsidP="00437FE5">
            <w:pPr>
              <w:pStyle w:val="TableText0"/>
              <w:numPr>
                <w:ilvl w:val="0"/>
                <w:numId w:val="5"/>
              </w:numPr>
            </w:pPr>
            <w:r w:rsidRPr="00375C38">
              <w:t>Budesonide</w:t>
            </w:r>
            <w:r>
              <w:t xml:space="preserve"> is superior in terms of effectiveness compared to placebo</w:t>
            </w:r>
          </w:p>
          <w:p w:rsidR="001B0917" w:rsidRDefault="001B0917" w:rsidP="00437FE5">
            <w:pPr>
              <w:pStyle w:val="TableText0"/>
              <w:numPr>
                <w:ilvl w:val="0"/>
                <w:numId w:val="5"/>
              </w:numPr>
            </w:pPr>
            <w:r>
              <w:t>B</w:t>
            </w:r>
            <w:r w:rsidRPr="00375C38">
              <w:t>udesonide</w:t>
            </w:r>
            <w:r>
              <w:t xml:space="preserve"> is inferior in terms of safety compared to placebo</w:t>
            </w:r>
          </w:p>
        </w:tc>
      </w:tr>
    </w:tbl>
    <w:p w:rsidR="001B0917" w:rsidRDefault="001B0917" w:rsidP="001B0917">
      <w:pPr>
        <w:pStyle w:val="TableFigureFooter"/>
      </w:pPr>
      <w:r>
        <w:t>Source: Table 1-1, p3 of the submission.</w:t>
      </w:r>
    </w:p>
    <w:p w:rsidR="001B0917" w:rsidRPr="00EA364D" w:rsidRDefault="001B0917" w:rsidP="001B0917">
      <w:pPr>
        <w:pStyle w:val="TableFigureFooter"/>
      </w:pPr>
      <w:r>
        <w:t>Abbreviations: AMS = avoidance, modification and slow eating; BOT/BUL = budesonide orally disintegrating tablet; EEsAI-PRO = Eosinophilic Oesophagitis Activity Index-Patient Reported Outcome; EoE = eosinophilic oesophagitis; EoE-QoL-A = Eosinophilic Oesophagitis Quality of Life Scale for Adults; EOS = eosinophilic oesophagitis study; EREFS = Endoscopic Reference Score; NRS = numerical rating scale; PPI = proton pump inhibitor; PRO = patient reported outcome; modSHS = modified Short Health Scale; STC = swallowed topical corticosteroids; VDQ = Visual Dysphagia Questionnaire.</w:t>
      </w:r>
    </w:p>
    <w:p w:rsidR="001B0917" w:rsidRPr="00407F2D" w:rsidRDefault="001B0917" w:rsidP="001B0917">
      <w:pPr>
        <w:pStyle w:val="2-SectionHeading"/>
      </w:pPr>
      <w:bookmarkStart w:id="3" w:name="_Toc62047614"/>
      <w:r w:rsidRPr="00407F2D">
        <w:t>Background</w:t>
      </w:r>
      <w:bookmarkEnd w:id="3"/>
    </w:p>
    <w:p w:rsidR="001B0917" w:rsidRPr="004151CF" w:rsidRDefault="001B0917" w:rsidP="001B0917">
      <w:pPr>
        <w:pStyle w:val="4-SubsectionHeading"/>
      </w:pPr>
      <w:bookmarkStart w:id="4" w:name="_Toc22897638"/>
      <w:bookmarkStart w:id="5" w:name="_Toc62047615"/>
      <w:r w:rsidRPr="004151CF">
        <w:t>Registration status</w:t>
      </w:r>
      <w:bookmarkEnd w:id="4"/>
      <w:bookmarkEnd w:id="5"/>
    </w:p>
    <w:p w:rsidR="00D23B86" w:rsidRPr="002A1B1E" w:rsidRDefault="001B0917" w:rsidP="00D23B86">
      <w:pPr>
        <w:pStyle w:val="3-BodyText"/>
        <w:rPr>
          <w:iCs/>
        </w:rPr>
      </w:pPr>
      <w:r>
        <w:t>BOT</w:t>
      </w:r>
      <w:r w:rsidRPr="004E18E9">
        <w:t xml:space="preserve"> was TGA registered on</w:t>
      </w:r>
      <w:r>
        <w:t xml:space="preserve"> </w:t>
      </w:r>
      <w:r w:rsidRPr="007D024B">
        <w:t>15 September 2020</w:t>
      </w:r>
      <w:r>
        <w:t xml:space="preserve"> </w:t>
      </w:r>
      <w:r w:rsidRPr="004E18E9">
        <w:t>for</w:t>
      </w:r>
      <w:r>
        <w:t xml:space="preserve"> </w:t>
      </w:r>
      <w:r w:rsidRPr="00C9266C">
        <w:t>treatment of</w:t>
      </w:r>
      <w:r>
        <w:t xml:space="preserve"> </w:t>
      </w:r>
      <w:r w:rsidRPr="00C9266C">
        <w:t>EoE</w:t>
      </w:r>
      <w:r>
        <w:t xml:space="preserve"> </w:t>
      </w:r>
      <w:r w:rsidRPr="00C9266C">
        <w:t>in adults</w:t>
      </w:r>
      <w:r w:rsidR="0085274C">
        <w:t xml:space="preserve"> at a dose of </w:t>
      </w:r>
      <w:r w:rsidRPr="000E7325">
        <w:t>1</w:t>
      </w:r>
      <w:r>
        <w:t xml:space="preserve"> </w:t>
      </w:r>
      <w:r w:rsidRPr="000E7325">
        <w:t xml:space="preserve">mg </w:t>
      </w:r>
      <w:r>
        <w:t>BID</w:t>
      </w:r>
      <w:r w:rsidRPr="000E7325">
        <w:t xml:space="preserve"> for 6 weeks, with extension for an additional 6 weeks in patients who are not appropriately responding. </w:t>
      </w:r>
      <w:r w:rsidRPr="00662B86">
        <w:t xml:space="preserve">The submission stated that </w:t>
      </w:r>
      <w:r w:rsidR="00990CA6" w:rsidRPr="00662B86">
        <w:t xml:space="preserve">the </w:t>
      </w:r>
      <w:r w:rsidRPr="00662B86">
        <w:t>results for use of BOT</w:t>
      </w:r>
      <w:r w:rsidR="00096A78">
        <w:t xml:space="preserve"> </w:t>
      </w:r>
      <w:r w:rsidRPr="00662B86">
        <w:t>in the maintenance setting (</w:t>
      </w:r>
      <w:r w:rsidR="0085274C" w:rsidRPr="00662B86">
        <w:t>beyond 12 weeks</w:t>
      </w:r>
      <w:r w:rsidRPr="00662B86">
        <w:t>) are expected to be submitted to the TGA late</w:t>
      </w:r>
      <w:r w:rsidR="0046713D">
        <w:t xml:space="preserve"> 2020</w:t>
      </w:r>
      <w:r w:rsidRPr="00662B86">
        <w:t xml:space="preserve"> for inclusion in the amended Product Information (PI).</w:t>
      </w:r>
      <w:r w:rsidR="00E90E35">
        <w:t xml:space="preserve"> </w:t>
      </w:r>
      <w:r w:rsidR="00A647EA">
        <w:t>This TGA application will also</w:t>
      </w:r>
      <w:r w:rsidR="009E4A37" w:rsidRPr="009E4A37">
        <w:t xml:space="preserve"> include </w:t>
      </w:r>
      <w:r w:rsidR="00A3351E">
        <w:t>BOT</w:t>
      </w:r>
      <w:r w:rsidR="009E4A37" w:rsidRPr="009E4A37">
        <w:t xml:space="preserve"> 0.5 mg strength</w:t>
      </w:r>
      <w:r w:rsidR="00E90E35">
        <w:t>.</w:t>
      </w:r>
      <w:r w:rsidR="00625DB4">
        <w:t xml:space="preserve"> </w:t>
      </w:r>
      <w:r w:rsidRPr="00D34648">
        <w:rPr>
          <w:iCs/>
        </w:rPr>
        <w:t xml:space="preserve">The submission requested PBS listing </w:t>
      </w:r>
      <w:r w:rsidRPr="00D34648">
        <w:rPr>
          <w:iCs/>
        </w:rPr>
        <w:lastRenderedPageBreak/>
        <w:t xml:space="preserve">for use in the maintenance setting </w:t>
      </w:r>
      <w:r w:rsidR="0085274C" w:rsidRPr="00D34648">
        <w:rPr>
          <w:iCs/>
        </w:rPr>
        <w:t xml:space="preserve">(beyond 12 weeks) </w:t>
      </w:r>
      <w:r w:rsidRPr="00D34648">
        <w:rPr>
          <w:iCs/>
        </w:rPr>
        <w:t>which is beyond the maximum duration of treatment reflected in the current approved PI.</w:t>
      </w:r>
      <w:r w:rsidR="000969B1">
        <w:rPr>
          <w:iCs/>
        </w:rPr>
        <w:t xml:space="preserve"> </w:t>
      </w:r>
      <w:r w:rsidR="000969B1" w:rsidRPr="002A1B1E">
        <w:rPr>
          <w:iCs/>
        </w:rPr>
        <w:t xml:space="preserve">The Pre-Sub-Committee Response (PSCR) noted that data from the EOS-2 trial, which included both 1 mg and 0.5 mg BID dosing regimens for maintenance therapy, were not available at the time of the initial regulatory submission. </w:t>
      </w:r>
    </w:p>
    <w:p w:rsidR="00D23B86" w:rsidRPr="00D34648" w:rsidRDefault="008F5C97" w:rsidP="00D23B86">
      <w:pPr>
        <w:pStyle w:val="3-BodyText"/>
        <w:rPr>
          <w:iCs/>
        </w:rPr>
      </w:pPr>
      <w:r w:rsidRPr="00D34648">
        <w:rPr>
          <w:iCs/>
        </w:rPr>
        <w:t xml:space="preserve">An application for registration of </w:t>
      </w:r>
      <w:r w:rsidR="00052459" w:rsidRPr="00D34648">
        <w:rPr>
          <w:iCs/>
        </w:rPr>
        <w:t xml:space="preserve">BOT 0.5 mg </w:t>
      </w:r>
      <w:r w:rsidR="004C7FD3" w:rsidRPr="00D34648">
        <w:rPr>
          <w:iCs/>
        </w:rPr>
        <w:t xml:space="preserve">was submitted </w:t>
      </w:r>
      <w:r w:rsidR="00F50AFC" w:rsidRPr="00D34648">
        <w:rPr>
          <w:iCs/>
        </w:rPr>
        <w:t>and accepted</w:t>
      </w:r>
      <w:r w:rsidR="00EB15F2" w:rsidRPr="00D34648">
        <w:rPr>
          <w:iCs/>
        </w:rPr>
        <w:t xml:space="preserve"> </w:t>
      </w:r>
      <w:r w:rsidR="003940B7" w:rsidRPr="00D34648">
        <w:rPr>
          <w:iCs/>
        </w:rPr>
        <w:t xml:space="preserve">for evaluation by </w:t>
      </w:r>
      <w:r w:rsidRPr="00D34648">
        <w:rPr>
          <w:iCs/>
        </w:rPr>
        <w:t xml:space="preserve">the </w:t>
      </w:r>
      <w:r w:rsidR="00EB15F2" w:rsidRPr="00D34648">
        <w:rPr>
          <w:iCs/>
        </w:rPr>
        <w:t>TGA (b</w:t>
      </w:r>
      <w:r w:rsidR="00D23B86" w:rsidRPr="00D34648">
        <w:rPr>
          <w:iCs/>
        </w:rPr>
        <w:t xml:space="preserve">ased on </w:t>
      </w:r>
      <w:r w:rsidR="006124D7" w:rsidRPr="00D34648">
        <w:rPr>
          <w:iCs/>
        </w:rPr>
        <w:t>the</w:t>
      </w:r>
      <w:r w:rsidR="00B21ABB" w:rsidRPr="00D34648">
        <w:rPr>
          <w:iCs/>
        </w:rPr>
        <w:t xml:space="preserve"> notification letter</w:t>
      </w:r>
      <w:r w:rsidR="009C0865" w:rsidRPr="00D34648">
        <w:rPr>
          <w:iCs/>
        </w:rPr>
        <w:t xml:space="preserve"> </w:t>
      </w:r>
      <w:r w:rsidR="00D23B86" w:rsidRPr="00D34648">
        <w:rPr>
          <w:iCs/>
        </w:rPr>
        <w:t xml:space="preserve">received </w:t>
      </w:r>
      <w:r w:rsidR="009C0865" w:rsidRPr="00D34648">
        <w:rPr>
          <w:iCs/>
        </w:rPr>
        <w:t xml:space="preserve">through </w:t>
      </w:r>
      <w:r w:rsidR="00A570B3" w:rsidRPr="00D34648">
        <w:rPr>
          <w:iCs/>
        </w:rPr>
        <w:t>correspondence</w:t>
      </w:r>
      <w:r w:rsidR="001154F6" w:rsidRPr="00D34648">
        <w:rPr>
          <w:iCs/>
        </w:rPr>
        <w:t xml:space="preserve"> </w:t>
      </w:r>
      <w:r w:rsidR="006E6909" w:rsidRPr="00D34648">
        <w:rPr>
          <w:iCs/>
        </w:rPr>
        <w:t>with</w:t>
      </w:r>
      <w:r w:rsidR="001154F6" w:rsidRPr="00D34648">
        <w:rPr>
          <w:iCs/>
        </w:rPr>
        <w:t xml:space="preserve"> sponsor</w:t>
      </w:r>
      <w:r w:rsidR="00FA7B7D" w:rsidRPr="00D34648">
        <w:rPr>
          <w:iCs/>
        </w:rPr>
        <w:t xml:space="preserve"> on </w:t>
      </w:r>
      <w:r w:rsidR="00DA0FFB" w:rsidRPr="00D34648">
        <w:rPr>
          <w:iCs/>
        </w:rPr>
        <w:t>5</w:t>
      </w:r>
      <w:r w:rsidR="00DA0FFB" w:rsidRPr="00D34648">
        <w:rPr>
          <w:iCs/>
          <w:vertAlign w:val="superscript"/>
        </w:rPr>
        <w:t>th</w:t>
      </w:r>
      <w:r w:rsidR="00DA0FFB" w:rsidRPr="00D34648">
        <w:rPr>
          <w:iCs/>
        </w:rPr>
        <w:t xml:space="preserve"> January 2021</w:t>
      </w:r>
      <w:r w:rsidR="001154F6" w:rsidRPr="00D34648">
        <w:rPr>
          <w:iCs/>
        </w:rPr>
        <w:t>)</w:t>
      </w:r>
      <w:r w:rsidR="00007F8B" w:rsidRPr="00D34648">
        <w:rPr>
          <w:iCs/>
        </w:rPr>
        <w:t xml:space="preserve">. </w:t>
      </w:r>
      <w:r w:rsidR="00841203" w:rsidRPr="00D34648">
        <w:rPr>
          <w:iCs/>
        </w:rPr>
        <w:t xml:space="preserve">The evaluation plan </w:t>
      </w:r>
      <w:r w:rsidR="00BD3237" w:rsidRPr="00D34648">
        <w:rPr>
          <w:iCs/>
        </w:rPr>
        <w:t xml:space="preserve">from the TGA letter </w:t>
      </w:r>
      <w:r w:rsidR="00AF1A02" w:rsidRPr="00D34648">
        <w:rPr>
          <w:iCs/>
        </w:rPr>
        <w:t xml:space="preserve">indicated that </w:t>
      </w:r>
      <w:r w:rsidR="00D23B86" w:rsidRPr="00D34648">
        <w:rPr>
          <w:iCs/>
        </w:rPr>
        <w:t>the completion of evaluation phase is expected on 31</w:t>
      </w:r>
      <w:r w:rsidR="00D23B86" w:rsidRPr="00D34648">
        <w:rPr>
          <w:iCs/>
          <w:vertAlign w:val="superscript"/>
        </w:rPr>
        <w:t>st</w:t>
      </w:r>
      <w:r w:rsidR="00D23B86" w:rsidRPr="00D34648">
        <w:rPr>
          <w:iCs/>
        </w:rPr>
        <w:t xml:space="preserve"> August 2021, the ACM outcome is expected on 24</w:t>
      </w:r>
      <w:r w:rsidR="00D23B86" w:rsidRPr="00D34648">
        <w:rPr>
          <w:iCs/>
          <w:vertAlign w:val="superscript"/>
        </w:rPr>
        <w:t>th</w:t>
      </w:r>
      <w:r w:rsidR="00D23B86" w:rsidRPr="00D34648">
        <w:rPr>
          <w:iCs/>
        </w:rPr>
        <w:t xml:space="preserve"> December 2021, and the initial decision by </w:t>
      </w:r>
      <w:r w:rsidRPr="00D34648">
        <w:rPr>
          <w:iCs/>
        </w:rPr>
        <w:t>the D</w:t>
      </w:r>
      <w:r w:rsidR="00D23B86" w:rsidRPr="00D34648">
        <w:rPr>
          <w:iCs/>
        </w:rPr>
        <w:t>elegate (decision letter) is expected on 14</w:t>
      </w:r>
      <w:r w:rsidR="00D23B86" w:rsidRPr="00D34648">
        <w:rPr>
          <w:iCs/>
          <w:vertAlign w:val="superscript"/>
        </w:rPr>
        <w:t>th</w:t>
      </w:r>
      <w:r w:rsidR="00D23B86" w:rsidRPr="00D34648">
        <w:rPr>
          <w:iCs/>
        </w:rPr>
        <w:t xml:space="preserve"> January 2022.</w:t>
      </w:r>
      <w:r w:rsidR="009B5FDC">
        <w:rPr>
          <w:iCs/>
        </w:rPr>
        <w:t xml:space="preserve"> </w:t>
      </w:r>
    </w:p>
    <w:p w:rsidR="001B0917" w:rsidRDefault="001B0917" w:rsidP="00F572A0">
      <w:pPr>
        <w:pStyle w:val="3-BodyText"/>
        <w:rPr>
          <w:iCs/>
        </w:rPr>
      </w:pPr>
      <w:r w:rsidRPr="00F572A0">
        <w:rPr>
          <w:iCs/>
        </w:rPr>
        <w:t xml:space="preserve">BOT has been registered by the European Medicines Agency (EMA), Switzerland, Canada, and Israel. </w:t>
      </w:r>
      <w:r w:rsidRPr="00D34648">
        <w:rPr>
          <w:iCs/>
        </w:rPr>
        <w:t>The indication approved by these regulatory agencies is consistent with the currently approved TGA indication.</w:t>
      </w:r>
      <w:r w:rsidRPr="00F572A0">
        <w:rPr>
          <w:iCs/>
        </w:rPr>
        <w:t xml:space="preserve"> </w:t>
      </w:r>
      <w:r w:rsidR="001449BC" w:rsidRPr="00D34648">
        <w:rPr>
          <w:iCs/>
        </w:rPr>
        <w:t xml:space="preserve">However, </w:t>
      </w:r>
      <w:r w:rsidR="008F5C97" w:rsidRPr="00D34648">
        <w:rPr>
          <w:iCs/>
        </w:rPr>
        <w:t xml:space="preserve">the </w:t>
      </w:r>
      <w:r w:rsidR="001449BC" w:rsidRPr="00D34648">
        <w:rPr>
          <w:iCs/>
        </w:rPr>
        <w:t xml:space="preserve">EMA </w:t>
      </w:r>
      <w:r w:rsidR="008F5C97" w:rsidRPr="00D34648">
        <w:rPr>
          <w:iCs/>
        </w:rPr>
        <w:t xml:space="preserve">approved </w:t>
      </w:r>
      <w:r w:rsidR="001449BC" w:rsidRPr="00D34648">
        <w:rPr>
          <w:iCs/>
        </w:rPr>
        <w:t>PI indicated that the recommended daily dose for maintenance of remission is BOT 1 mg (as 0.5 mg twice daily) or BOT 2 mg (as 1 mg twice daily) depending on the individual clinical requirement of the patient, with a maintenance dose of BOT 1 mg BID recommended for patients with a long-standing disease history and/or high extent of oesophageal inflammation in their acute disease state</w:t>
      </w:r>
      <w:r w:rsidR="001449BC" w:rsidRPr="002A1B1E">
        <w:rPr>
          <w:iCs/>
        </w:rPr>
        <w:t xml:space="preserve">.  </w:t>
      </w:r>
      <w:r w:rsidR="009E43B5" w:rsidRPr="002A1B1E">
        <w:rPr>
          <w:iCs/>
        </w:rPr>
        <w:t xml:space="preserve"> The PSCR stated that when approved, it is expected that the recommended dosing will be in line with the current posology in the European label. </w:t>
      </w:r>
      <w:r w:rsidR="00F572A0" w:rsidRPr="002A1B1E">
        <w:rPr>
          <w:iCs/>
        </w:rPr>
        <w:t xml:space="preserve"> </w:t>
      </w:r>
      <w:r w:rsidR="00491DE9">
        <w:rPr>
          <w:iCs/>
        </w:rPr>
        <w:t xml:space="preserve">The pre-PBAC response stated that BOT 0.5 mg and BOT 1.0 mg have similar safety and efficacy profiles and as such patients with EoE would not be compromised by having only BOT 1.0 mg available if approved for PBS listing. </w:t>
      </w:r>
    </w:p>
    <w:p w:rsidR="00911428" w:rsidRPr="00911428" w:rsidRDefault="00911428" w:rsidP="00911428">
      <w:pPr>
        <w:pStyle w:val="3-BodyText"/>
        <w:numPr>
          <w:ilvl w:val="0"/>
          <w:numId w:val="0"/>
        </w:numPr>
        <w:ind w:left="720"/>
        <w:rPr>
          <w:i/>
          <w:iCs/>
        </w:rPr>
      </w:pPr>
      <w:r w:rsidRPr="00911428">
        <w:rPr>
          <w:i/>
          <w:iCs/>
        </w:rPr>
        <w:t>For more detail on PBAC’s view, see section 7 PBAC outcome.</w:t>
      </w:r>
    </w:p>
    <w:p w:rsidR="001B0917" w:rsidRDefault="001B0917" w:rsidP="001B0917">
      <w:pPr>
        <w:pStyle w:val="2-SectionHeading"/>
      </w:pPr>
      <w:bookmarkStart w:id="6" w:name="_Toc62047616"/>
      <w:r w:rsidRPr="00407F2D">
        <w:t>Requested listing</w:t>
      </w:r>
      <w:bookmarkEnd w:id="6"/>
    </w:p>
    <w:p w:rsidR="000D4E66" w:rsidRDefault="000D4E66" w:rsidP="00C92FE5">
      <w:pPr>
        <w:pStyle w:val="3-BodyText"/>
        <w:rPr>
          <w:iCs/>
        </w:rPr>
      </w:pPr>
      <w:r w:rsidRPr="00C92FE5">
        <w:rPr>
          <w:iCs/>
        </w:rPr>
        <w:t>The submission proposed two listin</w:t>
      </w:r>
      <w:r w:rsidR="00A71A27" w:rsidRPr="00C92FE5">
        <w:rPr>
          <w:iCs/>
        </w:rPr>
        <w:t>g</w:t>
      </w:r>
      <w:r w:rsidR="00491C25">
        <w:rPr>
          <w:iCs/>
        </w:rPr>
        <w:t xml:space="preserve"> options: a simple listing </w:t>
      </w:r>
      <w:r w:rsidRPr="00C92FE5">
        <w:rPr>
          <w:iCs/>
        </w:rPr>
        <w:t xml:space="preserve">which did not specify the criteria for the initial and continuing treatment periods; and a more complex option comprising evaluation of response to initial treatment, first continuing treatment, and subsequent continuing treatment criteria. </w:t>
      </w:r>
      <w:r w:rsidR="003B532F" w:rsidRPr="00C92FE5">
        <w:rPr>
          <w:iCs/>
        </w:rPr>
        <w:t xml:space="preserve">The </w:t>
      </w:r>
      <w:r w:rsidR="00C92FE5">
        <w:rPr>
          <w:iCs/>
        </w:rPr>
        <w:t xml:space="preserve">PBAC agreed with the </w:t>
      </w:r>
      <w:r w:rsidR="008134EC" w:rsidRPr="00C92FE5">
        <w:rPr>
          <w:iCs/>
        </w:rPr>
        <w:t xml:space="preserve">ESC that the </w:t>
      </w:r>
      <w:r w:rsidR="003B532F" w:rsidRPr="00C92FE5">
        <w:rPr>
          <w:iCs/>
        </w:rPr>
        <w:t xml:space="preserve">proposed </w:t>
      </w:r>
      <w:r w:rsidR="00D67D6A" w:rsidRPr="00C92FE5">
        <w:rPr>
          <w:iCs/>
        </w:rPr>
        <w:t>‘</w:t>
      </w:r>
      <w:r w:rsidR="003B532F" w:rsidRPr="00C92FE5">
        <w:rPr>
          <w:iCs/>
        </w:rPr>
        <w:t>simple restriction</w:t>
      </w:r>
      <w:r w:rsidR="00D67D6A" w:rsidRPr="00C92FE5">
        <w:rPr>
          <w:iCs/>
        </w:rPr>
        <w:t>’</w:t>
      </w:r>
      <w:r w:rsidR="003B532F" w:rsidRPr="00C92FE5">
        <w:rPr>
          <w:iCs/>
        </w:rPr>
        <w:t xml:space="preserve"> was inconsistent with the clinical evidence presented and TGA </w:t>
      </w:r>
      <w:r w:rsidR="00DF778A">
        <w:rPr>
          <w:iCs/>
        </w:rPr>
        <w:t>dose recommendation</w:t>
      </w:r>
      <w:r w:rsidR="00D67D6A" w:rsidRPr="00C92FE5">
        <w:rPr>
          <w:iCs/>
        </w:rPr>
        <w:t xml:space="preserve"> in that it </w:t>
      </w:r>
      <w:r w:rsidR="003B532F" w:rsidRPr="00C92FE5">
        <w:rPr>
          <w:iCs/>
        </w:rPr>
        <w:t xml:space="preserve">would allow all patients to continue treatment regardless of whether they achieved remission or not. </w:t>
      </w:r>
      <w:r w:rsidR="006D5CCD">
        <w:rPr>
          <w:iCs/>
        </w:rPr>
        <w:t>A</w:t>
      </w:r>
      <w:r w:rsidR="007C70D9">
        <w:rPr>
          <w:iCs/>
        </w:rPr>
        <w:t>s such</w:t>
      </w:r>
      <w:r w:rsidR="006D5CCD">
        <w:rPr>
          <w:iCs/>
        </w:rPr>
        <w:t>,</w:t>
      </w:r>
      <w:r w:rsidR="007C70D9">
        <w:rPr>
          <w:iCs/>
        </w:rPr>
        <w:t xml:space="preserve"> th</w:t>
      </w:r>
      <w:r w:rsidR="006D5CCD">
        <w:rPr>
          <w:iCs/>
        </w:rPr>
        <w:t>e ‘complex restriction’ is shown below. S</w:t>
      </w:r>
      <w:r w:rsidR="00367BFD" w:rsidRPr="00C92FE5">
        <w:rPr>
          <w:iCs/>
        </w:rPr>
        <w:t>uggestions and additions proposed by the Secretariat are added in italics and suggested deletions are crossed out with strikethrough.</w:t>
      </w:r>
    </w:p>
    <w:p w:rsidR="00C92FE5" w:rsidRDefault="00C92FE5" w:rsidP="00C92FE5">
      <w:pPr>
        <w:pStyle w:val="3-BodyText"/>
        <w:numPr>
          <w:ilvl w:val="0"/>
          <w:numId w:val="0"/>
        </w:numPr>
        <w:rPr>
          <w:i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1134"/>
        <w:gridCol w:w="992"/>
        <w:gridCol w:w="850"/>
        <w:gridCol w:w="709"/>
        <w:gridCol w:w="1276"/>
        <w:gridCol w:w="1417"/>
      </w:tblGrid>
      <w:tr w:rsidR="00367BFD" w:rsidRPr="009A610D" w:rsidTr="00367BFD">
        <w:trPr>
          <w:cantSplit/>
          <w:trHeight w:val="471"/>
        </w:trPr>
        <w:tc>
          <w:tcPr>
            <w:tcW w:w="2689" w:type="dxa"/>
            <w:gridSpan w:val="2"/>
          </w:tcPr>
          <w:p w:rsidR="00367BFD" w:rsidRDefault="00367BFD" w:rsidP="0072762B">
            <w:pPr>
              <w:keepNext/>
              <w:ind w:left="22"/>
              <w:rPr>
                <w:rFonts w:ascii="Arial Narrow" w:hAnsi="Arial Narrow"/>
                <w:b/>
                <w:bCs/>
                <w:sz w:val="18"/>
                <w:szCs w:val="18"/>
              </w:rPr>
            </w:pPr>
            <w:r>
              <w:rPr>
                <w:rFonts w:ascii="Arial Narrow" w:hAnsi="Arial Narrow"/>
                <w:b/>
                <w:bCs/>
                <w:sz w:val="18"/>
                <w:szCs w:val="18"/>
              </w:rPr>
              <w:t>MEDICINAL PRODUCT</w:t>
            </w:r>
          </w:p>
          <w:p w:rsidR="00367BFD" w:rsidRPr="009A610D" w:rsidRDefault="00367BFD" w:rsidP="0072762B">
            <w:pPr>
              <w:keepNext/>
              <w:ind w:left="22"/>
              <w:rPr>
                <w:rFonts w:ascii="Arial Narrow" w:hAnsi="Arial Narrow"/>
                <w:b/>
                <w:sz w:val="18"/>
                <w:szCs w:val="18"/>
              </w:rPr>
            </w:pPr>
            <w:r>
              <w:rPr>
                <w:rFonts w:ascii="Arial Narrow" w:hAnsi="Arial Narrow"/>
                <w:b/>
                <w:bCs/>
                <w:sz w:val="18"/>
                <w:szCs w:val="18"/>
              </w:rPr>
              <w:t>medicinal product p</w:t>
            </w:r>
            <w:r w:rsidRPr="003A5B23">
              <w:rPr>
                <w:rFonts w:ascii="Arial Narrow" w:hAnsi="Arial Narrow"/>
                <w:b/>
                <w:bCs/>
                <w:sz w:val="18"/>
                <w:szCs w:val="18"/>
              </w:rPr>
              <w:t>ack</w:t>
            </w:r>
          </w:p>
        </w:tc>
        <w:tc>
          <w:tcPr>
            <w:tcW w:w="1134" w:type="dxa"/>
          </w:tcPr>
          <w:p w:rsidR="00367BFD" w:rsidRPr="009A610D" w:rsidRDefault="00367BFD" w:rsidP="0072762B">
            <w:pPr>
              <w:keepNext/>
              <w:ind w:left="-108"/>
              <w:jc w:val="center"/>
              <w:rPr>
                <w:rFonts w:ascii="Arial Narrow" w:hAnsi="Arial Narrow"/>
                <w:b/>
                <w:sz w:val="18"/>
                <w:szCs w:val="18"/>
              </w:rPr>
            </w:pPr>
            <w:r>
              <w:rPr>
                <w:rFonts w:ascii="Arial Narrow" w:hAnsi="Arial Narrow"/>
                <w:b/>
                <w:sz w:val="18"/>
                <w:szCs w:val="18"/>
              </w:rPr>
              <w:t>PBS item code</w:t>
            </w:r>
          </w:p>
        </w:tc>
        <w:tc>
          <w:tcPr>
            <w:tcW w:w="992" w:type="dxa"/>
          </w:tcPr>
          <w:p w:rsidR="00367BFD" w:rsidRPr="009A610D" w:rsidRDefault="00367BFD" w:rsidP="0072762B">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850" w:type="dxa"/>
          </w:tcPr>
          <w:p w:rsidR="00367BFD" w:rsidRPr="009A610D" w:rsidRDefault="00367BFD" w:rsidP="0072762B">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Pr>
          <w:p w:rsidR="00367BFD" w:rsidRDefault="00367BFD" w:rsidP="0072762B">
            <w:pPr>
              <w:keepNext/>
              <w:ind w:left="-108"/>
              <w:jc w:val="center"/>
              <w:rPr>
                <w:rFonts w:ascii="Arial Narrow" w:hAnsi="Arial Narrow"/>
                <w:b/>
                <w:sz w:val="18"/>
                <w:szCs w:val="18"/>
              </w:rPr>
            </w:pPr>
            <w:r w:rsidRPr="009A610D">
              <w:rPr>
                <w:rFonts w:ascii="Arial Narrow" w:hAnsi="Arial Narrow"/>
                <w:b/>
                <w:sz w:val="18"/>
                <w:szCs w:val="18"/>
              </w:rPr>
              <w:t>№.of</w:t>
            </w:r>
          </w:p>
          <w:p w:rsidR="00367BFD" w:rsidRPr="009A610D" w:rsidRDefault="00367BFD" w:rsidP="0072762B">
            <w:pPr>
              <w:keepNext/>
              <w:ind w:left="-108"/>
              <w:jc w:val="center"/>
              <w:rPr>
                <w:rFonts w:ascii="Arial Narrow" w:hAnsi="Arial Narrow"/>
                <w:b/>
                <w:sz w:val="18"/>
                <w:szCs w:val="18"/>
              </w:rPr>
            </w:pPr>
            <w:r w:rsidRPr="009A610D">
              <w:rPr>
                <w:rFonts w:ascii="Arial Narrow" w:hAnsi="Arial Narrow"/>
                <w:b/>
                <w:sz w:val="18"/>
                <w:szCs w:val="18"/>
              </w:rPr>
              <w:t>Rpts</w:t>
            </w:r>
          </w:p>
        </w:tc>
        <w:tc>
          <w:tcPr>
            <w:tcW w:w="1276" w:type="dxa"/>
          </w:tcPr>
          <w:p w:rsidR="00367BFD" w:rsidRPr="009A610D" w:rsidRDefault="00367BFD" w:rsidP="0072762B">
            <w:pPr>
              <w:keepNext/>
              <w:ind w:left="-108"/>
              <w:jc w:val="center"/>
              <w:rPr>
                <w:rFonts w:ascii="Arial Narrow" w:hAnsi="Arial Narrow"/>
                <w:b/>
                <w:sz w:val="18"/>
                <w:szCs w:val="18"/>
              </w:rPr>
            </w:pPr>
            <w:r w:rsidRPr="00367BFD">
              <w:rPr>
                <w:rFonts w:ascii="Arial Narrow" w:hAnsi="Arial Narrow"/>
                <w:b/>
                <w:sz w:val="18"/>
                <w:szCs w:val="18"/>
              </w:rPr>
              <w:t>Dispensed price for maximum quantity</w:t>
            </w:r>
          </w:p>
        </w:tc>
        <w:tc>
          <w:tcPr>
            <w:tcW w:w="1417" w:type="dxa"/>
          </w:tcPr>
          <w:p w:rsidR="00367BFD" w:rsidRPr="009A610D" w:rsidRDefault="00367BFD" w:rsidP="0072762B">
            <w:pPr>
              <w:keepNext/>
              <w:rPr>
                <w:rFonts w:ascii="Arial Narrow" w:hAnsi="Arial Narrow"/>
                <w:b/>
                <w:sz w:val="18"/>
                <w:szCs w:val="18"/>
                <w:lang w:val="fr-FR"/>
              </w:rPr>
            </w:pPr>
            <w:r>
              <w:rPr>
                <w:rFonts w:ascii="Arial Narrow" w:hAnsi="Arial Narrow"/>
                <w:b/>
                <w:sz w:val="18"/>
                <w:szCs w:val="18"/>
              </w:rPr>
              <w:t>Available brands</w:t>
            </w:r>
          </w:p>
        </w:tc>
      </w:tr>
      <w:tr w:rsidR="00C92FE5" w:rsidRPr="001A5667" w:rsidTr="0072762B">
        <w:trPr>
          <w:cantSplit/>
          <w:trHeight w:val="224"/>
        </w:trPr>
        <w:tc>
          <w:tcPr>
            <w:tcW w:w="9067" w:type="dxa"/>
            <w:gridSpan w:val="8"/>
          </w:tcPr>
          <w:p w:rsidR="00C92FE5" w:rsidRPr="001A5667" w:rsidRDefault="00C92FE5" w:rsidP="0072762B">
            <w:pPr>
              <w:keepNext/>
              <w:ind w:left="22"/>
              <w:rPr>
                <w:rFonts w:ascii="Arial Narrow" w:hAnsi="Arial Narrow"/>
                <w:sz w:val="18"/>
                <w:szCs w:val="18"/>
              </w:rPr>
            </w:pPr>
            <w:r>
              <w:rPr>
                <w:rFonts w:ascii="Arial Narrow" w:hAnsi="Arial Narrow"/>
                <w:sz w:val="18"/>
                <w:szCs w:val="18"/>
              </w:rPr>
              <w:t>BUDESONIDE</w:t>
            </w:r>
          </w:p>
        </w:tc>
      </w:tr>
      <w:tr w:rsidR="00367BFD" w:rsidRPr="009A610D" w:rsidTr="00367BFD">
        <w:trPr>
          <w:cantSplit/>
          <w:trHeight w:val="553"/>
        </w:trPr>
        <w:tc>
          <w:tcPr>
            <w:tcW w:w="2689" w:type="dxa"/>
            <w:gridSpan w:val="2"/>
          </w:tcPr>
          <w:p w:rsidR="00367BFD" w:rsidRPr="003803A0" w:rsidRDefault="00367BFD" w:rsidP="0072762B">
            <w:pPr>
              <w:keepNext/>
              <w:ind w:left="22"/>
              <w:rPr>
                <w:rFonts w:ascii="Arial Narrow" w:hAnsi="Arial Narrow"/>
                <w:sz w:val="18"/>
                <w:szCs w:val="18"/>
              </w:rPr>
            </w:pPr>
            <w:r w:rsidRPr="00114B0E">
              <w:rPr>
                <w:rFonts w:ascii="Arial Narrow" w:hAnsi="Arial Narrow"/>
                <w:sz w:val="18"/>
                <w:szCs w:val="18"/>
              </w:rPr>
              <w:t>budesonide 1 mg orally disintegrating tablet</w:t>
            </w:r>
            <w:r>
              <w:rPr>
                <w:rFonts w:ascii="Arial Narrow" w:hAnsi="Arial Narrow"/>
                <w:sz w:val="18"/>
                <w:szCs w:val="18"/>
              </w:rPr>
              <w:t>, 90</w:t>
            </w:r>
          </w:p>
        </w:tc>
        <w:tc>
          <w:tcPr>
            <w:tcW w:w="1134" w:type="dxa"/>
          </w:tcPr>
          <w:p w:rsidR="00367BFD" w:rsidRPr="009A610D" w:rsidRDefault="00367BFD" w:rsidP="0072762B">
            <w:pPr>
              <w:keepNext/>
              <w:jc w:val="center"/>
              <w:rPr>
                <w:rFonts w:ascii="Arial Narrow" w:hAnsi="Arial Narrow"/>
                <w:sz w:val="18"/>
                <w:szCs w:val="18"/>
              </w:rPr>
            </w:pPr>
            <w:r>
              <w:rPr>
                <w:rFonts w:ascii="Arial Narrow" w:hAnsi="Arial Narrow"/>
                <w:sz w:val="18"/>
                <w:szCs w:val="18"/>
              </w:rPr>
              <w:t>NEW</w:t>
            </w:r>
          </w:p>
        </w:tc>
        <w:tc>
          <w:tcPr>
            <w:tcW w:w="992" w:type="dxa"/>
          </w:tcPr>
          <w:p w:rsidR="00367BFD" w:rsidRPr="009A610D" w:rsidRDefault="00367BFD" w:rsidP="0072762B">
            <w:pPr>
              <w:keepNext/>
              <w:jc w:val="center"/>
              <w:rPr>
                <w:rFonts w:ascii="Arial Narrow" w:hAnsi="Arial Narrow"/>
                <w:sz w:val="18"/>
                <w:szCs w:val="18"/>
              </w:rPr>
            </w:pPr>
            <w:r w:rsidRPr="009A610D">
              <w:rPr>
                <w:rFonts w:ascii="Arial Narrow" w:hAnsi="Arial Narrow"/>
                <w:sz w:val="18"/>
                <w:szCs w:val="18"/>
              </w:rPr>
              <w:t>1</w:t>
            </w:r>
          </w:p>
        </w:tc>
        <w:tc>
          <w:tcPr>
            <w:tcW w:w="850" w:type="dxa"/>
          </w:tcPr>
          <w:p w:rsidR="00367BFD" w:rsidRPr="009A610D" w:rsidRDefault="00367BFD" w:rsidP="0072762B">
            <w:pPr>
              <w:keepNext/>
              <w:jc w:val="center"/>
              <w:rPr>
                <w:rFonts w:ascii="Arial Narrow" w:hAnsi="Arial Narrow"/>
                <w:sz w:val="18"/>
                <w:szCs w:val="18"/>
              </w:rPr>
            </w:pPr>
            <w:r>
              <w:rPr>
                <w:rFonts w:ascii="Arial Narrow" w:hAnsi="Arial Narrow"/>
                <w:sz w:val="18"/>
                <w:szCs w:val="18"/>
              </w:rPr>
              <w:t>90</w:t>
            </w:r>
          </w:p>
        </w:tc>
        <w:tc>
          <w:tcPr>
            <w:tcW w:w="709" w:type="dxa"/>
          </w:tcPr>
          <w:p w:rsidR="00367BFD" w:rsidRPr="009A610D" w:rsidRDefault="00367BFD" w:rsidP="0072762B">
            <w:pPr>
              <w:keepNext/>
              <w:jc w:val="center"/>
              <w:rPr>
                <w:rFonts w:ascii="Arial Narrow" w:hAnsi="Arial Narrow"/>
                <w:sz w:val="18"/>
                <w:szCs w:val="18"/>
              </w:rPr>
            </w:pPr>
            <w:r>
              <w:rPr>
                <w:rFonts w:ascii="Arial Narrow" w:hAnsi="Arial Narrow"/>
                <w:sz w:val="18"/>
                <w:szCs w:val="18"/>
              </w:rPr>
              <w:t>1</w:t>
            </w:r>
          </w:p>
        </w:tc>
        <w:tc>
          <w:tcPr>
            <w:tcW w:w="1276" w:type="dxa"/>
          </w:tcPr>
          <w:p w:rsidR="00367BFD" w:rsidRPr="009A610D" w:rsidRDefault="00367BFD" w:rsidP="0072762B">
            <w:pPr>
              <w:keepNext/>
              <w:jc w:val="center"/>
              <w:rPr>
                <w:rFonts w:ascii="Arial Narrow" w:hAnsi="Arial Narrow"/>
                <w:sz w:val="18"/>
                <w:szCs w:val="18"/>
              </w:rPr>
            </w:pPr>
            <w:r w:rsidRPr="00367BFD">
              <w:rPr>
                <w:rFonts w:ascii="Arial Narrow" w:hAnsi="Arial Narrow"/>
                <w:sz w:val="18"/>
                <w:szCs w:val="18"/>
              </w:rPr>
              <w:t>$</w:t>
            </w:r>
            <w:r w:rsidR="00D02986">
              <w:rPr>
                <w:rFonts w:ascii="Arial Narrow" w:hAnsi="Arial Narrow"/>
                <w:noProof/>
                <w:color w:val="000000"/>
                <w:sz w:val="18"/>
                <w:szCs w:val="18"/>
                <w:highlight w:val="black"/>
              </w:rPr>
              <w:t>'''''''''''''''''</w:t>
            </w:r>
          </w:p>
        </w:tc>
        <w:tc>
          <w:tcPr>
            <w:tcW w:w="1417" w:type="dxa"/>
          </w:tcPr>
          <w:p w:rsidR="00367BFD" w:rsidRPr="009A610D" w:rsidRDefault="00367BFD" w:rsidP="0072762B">
            <w:pPr>
              <w:keepNext/>
              <w:rPr>
                <w:rFonts w:ascii="Arial Narrow" w:hAnsi="Arial Narrow"/>
                <w:sz w:val="18"/>
                <w:szCs w:val="18"/>
              </w:rPr>
            </w:pPr>
            <w:r w:rsidRPr="009238D8">
              <w:rPr>
                <w:rFonts w:ascii="Arial Narrow" w:hAnsi="Arial Narrow"/>
                <w:sz w:val="18"/>
                <w:szCs w:val="18"/>
              </w:rPr>
              <w:t>Jorveza</w:t>
            </w:r>
          </w:p>
        </w:tc>
      </w:tr>
      <w:tr w:rsidR="00C92FE5" w:rsidRPr="0020649C" w:rsidTr="0072762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rsidR="00C92FE5" w:rsidRPr="0020649C" w:rsidRDefault="00C92FE5" w:rsidP="0072762B">
            <w:pPr>
              <w:rPr>
                <w:rFonts w:ascii="Arial Narrow" w:hAnsi="Arial Narrow"/>
                <w:b/>
                <w:sz w:val="18"/>
                <w:szCs w:val="18"/>
              </w:rPr>
            </w:pPr>
          </w:p>
        </w:tc>
      </w:tr>
      <w:tr w:rsidR="00C92FE5" w:rsidRPr="0020649C" w:rsidTr="0072762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rsidR="00C92FE5" w:rsidRPr="0020649C" w:rsidRDefault="00C92FE5" w:rsidP="0072762B">
            <w:pPr>
              <w:ind w:left="57"/>
              <w:rPr>
                <w:rFonts w:ascii="Arial Narrow" w:hAnsi="Arial Narrow"/>
                <w:b/>
                <w:sz w:val="18"/>
                <w:szCs w:val="18"/>
              </w:rPr>
            </w:pPr>
            <w:r w:rsidRPr="00507253">
              <w:rPr>
                <w:rFonts w:ascii="Arial Narrow" w:hAnsi="Arial Narrow"/>
                <w:b/>
                <w:sz w:val="18"/>
                <w:szCs w:val="18"/>
              </w:rPr>
              <w:t>Restriction Summary [new]</w:t>
            </w:r>
            <w:r>
              <w:rPr>
                <w:rFonts w:ascii="Arial Narrow" w:hAnsi="Arial Narrow"/>
                <w:b/>
                <w:sz w:val="18"/>
                <w:szCs w:val="18"/>
              </w:rPr>
              <w:t xml:space="preserve"> </w:t>
            </w:r>
            <w:r w:rsidRPr="00507253">
              <w:rPr>
                <w:rFonts w:ascii="Arial Narrow" w:hAnsi="Arial Narrow"/>
                <w:b/>
                <w:sz w:val="18"/>
                <w:szCs w:val="18"/>
              </w:rPr>
              <w:t>/ Treatment of Concept: [new]</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C92FE5" w:rsidRPr="00507253" w:rsidRDefault="00C92FE5" w:rsidP="0072762B">
            <w:pPr>
              <w:jc w:val="center"/>
              <w:rPr>
                <w:rFonts w:ascii="Arial Narrow" w:hAnsi="Arial Narrow"/>
                <w:b/>
                <w:sz w:val="18"/>
                <w:szCs w:val="18"/>
              </w:rPr>
            </w:pPr>
            <w:r w:rsidRPr="00507253">
              <w:rPr>
                <w:rFonts w:ascii="Arial Narrow" w:hAnsi="Arial Narrow"/>
                <w:b/>
                <w:sz w:val="18"/>
                <w:szCs w:val="18"/>
              </w:rPr>
              <w:t>Concept ID</w:t>
            </w:r>
          </w:p>
          <w:p w:rsidR="00C92FE5" w:rsidRPr="00120A12" w:rsidRDefault="00C92FE5" w:rsidP="0072762B">
            <w:pPr>
              <w:rPr>
                <w:rFonts w:ascii="Arial Narrow" w:hAnsi="Arial Narrow"/>
                <w:i/>
                <w:sz w:val="18"/>
                <w:szCs w:val="18"/>
              </w:rPr>
            </w:pPr>
          </w:p>
          <w:p w:rsidR="00C92FE5" w:rsidRPr="00507253" w:rsidRDefault="00C92FE5" w:rsidP="0072762B">
            <w:pPr>
              <w:rPr>
                <w:rFonts w:ascii="Arial Narrow" w:hAnsi="Arial Narrow"/>
                <w:b/>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C92FE5" w:rsidRPr="00120A12" w:rsidRDefault="00C92FE5" w:rsidP="0072762B">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 xml:space="preserve">GENERAL – General Schedule (Code GE) </w:t>
            </w:r>
          </w:p>
        </w:tc>
      </w:tr>
      <w:tr w:rsidR="00C92FE5" w:rsidRPr="00772067" w:rsidTr="0072762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C92FE5" w:rsidRPr="0020649C" w:rsidRDefault="00C92FE5" w:rsidP="0072762B">
            <w:pPr>
              <w:rPr>
                <w:rFonts w:ascii="Arial Narrow" w:hAnsi="Arial Narrow"/>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C92FE5" w:rsidRPr="00772067" w:rsidRDefault="00C92FE5" w:rsidP="0072762B">
            <w:pPr>
              <w:rPr>
                <w:rFonts w:ascii="Arial Narrow" w:hAnsi="Arial Narrow"/>
                <w:b/>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753728">
              <w:rPr>
                <w:rFonts w:ascii="Arial Narrow" w:hAnsi="Arial Narrow"/>
                <w:sz w:val="18"/>
                <w:szCs w:val="18"/>
              </w:rPr>
            </w:r>
            <w:r w:rsidR="0075372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p>
        </w:tc>
      </w:tr>
      <w:tr w:rsidR="00C92FE5" w:rsidRPr="00677540" w:rsidTr="0072762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C92FE5" w:rsidRPr="0020649C" w:rsidRDefault="00C92FE5" w:rsidP="0072762B">
            <w:pPr>
              <w:rPr>
                <w:rFonts w:ascii="Arial Narrow" w:hAnsi="Arial Narrow"/>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C92FE5" w:rsidRPr="00BB270D" w:rsidRDefault="00C92FE5" w:rsidP="0072762B">
            <w:pPr>
              <w:rPr>
                <w:rFonts w:ascii="Arial Narrow" w:hAnsi="Arial Narrow"/>
                <w:b/>
                <w:sz w:val="18"/>
                <w:szCs w:val="18"/>
              </w:rPr>
            </w:pPr>
            <w:r w:rsidRPr="0020649C">
              <w:rPr>
                <w:rFonts w:ascii="Arial Narrow" w:hAnsi="Arial Narrow"/>
                <w:b/>
                <w:sz w:val="18"/>
                <w:szCs w:val="18"/>
              </w:rPr>
              <w:t xml:space="preserve">Restriction </w:t>
            </w:r>
            <w:r>
              <w:rPr>
                <w:rFonts w:ascii="Arial Narrow" w:hAnsi="Arial Narrow"/>
                <w:b/>
                <w:sz w:val="18"/>
                <w:szCs w:val="18"/>
              </w:rPr>
              <w:t xml:space="preserve">type: </w:t>
            </w:r>
          </w:p>
          <w:p w:rsidR="00C92FE5" w:rsidRPr="00F86065" w:rsidRDefault="00C92FE5" w:rsidP="0072762B">
            <w:pPr>
              <w:rPr>
                <w:rFonts w:ascii="Arial Narrow" w:eastAsia="Calibri" w:hAnsi="Arial Narrow"/>
                <w:sz w:val="18"/>
                <w:szCs w:val="18"/>
              </w:rPr>
            </w:pPr>
            <w:r w:rsidRPr="00F86065">
              <w:rPr>
                <w:rFonts w:ascii="Arial Narrow" w:eastAsia="Calibri" w:hAnsi="Arial Narrow"/>
                <w:sz w:val="18"/>
                <w:szCs w:val="18"/>
              </w:rPr>
              <w:fldChar w:fldCharType="begin">
                <w:ffData>
                  <w:name w:val="Check1"/>
                  <w:enabled/>
                  <w:calcOnExit w:val="0"/>
                  <w:checkBox>
                    <w:sizeAuto/>
                    <w:default w:val="0"/>
                  </w:checkBox>
                </w:ffData>
              </w:fldChar>
            </w:r>
            <w:r w:rsidRPr="00F86065">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sidRPr="00F86065">
              <w:rPr>
                <w:rFonts w:ascii="Arial Narrow" w:eastAsia="Calibri" w:hAnsi="Arial Narrow"/>
                <w:sz w:val="18"/>
                <w:szCs w:val="18"/>
              </w:rPr>
              <w:fldChar w:fldCharType="end"/>
            </w:r>
            <w:r w:rsidRPr="00F86065">
              <w:rPr>
                <w:rFonts w:ascii="Arial Narrow" w:eastAsia="Calibri" w:hAnsi="Arial Narrow"/>
                <w:sz w:val="18"/>
                <w:szCs w:val="18"/>
              </w:rPr>
              <w:t>Unrestricted benefit</w:t>
            </w:r>
          </w:p>
          <w:p w:rsidR="00C92FE5" w:rsidRPr="00F86065" w:rsidRDefault="00C92FE5" w:rsidP="0072762B">
            <w:pPr>
              <w:rPr>
                <w:rFonts w:ascii="Arial Narrow" w:eastAsia="Calibri" w:hAnsi="Arial Narrow"/>
                <w:sz w:val="18"/>
                <w:szCs w:val="18"/>
              </w:rPr>
            </w:pPr>
            <w:r w:rsidRPr="00F86065">
              <w:rPr>
                <w:rFonts w:ascii="Arial Narrow" w:eastAsia="Calibri" w:hAnsi="Arial Narrow"/>
                <w:sz w:val="18"/>
                <w:szCs w:val="18"/>
              </w:rPr>
              <w:fldChar w:fldCharType="begin">
                <w:ffData>
                  <w:name w:val="Check1"/>
                  <w:enabled/>
                  <w:calcOnExit w:val="0"/>
                  <w:checkBox>
                    <w:sizeAuto/>
                    <w:default w:val="0"/>
                  </w:checkBox>
                </w:ffData>
              </w:fldChar>
            </w:r>
            <w:r w:rsidRPr="00F86065">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sidRPr="00F86065">
              <w:rPr>
                <w:rFonts w:ascii="Arial Narrow" w:eastAsia="Calibri" w:hAnsi="Arial Narrow"/>
                <w:sz w:val="18"/>
                <w:szCs w:val="18"/>
              </w:rPr>
              <w:fldChar w:fldCharType="end"/>
            </w:r>
            <w:r w:rsidRPr="00F86065">
              <w:rPr>
                <w:rFonts w:ascii="Arial Narrow" w:eastAsia="Calibri" w:hAnsi="Arial Narrow"/>
                <w:sz w:val="18"/>
                <w:szCs w:val="18"/>
              </w:rPr>
              <w:t>Restricted benefit</w:t>
            </w:r>
          </w:p>
          <w:p w:rsidR="00C92FE5" w:rsidRPr="00AB5FAC" w:rsidRDefault="00C92FE5" w:rsidP="0072762B">
            <w:pPr>
              <w:rPr>
                <w:rFonts w:ascii="Arial Narrow" w:eastAsia="Calibri" w:hAnsi="Arial Narrow"/>
                <w:color w:val="FF00FF"/>
                <w:sz w:val="18"/>
                <w:szCs w:val="18"/>
              </w:rPr>
            </w:pP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Pr>
                <w:rFonts w:ascii="Arial Narrow" w:eastAsia="Calibri" w:hAnsi="Arial Narrow"/>
                <w:sz w:val="18"/>
                <w:szCs w:val="18"/>
              </w:rPr>
              <w:fldChar w:fldCharType="end"/>
            </w:r>
            <w:r w:rsidRPr="008F3A2C">
              <w:rPr>
                <w:rFonts w:ascii="Arial Narrow" w:eastAsia="Calibri" w:hAnsi="Arial Narrow"/>
                <w:strike/>
                <w:sz w:val="18"/>
                <w:szCs w:val="18"/>
              </w:rPr>
              <w:t>Authority Required – Streamlined [new code]</w:t>
            </w:r>
            <w:r w:rsidRPr="00F86065">
              <w:rPr>
                <w:rFonts w:ascii="Arial Narrow" w:eastAsia="Calibri" w:hAnsi="Arial Narrow"/>
                <w:sz w:val="18"/>
                <w:szCs w:val="18"/>
              </w:rPr>
              <w:t xml:space="preserve"> </w:t>
            </w:r>
          </w:p>
          <w:p w:rsidR="00C92FE5" w:rsidRPr="008F3A2C" w:rsidRDefault="00C92FE5" w:rsidP="0072762B">
            <w:pPr>
              <w:rPr>
                <w:rFonts w:ascii="Arial Narrow" w:eastAsia="Calibri" w:hAnsi="Arial Narrow"/>
                <w:i/>
                <w:sz w:val="18"/>
                <w:szCs w:val="18"/>
              </w:rPr>
            </w:pP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Pr>
                <w:rFonts w:ascii="Arial Narrow" w:eastAsia="Calibri" w:hAnsi="Arial Narrow"/>
                <w:sz w:val="18"/>
                <w:szCs w:val="18"/>
              </w:rPr>
              <w:fldChar w:fldCharType="end"/>
            </w:r>
            <w:r w:rsidRPr="008F3A2C">
              <w:rPr>
                <w:rFonts w:ascii="Arial Narrow" w:eastAsia="Calibri" w:hAnsi="Arial Narrow"/>
                <w:i/>
                <w:sz w:val="18"/>
                <w:szCs w:val="18"/>
              </w:rPr>
              <w:t>Authority Required – immediate/real time assessment by Services Australia (telephone/online)</w:t>
            </w:r>
          </w:p>
          <w:p w:rsidR="00C92FE5" w:rsidRPr="00677540" w:rsidRDefault="00C92FE5" w:rsidP="0072762B">
            <w:pPr>
              <w:rPr>
                <w:rFonts w:ascii="Arial Narrow" w:eastAsia="Calibri" w:hAnsi="Arial Narrow"/>
                <w:color w:val="FF00FF"/>
                <w:sz w:val="18"/>
                <w:szCs w:val="18"/>
              </w:rPr>
            </w:pPr>
            <w:r w:rsidRPr="00F86065">
              <w:rPr>
                <w:rFonts w:ascii="Arial Narrow" w:eastAsia="Calibri" w:hAnsi="Arial Narrow"/>
                <w:sz w:val="18"/>
                <w:szCs w:val="18"/>
              </w:rPr>
              <w:fldChar w:fldCharType="begin">
                <w:ffData>
                  <w:name w:val=""/>
                  <w:enabled/>
                  <w:calcOnExit w:val="0"/>
                  <w:checkBox>
                    <w:sizeAuto/>
                    <w:default w:val="0"/>
                  </w:checkBox>
                </w:ffData>
              </w:fldChar>
            </w:r>
            <w:r w:rsidRPr="00F86065">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sidRPr="00F86065">
              <w:rPr>
                <w:rFonts w:ascii="Arial Narrow" w:eastAsia="Calibri" w:hAnsi="Arial Narrow"/>
                <w:sz w:val="18"/>
                <w:szCs w:val="18"/>
              </w:rPr>
              <w:fldChar w:fldCharType="end"/>
            </w:r>
            <w:r w:rsidRPr="00F86065">
              <w:rPr>
                <w:rFonts w:ascii="Arial Narrow" w:eastAsia="Calibri" w:hAnsi="Arial Narrow"/>
                <w:sz w:val="18"/>
                <w:szCs w:val="18"/>
              </w:rPr>
              <w:t xml:space="preserve">Authority Required – </w:t>
            </w:r>
            <w:r>
              <w:rPr>
                <w:rFonts w:ascii="Arial Narrow" w:eastAsia="Calibri" w:hAnsi="Arial Narrow"/>
                <w:sz w:val="18"/>
                <w:szCs w:val="18"/>
              </w:rPr>
              <w:t>non-immediate/</w:t>
            </w:r>
            <w:r w:rsidRPr="00F86065">
              <w:rPr>
                <w:rFonts w:ascii="Arial Narrow" w:eastAsia="Calibri" w:hAnsi="Arial Narrow"/>
                <w:sz w:val="18"/>
                <w:szCs w:val="18"/>
              </w:rPr>
              <w:t xml:space="preserve">delayed assessment by </w:t>
            </w:r>
            <w:r>
              <w:rPr>
                <w:rFonts w:ascii="Arial Narrow" w:eastAsia="Calibri" w:hAnsi="Arial Narrow"/>
                <w:sz w:val="18"/>
                <w:szCs w:val="18"/>
              </w:rPr>
              <w:t>Services Australia</w:t>
            </w:r>
            <w:r w:rsidRPr="00F86065">
              <w:rPr>
                <w:rFonts w:ascii="Arial Narrow" w:eastAsia="Calibri" w:hAnsi="Arial Narrow"/>
                <w:sz w:val="18"/>
                <w:szCs w:val="18"/>
              </w:rPr>
              <w:t xml:space="preserve"> (In-writing only via mail/postal service or electronic upload to Hobart)</w:t>
            </w:r>
            <w:r>
              <w:rPr>
                <w:rFonts w:ascii="Arial Narrow" w:eastAsia="Calibri" w:hAnsi="Arial Narrow"/>
                <w:sz w:val="18"/>
                <w:szCs w:val="18"/>
              </w:rPr>
              <w:t xml:space="preserve"> </w:t>
            </w:r>
          </w:p>
        </w:tc>
      </w:tr>
      <w:tr w:rsidR="00C92FE5" w:rsidRPr="001A310D" w:rsidTr="0072762B">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1A310D" w:rsidRDefault="00C92FE5" w:rsidP="0072762B">
            <w:pPr>
              <w:rPr>
                <w:rFonts w:ascii="Arial Narrow" w:hAnsi="Arial Narrow"/>
                <w:bCs/>
                <w:color w:val="333333"/>
                <w:sz w:val="18"/>
                <w:szCs w:val="18"/>
              </w:rPr>
            </w:pPr>
            <w:r>
              <w:rPr>
                <w:rFonts w:ascii="Arial Narrow" w:hAnsi="Arial Narrow"/>
                <w:b/>
                <w:bCs/>
                <w:color w:val="333333"/>
                <w:sz w:val="18"/>
                <w:szCs w:val="18"/>
              </w:rPr>
              <w:t xml:space="preserve">Episodicity: </w:t>
            </w:r>
            <w:r>
              <w:rPr>
                <w:rFonts w:ascii="Arial Narrow" w:hAnsi="Arial Narrow"/>
                <w:bCs/>
                <w:color w:val="333333"/>
                <w:sz w:val="18"/>
                <w:szCs w:val="18"/>
              </w:rPr>
              <w:t>blank</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120A12" w:rsidRDefault="00C92FE5" w:rsidP="0072762B">
            <w:pPr>
              <w:rPr>
                <w:rFonts w:ascii="Arial Narrow" w:hAnsi="Arial Narrow"/>
                <w:b/>
                <w:bCs/>
                <w:color w:val="333333"/>
                <w:sz w:val="18"/>
                <w:szCs w:val="18"/>
              </w:rPr>
            </w:pPr>
            <w:r>
              <w:rPr>
                <w:rFonts w:ascii="Arial Narrow" w:hAnsi="Arial Narrow"/>
                <w:b/>
                <w:bCs/>
                <w:color w:val="333333"/>
                <w:sz w:val="18"/>
                <w:szCs w:val="18"/>
              </w:rPr>
              <w:t xml:space="preserve">Severity: </w:t>
            </w:r>
            <w:r>
              <w:rPr>
                <w:rFonts w:ascii="Arial Narrow" w:hAnsi="Arial Narrow"/>
                <w:bCs/>
                <w:color w:val="333333"/>
                <w:sz w:val="18"/>
                <w:szCs w:val="18"/>
              </w:rPr>
              <w:t>blank</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120A12" w:rsidRDefault="00C92FE5" w:rsidP="0072762B">
            <w:pPr>
              <w:rPr>
                <w:rFonts w:ascii="Arial Narrow" w:hAnsi="Arial Narrow"/>
                <w:b/>
                <w:bCs/>
                <w:color w:val="333333"/>
                <w:sz w:val="18"/>
                <w:szCs w:val="18"/>
              </w:rPr>
            </w:pPr>
            <w:r>
              <w:rPr>
                <w:rFonts w:ascii="Arial Narrow" w:hAnsi="Arial Narrow"/>
                <w:b/>
                <w:bCs/>
                <w:color w:val="333333"/>
                <w:sz w:val="18"/>
                <w:szCs w:val="18"/>
              </w:rPr>
              <w:t xml:space="preserve">Condition: </w:t>
            </w:r>
            <w:r>
              <w:rPr>
                <w:rFonts w:ascii="Arial Narrow" w:hAnsi="Arial Narrow"/>
                <w:bCs/>
                <w:color w:val="333333"/>
                <w:sz w:val="18"/>
                <w:szCs w:val="18"/>
              </w:rPr>
              <w:t>Eosinophilic oesophagitis</w:t>
            </w:r>
          </w:p>
        </w:tc>
      </w:tr>
      <w:tr w:rsidR="00C92FE5" w:rsidRPr="00120A12"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120A12" w:rsidRDefault="00C92FE5" w:rsidP="0072762B">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w:t>
            </w:r>
            <w:r>
              <w:rPr>
                <w:rFonts w:ascii="Arial Narrow" w:hAnsi="Arial Narrow"/>
                <w:bCs/>
                <w:color w:val="333333"/>
                <w:sz w:val="18"/>
                <w:szCs w:val="18"/>
              </w:rPr>
              <w:t>Eosinophilic oesophagitis</w:t>
            </w:r>
          </w:p>
        </w:tc>
      </w:tr>
      <w:tr w:rsidR="00C92FE5" w:rsidRPr="00B90897"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B90897" w:rsidRDefault="00C92FE5" w:rsidP="0072762B">
            <w:pPr>
              <w:rPr>
                <w:rFonts w:ascii="Arial Narrow" w:hAnsi="Arial Narrow"/>
                <w:color w:val="FF00FF"/>
                <w:sz w:val="18"/>
                <w:szCs w:val="18"/>
              </w:rPr>
            </w:pPr>
            <w:r w:rsidRPr="00120A12">
              <w:rPr>
                <w:rFonts w:ascii="Arial Narrow" w:hAnsi="Arial Narrow"/>
                <w:b/>
                <w:bCs/>
                <w:color w:val="333333"/>
                <w:sz w:val="18"/>
                <w:szCs w:val="18"/>
              </w:rPr>
              <w:t>Treatment Phase</w:t>
            </w:r>
            <w:r w:rsidRPr="003D3E8A">
              <w:rPr>
                <w:rFonts w:ascii="Arial Narrow" w:hAnsi="Arial Narrow"/>
                <w:b/>
                <w:bCs/>
                <w:color w:val="333333"/>
                <w:sz w:val="18"/>
                <w:szCs w:val="18"/>
              </w:rPr>
              <w:t>:</w:t>
            </w:r>
            <w:r w:rsidRPr="003D3E8A">
              <w:rPr>
                <w:rFonts w:ascii="Arial Narrow" w:hAnsi="Arial Narrow"/>
                <w:color w:val="333333"/>
                <w:sz w:val="18"/>
                <w:szCs w:val="18"/>
              </w:rPr>
              <w:t xml:space="preserve"> </w:t>
            </w:r>
            <w:r w:rsidRPr="003D3E8A">
              <w:rPr>
                <w:rFonts w:ascii="Arial Narrow" w:hAnsi="Arial Narrow"/>
                <w:bCs/>
                <w:color w:val="333333"/>
                <w:sz w:val="18"/>
                <w:szCs w:val="18"/>
              </w:rPr>
              <w:t>Initial treatment</w:t>
            </w:r>
            <w:r>
              <w:rPr>
                <w:rFonts w:ascii="Arial Narrow" w:hAnsi="Arial Narrow"/>
                <w:bCs/>
                <w:color w:val="333333"/>
                <w:sz w:val="18"/>
                <w:szCs w:val="18"/>
              </w:rPr>
              <w:t xml:space="preserve"> – Induction of remission</w:t>
            </w:r>
          </w:p>
        </w:tc>
      </w:tr>
      <w:tr w:rsidR="00C92FE5" w:rsidRPr="00120A12"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7F2BB2" w:rsidRDefault="00C92FE5" w:rsidP="0072762B">
            <w:pPr>
              <w:rPr>
                <w:rFonts w:ascii="Arial Narrow" w:hAnsi="Arial Narrow"/>
                <w:color w:val="FF00FF"/>
                <w:sz w:val="18"/>
                <w:szCs w:val="18"/>
              </w:rPr>
            </w:pPr>
            <w:r w:rsidRPr="00120A12">
              <w:rPr>
                <w:rFonts w:ascii="Arial Narrow" w:hAnsi="Arial Narrow"/>
                <w:b/>
                <w:bCs/>
                <w:color w:val="333333"/>
                <w:sz w:val="18"/>
                <w:szCs w:val="18"/>
              </w:rPr>
              <w:t>Clinical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rPr>
                <w:rFonts w:ascii="Arial Narrow" w:hAnsi="Arial Narrow"/>
                <w:bCs/>
                <w:i/>
                <w:color w:val="333333"/>
                <w:sz w:val="18"/>
                <w:szCs w:val="18"/>
              </w:rPr>
            </w:pPr>
            <w:r w:rsidRPr="00C952AF">
              <w:rPr>
                <w:rFonts w:ascii="Arial Narrow" w:hAnsi="Arial Narrow"/>
                <w:bCs/>
                <w:i/>
                <w:color w:val="333333"/>
                <w:sz w:val="18"/>
                <w:szCs w:val="18"/>
              </w:rPr>
              <w:t xml:space="preserve">Patient must have a history of symptoms of oesophageal dysfunction.  </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keepNext w:val="0"/>
              <w:widowControl w:val="0"/>
              <w:rPr>
                <w:rFonts w:cs="Arial"/>
                <w:b/>
                <w:i/>
                <w:sz w:val="18"/>
                <w:szCs w:val="18"/>
              </w:rPr>
            </w:pPr>
            <w:r w:rsidRPr="00C952AF">
              <w:rPr>
                <w:rFonts w:cs="Arial"/>
                <w:b/>
                <w:i/>
                <w:sz w:val="18"/>
                <w:szCs w:val="18"/>
              </w:rPr>
              <w:t>AND</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keepNext w:val="0"/>
              <w:widowControl w:val="0"/>
              <w:rPr>
                <w:rFonts w:cs="Arial"/>
                <w:strike/>
                <w:sz w:val="18"/>
                <w:szCs w:val="18"/>
              </w:rPr>
            </w:pPr>
            <w:r w:rsidRPr="00C952AF">
              <w:rPr>
                <w:rFonts w:eastAsia="Times New Roman"/>
                <w:b/>
                <w:color w:val="333333"/>
                <w:sz w:val="18"/>
                <w:szCs w:val="18"/>
              </w:rPr>
              <w:t>Clinical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keepNext w:val="0"/>
              <w:widowControl w:val="0"/>
              <w:rPr>
                <w:rFonts w:eastAsia="Times New Roman"/>
                <w:bCs w:val="0"/>
                <w:i/>
                <w:color w:val="333333"/>
                <w:sz w:val="18"/>
                <w:szCs w:val="18"/>
              </w:rPr>
            </w:pPr>
            <w:r w:rsidRPr="00C952AF">
              <w:rPr>
                <w:rFonts w:eastAsia="Times New Roman"/>
                <w:i/>
                <w:color w:val="333333"/>
                <w:sz w:val="18"/>
                <w:szCs w:val="18"/>
              </w:rPr>
              <w:t>Patient must have eosinophilic infiltration of the oesophagus, demonstrated by oesophageal biopsy specimens obtained by endoscopy confirming the presence of at least 15 eosinophils in at least one high powered field (corresponding to approximately 60 eosinophils per mm</w:t>
            </w:r>
            <w:r w:rsidRPr="00C952AF">
              <w:rPr>
                <w:rFonts w:eastAsia="Times New Roman"/>
                <w:i/>
                <w:color w:val="333333"/>
                <w:sz w:val="18"/>
                <w:szCs w:val="18"/>
                <w:vertAlign w:val="superscript"/>
              </w:rPr>
              <w:t>2</w:t>
            </w:r>
            <w:r w:rsidRPr="00C952AF">
              <w:rPr>
                <w:rFonts w:eastAsia="Times New Roman"/>
                <w:i/>
                <w:color w:val="333333"/>
                <w:sz w:val="18"/>
                <w:szCs w:val="18"/>
              </w:rPr>
              <w:t xml:space="preserve"> hpf).</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keepNext w:val="0"/>
              <w:widowControl w:val="0"/>
              <w:rPr>
                <w:rFonts w:cs="Arial"/>
                <w:strike/>
                <w:sz w:val="18"/>
                <w:szCs w:val="18"/>
              </w:rPr>
            </w:pPr>
            <w:r w:rsidRPr="00C952AF">
              <w:rPr>
                <w:rFonts w:cs="Arial"/>
                <w:strike/>
                <w:sz w:val="18"/>
                <w:szCs w:val="18"/>
              </w:rPr>
              <w:t>Patient must have a diagnosis of eosinophilic oesophagitis based on:</w:t>
            </w:r>
          </w:p>
          <w:p w:rsidR="00C92FE5" w:rsidRPr="00C952AF" w:rsidRDefault="00C92FE5" w:rsidP="0072762B">
            <w:pPr>
              <w:pStyle w:val="TableText0"/>
              <w:keepNext w:val="0"/>
              <w:widowControl w:val="0"/>
              <w:numPr>
                <w:ilvl w:val="0"/>
                <w:numId w:val="15"/>
              </w:numPr>
              <w:spacing w:before="20" w:after="20"/>
              <w:rPr>
                <w:rFonts w:cs="Arial"/>
                <w:strike/>
                <w:sz w:val="18"/>
                <w:szCs w:val="18"/>
              </w:rPr>
            </w:pPr>
            <w:r w:rsidRPr="00C952AF">
              <w:rPr>
                <w:rFonts w:cs="Arial"/>
                <w:strike/>
                <w:sz w:val="18"/>
                <w:szCs w:val="18"/>
              </w:rPr>
              <w:t xml:space="preserve">clinical presentation </w:t>
            </w:r>
          </w:p>
          <w:p w:rsidR="00C92FE5" w:rsidRPr="00C952AF" w:rsidRDefault="00C92FE5" w:rsidP="0072762B">
            <w:pPr>
              <w:pStyle w:val="TableText0"/>
              <w:keepNext w:val="0"/>
              <w:widowControl w:val="0"/>
              <w:numPr>
                <w:ilvl w:val="0"/>
                <w:numId w:val="15"/>
              </w:numPr>
              <w:spacing w:before="20" w:after="20"/>
              <w:rPr>
                <w:rFonts w:cs="Arial"/>
                <w:strike/>
                <w:sz w:val="18"/>
                <w:szCs w:val="18"/>
              </w:rPr>
            </w:pPr>
            <w:r w:rsidRPr="00C952AF">
              <w:rPr>
                <w:rFonts w:cs="Arial"/>
                <w:strike/>
                <w:sz w:val="18"/>
                <w:szCs w:val="18"/>
              </w:rPr>
              <w:t>endoscopic examination of the oesophagus and</w:t>
            </w:r>
          </w:p>
          <w:p w:rsidR="00C92FE5" w:rsidRPr="00C952AF" w:rsidRDefault="00C92FE5" w:rsidP="0072762B">
            <w:pPr>
              <w:pStyle w:val="TableText0"/>
              <w:keepNext w:val="0"/>
              <w:widowControl w:val="0"/>
              <w:numPr>
                <w:ilvl w:val="0"/>
                <w:numId w:val="15"/>
              </w:numPr>
              <w:spacing w:before="20" w:after="20"/>
              <w:rPr>
                <w:rFonts w:cs="Arial"/>
                <w:strike/>
                <w:sz w:val="18"/>
                <w:szCs w:val="18"/>
              </w:rPr>
            </w:pPr>
            <w:r w:rsidRPr="00C952AF">
              <w:rPr>
                <w:rFonts w:cs="Arial"/>
                <w:strike/>
                <w:sz w:val="18"/>
                <w:szCs w:val="18"/>
              </w:rPr>
              <w:t xml:space="preserve"> histologic assessment on oesophageal biopsy confirming presence of at least 15 eosinophils) in at least one high powered field (corresponding to approximately 60 eosinophils per mm</w:t>
            </w:r>
            <w:r w:rsidRPr="00C952AF">
              <w:rPr>
                <w:rFonts w:cs="Arial"/>
                <w:strike/>
                <w:sz w:val="18"/>
                <w:szCs w:val="18"/>
                <w:vertAlign w:val="superscript"/>
              </w:rPr>
              <w:t xml:space="preserve">2 </w:t>
            </w:r>
            <w:r w:rsidRPr="00C952AF">
              <w:rPr>
                <w:rFonts w:cs="Arial"/>
                <w:strike/>
                <w:sz w:val="18"/>
                <w:szCs w:val="18"/>
              </w:rPr>
              <w:t>hpf) and</w:t>
            </w:r>
          </w:p>
          <w:p w:rsidR="00C92FE5" w:rsidRPr="00C952AF" w:rsidRDefault="00C92FE5" w:rsidP="0072762B">
            <w:pPr>
              <w:pStyle w:val="TableText0"/>
              <w:keepNext w:val="0"/>
              <w:widowControl w:val="0"/>
              <w:numPr>
                <w:ilvl w:val="0"/>
                <w:numId w:val="15"/>
              </w:numPr>
              <w:spacing w:before="20" w:after="20"/>
              <w:rPr>
                <w:rFonts w:cs="Arial"/>
                <w:sz w:val="18"/>
                <w:szCs w:val="18"/>
              </w:rPr>
            </w:pPr>
            <w:r w:rsidRPr="00C952AF">
              <w:rPr>
                <w:rFonts w:cs="Arial"/>
                <w:strike/>
                <w:sz w:val="18"/>
                <w:szCs w:val="18"/>
              </w:rPr>
              <w:t>a thorough evaluation and exclusion of other potential causes of oesophageal eosinophilia</w:t>
            </w:r>
            <w:r w:rsidRPr="00C952AF">
              <w:rPr>
                <w:rFonts w:cs="Arial"/>
                <w:sz w:val="18"/>
                <w:szCs w:val="18"/>
              </w:rPr>
              <w:t>;</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rPr>
                <w:rFonts w:ascii="Arial Narrow" w:hAnsi="Arial Narrow"/>
                <w:b/>
                <w:bCs/>
                <w:color w:val="333333"/>
                <w:sz w:val="18"/>
                <w:szCs w:val="18"/>
              </w:rPr>
            </w:pPr>
            <w:r w:rsidRPr="00C952AF">
              <w:rPr>
                <w:rFonts w:ascii="Arial Narrow" w:hAnsi="Arial Narrow"/>
                <w:b/>
                <w:bCs/>
                <w:color w:val="333333"/>
                <w:sz w:val="18"/>
                <w:szCs w:val="18"/>
              </w:rPr>
              <w:t>AND</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rPr>
                <w:rFonts w:ascii="Arial Narrow" w:hAnsi="Arial Narrow"/>
                <w:b/>
                <w:bCs/>
                <w:color w:val="333333"/>
                <w:sz w:val="18"/>
                <w:szCs w:val="18"/>
              </w:rPr>
            </w:pPr>
            <w:r w:rsidRPr="00C952AF">
              <w:rPr>
                <w:rFonts w:ascii="Arial Narrow" w:hAnsi="Arial Narrow"/>
                <w:b/>
                <w:bCs/>
                <w:color w:val="333333"/>
                <w:sz w:val="18"/>
                <w:szCs w:val="18"/>
              </w:rPr>
              <w:t>Clinical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rPr>
                <w:rFonts w:ascii="Arial Narrow" w:hAnsi="Arial Narrow"/>
                <w:b/>
                <w:bCs/>
                <w:color w:val="333333"/>
                <w:sz w:val="18"/>
                <w:szCs w:val="18"/>
              </w:rPr>
            </w:pPr>
            <w:r w:rsidRPr="00C952AF">
              <w:rPr>
                <w:rFonts w:ascii="Arial Narrow" w:eastAsia="TimesNewRoman" w:hAnsi="Arial Narrow"/>
                <w:color w:val="000000"/>
                <w:sz w:val="18"/>
                <w:szCs w:val="18"/>
              </w:rPr>
              <w:t>Patient must not receive more than 90 days* of treatment under this restriction</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rPr>
                <w:rFonts w:ascii="Arial Narrow" w:hAnsi="Arial Narrow"/>
                <w:color w:val="333333"/>
                <w:sz w:val="18"/>
                <w:szCs w:val="18"/>
              </w:rPr>
            </w:pPr>
            <w:r w:rsidRPr="00C952AF">
              <w:rPr>
                <w:rFonts w:ascii="Arial Narrow" w:hAnsi="Arial Narrow"/>
                <w:b/>
                <w:bCs/>
                <w:color w:val="333333"/>
                <w:sz w:val="18"/>
                <w:szCs w:val="18"/>
              </w:rPr>
              <w:t>Treatment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autoSpaceDE w:val="0"/>
              <w:autoSpaceDN w:val="0"/>
              <w:adjustRightInd w:val="0"/>
              <w:rPr>
                <w:rFonts w:ascii="Arial Narrow" w:hAnsi="Arial Narrow" w:cs="Arial Narrow"/>
                <w:i/>
                <w:iCs/>
                <w:sz w:val="18"/>
                <w:szCs w:val="18"/>
              </w:rPr>
            </w:pPr>
            <w:r w:rsidRPr="00C952AF">
              <w:rPr>
                <w:rFonts w:ascii="Arial Narrow" w:hAnsi="Arial Narrow"/>
                <w:color w:val="333333"/>
                <w:sz w:val="18"/>
                <w:szCs w:val="18"/>
              </w:rPr>
              <w:t>Must be treated by a gastroenterologist.</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
                <w:bCs w:val="0"/>
                <w:i/>
                <w:color w:val="333333"/>
                <w:sz w:val="18"/>
                <w:szCs w:val="18"/>
              </w:rPr>
            </w:pPr>
            <w:r w:rsidRPr="00C952AF">
              <w:rPr>
                <w:rFonts w:eastAsia="Times New Roman"/>
                <w:b/>
                <w:i/>
                <w:color w:val="333333"/>
                <w:sz w:val="18"/>
                <w:szCs w:val="18"/>
              </w:rPr>
              <w:t>Prescribing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Cs w:val="0"/>
                <w:i/>
                <w:color w:val="333333"/>
                <w:sz w:val="18"/>
                <w:szCs w:val="18"/>
              </w:rPr>
            </w:pPr>
            <w:r w:rsidRPr="00C952AF">
              <w:rPr>
                <w:rFonts w:eastAsia="Times New Roman"/>
                <w:i/>
                <w:color w:val="333333"/>
                <w:sz w:val="18"/>
                <w:szCs w:val="18"/>
              </w:rPr>
              <w:t>Applications for treatment of this condition must be received within XX weeks of biopsy.</w:t>
            </w:r>
          </w:p>
        </w:tc>
      </w:tr>
      <w:tr w:rsidR="00C92FE5" w:rsidRPr="00287BAB"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287BAB"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Cs w:val="0"/>
                <w:i/>
                <w:color w:val="333333"/>
                <w:sz w:val="18"/>
                <w:szCs w:val="18"/>
              </w:rPr>
            </w:pPr>
            <w:r w:rsidRPr="00C952AF">
              <w:rPr>
                <w:rFonts w:eastAsia="Times New Roman"/>
                <w:b/>
                <w:i/>
                <w:color w:val="333333"/>
                <w:sz w:val="18"/>
                <w:szCs w:val="18"/>
              </w:rPr>
              <w:t xml:space="preserve">Administrative Advice: </w:t>
            </w:r>
            <w:r w:rsidRPr="00C952AF">
              <w:rPr>
                <w:rFonts w:eastAsia="Times New Roman"/>
                <w:i/>
                <w:color w:val="333333"/>
                <w:sz w:val="18"/>
                <w:szCs w:val="18"/>
              </w:rPr>
              <w:t>Symptoms of oesophageal dysfunction include at least one of the following: transient or self-cleared food impaction, chest pain, epigastric discomfort, vomiting/regurgitation.</w:t>
            </w:r>
          </w:p>
        </w:tc>
      </w:tr>
      <w:tr w:rsidR="00C92FE5" w:rsidRPr="00A875E4"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pStyle w:val="TableText0"/>
              <w:widowControl w:val="0"/>
              <w:rPr>
                <w:rFonts w:cs="Arial"/>
                <w:sz w:val="18"/>
                <w:szCs w:val="18"/>
              </w:rPr>
            </w:pPr>
            <w:r w:rsidRPr="00C952AF">
              <w:rPr>
                <w:rFonts w:eastAsia="Times New Roman"/>
                <w:b/>
                <w:color w:val="333333"/>
                <w:sz w:val="18"/>
                <w:szCs w:val="18"/>
              </w:rPr>
              <w:t xml:space="preserve">Administrative Advice: </w:t>
            </w:r>
            <w:r w:rsidRPr="00C952AF">
              <w:rPr>
                <w:rFonts w:cs="Arial"/>
                <w:sz w:val="18"/>
                <w:szCs w:val="18"/>
              </w:rPr>
              <w:t>Diagnostic sensitivity increases with the number of biopsies and is maximised after taking at least six biopsies (minimum of 2 collected from each of the distal, mid and proximal segments)</w:t>
            </w:r>
            <w:r w:rsidRPr="00C952AF">
              <w:rPr>
                <w:rFonts w:ascii="Calibri" w:eastAsiaTheme="minorHAnsi" w:hAnsi="Calibri" w:cstheme="minorBidi"/>
                <w:sz w:val="18"/>
                <w:szCs w:val="18"/>
                <w:lang w:eastAsia="en-US"/>
              </w:rPr>
              <w:t xml:space="preserve"> </w:t>
            </w:r>
            <w:r w:rsidRPr="00C952AF">
              <w:rPr>
                <w:rFonts w:cs="Arial"/>
                <w:sz w:val="18"/>
                <w:szCs w:val="18"/>
              </w:rPr>
              <w:t xml:space="preserve">from both normal and abnormal appearing areas of the oesophagus. </w:t>
            </w:r>
          </w:p>
        </w:tc>
      </w:tr>
      <w:tr w:rsidR="00C92FE5" w:rsidRPr="00A875E4"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
                <w:bCs w:val="0"/>
                <w:color w:val="333333"/>
                <w:sz w:val="18"/>
                <w:szCs w:val="18"/>
              </w:rPr>
            </w:pPr>
            <w:r w:rsidRPr="00C952AF">
              <w:rPr>
                <w:rFonts w:eastAsia="Times New Roman"/>
                <w:b/>
                <w:color w:val="333333"/>
                <w:sz w:val="18"/>
                <w:szCs w:val="18"/>
              </w:rPr>
              <w:t xml:space="preserve">Administrative Advice: </w:t>
            </w:r>
            <w:r w:rsidRPr="00C952AF">
              <w:rPr>
                <w:rFonts w:cs="Arial"/>
                <w:sz w:val="18"/>
                <w:szCs w:val="18"/>
              </w:rPr>
              <w:t>A histologic assessment on oesophageal biopsy of the patient should be planned to take place within 90 days of the first PBS-subsidised treatment with this drug under this restriction to determine the patient’s eligibility for “continuing therapy”.</w:t>
            </w:r>
          </w:p>
        </w:tc>
      </w:tr>
      <w:tr w:rsidR="00C92FE5" w:rsidRPr="00A875E4"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
                <w:bCs w:val="0"/>
                <w:color w:val="333333"/>
                <w:sz w:val="18"/>
                <w:szCs w:val="18"/>
              </w:rPr>
            </w:pPr>
            <w:r w:rsidRPr="00C952AF">
              <w:rPr>
                <w:rFonts w:eastAsia="Times New Roman"/>
                <w:b/>
                <w:i/>
                <w:color w:val="333333"/>
                <w:sz w:val="18"/>
                <w:szCs w:val="18"/>
              </w:rPr>
              <w:t>Administrative Advice:</w:t>
            </w:r>
          </w:p>
        </w:tc>
      </w:tr>
      <w:tr w:rsidR="00C92FE5" w:rsidRPr="00A875E4"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AC2F09"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Cs w:val="0"/>
                <w:i/>
                <w:color w:val="333333"/>
                <w:sz w:val="18"/>
                <w:szCs w:val="18"/>
              </w:rPr>
            </w:pPr>
            <w:r w:rsidRPr="00C952AF">
              <w:rPr>
                <w:rFonts w:eastAsia="Times New Roman"/>
                <w:i/>
                <w:color w:val="333333"/>
                <w:sz w:val="18"/>
                <w:szCs w:val="18"/>
              </w:rPr>
              <w:t>No increase in the maximum number of repeats may be authorised.</w:t>
            </w:r>
          </w:p>
        </w:tc>
      </w:tr>
      <w:tr w:rsidR="00C92FE5" w:rsidRPr="00A875E4"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AC2F09"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
                <w:bCs w:val="0"/>
                <w:i/>
                <w:color w:val="333333"/>
                <w:sz w:val="18"/>
                <w:szCs w:val="18"/>
              </w:rPr>
            </w:pPr>
            <w:r w:rsidRPr="00C952AF">
              <w:rPr>
                <w:rFonts w:eastAsia="Times New Roman"/>
                <w:b/>
                <w:i/>
                <w:color w:val="333333"/>
                <w:sz w:val="18"/>
                <w:szCs w:val="18"/>
              </w:rPr>
              <w:t>Administrative Advice:</w:t>
            </w:r>
          </w:p>
        </w:tc>
      </w:tr>
      <w:tr w:rsidR="00C92FE5" w:rsidRPr="00A875E4"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Cs w:val="0"/>
                <w:i/>
                <w:color w:val="333333"/>
                <w:sz w:val="18"/>
                <w:szCs w:val="18"/>
              </w:rPr>
            </w:pPr>
            <w:r w:rsidRPr="00C952AF">
              <w:rPr>
                <w:rFonts w:eastAsia="Times New Roman"/>
                <w:i/>
                <w:color w:val="333333"/>
                <w:sz w:val="18"/>
                <w:szCs w:val="18"/>
              </w:rPr>
              <w:t>No increase in the maximum quantity or number of units may be authorised.</w:t>
            </w:r>
          </w:p>
        </w:tc>
      </w:tr>
    </w:tbl>
    <w:p w:rsidR="00C92FE5" w:rsidRDefault="00C92FE5" w:rsidP="004F12CB">
      <w:pPr>
        <w:pStyle w:val="TableFigurecaption"/>
        <w:spacing w:after="240" w:line="240" w:lineRule="auto"/>
      </w:pPr>
      <w:r>
        <w:t xml:space="preserve">*Note: The restriction refers to 90 </w:t>
      </w:r>
      <w:r w:rsidRPr="00ED2837">
        <w:t>days initial treatment, as opposed to up to 12 weeks as recommended in the TGA approved Production Information for JORVEZA</w:t>
      </w:r>
      <w:r w:rsidRPr="00ED2837">
        <w:rPr>
          <w:rFonts w:cs="Arial"/>
          <w:vertAlign w:val="superscript"/>
        </w:rPr>
        <w:t>®</w:t>
      </w:r>
      <w:r w:rsidRPr="00ED2837">
        <w:t xml:space="preserve"> so as</w:t>
      </w:r>
      <w:r>
        <w:t xml:space="preserve"> to align with the 90-tablet pack size.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992"/>
        <w:gridCol w:w="992"/>
        <w:gridCol w:w="992"/>
        <w:gridCol w:w="850"/>
        <w:gridCol w:w="1277"/>
        <w:gridCol w:w="1275"/>
      </w:tblGrid>
      <w:tr w:rsidR="00367BFD" w:rsidRPr="009A610D" w:rsidTr="00423B30">
        <w:trPr>
          <w:cantSplit/>
          <w:trHeight w:val="471"/>
        </w:trPr>
        <w:tc>
          <w:tcPr>
            <w:tcW w:w="2689" w:type="dxa"/>
            <w:gridSpan w:val="2"/>
          </w:tcPr>
          <w:p w:rsidR="00367BFD" w:rsidRDefault="00367BFD" w:rsidP="0072762B">
            <w:pPr>
              <w:keepNext/>
              <w:ind w:left="22"/>
              <w:rPr>
                <w:rFonts w:ascii="Arial Narrow" w:hAnsi="Arial Narrow"/>
                <w:b/>
                <w:bCs/>
                <w:sz w:val="18"/>
                <w:szCs w:val="18"/>
              </w:rPr>
            </w:pPr>
            <w:r>
              <w:rPr>
                <w:rFonts w:ascii="Arial Narrow" w:hAnsi="Arial Narrow"/>
                <w:b/>
                <w:bCs/>
                <w:sz w:val="18"/>
                <w:szCs w:val="18"/>
              </w:rPr>
              <w:t>MEDICINAL PRODUCT</w:t>
            </w:r>
          </w:p>
          <w:p w:rsidR="00367BFD" w:rsidRPr="009A610D" w:rsidRDefault="00367BFD" w:rsidP="0072762B">
            <w:pPr>
              <w:keepNext/>
              <w:ind w:left="22"/>
              <w:rPr>
                <w:rFonts w:ascii="Arial Narrow" w:hAnsi="Arial Narrow"/>
                <w:b/>
                <w:sz w:val="18"/>
                <w:szCs w:val="18"/>
              </w:rPr>
            </w:pPr>
            <w:r>
              <w:rPr>
                <w:rFonts w:ascii="Arial Narrow" w:hAnsi="Arial Narrow"/>
                <w:b/>
                <w:bCs/>
                <w:sz w:val="18"/>
                <w:szCs w:val="18"/>
              </w:rPr>
              <w:t>medicinal product p</w:t>
            </w:r>
            <w:r w:rsidRPr="003A5B23">
              <w:rPr>
                <w:rFonts w:ascii="Arial Narrow" w:hAnsi="Arial Narrow"/>
                <w:b/>
                <w:bCs/>
                <w:sz w:val="18"/>
                <w:szCs w:val="18"/>
              </w:rPr>
              <w:t>ack</w:t>
            </w:r>
          </w:p>
        </w:tc>
        <w:tc>
          <w:tcPr>
            <w:tcW w:w="992" w:type="dxa"/>
          </w:tcPr>
          <w:p w:rsidR="00367BFD" w:rsidRPr="009A610D" w:rsidRDefault="00367BFD" w:rsidP="0072762B">
            <w:pPr>
              <w:keepNext/>
              <w:ind w:left="-108"/>
              <w:jc w:val="center"/>
              <w:rPr>
                <w:rFonts w:ascii="Arial Narrow" w:hAnsi="Arial Narrow"/>
                <w:b/>
                <w:sz w:val="18"/>
                <w:szCs w:val="18"/>
              </w:rPr>
            </w:pPr>
            <w:r>
              <w:rPr>
                <w:rFonts w:ascii="Arial Narrow" w:hAnsi="Arial Narrow"/>
                <w:b/>
                <w:sz w:val="18"/>
                <w:szCs w:val="18"/>
              </w:rPr>
              <w:t>PBS item code</w:t>
            </w:r>
          </w:p>
        </w:tc>
        <w:tc>
          <w:tcPr>
            <w:tcW w:w="992" w:type="dxa"/>
          </w:tcPr>
          <w:p w:rsidR="00367BFD" w:rsidRPr="009A610D" w:rsidRDefault="00367BFD" w:rsidP="0072762B">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992" w:type="dxa"/>
          </w:tcPr>
          <w:p w:rsidR="00367BFD" w:rsidRPr="009A610D" w:rsidRDefault="00367BFD" w:rsidP="0072762B">
            <w:pPr>
              <w:keepNext/>
              <w:ind w:left="-108"/>
              <w:jc w:val="center"/>
              <w:rPr>
                <w:rFonts w:ascii="Arial Narrow" w:hAnsi="Arial Narrow"/>
                <w:b/>
                <w:sz w:val="18"/>
                <w:szCs w:val="18"/>
              </w:rPr>
            </w:pPr>
            <w:r>
              <w:rPr>
                <w:rFonts w:ascii="Arial Narrow" w:hAnsi="Arial Narrow"/>
                <w:b/>
                <w:sz w:val="18"/>
                <w:szCs w:val="18"/>
              </w:rPr>
              <w:t>Max. qty units</w:t>
            </w:r>
          </w:p>
        </w:tc>
        <w:tc>
          <w:tcPr>
            <w:tcW w:w="850" w:type="dxa"/>
          </w:tcPr>
          <w:p w:rsidR="00367BFD" w:rsidRPr="009A610D" w:rsidRDefault="00367BFD" w:rsidP="0072762B">
            <w:pPr>
              <w:keepNext/>
              <w:ind w:left="-108"/>
              <w:jc w:val="center"/>
              <w:rPr>
                <w:rFonts w:ascii="Arial Narrow" w:hAnsi="Arial Narrow"/>
                <w:b/>
                <w:sz w:val="18"/>
                <w:szCs w:val="18"/>
              </w:rPr>
            </w:pPr>
            <w:r w:rsidRPr="009A610D">
              <w:rPr>
                <w:rFonts w:ascii="Arial Narrow" w:hAnsi="Arial Narrow"/>
                <w:b/>
                <w:sz w:val="18"/>
                <w:szCs w:val="18"/>
              </w:rPr>
              <w:t>№.of</w:t>
            </w:r>
            <w:r>
              <w:rPr>
                <w:rFonts w:ascii="Arial Narrow" w:hAnsi="Arial Narrow"/>
                <w:b/>
                <w:sz w:val="18"/>
                <w:szCs w:val="18"/>
              </w:rPr>
              <w:t xml:space="preserve"> </w:t>
            </w:r>
            <w:r>
              <w:rPr>
                <w:rFonts w:ascii="Arial Narrow" w:hAnsi="Arial Narrow"/>
                <w:b/>
                <w:sz w:val="18"/>
                <w:szCs w:val="18"/>
              </w:rPr>
              <w:br/>
              <w:t>Rpts</w:t>
            </w:r>
          </w:p>
        </w:tc>
        <w:tc>
          <w:tcPr>
            <w:tcW w:w="1277" w:type="dxa"/>
          </w:tcPr>
          <w:p w:rsidR="00367BFD" w:rsidRPr="009A610D" w:rsidRDefault="00367BFD" w:rsidP="0072762B">
            <w:pPr>
              <w:keepNext/>
              <w:ind w:left="-108"/>
              <w:jc w:val="center"/>
              <w:rPr>
                <w:rFonts w:ascii="Arial Narrow" w:hAnsi="Arial Narrow"/>
                <w:b/>
                <w:sz w:val="18"/>
                <w:szCs w:val="18"/>
              </w:rPr>
            </w:pPr>
            <w:r w:rsidRPr="00367BFD">
              <w:rPr>
                <w:rFonts w:ascii="Arial Narrow" w:hAnsi="Arial Narrow"/>
                <w:b/>
                <w:sz w:val="18"/>
                <w:szCs w:val="18"/>
              </w:rPr>
              <w:t>Dispensed price for maximum quantity</w:t>
            </w:r>
          </w:p>
        </w:tc>
        <w:tc>
          <w:tcPr>
            <w:tcW w:w="1275" w:type="dxa"/>
          </w:tcPr>
          <w:p w:rsidR="00367BFD" w:rsidRPr="009A610D" w:rsidRDefault="00367BFD" w:rsidP="0072762B">
            <w:pPr>
              <w:keepNext/>
              <w:rPr>
                <w:rFonts w:ascii="Arial Narrow" w:hAnsi="Arial Narrow"/>
                <w:b/>
                <w:sz w:val="18"/>
                <w:szCs w:val="18"/>
                <w:lang w:val="fr-FR"/>
              </w:rPr>
            </w:pPr>
            <w:r>
              <w:rPr>
                <w:rFonts w:ascii="Arial Narrow" w:hAnsi="Arial Narrow"/>
                <w:b/>
                <w:sz w:val="18"/>
                <w:szCs w:val="18"/>
              </w:rPr>
              <w:t>Available brands</w:t>
            </w:r>
          </w:p>
        </w:tc>
      </w:tr>
      <w:tr w:rsidR="00C92FE5" w:rsidRPr="001A5667" w:rsidTr="0072762B">
        <w:trPr>
          <w:cantSplit/>
          <w:trHeight w:val="224"/>
        </w:trPr>
        <w:tc>
          <w:tcPr>
            <w:tcW w:w="9067" w:type="dxa"/>
            <w:gridSpan w:val="8"/>
          </w:tcPr>
          <w:p w:rsidR="00C92FE5" w:rsidRPr="001A5667" w:rsidRDefault="00C92FE5" w:rsidP="0072762B">
            <w:pPr>
              <w:keepNext/>
              <w:ind w:left="22"/>
              <w:rPr>
                <w:rFonts w:ascii="Arial Narrow" w:hAnsi="Arial Narrow"/>
                <w:sz w:val="18"/>
                <w:szCs w:val="18"/>
              </w:rPr>
            </w:pPr>
            <w:r>
              <w:rPr>
                <w:rFonts w:ascii="Arial Narrow" w:hAnsi="Arial Narrow"/>
                <w:sz w:val="18"/>
                <w:szCs w:val="18"/>
              </w:rPr>
              <w:t>BUDESONIDE</w:t>
            </w:r>
          </w:p>
        </w:tc>
      </w:tr>
      <w:tr w:rsidR="00367BFD" w:rsidRPr="009A610D" w:rsidTr="00423B30">
        <w:trPr>
          <w:cantSplit/>
          <w:trHeight w:val="553"/>
        </w:trPr>
        <w:tc>
          <w:tcPr>
            <w:tcW w:w="2689" w:type="dxa"/>
            <w:gridSpan w:val="2"/>
          </w:tcPr>
          <w:p w:rsidR="00367BFD" w:rsidRPr="003803A0" w:rsidRDefault="00367BFD" w:rsidP="0072762B">
            <w:pPr>
              <w:keepNext/>
              <w:ind w:left="22"/>
              <w:rPr>
                <w:rFonts w:ascii="Arial Narrow" w:hAnsi="Arial Narrow"/>
                <w:sz w:val="18"/>
                <w:szCs w:val="18"/>
              </w:rPr>
            </w:pPr>
            <w:r w:rsidRPr="00114B0E">
              <w:rPr>
                <w:rFonts w:ascii="Arial Narrow" w:hAnsi="Arial Narrow"/>
                <w:sz w:val="18"/>
                <w:szCs w:val="18"/>
              </w:rPr>
              <w:t>budesonide 1 mg orally disintegrating tablet</w:t>
            </w:r>
            <w:r>
              <w:rPr>
                <w:rFonts w:ascii="Arial Narrow" w:hAnsi="Arial Narrow"/>
                <w:sz w:val="18"/>
                <w:szCs w:val="18"/>
              </w:rPr>
              <w:t>, 60</w:t>
            </w:r>
          </w:p>
        </w:tc>
        <w:tc>
          <w:tcPr>
            <w:tcW w:w="992" w:type="dxa"/>
          </w:tcPr>
          <w:p w:rsidR="00367BFD" w:rsidRPr="009A610D" w:rsidRDefault="00367BFD" w:rsidP="0072762B">
            <w:pPr>
              <w:keepNext/>
              <w:jc w:val="center"/>
              <w:rPr>
                <w:rFonts w:ascii="Arial Narrow" w:hAnsi="Arial Narrow"/>
                <w:sz w:val="18"/>
                <w:szCs w:val="18"/>
              </w:rPr>
            </w:pPr>
            <w:r>
              <w:rPr>
                <w:rFonts w:ascii="Arial Narrow" w:hAnsi="Arial Narrow"/>
                <w:sz w:val="18"/>
                <w:szCs w:val="18"/>
              </w:rPr>
              <w:t>NEW</w:t>
            </w:r>
          </w:p>
        </w:tc>
        <w:tc>
          <w:tcPr>
            <w:tcW w:w="992" w:type="dxa"/>
          </w:tcPr>
          <w:p w:rsidR="00367BFD" w:rsidRPr="009A610D" w:rsidRDefault="00367BFD" w:rsidP="0072762B">
            <w:pPr>
              <w:keepNext/>
              <w:jc w:val="center"/>
              <w:rPr>
                <w:rFonts w:ascii="Arial Narrow" w:hAnsi="Arial Narrow"/>
                <w:sz w:val="18"/>
                <w:szCs w:val="18"/>
              </w:rPr>
            </w:pPr>
            <w:r w:rsidRPr="009A610D">
              <w:rPr>
                <w:rFonts w:ascii="Arial Narrow" w:hAnsi="Arial Narrow"/>
                <w:sz w:val="18"/>
                <w:szCs w:val="18"/>
              </w:rPr>
              <w:t>1</w:t>
            </w:r>
          </w:p>
        </w:tc>
        <w:tc>
          <w:tcPr>
            <w:tcW w:w="992" w:type="dxa"/>
          </w:tcPr>
          <w:p w:rsidR="00367BFD" w:rsidRPr="009A610D" w:rsidRDefault="00367BFD" w:rsidP="0072762B">
            <w:pPr>
              <w:keepNext/>
              <w:jc w:val="center"/>
              <w:rPr>
                <w:rFonts w:ascii="Arial Narrow" w:hAnsi="Arial Narrow"/>
                <w:sz w:val="18"/>
                <w:szCs w:val="18"/>
              </w:rPr>
            </w:pPr>
            <w:r>
              <w:rPr>
                <w:rFonts w:ascii="Arial Narrow" w:hAnsi="Arial Narrow"/>
                <w:sz w:val="18"/>
                <w:szCs w:val="18"/>
              </w:rPr>
              <w:t>60</w:t>
            </w:r>
          </w:p>
        </w:tc>
        <w:tc>
          <w:tcPr>
            <w:tcW w:w="850" w:type="dxa"/>
          </w:tcPr>
          <w:p w:rsidR="00367BFD" w:rsidRPr="009A610D" w:rsidRDefault="00367BFD" w:rsidP="0072762B">
            <w:pPr>
              <w:keepNext/>
              <w:jc w:val="center"/>
              <w:rPr>
                <w:rFonts w:ascii="Arial Narrow" w:hAnsi="Arial Narrow"/>
                <w:sz w:val="18"/>
                <w:szCs w:val="18"/>
              </w:rPr>
            </w:pPr>
            <w:r>
              <w:rPr>
                <w:rFonts w:ascii="Arial Narrow" w:hAnsi="Arial Narrow"/>
                <w:sz w:val="18"/>
                <w:szCs w:val="18"/>
              </w:rPr>
              <w:t>5</w:t>
            </w:r>
          </w:p>
        </w:tc>
        <w:tc>
          <w:tcPr>
            <w:tcW w:w="1277" w:type="dxa"/>
          </w:tcPr>
          <w:p w:rsidR="00367BFD" w:rsidRPr="009A610D" w:rsidRDefault="00423B30" w:rsidP="0072762B">
            <w:pPr>
              <w:keepNext/>
              <w:jc w:val="center"/>
              <w:rPr>
                <w:rFonts w:ascii="Arial Narrow" w:hAnsi="Arial Narrow"/>
                <w:sz w:val="18"/>
                <w:szCs w:val="18"/>
              </w:rPr>
            </w:pPr>
            <w:r w:rsidRPr="00423B30">
              <w:rPr>
                <w:rFonts w:ascii="Arial Narrow" w:hAnsi="Arial Narrow"/>
                <w:sz w:val="18"/>
                <w:szCs w:val="18"/>
              </w:rPr>
              <w:t>$</w:t>
            </w:r>
            <w:r w:rsidR="00D02986">
              <w:rPr>
                <w:rFonts w:ascii="Arial Narrow" w:hAnsi="Arial Narrow"/>
                <w:noProof/>
                <w:color w:val="000000"/>
                <w:sz w:val="18"/>
                <w:szCs w:val="18"/>
                <w:highlight w:val="black"/>
              </w:rPr>
              <w:t>''''''''''''''''</w:t>
            </w:r>
          </w:p>
        </w:tc>
        <w:tc>
          <w:tcPr>
            <w:tcW w:w="1275" w:type="dxa"/>
          </w:tcPr>
          <w:p w:rsidR="00367BFD" w:rsidRPr="009A610D" w:rsidRDefault="00367BFD" w:rsidP="0072762B">
            <w:pPr>
              <w:keepNext/>
              <w:rPr>
                <w:rFonts w:ascii="Arial Narrow" w:hAnsi="Arial Narrow"/>
                <w:sz w:val="18"/>
                <w:szCs w:val="18"/>
              </w:rPr>
            </w:pPr>
            <w:r w:rsidRPr="009238D8">
              <w:rPr>
                <w:rFonts w:ascii="Arial Narrow" w:hAnsi="Arial Narrow"/>
                <w:sz w:val="18"/>
                <w:szCs w:val="18"/>
              </w:rPr>
              <w:t>Jorveza</w:t>
            </w:r>
          </w:p>
        </w:tc>
      </w:tr>
      <w:tr w:rsidR="00C92FE5" w:rsidRPr="0020649C" w:rsidTr="0072762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rsidR="00C92FE5" w:rsidRPr="0020649C" w:rsidRDefault="00C92FE5" w:rsidP="0072762B">
            <w:pPr>
              <w:ind w:left="57"/>
              <w:rPr>
                <w:rFonts w:ascii="Arial Narrow" w:hAnsi="Arial Narrow"/>
                <w:b/>
                <w:sz w:val="18"/>
                <w:szCs w:val="18"/>
              </w:rPr>
            </w:pPr>
          </w:p>
        </w:tc>
      </w:tr>
      <w:tr w:rsidR="00C92FE5" w:rsidRPr="0020649C" w:rsidTr="0072762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rsidR="00C92FE5" w:rsidRPr="00507253" w:rsidRDefault="00C92FE5" w:rsidP="0072762B">
            <w:pPr>
              <w:ind w:left="57"/>
              <w:rPr>
                <w:rFonts w:ascii="Arial Narrow" w:hAnsi="Arial Narrow"/>
                <w:b/>
                <w:sz w:val="18"/>
                <w:szCs w:val="18"/>
              </w:rPr>
            </w:pPr>
            <w:r w:rsidRPr="00507253">
              <w:rPr>
                <w:rFonts w:ascii="Arial Narrow" w:hAnsi="Arial Narrow"/>
                <w:b/>
                <w:sz w:val="18"/>
                <w:szCs w:val="18"/>
              </w:rPr>
              <w:t>Restriction Summary [new]</w:t>
            </w:r>
            <w:r>
              <w:rPr>
                <w:rFonts w:ascii="Arial Narrow" w:hAnsi="Arial Narrow"/>
                <w:b/>
                <w:sz w:val="18"/>
                <w:szCs w:val="18"/>
              </w:rPr>
              <w:t xml:space="preserve"> </w:t>
            </w:r>
            <w:r w:rsidRPr="00507253">
              <w:rPr>
                <w:rFonts w:ascii="Arial Narrow" w:hAnsi="Arial Narrow"/>
                <w:b/>
                <w:sz w:val="18"/>
                <w:szCs w:val="18"/>
              </w:rPr>
              <w:t>/ Treatment of Concept: [new]</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C92FE5" w:rsidRPr="00507253" w:rsidRDefault="00C92FE5" w:rsidP="0072762B">
            <w:pPr>
              <w:jc w:val="center"/>
              <w:rPr>
                <w:rFonts w:ascii="Arial Narrow" w:hAnsi="Arial Narrow"/>
                <w:b/>
                <w:sz w:val="18"/>
                <w:szCs w:val="18"/>
              </w:rPr>
            </w:pPr>
            <w:r w:rsidRPr="00507253">
              <w:rPr>
                <w:rFonts w:ascii="Arial Narrow" w:hAnsi="Arial Narrow"/>
                <w:b/>
                <w:sz w:val="18"/>
                <w:szCs w:val="18"/>
              </w:rPr>
              <w:t>Concept ID</w:t>
            </w:r>
          </w:p>
          <w:p w:rsidR="00C92FE5" w:rsidRDefault="00C92FE5" w:rsidP="0072762B">
            <w:pPr>
              <w:rPr>
                <w:rFonts w:ascii="Arial Narrow" w:hAnsi="Arial Narrow"/>
                <w:i/>
                <w:sz w:val="18"/>
                <w:szCs w:val="18"/>
              </w:rPr>
            </w:pPr>
          </w:p>
          <w:p w:rsidR="00C92FE5" w:rsidRPr="00507253" w:rsidRDefault="00C92FE5" w:rsidP="005B70A5">
            <w:pPr>
              <w:rPr>
                <w:rFonts w:ascii="Arial Narrow" w:hAnsi="Arial Narrow"/>
                <w:b/>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C92FE5" w:rsidRPr="00120A12" w:rsidRDefault="00C92FE5" w:rsidP="0072762B">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 xml:space="preserve">GENERAL – General Schedule (Code GE) </w:t>
            </w:r>
          </w:p>
        </w:tc>
      </w:tr>
      <w:tr w:rsidR="00C92FE5" w:rsidRPr="00772067" w:rsidTr="0072762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C92FE5" w:rsidRPr="0020649C" w:rsidRDefault="00C92FE5" w:rsidP="0072762B">
            <w:pPr>
              <w:rPr>
                <w:rFonts w:ascii="Arial Narrow" w:hAnsi="Arial Narrow"/>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C92FE5" w:rsidRPr="00772067" w:rsidRDefault="00C92FE5" w:rsidP="0072762B">
            <w:pPr>
              <w:rPr>
                <w:rFonts w:ascii="Arial Narrow" w:hAnsi="Arial Narrow"/>
                <w:b/>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753728">
              <w:rPr>
                <w:rFonts w:ascii="Arial Narrow" w:hAnsi="Arial Narrow"/>
                <w:sz w:val="18"/>
                <w:szCs w:val="18"/>
              </w:rPr>
            </w:r>
            <w:r w:rsidR="0075372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p>
        </w:tc>
      </w:tr>
      <w:tr w:rsidR="00C92FE5" w:rsidRPr="00677540" w:rsidTr="0072762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C92FE5" w:rsidRPr="0020649C" w:rsidRDefault="00C92FE5" w:rsidP="0072762B">
            <w:pPr>
              <w:rPr>
                <w:rFonts w:ascii="Arial Narrow" w:hAnsi="Arial Narrow"/>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C92FE5" w:rsidRPr="00BB270D" w:rsidRDefault="00C92FE5" w:rsidP="0072762B">
            <w:pPr>
              <w:rPr>
                <w:rFonts w:ascii="Arial Narrow" w:hAnsi="Arial Narrow"/>
                <w:b/>
                <w:sz w:val="18"/>
                <w:szCs w:val="18"/>
              </w:rPr>
            </w:pPr>
            <w:r w:rsidRPr="0020649C">
              <w:rPr>
                <w:rFonts w:ascii="Arial Narrow" w:hAnsi="Arial Narrow"/>
                <w:b/>
                <w:sz w:val="18"/>
                <w:szCs w:val="18"/>
              </w:rPr>
              <w:t xml:space="preserve">Restriction </w:t>
            </w:r>
            <w:r>
              <w:rPr>
                <w:rFonts w:ascii="Arial Narrow" w:hAnsi="Arial Narrow"/>
                <w:b/>
                <w:sz w:val="18"/>
                <w:szCs w:val="18"/>
              </w:rPr>
              <w:t xml:space="preserve">type: </w:t>
            </w:r>
          </w:p>
          <w:p w:rsidR="00C92FE5" w:rsidRPr="00F86065" w:rsidRDefault="00C92FE5" w:rsidP="0072762B">
            <w:pPr>
              <w:rPr>
                <w:rFonts w:ascii="Arial Narrow" w:eastAsia="Calibri" w:hAnsi="Arial Narrow"/>
                <w:sz w:val="18"/>
                <w:szCs w:val="18"/>
              </w:rPr>
            </w:pPr>
            <w:r w:rsidRPr="00F86065">
              <w:rPr>
                <w:rFonts w:ascii="Arial Narrow" w:eastAsia="Calibri" w:hAnsi="Arial Narrow"/>
                <w:sz w:val="18"/>
                <w:szCs w:val="18"/>
              </w:rPr>
              <w:fldChar w:fldCharType="begin">
                <w:ffData>
                  <w:name w:val="Check1"/>
                  <w:enabled/>
                  <w:calcOnExit w:val="0"/>
                  <w:checkBox>
                    <w:sizeAuto/>
                    <w:default w:val="0"/>
                  </w:checkBox>
                </w:ffData>
              </w:fldChar>
            </w:r>
            <w:r w:rsidRPr="00F86065">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sidRPr="00F86065">
              <w:rPr>
                <w:rFonts w:ascii="Arial Narrow" w:eastAsia="Calibri" w:hAnsi="Arial Narrow"/>
                <w:sz w:val="18"/>
                <w:szCs w:val="18"/>
              </w:rPr>
              <w:fldChar w:fldCharType="end"/>
            </w:r>
            <w:r w:rsidRPr="00F86065">
              <w:rPr>
                <w:rFonts w:ascii="Arial Narrow" w:eastAsia="Calibri" w:hAnsi="Arial Narrow"/>
                <w:sz w:val="18"/>
                <w:szCs w:val="18"/>
              </w:rPr>
              <w:t>Unrestricted benefit</w:t>
            </w:r>
          </w:p>
          <w:p w:rsidR="00C92FE5" w:rsidRPr="00F86065" w:rsidRDefault="00C92FE5" w:rsidP="0072762B">
            <w:pPr>
              <w:rPr>
                <w:rFonts w:ascii="Arial Narrow" w:eastAsia="Calibri" w:hAnsi="Arial Narrow"/>
                <w:sz w:val="18"/>
                <w:szCs w:val="18"/>
              </w:rPr>
            </w:pPr>
            <w:r w:rsidRPr="00F86065">
              <w:rPr>
                <w:rFonts w:ascii="Arial Narrow" w:eastAsia="Calibri" w:hAnsi="Arial Narrow"/>
                <w:sz w:val="18"/>
                <w:szCs w:val="18"/>
              </w:rPr>
              <w:fldChar w:fldCharType="begin">
                <w:ffData>
                  <w:name w:val="Check1"/>
                  <w:enabled/>
                  <w:calcOnExit w:val="0"/>
                  <w:checkBox>
                    <w:sizeAuto/>
                    <w:default w:val="0"/>
                  </w:checkBox>
                </w:ffData>
              </w:fldChar>
            </w:r>
            <w:r w:rsidRPr="00F86065">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sidRPr="00F86065">
              <w:rPr>
                <w:rFonts w:ascii="Arial Narrow" w:eastAsia="Calibri" w:hAnsi="Arial Narrow"/>
                <w:sz w:val="18"/>
                <w:szCs w:val="18"/>
              </w:rPr>
              <w:fldChar w:fldCharType="end"/>
            </w:r>
            <w:r w:rsidRPr="00F86065">
              <w:rPr>
                <w:rFonts w:ascii="Arial Narrow" w:eastAsia="Calibri" w:hAnsi="Arial Narrow"/>
                <w:sz w:val="18"/>
                <w:szCs w:val="18"/>
              </w:rPr>
              <w:t>Restricted benefit</w:t>
            </w:r>
          </w:p>
          <w:p w:rsidR="00C92FE5" w:rsidRPr="00AB5FAC" w:rsidRDefault="00C92FE5" w:rsidP="0072762B">
            <w:pPr>
              <w:rPr>
                <w:rFonts w:ascii="Arial Narrow" w:eastAsia="Calibri" w:hAnsi="Arial Narrow"/>
                <w:color w:val="FF00FF"/>
                <w:sz w:val="18"/>
                <w:szCs w:val="18"/>
              </w:rPr>
            </w:pP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Pr>
                <w:rFonts w:ascii="Arial Narrow" w:eastAsia="Calibri" w:hAnsi="Arial Narrow"/>
                <w:sz w:val="18"/>
                <w:szCs w:val="18"/>
              </w:rPr>
              <w:fldChar w:fldCharType="end"/>
            </w:r>
            <w:r w:rsidRPr="008F3A2C">
              <w:rPr>
                <w:rFonts w:ascii="Arial Narrow" w:eastAsia="Calibri" w:hAnsi="Arial Narrow"/>
                <w:strike/>
                <w:sz w:val="18"/>
                <w:szCs w:val="18"/>
              </w:rPr>
              <w:t>Authority Required – Streamlined [new code]</w:t>
            </w:r>
            <w:r w:rsidRPr="00F86065">
              <w:rPr>
                <w:rFonts w:ascii="Arial Narrow" w:eastAsia="Calibri" w:hAnsi="Arial Narrow"/>
                <w:sz w:val="18"/>
                <w:szCs w:val="18"/>
              </w:rPr>
              <w:t xml:space="preserve"> </w:t>
            </w:r>
          </w:p>
          <w:p w:rsidR="00C92FE5" w:rsidRPr="008F3A2C" w:rsidRDefault="00C92FE5" w:rsidP="0072762B">
            <w:pPr>
              <w:rPr>
                <w:rFonts w:ascii="Arial Narrow" w:eastAsia="Calibri" w:hAnsi="Arial Narrow"/>
                <w:i/>
                <w:sz w:val="18"/>
                <w:szCs w:val="18"/>
              </w:rPr>
            </w:pP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Pr>
                <w:rFonts w:ascii="Arial Narrow" w:eastAsia="Calibri" w:hAnsi="Arial Narrow"/>
                <w:sz w:val="18"/>
                <w:szCs w:val="18"/>
              </w:rPr>
              <w:fldChar w:fldCharType="end"/>
            </w:r>
            <w:r w:rsidRPr="008F3A2C">
              <w:rPr>
                <w:rFonts w:ascii="Arial Narrow" w:eastAsia="Calibri" w:hAnsi="Arial Narrow"/>
                <w:i/>
                <w:sz w:val="18"/>
                <w:szCs w:val="18"/>
              </w:rPr>
              <w:t>Authority Required – immediate/real time assessment by Services Australia (telephone/online)</w:t>
            </w:r>
          </w:p>
          <w:p w:rsidR="00C92FE5" w:rsidRPr="00677540" w:rsidRDefault="00C92FE5" w:rsidP="0072762B">
            <w:pPr>
              <w:rPr>
                <w:rFonts w:ascii="Arial Narrow" w:eastAsia="Calibri" w:hAnsi="Arial Narrow"/>
                <w:color w:val="FF00FF"/>
                <w:sz w:val="18"/>
                <w:szCs w:val="18"/>
              </w:rPr>
            </w:pPr>
            <w:r w:rsidRPr="00F86065">
              <w:rPr>
                <w:rFonts w:ascii="Arial Narrow" w:eastAsia="Calibri" w:hAnsi="Arial Narrow"/>
                <w:sz w:val="18"/>
                <w:szCs w:val="18"/>
              </w:rPr>
              <w:fldChar w:fldCharType="begin">
                <w:ffData>
                  <w:name w:val=""/>
                  <w:enabled/>
                  <w:calcOnExit w:val="0"/>
                  <w:checkBox>
                    <w:sizeAuto/>
                    <w:default w:val="0"/>
                  </w:checkBox>
                </w:ffData>
              </w:fldChar>
            </w:r>
            <w:r w:rsidRPr="00F86065">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sidRPr="00F86065">
              <w:rPr>
                <w:rFonts w:ascii="Arial Narrow" w:eastAsia="Calibri" w:hAnsi="Arial Narrow"/>
                <w:sz w:val="18"/>
                <w:szCs w:val="18"/>
              </w:rPr>
              <w:fldChar w:fldCharType="end"/>
            </w:r>
            <w:r w:rsidRPr="00F86065">
              <w:rPr>
                <w:rFonts w:ascii="Arial Narrow" w:eastAsia="Calibri" w:hAnsi="Arial Narrow"/>
                <w:sz w:val="18"/>
                <w:szCs w:val="18"/>
              </w:rPr>
              <w:t xml:space="preserve">Authority Required – </w:t>
            </w:r>
            <w:r>
              <w:rPr>
                <w:rFonts w:ascii="Arial Narrow" w:eastAsia="Calibri" w:hAnsi="Arial Narrow"/>
                <w:sz w:val="18"/>
                <w:szCs w:val="18"/>
              </w:rPr>
              <w:t>non-immediate/</w:t>
            </w:r>
            <w:r w:rsidRPr="00F86065">
              <w:rPr>
                <w:rFonts w:ascii="Arial Narrow" w:eastAsia="Calibri" w:hAnsi="Arial Narrow"/>
                <w:sz w:val="18"/>
                <w:szCs w:val="18"/>
              </w:rPr>
              <w:t xml:space="preserve">delayed assessment by </w:t>
            </w:r>
            <w:r>
              <w:rPr>
                <w:rFonts w:ascii="Arial Narrow" w:eastAsia="Calibri" w:hAnsi="Arial Narrow"/>
                <w:sz w:val="18"/>
                <w:szCs w:val="18"/>
              </w:rPr>
              <w:t>Services Australia</w:t>
            </w:r>
            <w:r w:rsidRPr="00F86065">
              <w:rPr>
                <w:rFonts w:ascii="Arial Narrow" w:eastAsia="Calibri" w:hAnsi="Arial Narrow"/>
                <w:sz w:val="18"/>
                <w:szCs w:val="18"/>
              </w:rPr>
              <w:t xml:space="preserve"> (In-writing only via mail/postal service or electronic upload to Hobart)</w:t>
            </w:r>
            <w:r>
              <w:rPr>
                <w:rFonts w:ascii="Arial Narrow" w:eastAsia="Calibri" w:hAnsi="Arial Narrow"/>
                <w:sz w:val="18"/>
                <w:szCs w:val="18"/>
              </w:rPr>
              <w:t xml:space="preserve"> </w:t>
            </w:r>
          </w:p>
        </w:tc>
      </w:tr>
      <w:tr w:rsidR="00C92FE5" w:rsidRPr="001A310D" w:rsidTr="0072762B">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1A310D" w:rsidRDefault="00C92FE5" w:rsidP="0072762B">
            <w:pPr>
              <w:rPr>
                <w:rFonts w:ascii="Arial Narrow" w:hAnsi="Arial Narrow"/>
                <w:bCs/>
                <w:color w:val="333333"/>
                <w:sz w:val="18"/>
                <w:szCs w:val="18"/>
              </w:rPr>
            </w:pPr>
            <w:r>
              <w:rPr>
                <w:rFonts w:ascii="Arial Narrow" w:hAnsi="Arial Narrow"/>
                <w:b/>
                <w:bCs/>
                <w:color w:val="333333"/>
                <w:sz w:val="18"/>
                <w:szCs w:val="18"/>
              </w:rPr>
              <w:t xml:space="preserve">Episodicity: </w:t>
            </w:r>
            <w:r>
              <w:rPr>
                <w:rFonts w:ascii="Arial Narrow" w:hAnsi="Arial Narrow"/>
                <w:bCs/>
                <w:color w:val="333333"/>
                <w:sz w:val="18"/>
                <w:szCs w:val="18"/>
              </w:rPr>
              <w:t>blank</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120A12" w:rsidRDefault="00C92FE5" w:rsidP="0072762B">
            <w:pPr>
              <w:rPr>
                <w:rFonts w:ascii="Arial Narrow" w:hAnsi="Arial Narrow"/>
                <w:b/>
                <w:bCs/>
                <w:color w:val="333333"/>
                <w:sz w:val="18"/>
                <w:szCs w:val="18"/>
              </w:rPr>
            </w:pPr>
            <w:r>
              <w:rPr>
                <w:rFonts w:ascii="Arial Narrow" w:hAnsi="Arial Narrow"/>
                <w:b/>
                <w:bCs/>
                <w:color w:val="333333"/>
                <w:sz w:val="18"/>
                <w:szCs w:val="18"/>
              </w:rPr>
              <w:t xml:space="preserve">Severity: </w:t>
            </w:r>
            <w:r>
              <w:rPr>
                <w:rFonts w:ascii="Arial Narrow" w:hAnsi="Arial Narrow"/>
                <w:bCs/>
                <w:color w:val="333333"/>
                <w:sz w:val="18"/>
                <w:szCs w:val="18"/>
              </w:rPr>
              <w:t>blank</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120A12" w:rsidRDefault="00C92FE5" w:rsidP="0072762B">
            <w:pPr>
              <w:rPr>
                <w:rFonts w:ascii="Arial Narrow" w:hAnsi="Arial Narrow"/>
                <w:b/>
                <w:bCs/>
                <w:color w:val="333333"/>
                <w:sz w:val="18"/>
                <w:szCs w:val="18"/>
              </w:rPr>
            </w:pPr>
            <w:r>
              <w:rPr>
                <w:rFonts w:ascii="Arial Narrow" w:hAnsi="Arial Narrow"/>
                <w:b/>
                <w:bCs/>
                <w:color w:val="333333"/>
                <w:sz w:val="18"/>
                <w:szCs w:val="18"/>
              </w:rPr>
              <w:t xml:space="preserve">Condition: </w:t>
            </w:r>
            <w:r>
              <w:rPr>
                <w:rFonts w:ascii="Arial Narrow" w:hAnsi="Arial Narrow"/>
                <w:bCs/>
                <w:color w:val="333333"/>
                <w:sz w:val="18"/>
                <w:szCs w:val="18"/>
              </w:rPr>
              <w:t>Eosinophilic oesophagitis</w:t>
            </w:r>
          </w:p>
        </w:tc>
      </w:tr>
      <w:tr w:rsidR="00C92FE5" w:rsidRPr="00120A12"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120A12" w:rsidRDefault="00C92FE5" w:rsidP="0072762B">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w:t>
            </w:r>
            <w:r>
              <w:rPr>
                <w:rFonts w:ascii="Arial Narrow" w:hAnsi="Arial Narrow"/>
                <w:bCs/>
                <w:color w:val="333333"/>
                <w:sz w:val="18"/>
                <w:szCs w:val="18"/>
              </w:rPr>
              <w:t>Eosinophilic oesophagitis</w:t>
            </w:r>
          </w:p>
        </w:tc>
      </w:tr>
      <w:tr w:rsidR="00C92FE5" w:rsidRPr="00B90897"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B90897" w:rsidRDefault="00C92FE5" w:rsidP="0072762B">
            <w:pPr>
              <w:rPr>
                <w:rFonts w:ascii="Arial Narrow" w:hAnsi="Arial Narrow"/>
                <w:color w:val="FF00FF"/>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3D3E8A">
              <w:rPr>
                <w:rFonts w:ascii="Arial Narrow" w:hAnsi="Arial Narrow"/>
                <w:bCs/>
                <w:color w:val="333333"/>
                <w:sz w:val="18"/>
                <w:szCs w:val="18"/>
              </w:rPr>
              <w:t>First continuing treatment</w:t>
            </w:r>
            <w:r>
              <w:rPr>
                <w:rFonts w:ascii="Arial Narrow" w:hAnsi="Arial Narrow"/>
                <w:bCs/>
                <w:color w:val="333333"/>
                <w:sz w:val="18"/>
                <w:szCs w:val="18"/>
              </w:rPr>
              <w:t xml:space="preserve"> – confirmation of remission</w:t>
            </w:r>
          </w:p>
        </w:tc>
      </w:tr>
      <w:tr w:rsidR="00C92FE5" w:rsidRPr="007F2BB2"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rPr>
                <w:rFonts w:ascii="Arial Narrow" w:hAnsi="Arial Narrow"/>
                <w:color w:val="FF00FF"/>
                <w:sz w:val="18"/>
                <w:szCs w:val="18"/>
              </w:rPr>
            </w:pPr>
            <w:r w:rsidRPr="00C952AF">
              <w:rPr>
                <w:rFonts w:ascii="Arial Narrow" w:hAnsi="Arial Narrow"/>
                <w:b/>
                <w:bCs/>
                <w:color w:val="333333"/>
                <w:sz w:val="18"/>
                <w:szCs w:val="18"/>
              </w:rPr>
              <w:t>Clinical criteria:</w:t>
            </w:r>
          </w:p>
        </w:tc>
      </w:tr>
      <w:tr w:rsidR="00C92FE5" w:rsidRPr="007F2BB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cs="Arial"/>
                <w:strike/>
                <w:sz w:val="18"/>
                <w:szCs w:val="18"/>
              </w:rPr>
            </w:pPr>
            <w:r w:rsidRPr="00C952AF">
              <w:rPr>
                <w:rFonts w:cs="Arial"/>
                <w:strike/>
                <w:sz w:val="18"/>
                <w:szCs w:val="18"/>
              </w:rPr>
              <w:t xml:space="preserve">Patient must have previously been issued with an authority prescription for </w:t>
            </w:r>
            <w:r w:rsidRPr="00C952AF">
              <w:rPr>
                <w:rFonts w:cs="Arial"/>
                <w:strike/>
                <w:sz w:val="18"/>
                <w:szCs w:val="18"/>
                <w:u w:val="single"/>
              </w:rPr>
              <w:t>initial</w:t>
            </w:r>
            <w:r w:rsidRPr="00C952AF">
              <w:rPr>
                <w:rFonts w:cs="Arial"/>
                <w:strike/>
                <w:sz w:val="18"/>
                <w:szCs w:val="18"/>
              </w:rPr>
              <w:t xml:space="preserve"> treatment with this drug;</w:t>
            </w:r>
          </w:p>
          <w:p w:rsidR="00C92FE5" w:rsidRPr="00C952AF" w:rsidRDefault="00C92FE5" w:rsidP="0072762B">
            <w:pPr>
              <w:pStyle w:val="TableText0"/>
              <w:widowControl w:val="0"/>
              <w:rPr>
                <w:rFonts w:cs="Arial"/>
                <w:i/>
                <w:sz w:val="18"/>
                <w:szCs w:val="18"/>
              </w:rPr>
            </w:pPr>
            <w:r w:rsidRPr="00C952AF">
              <w:rPr>
                <w:rFonts w:eastAsia="Times New Roman"/>
                <w:i/>
                <w:color w:val="333333"/>
                <w:sz w:val="18"/>
                <w:szCs w:val="18"/>
              </w:rPr>
              <w:t>Patient must have previously received PBS-subsidised initial treatment with this drug for this condition in this treatment cycle.</w:t>
            </w:r>
          </w:p>
        </w:tc>
      </w:tr>
      <w:tr w:rsidR="00C92FE5" w:rsidRPr="007F2BB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cs="Arial"/>
                <w:b/>
                <w:sz w:val="18"/>
                <w:szCs w:val="18"/>
              </w:rPr>
            </w:pPr>
            <w:r w:rsidRPr="00C952AF">
              <w:rPr>
                <w:rFonts w:cs="Arial"/>
                <w:b/>
                <w:sz w:val="18"/>
                <w:szCs w:val="18"/>
              </w:rPr>
              <w:t>AND</w:t>
            </w:r>
          </w:p>
        </w:tc>
      </w:tr>
      <w:tr w:rsidR="00C92FE5" w:rsidRPr="007F2BB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cs="Arial"/>
                <w:b/>
                <w:sz w:val="18"/>
                <w:szCs w:val="18"/>
              </w:rPr>
            </w:pPr>
            <w:r w:rsidRPr="00C952AF">
              <w:rPr>
                <w:rFonts w:eastAsia="Times New Roman"/>
                <w:b/>
                <w:color w:val="333333"/>
                <w:sz w:val="18"/>
                <w:szCs w:val="18"/>
              </w:rPr>
              <w:t>Clinical criteria:</w:t>
            </w:r>
          </w:p>
        </w:tc>
      </w:tr>
      <w:tr w:rsidR="00C92FE5" w:rsidRPr="007F2BB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cs="Arial"/>
                <w:sz w:val="18"/>
                <w:szCs w:val="18"/>
              </w:rPr>
            </w:pPr>
            <w:r w:rsidRPr="00C952AF">
              <w:rPr>
                <w:rFonts w:cs="Arial"/>
                <w:sz w:val="18"/>
                <w:szCs w:val="18"/>
              </w:rPr>
              <w:t>Patient must have documented evidence of having achieved histologic remission while receiving initial PBS-subsidised treatment with this drug for this condition, defined as a peak eosinophil count of less than 5 eosinophils per high power field (corresponding to less than 16 eosinophils per mm</w:t>
            </w:r>
            <w:r w:rsidRPr="00C952AF">
              <w:rPr>
                <w:rFonts w:cs="Arial"/>
                <w:sz w:val="18"/>
                <w:szCs w:val="18"/>
                <w:vertAlign w:val="superscript"/>
              </w:rPr>
              <w:t>2</w:t>
            </w:r>
            <w:r w:rsidRPr="00C952AF">
              <w:rPr>
                <w:rFonts w:cs="Arial"/>
                <w:sz w:val="18"/>
                <w:szCs w:val="18"/>
              </w:rPr>
              <w:t xml:space="preserve"> high power field on oesophageal biopsy);</w:t>
            </w:r>
          </w:p>
        </w:tc>
      </w:tr>
      <w:tr w:rsidR="00C92FE5" w:rsidRPr="007F2BB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cs="Arial"/>
                <w:b/>
                <w:sz w:val="18"/>
                <w:szCs w:val="18"/>
              </w:rPr>
            </w:pPr>
            <w:r w:rsidRPr="00C952AF">
              <w:rPr>
                <w:rFonts w:cs="Arial"/>
                <w:b/>
                <w:sz w:val="18"/>
                <w:szCs w:val="18"/>
              </w:rPr>
              <w:t>AND</w:t>
            </w:r>
          </w:p>
        </w:tc>
      </w:tr>
      <w:tr w:rsidR="00C92FE5" w:rsidRPr="007F2BB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rPr>
                <w:rFonts w:ascii="Arial Narrow" w:hAnsi="Arial Narrow"/>
                <w:b/>
                <w:bCs/>
                <w:strike/>
                <w:color w:val="333333"/>
                <w:sz w:val="18"/>
                <w:szCs w:val="18"/>
              </w:rPr>
            </w:pPr>
            <w:r w:rsidRPr="00C952AF">
              <w:rPr>
                <w:rFonts w:ascii="Arial Narrow" w:hAnsi="Arial Narrow"/>
                <w:b/>
                <w:bCs/>
                <w:strike/>
                <w:color w:val="333333"/>
                <w:sz w:val="18"/>
                <w:szCs w:val="18"/>
              </w:rPr>
              <w:t>Clinical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cs="Arial"/>
                <w:strike/>
                <w:sz w:val="18"/>
                <w:szCs w:val="18"/>
              </w:rPr>
            </w:pPr>
            <w:r w:rsidRPr="00C952AF">
              <w:rPr>
                <w:rFonts w:cs="Arial"/>
                <w:strike/>
                <w:sz w:val="18"/>
                <w:szCs w:val="18"/>
              </w:rPr>
              <w:t>Patient must, in the opinion of the treating specialist, have continued to benefit from receiving PBS-subsidised treatment with this drug for this condition.</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rPr>
                <w:rFonts w:ascii="Arial Narrow" w:hAnsi="Arial Narrow"/>
                <w:color w:val="333333"/>
                <w:sz w:val="18"/>
                <w:szCs w:val="18"/>
              </w:rPr>
            </w:pPr>
            <w:r w:rsidRPr="00C952AF">
              <w:rPr>
                <w:rFonts w:ascii="Arial Narrow" w:hAnsi="Arial Narrow"/>
                <w:b/>
                <w:bCs/>
                <w:color w:val="333333"/>
                <w:sz w:val="18"/>
                <w:szCs w:val="18"/>
              </w:rPr>
              <w:t>Treatment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autoSpaceDE w:val="0"/>
              <w:autoSpaceDN w:val="0"/>
              <w:adjustRightInd w:val="0"/>
              <w:rPr>
                <w:rFonts w:ascii="Arial Narrow" w:hAnsi="Arial Narrow" w:cs="Arial Narrow"/>
                <w:i/>
                <w:iCs/>
                <w:sz w:val="18"/>
                <w:szCs w:val="18"/>
              </w:rPr>
            </w:pPr>
            <w:r w:rsidRPr="00C952AF">
              <w:rPr>
                <w:rFonts w:ascii="Arial Narrow" w:eastAsia="TimesNewRoman" w:hAnsi="Arial Narrow"/>
                <w:color w:val="000000"/>
                <w:sz w:val="18"/>
                <w:szCs w:val="18"/>
              </w:rPr>
              <w:t xml:space="preserve">Must be treated by a gastroenterologist </w:t>
            </w:r>
            <w:r w:rsidRPr="00C952AF">
              <w:rPr>
                <w:rFonts w:ascii="Arial Narrow" w:eastAsia="TimesNewRoman" w:hAnsi="Arial Narrow"/>
                <w:strike/>
                <w:color w:val="000000"/>
                <w:sz w:val="18"/>
                <w:szCs w:val="18"/>
              </w:rPr>
              <w:t>by another physician in consultation with a gastroenterologist</w:t>
            </w:r>
            <w:r w:rsidRPr="00C952AF">
              <w:rPr>
                <w:rFonts w:ascii="Arial Narrow" w:eastAsia="TimesNewRoman" w:hAnsi="Arial Narrow"/>
                <w:color w:val="000000"/>
                <w:sz w:val="18"/>
                <w:szCs w:val="18"/>
              </w:rPr>
              <w:t>.</w:t>
            </w:r>
          </w:p>
        </w:tc>
      </w:tr>
      <w:tr w:rsidR="00C92FE5" w:rsidRPr="00A875E4"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pStyle w:val="TableText0"/>
              <w:widowControl w:val="0"/>
              <w:rPr>
                <w:rFonts w:cs="Arial"/>
                <w:sz w:val="18"/>
                <w:szCs w:val="18"/>
              </w:rPr>
            </w:pPr>
            <w:r w:rsidRPr="00C952AF">
              <w:rPr>
                <w:rFonts w:eastAsia="Times New Roman"/>
                <w:b/>
                <w:color w:val="333333"/>
                <w:sz w:val="18"/>
                <w:szCs w:val="18"/>
              </w:rPr>
              <w:t xml:space="preserve">Administrative Advice: </w:t>
            </w:r>
            <w:r w:rsidRPr="00C952AF">
              <w:rPr>
                <w:rFonts w:cs="Arial"/>
                <w:sz w:val="18"/>
                <w:szCs w:val="18"/>
              </w:rPr>
              <w:t>Histologic assessment should be based on the peak eosinophils count derived from the evaluation six oesophageal biopsies (two collected from each of the distal, mid and proximal segments).</w:t>
            </w:r>
          </w:p>
          <w:p w:rsidR="00C92FE5" w:rsidRPr="00C952AF" w:rsidRDefault="00C92FE5" w:rsidP="0072762B">
            <w:pPr>
              <w:pStyle w:val="TableText0"/>
              <w:widowControl w:val="0"/>
              <w:rPr>
                <w:rFonts w:cs="Arial"/>
                <w:sz w:val="18"/>
                <w:szCs w:val="18"/>
              </w:rPr>
            </w:pPr>
          </w:p>
          <w:p w:rsidR="00C92FE5" w:rsidRPr="00C952AF" w:rsidRDefault="00C92FE5" w:rsidP="0072762B">
            <w:pPr>
              <w:pStyle w:val="TableText0"/>
              <w:widowControl w:val="0"/>
              <w:rPr>
                <w:rFonts w:cs="Arial"/>
                <w:sz w:val="18"/>
                <w:szCs w:val="18"/>
              </w:rPr>
            </w:pPr>
            <w:r w:rsidRPr="00C952AF">
              <w:rPr>
                <w:rFonts w:cs="Arial"/>
                <w:sz w:val="18"/>
                <w:szCs w:val="18"/>
              </w:rPr>
              <w:t>The histologic assessment should, where possible, be performed by the same physician who confirmed the diagnosis of EoE in the patient. This assessment, which will be used to determine eligibility for continuing treatment, should be submitted within 4 weeks of the date of assessment, and no later than 2 weeks prior to the patient completing their current treatment course, to avoid an interruption to supply. Where a histologic assessment is not undertaken and the results submitted, the patient will be deemed to have failed to respond to treatment with this drug.</w:t>
            </w:r>
          </w:p>
        </w:tc>
      </w:tr>
      <w:tr w:rsidR="00C92FE5" w:rsidRPr="00A875E4"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
                <w:bCs w:val="0"/>
                <w:color w:val="333333"/>
                <w:sz w:val="18"/>
                <w:szCs w:val="18"/>
              </w:rPr>
            </w:pPr>
            <w:r w:rsidRPr="00C952AF">
              <w:rPr>
                <w:rFonts w:eastAsia="Times New Roman"/>
                <w:b/>
                <w:i/>
                <w:color w:val="333333"/>
                <w:sz w:val="18"/>
                <w:szCs w:val="18"/>
              </w:rPr>
              <w:t>Administrative Advice:</w:t>
            </w:r>
          </w:p>
        </w:tc>
      </w:tr>
      <w:tr w:rsidR="00C92FE5" w:rsidRPr="00A875E4"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AC2F09"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Cs w:val="0"/>
                <w:i/>
                <w:color w:val="333333"/>
                <w:sz w:val="18"/>
                <w:szCs w:val="18"/>
              </w:rPr>
            </w:pPr>
            <w:r w:rsidRPr="00C952AF">
              <w:rPr>
                <w:rFonts w:eastAsia="Times New Roman"/>
                <w:i/>
                <w:color w:val="333333"/>
                <w:sz w:val="18"/>
                <w:szCs w:val="18"/>
              </w:rPr>
              <w:t>No increase in the maximum number of repeats may be authorised.</w:t>
            </w:r>
          </w:p>
        </w:tc>
      </w:tr>
      <w:tr w:rsidR="00C92FE5" w:rsidRPr="00A875E4"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AC2F09"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
                <w:bCs w:val="0"/>
                <w:i/>
                <w:color w:val="333333"/>
                <w:sz w:val="18"/>
                <w:szCs w:val="18"/>
              </w:rPr>
            </w:pPr>
            <w:r w:rsidRPr="00C952AF">
              <w:rPr>
                <w:rFonts w:eastAsia="Times New Roman"/>
                <w:b/>
                <w:i/>
                <w:color w:val="333333"/>
                <w:sz w:val="18"/>
                <w:szCs w:val="18"/>
              </w:rPr>
              <w:t>Administrative Advice:</w:t>
            </w:r>
          </w:p>
        </w:tc>
      </w:tr>
      <w:tr w:rsidR="00C92FE5" w:rsidRPr="00A875E4"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Cs w:val="0"/>
                <w:i/>
                <w:color w:val="333333"/>
                <w:sz w:val="18"/>
                <w:szCs w:val="18"/>
              </w:rPr>
            </w:pPr>
            <w:r w:rsidRPr="00C952AF">
              <w:rPr>
                <w:rFonts w:eastAsia="Times New Roman"/>
                <w:i/>
                <w:color w:val="333333"/>
                <w:sz w:val="18"/>
                <w:szCs w:val="18"/>
              </w:rPr>
              <w:t>No increase in the maximum quantity or number of units may be authorised.</w:t>
            </w:r>
          </w:p>
        </w:tc>
      </w:tr>
    </w:tbl>
    <w:p w:rsidR="00C92FE5" w:rsidRDefault="00C92FE5" w:rsidP="00C7699D">
      <w:pPr>
        <w:pStyle w:val="TableFigurecaption"/>
        <w:spacing w:after="240" w:line="240" w:lineRule="auto"/>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992"/>
        <w:gridCol w:w="850"/>
        <w:gridCol w:w="993"/>
        <w:gridCol w:w="921"/>
        <w:gridCol w:w="1347"/>
        <w:gridCol w:w="1275"/>
      </w:tblGrid>
      <w:tr w:rsidR="00423B30" w:rsidRPr="009A610D" w:rsidTr="00423B30">
        <w:trPr>
          <w:cantSplit/>
          <w:trHeight w:val="471"/>
        </w:trPr>
        <w:tc>
          <w:tcPr>
            <w:tcW w:w="2689" w:type="dxa"/>
            <w:gridSpan w:val="2"/>
          </w:tcPr>
          <w:p w:rsidR="00423B30" w:rsidRDefault="00423B30" w:rsidP="0072762B">
            <w:pPr>
              <w:keepNext/>
              <w:ind w:left="22"/>
              <w:rPr>
                <w:rFonts w:ascii="Arial Narrow" w:hAnsi="Arial Narrow"/>
                <w:b/>
                <w:bCs/>
                <w:sz w:val="18"/>
                <w:szCs w:val="18"/>
              </w:rPr>
            </w:pPr>
            <w:r>
              <w:rPr>
                <w:rFonts w:ascii="Arial Narrow" w:hAnsi="Arial Narrow"/>
                <w:b/>
                <w:bCs/>
                <w:sz w:val="18"/>
                <w:szCs w:val="18"/>
              </w:rPr>
              <w:t>MEDICINAL PRODUCT</w:t>
            </w:r>
          </w:p>
          <w:p w:rsidR="00423B30" w:rsidRPr="009A610D" w:rsidRDefault="00423B30" w:rsidP="0072762B">
            <w:pPr>
              <w:keepNext/>
              <w:ind w:left="22"/>
              <w:rPr>
                <w:rFonts w:ascii="Arial Narrow" w:hAnsi="Arial Narrow"/>
                <w:b/>
                <w:sz w:val="18"/>
                <w:szCs w:val="18"/>
              </w:rPr>
            </w:pPr>
            <w:r>
              <w:rPr>
                <w:rFonts w:ascii="Arial Narrow" w:hAnsi="Arial Narrow"/>
                <w:b/>
                <w:bCs/>
                <w:sz w:val="18"/>
                <w:szCs w:val="18"/>
              </w:rPr>
              <w:t>medicinal product p</w:t>
            </w:r>
            <w:r w:rsidRPr="003A5B23">
              <w:rPr>
                <w:rFonts w:ascii="Arial Narrow" w:hAnsi="Arial Narrow"/>
                <w:b/>
                <w:bCs/>
                <w:sz w:val="18"/>
                <w:szCs w:val="18"/>
              </w:rPr>
              <w:t>ack</w:t>
            </w:r>
          </w:p>
        </w:tc>
        <w:tc>
          <w:tcPr>
            <w:tcW w:w="992" w:type="dxa"/>
          </w:tcPr>
          <w:p w:rsidR="00423B30" w:rsidRPr="009A610D" w:rsidRDefault="00423B30" w:rsidP="0072762B">
            <w:pPr>
              <w:keepNext/>
              <w:ind w:left="-108"/>
              <w:jc w:val="center"/>
              <w:rPr>
                <w:rFonts w:ascii="Arial Narrow" w:hAnsi="Arial Narrow"/>
                <w:b/>
                <w:sz w:val="18"/>
                <w:szCs w:val="18"/>
              </w:rPr>
            </w:pPr>
            <w:r>
              <w:rPr>
                <w:rFonts w:ascii="Arial Narrow" w:hAnsi="Arial Narrow"/>
                <w:b/>
                <w:sz w:val="18"/>
                <w:szCs w:val="18"/>
              </w:rPr>
              <w:t>PBS item code</w:t>
            </w:r>
          </w:p>
        </w:tc>
        <w:tc>
          <w:tcPr>
            <w:tcW w:w="850" w:type="dxa"/>
          </w:tcPr>
          <w:p w:rsidR="00423B30" w:rsidRPr="009A610D" w:rsidRDefault="00423B30" w:rsidP="0072762B">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993" w:type="dxa"/>
          </w:tcPr>
          <w:p w:rsidR="00423B30" w:rsidRPr="009A610D" w:rsidRDefault="00423B30" w:rsidP="0072762B">
            <w:pPr>
              <w:keepNext/>
              <w:ind w:left="-108"/>
              <w:jc w:val="center"/>
              <w:rPr>
                <w:rFonts w:ascii="Arial Narrow" w:hAnsi="Arial Narrow"/>
                <w:b/>
                <w:sz w:val="18"/>
                <w:szCs w:val="18"/>
              </w:rPr>
            </w:pPr>
            <w:r>
              <w:rPr>
                <w:rFonts w:ascii="Arial Narrow" w:hAnsi="Arial Narrow"/>
                <w:b/>
                <w:sz w:val="18"/>
                <w:szCs w:val="18"/>
              </w:rPr>
              <w:t>Max. qty units</w:t>
            </w:r>
          </w:p>
        </w:tc>
        <w:tc>
          <w:tcPr>
            <w:tcW w:w="921" w:type="dxa"/>
          </w:tcPr>
          <w:p w:rsidR="00423B30" w:rsidRPr="009A610D" w:rsidRDefault="00423B30" w:rsidP="0072762B">
            <w:pPr>
              <w:keepNext/>
              <w:ind w:left="-108"/>
              <w:jc w:val="center"/>
              <w:rPr>
                <w:rFonts w:ascii="Arial Narrow" w:hAnsi="Arial Narrow"/>
                <w:b/>
                <w:sz w:val="18"/>
                <w:szCs w:val="18"/>
              </w:rPr>
            </w:pPr>
            <w:r w:rsidRPr="009A610D">
              <w:rPr>
                <w:rFonts w:ascii="Arial Narrow" w:hAnsi="Arial Narrow"/>
                <w:b/>
                <w:sz w:val="18"/>
                <w:szCs w:val="18"/>
              </w:rPr>
              <w:t xml:space="preserve">№.of </w:t>
            </w:r>
            <w:r>
              <w:rPr>
                <w:rFonts w:ascii="Arial Narrow" w:hAnsi="Arial Narrow"/>
                <w:b/>
                <w:sz w:val="18"/>
                <w:szCs w:val="18"/>
              </w:rPr>
              <w:br/>
            </w:r>
            <w:r w:rsidRPr="009A610D">
              <w:rPr>
                <w:rFonts w:ascii="Arial Narrow" w:hAnsi="Arial Narrow"/>
                <w:b/>
                <w:sz w:val="18"/>
                <w:szCs w:val="18"/>
              </w:rPr>
              <w:t>Rpts</w:t>
            </w:r>
          </w:p>
        </w:tc>
        <w:tc>
          <w:tcPr>
            <w:tcW w:w="1347" w:type="dxa"/>
          </w:tcPr>
          <w:p w:rsidR="00423B30" w:rsidRPr="009A610D" w:rsidRDefault="00423B30" w:rsidP="0072762B">
            <w:pPr>
              <w:keepNext/>
              <w:ind w:left="-108"/>
              <w:jc w:val="center"/>
              <w:rPr>
                <w:rFonts w:ascii="Arial Narrow" w:hAnsi="Arial Narrow"/>
                <w:b/>
                <w:sz w:val="18"/>
                <w:szCs w:val="18"/>
              </w:rPr>
            </w:pPr>
            <w:r w:rsidRPr="00367BFD">
              <w:rPr>
                <w:rFonts w:ascii="Arial Narrow" w:hAnsi="Arial Narrow"/>
                <w:b/>
                <w:sz w:val="18"/>
                <w:szCs w:val="18"/>
              </w:rPr>
              <w:t>Dispensed price for maximum quantity</w:t>
            </w:r>
          </w:p>
        </w:tc>
        <w:tc>
          <w:tcPr>
            <w:tcW w:w="1275" w:type="dxa"/>
          </w:tcPr>
          <w:p w:rsidR="00423B30" w:rsidRPr="009A610D" w:rsidRDefault="00423B30" w:rsidP="0072762B">
            <w:pPr>
              <w:keepNext/>
              <w:rPr>
                <w:rFonts w:ascii="Arial Narrow" w:hAnsi="Arial Narrow"/>
                <w:b/>
                <w:sz w:val="18"/>
                <w:szCs w:val="18"/>
                <w:lang w:val="fr-FR"/>
              </w:rPr>
            </w:pPr>
            <w:r>
              <w:rPr>
                <w:rFonts w:ascii="Arial Narrow" w:hAnsi="Arial Narrow"/>
                <w:b/>
                <w:sz w:val="18"/>
                <w:szCs w:val="18"/>
              </w:rPr>
              <w:t>Available brands</w:t>
            </w:r>
          </w:p>
        </w:tc>
      </w:tr>
      <w:tr w:rsidR="00C92FE5" w:rsidRPr="001A5667" w:rsidTr="0072762B">
        <w:trPr>
          <w:cantSplit/>
          <w:trHeight w:val="224"/>
        </w:trPr>
        <w:tc>
          <w:tcPr>
            <w:tcW w:w="9067" w:type="dxa"/>
            <w:gridSpan w:val="8"/>
          </w:tcPr>
          <w:p w:rsidR="00C92FE5" w:rsidRPr="001A5667" w:rsidRDefault="00C92FE5" w:rsidP="0072762B">
            <w:pPr>
              <w:keepNext/>
              <w:ind w:left="22"/>
              <w:rPr>
                <w:rFonts w:ascii="Arial Narrow" w:hAnsi="Arial Narrow"/>
                <w:sz w:val="18"/>
                <w:szCs w:val="18"/>
              </w:rPr>
            </w:pPr>
            <w:r>
              <w:rPr>
                <w:rFonts w:ascii="Arial Narrow" w:hAnsi="Arial Narrow"/>
                <w:sz w:val="18"/>
                <w:szCs w:val="18"/>
              </w:rPr>
              <w:t>BUDESONIDE</w:t>
            </w:r>
          </w:p>
        </w:tc>
      </w:tr>
      <w:tr w:rsidR="00423B30" w:rsidRPr="009A610D" w:rsidTr="00423B30">
        <w:trPr>
          <w:cantSplit/>
          <w:trHeight w:val="553"/>
        </w:trPr>
        <w:tc>
          <w:tcPr>
            <w:tcW w:w="2689" w:type="dxa"/>
            <w:gridSpan w:val="2"/>
          </w:tcPr>
          <w:p w:rsidR="00423B30" w:rsidRPr="003803A0" w:rsidRDefault="00423B30" w:rsidP="0072762B">
            <w:pPr>
              <w:keepNext/>
              <w:ind w:left="22"/>
              <w:rPr>
                <w:rFonts w:ascii="Arial Narrow" w:hAnsi="Arial Narrow"/>
                <w:sz w:val="18"/>
                <w:szCs w:val="18"/>
              </w:rPr>
            </w:pPr>
            <w:r w:rsidRPr="00114B0E">
              <w:rPr>
                <w:rFonts w:ascii="Arial Narrow" w:hAnsi="Arial Narrow"/>
                <w:sz w:val="18"/>
                <w:szCs w:val="18"/>
              </w:rPr>
              <w:t>budesonide 1 mg orally disintegrating tablet</w:t>
            </w:r>
            <w:r>
              <w:rPr>
                <w:rFonts w:ascii="Arial Narrow" w:hAnsi="Arial Narrow"/>
                <w:sz w:val="18"/>
                <w:szCs w:val="18"/>
              </w:rPr>
              <w:t>, 60</w:t>
            </w:r>
          </w:p>
        </w:tc>
        <w:tc>
          <w:tcPr>
            <w:tcW w:w="992" w:type="dxa"/>
          </w:tcPr>
          <w:p w:rsidR="00423B30" w:rsidRPr="009A610D" w:rsidRDefault="00423B30" w:rsidP="0072762B">
            <w:pPr>
              <w:keepNext/>
              <w:jc w:val="center"/>
              <w:rPr>
                <w:rFonts w:ascii="Arial Narrow" w:hAnsi="Arial Narrow"/>
                <w:sz w:val="18"/>
                <w:szCs w:val="18"/>
              </w:rPr>
            </w:pPr>
            <w:r>
              <w:rPr>
                <w:rFonts w:ascii="Arial Narrow" w:hAnsi="Arial Narrow"/>
                <w:sz w:val="18"/>
                <w:szCs w:val="18"/>
              </w:rPr>
              <w:t>NEW</w:t>
            </w:r>
          </w:p>
        </w:tc>
        <w:tc>
          <w:tcPr>
            <w:tcW w:w="850" w:type="dxa"/>
          </w:tcPr>
          <w:p w:rsidR="00423B30" w:rsidRPr="009A610D" w:rsidRDefault="00423B30" w:rsidP="0072762B">
            <w:pPr>
              <w:keepNext/>
              <w:jc w:val="center"/>
              <w:rPr>
                <w:rFonts w:ascii="Arial Narrow" w:hAnsi="Arial Narrow"/>
                <w:sz w:val="18"/>
                <w:szCs w:val="18"/>
              </w:rPr>
            </w:pPr>
            <w:r w:rsidRPr="009A610D">
              <w:rPr>
                <w:rFonts w:ascii="Arial Narrow" w:hAnsi="Arial Narrow"/>
                <w:sz w:val="18"/>
                <w:szCs w:val="18"/>
              </w:rPr>
              <w:t>1</w:t>
            </w:r>
          </w:p>
        </w:tc>
        <w:tc>
          <w:tcPr>
            <w:tcW w:w="993" w:type="dxa"/>
          </w:tcPr>
          <w:p w:rsidR="00423B30" w:rsidRPr="009A610D" w:rsidRDefault="00423B30" w:rsidP="0072762B">
            <w:pPr>
              <w:keepNext/>
              <w:jc w:val="center"/>
              <w:rPr>
                <w:rFonts w:ascii="Arial Narrow" w:hAnsi="Arial Narrow"/>
                <w:sz w:val="18"/>
                <w:szCs w:val="18"/>
              </w:rPr>
            </w:pPr>
            <w:r>
              <w:rPr>
                <w:rFonts w:ascii="Arial Narrow" w:hAnsi="Arial Narrow"/>
                <w:sz w:val="18"/>
                <w:szCs w:val="18"/>
              </w:rPr>
              <w:t>60</w:t>
            </w:r>
          </w:p>
        </w:tc>
        <w:tc>
          <w:tcPr>
            <w:tcW w:w="921" w:type="dxa"/>
          </w:tcPr>
          <w:p w:rsidR="00423B30" w:rsidRPr="009A610D" w:rsidRDefault="00423B30" w:rsidP="0072762B">
            <w:pPr>
              <w:keepNext/>
              <w:jc w:val="center"/>
              <w:rPr>
                <w:rFonts w:ascii="Arial Narrow" w:hAnsi="Arial Narrow"/>
                <w:sz w:val="18"/>
                <w:szCs w:val="18"/>
              </w:rPr>
            </w:pPr>
            <w:r>
              <w:rPr>
                <w:rFonts w:ascii="Arial Narrow" w:hAnsi="Arial Narrow"/>
                <w:sz w:val="18"/>
                <w:szCs w:val="18"/>
              </w:rPr>
              <w:t>5</w:t>
            </w:r>
          </w:p>
        </w:tc>
        <w:tc>
          <w:tcPr>
            <w:tcW w:w="1347" w:type="dxa"/>
          </w:tcPr>
          <w:p w:rsidR="00423B30" w:rsidRPr="009A610D" w:rsidRDefault="00423B30" w:rsidP="0072762B">
            <w:pPr>
              <w:keepNext/>
              <w:jc w:val="center"/>
              <w:rPr>
                <w:rFonts w:ascii="Arial Narrow" w:hAnsi="Arial Narrow"/>
                <w:sz w:val="18"/>
                <w:szCs w:val="18"/>
              </w:rPr>
            </w:pPr>
            <w:r w:rsidRPr="00423B30">
              <w:rPr>
                <w:rFonts w:ascii="Arial Narrow" w:hAnsi="Arial Narrow"/>
                <w:sz w:val="18"/>
                <w:szCs w:val="18"/>
              </w:rPr>
              <w:t>$</w:t>
            </w:r>
            <w:r w:rsidR="00D02986">
              <w:rPr>
                <w:rFonts w:ascii="Arial Narrow" w:hAnsi="Arial Narrow"/>
                <w:noProof/>
                <w:color w:val="000000"/>
                <w:sz w:val="18"/>
                <w:szCs w:val="18"/>
                <w:highlight w:val="black"/>
              </w:rPr>
              <w:t>''''''''''''''''''</w:t>
            </w:r>
          </w:p>
        </w:tc>
        <w:tc>
          <w:tcPr>
            <w:tcW w:w="1275" w:type="dxa"/>
          </w:tcPr>
          <w:p w:rsidR="00423B30" w:rsidRPr="009A610D" w:rsidRDefault="00423B30" w:rsidP="0072762B">
            <w:pPr>
              <w:keepNext/>
              <w:rPr>
                <w:rFonts w:ascii="Arial Narrow" w:hAnsi="Arial Narrow"/>
                <w:sz w:val="18"/>
                <w:szCs w:val="18"/>
              </w:rPr>
            </w:pPr>
            <w:r w:rsidRPr="009238D8">
              <w:rPr>
                <w:rFonts w:ascii="Arial Narrow" w:hAnsi="Arial Narrow"/>
                <w:sz w:val="18"/>
                <w:szCs w:val="18"/>
              </w:rPr>
              <w:t>Jorveza</w:t>
            </w:r>
          </w:p>
        </w:tc>
      </w:tr>
      <w:tr w:rsidR="00C92FE5" w:rsidRPr="0020649C" w:rsidTr="0072762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rsidR="00C92FE5" w:rsidRPr="0020649C" w:rsidRDefault="00C92FE5" w:rsidP="0072762B">
            <w:pPr>
              <w:rPr>
                <w:rFonts w:ascii="Arial Narrow" w:hAnsi="Arial Narrow"/>
                <w:b/>
                <w:sz w:val="18"/>
                <w:szCs w:val="18"/>
              </w:rPr>
            </w:pPr>
          </w:p>
        </w:tc>
      </w:tr>
      <w:tr w:rsidR="00C92FE5" w:rsidRPr="0020649C" w:rsidTr="0072762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rsidR="00C92FE5" w:rsidRPr="0020649C" w:rsidRDefault="00C92FE5" w:rsidP="0072762B">
            <w:pPr>
              <w:ind w:left="57"/>
              <w:rPr>
                <w:rFonts w:ascii="Arial Narrow" w:hAnsi="Arial Narrow"/>
                <w:b/>
                <w:sz w:val="18"/>
                <w:szCs w:val="18"/>
              </w:rPr>
            </w:pPr>
            <w:r w:rsidRPr="00507253">
              <w:rPr>
                <w:rFonts w:ascii="Arial Narrow" w:hAnsi="Arial Narrow"/>
                <w:b/>
                <w:sz w:val="18"/>
                <w:szCs w:val="18"/>
              </w:rPr>
              <w:t>Restriction Summary [new]</w:t>
            </w:r>
            <w:r>
              <w:rPr>
                <w:rFonts w:ascii="Arial Narrow" w:hAnsi="Arial Narrow"/>
                <w:b/>
                <w:sz w:val="18"/>
                <w:szCs w:val="18"/>
              </w:rPr>
              <w:t xml:space="preserve"> </w:t>
            </w:r>
            <w:r w:rsidRPr="00507253">
              <w:rPr>
                <w:rFonts w:ascii="Arial Narrow" w:hAnsi="Arial Narrow"/>
                <w:b/>
                <w:sz w:val="18"/>
                <w:szCs w:val="18"/>
              </w:rPr>
              <w:t>/ Treatment of Concept: [new]</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C92FE5" w:rsidRPr="00507253" w:rsidRDefault="00C92FE5" w:rsidP="0072762B">
            <w:pPr>
              <w:jc w:val="center"/>
              <w:rPr>
                <w:rFonts w:ascii="Arial Narrow" w:hAnsi="Arial Narrow"/>
                <w:b/>
                <w:sz w:val="18"/>
                <w:szCs w:val="18"/>
              </w:rPr>
            </w:pPr>
            <w:r w:rsidRPr="00507253">
              <w:rPr>
                <w:rFonts w:ascii="Arial Narrow" w:hAnsi="Arial Narrow"/>
                <w:b/>
                <w:sz w:val="18"/>
                <w:szCs w:val="18"/>
              </w:rPr>
              <w:t>Concept ID</w:t>
            </w:r>
          </w:p>
          <w:p w:rsidR="00C92FE5" w:rsidRDefault="00C92FE5" w:rsidP="0072762B">
            <w:pPr>
              <w:rPr>
                <w:rFonts w:ascii="Arial Narrow" w:hAnsi="Arial Narrow"/>
                <w:i/>
                <w:sz w:val="18"/>
                <w:szCs w:val="18"/>
              </w:rPr>
            </w:pPr>
          </w:p>
          <w:p w:rsidR="00C92FE5" w:rsidRPr="00507253" w:rsidRDefault="00C92FE5" w:rsidP="005B70A5">
            <w:pPr>
              <w:rPr>
                <w:rFonts w:ascii="Arial Narrow" w:hAnsi="Arial Narrow"/>
                <w:b/>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C92FE5" w:rsidRPr="00120A12" w:rsidRDefault="00C92FE5" w:rsidP="0072762B">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 xml:space="preserve">GENERAL – General Schedule (Code GE) </w:t>
            </w:r>
          </w:p>
        </w:tc>
      </w:tr>
      <w:tr w:rsidR="00C92FE5" w:rsidRPr="00772067" w:rsidTr="0072762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C92FE5" w:rsidRPr="0020649C" w:rsidRDefault="00C92FE5" w:rsidP="0072762B">
            <w:pPr>
              <w:rPr>
                <w:rFonts w:ascii="Arial Narrow" w:hAnsi="Arial Narrow"/>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C92FE5" w:rsidRPr="00772067" w:rsidRDefault="00C92FE5" w:rsidP="0072762B">
            <w:pPr>
              <w:rPr>
                <w:rFonts w:ascii="Arial Narrow" w:hAnsi="Arial Narrow"/>
                <w:b/>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753728">
              <w:rPr>
                <w:rFonts w:ascii="Arial Narrow" w:hAnsi="Arial Narrow"/>
                <w:sz w:val="18"/>
                <w:szCs w:val="18"/>
              </w:rPr>
            </w:r>
            <w:r w:rsidR="0075372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p>
        </w:tc>
      </w:tr>
      <w:tr w:rsidR="00C92FE5" w:rsidRPr="00677540" w:rsidTr="0072762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C92FE5" w:rsidRPr="0020649C" w:rsidRDefault="00C92FE5" w:rsidP="0072762B">
            <w:pPr>
              <w:rPr>
                <w:rFonts w:ascii="Arial Narrow" w:hAnsi="Arial Narrow"/>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C92FE5" w:rsidRPr="00BB270D" w:rsidRDefault="00C92FE5" w:rsidP="0072762B">
            <w:pPr>
              <w:rPr>
                <w:rFonts w:ascii="Arial Narrow" w:hAnsi="Arial Narrow"/>
                <w:b/>
                <w:sz w:val="18"/>
                <w:szCs w:val="18"/>
              </w:rPr>
            </w:pPr>
            <w:r w:rsidRPr="0020649C">
              <w:rPr>
                <w:rFonts w:ascii="Arial Narrow" w:hAnsi="Arial Narrow"/>
                <w:b/>
                <w:sz w:val="18"/>
                <w:szCs w:val="18"/>
              </w:rPr>
              <w:t xml:space="preserve">Restriction </w:t>
            </w:r>
            <w:r>
              <w:rPr>
                <w:rFonts w:ascii="Arial Narrow" w:hAnsi="Arial Narrow"/>
                <w:b/>
                <w:sz w:val="18"/>
                <w:szCs w:val="18"/>
              </w:rPr>
              <w:t xml:space="preserve">type: </w:t>
            </w:r>
          </w:p>
          <w:p w:rsidR="00C92FE5" w:rsidRPr="00F86065" w:rsidRDefault="00C92FE5" w:rsidP="0072762B">
            <w:pPr>
              <w:rPr>
                <w:rFonts w:ascii="Arial Narrow" w:eastAsia="Calibri" w:hAnsi="Arial Narrow"/>
                <w:sz w:val="18"/>
                <w:szCs w:val="18"/>
              </w:rPr>
            </w:pPr>
            <w:r w:rsidRPr="00F86065">
              <w:rPr>
                <w:rFonts w:ascii="Arial Narrow" w:eastAsia="Calibri" w:hAnsi="Arial Narrow"/>
                <w:sz w:val="18"/>
                <w:szCs w:val="18"/>
              </w:rPr>
              <w:fldChar w:fldCharType="begin">
                <w:ffData>
                  <w:name w:val="Check1"/>
                  <w:enabled/>
                  <w:calcOnExit w:val="0"/>
                  <w:checkBox>
                    <w:sizeAuto/>
                    <w:default w:val="0"/>
                  </w:checkBox>
                </w:ffData>
              </w:fldChar>
            </w:r>
            <w:r w:rsidRPr="00F86065">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sidRPr="00F86065">
              <w:rPr>
                <w:rFonts w:ascii="Arial Narrow" w:eastAsia="Calibri" w:hAnsi="Arial Narrow"/>
                <w:sz w:val="18"/>
                <w:szCs w:val="18"/>
              </w:rPr>
              <w:fldChar w:fldCharType="end"/>
            </w:r>
            <w:r w:rsidRPr="00F86065">
              <w:rPr>
                <w:rFonts w:ascii="Arial Narrow" w:eastAsia="Calibri" w:hAnsi="Arial Narrow"/>
                <w:sz w:val="18"/>
                <w:szCs w:val="18"/>
              </w:rPr>
              <w:t>Unrestricted benefit</w:t>
            </w:r>
          </w:p>
          <w:p w:rsidR="00C92FE5" w:rsidRPr="00F86065" w:rsidRDefault="00C92FE5" w:rsidP="0072762B">
            <w:pPr>
              <w:rPr>
                <w:rFonts w:ascii="Arial Narrow" w:eastAsia="Calibri" w:hAnsi="Arial Narrow"/>
                <w:sz w:val="18"/>
                <w:szCs w:val="18"/>
              </w:rPr>
            </w:pPr>
            <w:r w:rsidRPr="00F86065">
              <w:rPr>
                <w:rFonts w:ascii="Arial Narrow" w:eastAsia="Calibri" w:hAnsi="Arial Narrow"/>
                <w:sz w:val="18"/>
                <w:szCs w:val="18"/>
              </w:rPr>
              <w:fldChar w:fldCharType="begin">
                <w:ffData>
                  <w:name w:val="Check1"/>
                  <w:enabled/>
                  <w:calcOnExit w:val="0"/>
                  <w:checkBox>
                    <w:sizeAuto/>
                    <w:default w:val="0"/>
                  </w:checkBox>
                </w:ffData>
              </w:fldChar>
            </w:r>
            <w:r w:rsidRPr="00F86065">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sidRPr="00F86065">
              <w:rPr>
                <w:rFonts w:ascii="Arial Narrow" w:eastAsia="Calibri" w:hAnsi="Arial Narrow"/>
                <w:sz w:val="18"/>
                <w:szCs w:val="18"/>
              </w:rPr>
              <w:fldChar w:fldCharType="end"/>
            </w:r>
            <w:r w:rsidRPr="00F86065">
              <w:rPr>
                <w:rFonts w:ascii="Arial Narrow" w:eastAsia="Calibri" w:hAnsi="Arial Narrow"/>
                <w:sz w:val="18"/>
                <w:szCs w:val="18"/>
              </w:rPr>
              <w:t>Restricted benefit</w:t>
            </w:r>
          </w:p>
          <w:p w:rsidR="00C92FE5" w:rsidRPr="00AB5FAC" w:rsidRDefault="00C92FE5" w:rsidP="0072762B">
            <w:pPr>
              <w:rPr>
                <w:rFonts w:ascii="Arial Narrow" w:eastAsia="Calibri" w:hAnsi="Arial Narrow"/>
                <w:color w:val="FF00FF"/>
                <w:sz w:val="18"/>
                <w:szCs w:val="18"/>
              </w:rPr>
            </w:pP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Pr>
                <w:rFonts w:ascii="Arial Narrow" w:eastAsia="Calibri" w:hAnsi="Arial Narrow"/>
                <w:sz w:val="18"/>
                <w:szCs w:val="18"/>
              </w:rPr>
              <w:fldChar w:fldCharType="end"/>
            </w:r>
            <w:r w:rsidRPr="008F3A2C">
              <w:rPr>
                <w:rFonts w:ascii="Arial Narrow" w:eastAsia="Calibri" w:hAnsi="Arial Narrow"/>
                <w:strike/>
                <w:sz w:val="18"/>
                <w:szCs w:val="18"/>
              </w:rPr>
              <w:t>Authority Required – Streamlined [new code]</w:t>
            </w:r>
            <w:r w:rsidRPr="00F86065">
              <w:rPr>
                <w:rFonts w:ascii="Arial Narrow" w:eastAsia="Calibri" w:hAnsi="Arial Narrow"/>
                <w:sz w:val="18"/>
                <w:szCs w:val="18"/>
              </w:rPr>
              <w:t xml:space="preserve"> </w:t>
            </w:r>
          </w:p>
          <w:p w:rsidR="00C92FE5" w:rsidRPr="008F3A2C" w:rsidRDefault="00C92FE5" w:rsidP="0072762B">
            <w:pPr>
              <w:rPr>
                <w:rFonts w:ascii="Arial Narrow" w:eastAsia="Calibri" w:hAnsi="Arial Narrow"/>
                <w:i/>
                <w:sz w:val="18"/>
                <w:szCs w:val="18"/>
              </w:rPr>
            </w:pP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Pr>
                <w:rFonts w:ascii="Arial Narrow" w:eastAsia="Calibri" w:hAnsi="Arial Narrow"/>
                <w:sz w:val="18"/>
                <w:szCs w:val="18"/>
              </w:rPr>
              <w:fldChar w:fldCharType="end"/>
            </w:r>
            <w:r w:rsidRPr="008F3A2C">
              <w:rPr>
                <w:rFonts w:ascii="Arial Narrow" w:eastAsia="Calibri" w:hAnsi="Arial Narrow"/>
                <w:i/>
                <w:sz w:val="18"/>
                <w:szCs w:val="18"/>
              </w:rPr>
              <w:t>Authority Required – immediate/real time assessment by Services Australia (telephone/online)</w:t>
            </w:r>
          </w:p>
          <w:p w:rsidR="00C92FE5" w:rsidRPr="00677540" w:rsidRDefault="00C92FE5" w:rsidP="0072762B">
            <w:pPr>
              <w:rPr>
                <w:rFonts w:ascii="Arial Narrow" w:eastAsia="Calibri" w:hAnsi="Arial Narrow"/>
                <w:color w:val="FF00FF"/>
                <w:sz w:val="18"/>
                <w:szCs w:val="18"/>
              </w:rPr>
            </w:pPr>
            <w:r w:rsidRPr="00F86065">
              <w:rPr>
                <w:rFonts w:ascii="Arial Narrow" w:eastAsia="Calibri" w:hAnsi="Arial Narrow"/>
                <w:sz w:val="18"/>
                <w:szCs w:val="18"/>
              </w:rPr>
              <w:fldChar w:fldCharType="begin">
                <w:ffData>
                  <w:name w:val=""/>
                  <w:enabled/>
                  <w:calcOnExit w:val="0"/>
                  <w:checkBox>
                    <w:sizeAuto/>
                    <w:default w:val="0"/>
                  </w:checkBox>
                </w:ffData>
              </w:fldChar>
            </w:r>
            <w:r w:rsidRPr="00F86065">
              <w:rPr>
                <w:rFonts w:ascii="Arial Narrow" w:eastAsia="Calibri" w:hAnsi="Arial Narrow"/>
                <w:sz w:val="18"/>
                <w:szCs w:val="18"/>
              </w:rPr>
              <w:instrText xml:space="preserve"> FORMCHECKBOX </w:instrText>
            </w:r>
            <w:r w:rsidR="00753728">
              <w:rPr>
                <w:rFonts w:ascii="Arial Narrow" w:eastAsia="Calibri" w:hAnsi="Arial Narrow"/>
                <w:sz w:val="18"/>
                <w:szCs w:val="18"/>
              </w:rPr>
            </w:r>
            <w:r w:rsidR="00753728">
              <w:rPr>
                <w:rFonts w:ascii="Arial Narrow" w:eastAsia="Calibri" w:hAnsi="Arial Narrow"/>
                <w:sz w:val="18"/>
                <w:szCs w:val="18"/>
              </w:rPr>
              <w:fldChar w:fldCharType="separate"/>
            </w:r>
            <w:r w:rsidRPr="00F86065">
              <w:rPr>
                <w:rFonts w:ascii="Arial Narrow" w:eastAsia="Calibri" w:hAnsi="Arial Narrow"/>
                <w:sz w:val="18"/>
                <w:szCs w:val="18"/>
              </w:rPr>
              <w:fldChar w:fldCharType="end"/>
            </w:r>
            <w:r w:rsidRPr="00F86065">
              <w:rPr>
                <w:rFonts w:ascii="Arial Narrow" w:eastAsia="Calibri" w:hAnsi="Arial Narrow"/>
                <w:sz w:val="18"/>
                <w:szCs w:val="18"/>
              </w:rPr>
              <w:t xml:space="preserve">Authority Required – </w:t>
            </w:r>
            <w:r>
              <w:rPr>
                <w:rFonts w:ascii="Arial Narrow" w:eastAsia="Calibri" w:hAnsi="Arial Narrow"/>
                <w:sz w:val="18"/>
                <w:szCs w:val="18"/>
              </w:rPr>
              <w:t>non-immediate/</w:t>
            </w:r>
            <w:r w:rsidRPr="00F86065">
              <w:rPr>
                <w:rFonts w:ascii="Arial Narrow" w:eastAsia="Calibri" w:hAnsi="Arial Narrow"/>
                <w:sz w:val="18"/>
                <w:szCs w:val="18"/>
              </w:rPr>
              <w:t xml:space="preserve">delayed assessment by </w:t>
            </w:r>
            <w:r>
              <w:rPr>
                <w:rFonts w:ascii="Arial Narrow" w:eastAsia="Calibri" w:hAnsi="Arial Narrow"/>
                <w:sz w:val="18"/>
                <w:szCs w:val="18"/>
              </w:rPr>
              <w:t>Services Australia</w:t>
            </w:r>
            <w:r w:rsidRPr="00F86065">
              <w:rPr>
                <w:rFonts w:ascii="Arial Narrow" w:eastAsia="Calibri" w:hAnsi="Arial Narrow"/>
                <w:sz w:val="18"/>
                <w:szCs w:val="18"/>
              </w:rPr>
              <w:t xml:space="preserve"> (In-writing only via mail/postal service or electronic upload to Hobart)</w:t>
            </w:r>
            <w:r>
              <w:rPr>
                <w:rFonts w:ascii="Arial Narrow" w:eastAsia="Calibri" w:hAnsi="Arial Narrow"/>
                <w:sz w:val="18"/>
                <w:szCs w:val="18"/>
              </w:rPr>
              <w:t xml:space="preserve"> </w:t>
            </w:r>
          </w:p>
        </w:tc>
      </w:tr>
      <w:tr w:rsidR="00C92FE5" w:rsidRPr="001A310D" w:rsidTr="0072762B">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1A310D" w:rsidRDefault="00C92FE5" w:rsidP="0072762B">
            <w:pPr>
              <w:rPr>
                <w:rFonts w:ascii="Arial Narrow" w:hAnsi="Arial Narrow"/>
                <w:bCs/>
                <w:color w:val="333333"/>
                <w:sz w:val="18"/>
                <w:szCs w:val="18"/>
              </w:rPr>
            </w:pPr>
            <w:r>
              <w:rPr>
                <w:rFonts w:ascii="Arial Narrow" w:hAnsi="Arial Narrow"/>
                <w:b/>
                <w:bCs/>
                <w:color w:val="333333"/>
                <w:sz w:val="18"/>
                <w:szCs w:val="18"/>
              </w:rPr>
              <w:t xml:space="preserve">Episodicity: </w:t>
            </w:r>
            <w:r>
              <w:rPr>
                <w:rFonts w:ascii="Arial Narrow" w:hAnsi="Arial Narrow"/>
                <w:bCs/>
                <w:color w:val="333333"/>
                <w:sz w:val="18"/>
                <w:szCs w:val="18"/>
              </w:rPr>
              <w:t>blank</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rPr>
                <w:rFonts w:ascii="Arial Narrow" w:hAnsi="Arial Narrow"/>
                <w:b/>
                <w:bCs/>
                <w:color w:val="333333"/>
                <w:sz w:val="18"/>
                <w:szCs w:val="18"/>
              </w:rPr>
            </w:pPr>
            <w:r w:rsidRPr="00C952AF">
              <w:rPr>
                <w:rFonts w:ascii="Arial Narrow" w:hAnsi="Arial Narrow"/>
                <w:b/>
                <w:bCs/>
                <w:color w:val="333333"/>
                <w:sz w:val="18"/>
                <w:szCs w:val="18"/>
              </w:rPr>
              <w:t xml:space="preserve">Severity: </w:t>
            </w:r>
            <w:r w:rsidRPr="00C952AF">
              <w:rPr>
                <w:rFonts w:ascii="Arial Narrow" w:hAnsi="Arial Narrow"/>
                <w:bCs/>
                <w:color w:val="333333"/>
                <w:sz w:val="18"/>
                <w:szCs w:val="18"/>
              </w:rPr>
              <w:t>blank</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rPr>
                <w:rFonts w:ascii="Arial Narrow" w:hAnsi="Arial Narrow"/>
                <w:b/>
                <w:bCs/>
                <w:color w:val="333333"/>
                <w:sz w:val="18"/>
                <w:szCs w:val="18"/>
              </w:rPr>
            </w:pPr>
            <w:r w:rsidRPr="00C952AF">
              <w:rPr>
                <w:rFonts w:ascii="Arial Narrow" w:hAnsi="Arial Narrow"/>
                <w:b/>
                <w:bCs/>
                <w:color w:val="333333"/>
                <w:sz w:val="18"/>
                <w:szCs w:val="18"/>
              </w:rPr>
              <w:t xml:space="preserve">Condition: </w:t>
            </w:r>
            <w:r w:rsidRPr="00C952AF">
              <w:rPr>
                <w:rFonts w:ascii="Arial Narrow" w:hAnsi="Arial Narrow"/>
                <w:bCs/>
                <w:color w:val="333333"/>
                <w:sz w:val="18"/>
                <w:szCs w:val="18"/>
              </w:rPr>
              <w:t>Eosinophilic oesophagitis</w:t>
            </w:r>
          </w:p>
        </w:tc>
      </w:tr>
      <w:tr w:rsidR="00C92FE5" w:rsidRPr="00120A12"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rPr>
                <w:rFonts w:ascii="Arial Narrow" w:hAnsi="Arial Narrow"/>
                <w:color w:val="333333"/>
                <w:sz w:val="18"/>
                <w:szCs w:val="18"/>
              </w:rPr>
            </w:pPr>
            <w:r w:rsidRPr="00C952AF">
              <w:rPr>
                <w:rFonts w:ascii="Arial Narrow" w:hAnsi="Arial Narrow"/>
                <w:b/>
                <w:bCs/>
                <w:color w:val="333333"/>
                <w:sz w:val="18"/>
                <w:szCs w:val="18"/>
              </w:rPr>
              <w:t>Indication:</w:t>
            </w:r>
            <w:r w:rsidRPr="00C952AF">
              <w:rPr>
                <w:rFonts w:ascii="Arial Narrow" w:hAnsi="Arial Narrow"/>
                <w:color w:val="333333"/>
                <w:sz w:val="18"/>
                <w:szCs w:val="18"/>
              </w:rPr>
              <w:t xml:space="preserve"> </w:t>
            </w:r>
            <w:r w:rsidRPr="00C952AF">
              <w:rPr>
                <w:rFonts w:ascii="Arial Narrow" w:hAnsi="Arial Narrow"/>
                <w:bCs/>
                <w:color w:val="333333"/>
                <w:sz w:val="18"/>
                <w:szCs w:val="18"/>
              </w:rPr>
              <w:t>Eosinophilic oesophagitis</w:t>
            </w:r>
          </w:p>
        </w:tc>
      </w:tr>
      <w:tr w:rsidR="00C92FE5" w:rsidRPr="00B90897"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rPr>
                <w:rFonts w:ascii="Arial Narrow" w:hAnsi="Arial Narrow"/>
                <w:color w:val="FF00FF"/>
                <w:sz w:val="18"/>
                <w:szCs w:val="18"/>
              </w:rPr>
            </w:pPr>
            <w:r w:rsidRPr="00C952AF">
              <w:rPr>
                <w:rFonts w:ascii="Arial Narrow" w:hAnsi="Arial Narrow"/>
                <w:b/>
                <w:bCs/>
                <w:color w:val="333333"/>
                <w:sz w:val="18"/>
                <w:szCs w:val="18"/>
              </w:rPr>
              <w:t>Treatment Phase:</w:t>
            </w:r>
            <w:r w:rsidRPr="00C952AF">
              <w:rPr>
                <w:rFonts w:ascii="Arial Narrow" w:hAnsi="Arial Narrow"/>
                <w:color w:val="333333"/>
                <w:sz w:val="18"/>
                <w:szCs w:val="18"/>
              </w:rPr>
              <w:t xml:space="preserve"> </w:t>
            </w:r>
            <w:r w:rsidRPr="00C952AF">
              <w:rPr>
                <w:rFonts w:ascii="Arial Narrow" w:hAnsi="Arial Narrow"/>
                <w:bCs/>
                <w:color w:val="333333"/>
                <w:sz w:val="18"/>
                <w:szCs w:val="18"/>
              </w:rPr>
              <w:t>Subsequent continuing treatment – maintenance of remission</w:t>
            </w:r>
          </w:p>
        </w:tc>
      </w:tr>
      <w:tr w:rsidR="00C92FE5" w:rsidRPr="007F2BB2" w:rsidTr="005B70A5">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9859B9" w:rsidRDefault="00C92FE5" w:rsidP="0072762B">
            <w:pPr>
              <w:jc w:val="center"/>
              <w:rPr>
                <w:rFonts w:ascii="Arial Narrow" w:hAnsi="Arial Narrow"/>
                <w:i/>
                <w:color w:val="333333"/>
                <w:sz w:val="18"/>
                <w:szCs w:val="18"/>
              </w:rPr>
            </w:pPr>
          </w:p>
        </w:tc>
        <w:tc>
          <w:tcPr>
            <w:tcW w:w="8086" w:type="dxa"/>
            <w:gridSpan w:val="7"/>
            <w:vAlign w:val="center"/>
            <w:hideMark/>
          </w:tcPr>
          <w:p w:rsidR="00C92FE5" w:rsidRPr="00C952AF" w:rsidRDefault="00C92FE5" w:rsidP="0072762B">
            <w:pPr>
              <w:rPr>
                <w:rFonts w:ascii="Arial Narrow" w:hAnsi="Arial Narrow"/>
                <w:color w:val="FF00FF"/>
                <w:sz w:val="18"/>
                <w:szCs w:val="18"/>
              </w:rPr>
            </w:pPr>
            <w:r w:rsidRPr="00C952AF">
              <w:rPr>
                <w:rFonts w:ascii="Arial Narrow" w:hAnsi="Arial Narrow"/>
                <w:b/>
                <w:bCs/>
                <w:color w:val="333333"/>
                <w:sz w:val="18"/>
                <w:szCs w:val="18"/>
              </w:rPr>
              <w:t>Clinical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9859B9"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cs="Arial"/>
                <w:strike/>
                <w:sz w:val="18"/>
                <w:szCs w:val="18"/>
              </w:rPr>
            </w:pPr>
            <w:r w:rsidRPr="00C952AF">
              <w:rPr>
                <w:rFonts w:cs="Arial"/>
                <w:strike/>
                <w:sz w:val="18"/>
                <w:szCs w:val="18"/>
              </w:rPr>
              <w:t>Patient must have previously been issued with an authority prescription for a first continuing treatment with this drug.</w:t>
            </w:r>
          </w:p>
          <w:p w:rsidR="00C92FE5" w:rsidRPr="00C952AF" w:rsidRDefault="00C92FE5" w:rsidP="0072762B">
            <w:pPr>
              <w:pStyle w:val="TableText0"/>
              <w:widowControl w:val="0"/>
              <w:rPr>
                <w:rFonts w:cs="Arial"/>
                <w:i/>
                <w:strike/>
                <w:sz w:val="18"/>
                <w:szCs w:val="18"/>
              </w:rPr>
            </w:pPr>
            <w:r w:rsidRPr="00C952AF">
              <w:rPr>
                <w:rFonts w:cs="Arial"/>
                <w:i/>
                <w:sz w:val="18"/>
                <w:szCs w:val="18"/>
              </w:rPr>
              <w:t>Patient must have previously received PBS-subsidised treatment with this drug for this condition under the First continuing treatment restriction.</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rPr>
                <w:rFonts w:ascii="Arial Narrow" w:hAnsi="Arial Narrow"/>
                <w:b/>
                <w:bCs/>
                <w:strike/>
                <w:color w:val="333333"/>
                <w:sz w:val="18"/>
                <w:szCs w:val="18"/>
              </w:rPr>
            </w:pPr>
            <w:r w:rsidRPr="00C952AF">
              <w:rPr>
                <w:rFonts w:ascii="Arial Narrow" w:hAnsi="Arial Narrow"/>
                <w:b/>
                <w:bCs/>
                <w:strike/>
                <w:color w:val="333333"/>
                <w:sz w:val="18"/>
                <w:szCs w:val="18"/>
              </w:rPr>
              <w:t>OR</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rPr>
                <w:rFonts w:ascii="Arial Narrow" w:hAnsi="Arial Narrow"/>
                <w:b/>
                <w:bCs/>
                <w:strike/>
                <w:color w:val="333333"/>
                <w:sz w:val="18"/>
                <w:szCs w:val="18"/>
              </w:rPr>
            </w:pPr>
            <w:r w:rsidRPr="00C952AF">
              <w:rPr>
                <w:rFonts w:ascii="Arial Narrow" w:hAnsi="Arial Narrow"/>
                <w:b/>
                <w:bCs/>
                <w:strike/>
                <w:color w:val="333333"/>
                <w:sz w:val="18"/>
                <w:szCs w:val="18"/>
              </w:rPr>
              <w:t>Clinical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cs="Arial"/>
                <w:strike/>
                <w:sz w:val="18"/>
                <w:szCs w:val="18"/>
              </w:rPr>
            </w:pPr>
            <w:r w:rsidRPr="00C952AF">
              <w:rPr>
                <w:rFonts w:cs="Arial"/>
                <w:strike/>
                <w:sz w:val="18"/>
                <w:szCs w:val="18"/>
              </w:rPr>
              <w:t>Patient must have previously been issued with an authority prescription for a second or subsequent continuing treatment with this drug.</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color w:val="333333"/>
                <w:sz w:val="18"/>
                <w:szCs w:val="18"/>
              </w:rPr>
            </w:pPr>
          </w:p>
        </w:tc>
        <w:tc>
          <w:tcPr>
            <w:tcW w:w="8086" w:type="dxa"/>
            <w:gridSpan w:val="7"/>
            <w:vAlign w:val="center"/>
          </w:tcPr>
          <w:p w:rsidR="00C92FE5" w:rsidRPr="00C952AF" w:rsidRDefault="00C92FE5" w:rsidP="0072762B">
            <w:pPr>
              <w:pStyle w:val="TableText0"/>
              <w:widowControl w:val="0"/>
              <w:rPr>
                <w:rFonts w:cs="Arial"/>
                <w:sz w:val="18"/>
                <w:szCs w:val="18"/>
              </w:rPr>
            </w:pPr>
            <w:r w:rsidRPr="00C952AF">
              <w:rPr>
                <w:rFonts w:eastAsia="Times New Roman"/>
                <w:b/>
                <w:color w:val="333333"/>
                <w:sz w:val="18"/>
                <w:szCs w:val="18"/>
              </w:rPr>
              <w:t>AND</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AD2CD5"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cs="Arial"/>
                <w:sz w:val="18"/>
                <w:szCs w:val="18"/>
              </w:rPr>
            </w:pPr>
            <w:r w:rsidRPr="00C952AF">
              <w:rPr>
                <w:rFonts w:eastAsia="Times New Roman"/>
                <w:b/>
                <w:color w:val="333333"/>
                <w:sz w:val="18"/>
                <w:szCs w:val="18"/>
              </w:rPr>
              <w:t>Clinical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AD2CD5"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cs="Arial"/>
                <w:strike/>
                <w:sz w:val="18"/>
                <w:szCs w:val="18"/>
              </w:rPr>
            </w:pPr>
            <w:r w:rsidRPr="00C952AF">
              <w:rPr>
                <w:rFonts w:cs="Arial"/>
                <w:strike/>
                <w:sz w:val="18"/>
                <w:szCs w:val="18"/>
              </w:rPr>
              <w:t>Patient must, in the opinion of the treating doctor, have continued to benefit from receiving PBS-subsidised treatment with this drug for this condition.</w:t>
            </w:r>
          </w:p>
          <w:p w:rsidR="00C92FE5" w:rsidRPr="00C952AF" w:rsidRDefault="00C92FE5" w:rsidP="0072762B">
            <w:pPr>
              <w:pStyle w:val="TableText0"/>
              <w:widowControl w:val="0"/>
              <w:rPr>
                <w:rFonts w:cs="Arial"/>
                <w:strike/>
                <w:sz w:val="18"/>
                <w:szCs w:val="18"/>
              </w:rPr>
            </w:pPr>
            <w:r w:rsidRPr="00C952AF">
              <w:rPr>
                <w:rFonts w:cs="Arial"/>
                <w:i/>
                <w:sz w:val="18"/>
                <w:szCs w:val="18"/>
              </w:rPr>
              <w:t>Patient must have demonstrated an adequate response to treatment with this drug for this condition in this treatment cycle.</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rPr>
                <w:rFonts w:ascii="Arial Narrow" w:hAnsi="Arial Narrow"/>
                <w:color w:val="333333"/>
                <w:sz w:val="18"/>
                <w:szCs w:val="18"/>
              </w:rPr>
            </w:pPr>
            <w:r w:rsidRPr="00C952AF">
              <w:rPr>
                <w:rFonts w:ascii="Arial Narrow" w:hAnsi="Arial Narrow"/>
                <w:b/>
                <w:bCs/>
                <w:color w:val="333333"/>
                <w:sz w:val="18"/>
                <w:szCs w:val="18"/>
              </w:rPr>
              <w:t>Treatment criteria:</w:t>
            </w:r>
          </w:p>
        </w:tc>
      </w:tr>
      <w:tr w:rsidR="00C92FE5" w:rsidRPr="00120A12"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120A12" w:rsidRDefault="00C92FE5" w:rsidP="0072762B">
            <w:pPr>
              <w:jc w:val="center"/>
              <w:rPr>
                <w:rFonts w:ascii="Arial Narrow" w:hAnsi="Arial Narrow"/>
                <w:color w:val="333333"/>
                <w:sz w:val="18"/>
                <w:szCs w:val="18"/>
              </w:rPr>
            </w:pPr>
          </w:p>
        </w:tc>
        <w:tc>
          <w:tcPr>
            <w:tcW w:w="8086" w:type="dxa"/>
            <w:gridSpan w:val="7"/>
            <w:vAlign w:val="center"/>
            <w:hideMark/>
          </w:tcPr>
          <w:p w:rsidR="00C92FE5" w:rsidRPr="00C952AF" w:rsidRDefault="00C92FE5" w:rsidP="0072762B">
            <w:pPr>
              <w:autoSpaceDE w:val="0"/>
              <w:autoSpaceDN w:val="0"/>
              <w:adjustRightInd w:val="0"/>
              <w:rPr>
                <w:rFonts w:ascii="Arial Narrow" w:hAnsi="Arial Narrow" w:cs="Arial Narrow"/>
                <w:i/>
                <w:iCs/>
                <w:sz w:val="18"/>
                <w:szCs w:val="18"/>
              </w:rPr>
            </w:pPr>
            <w:r w:rsidRPr="00C952AF">
              <w:rPr>
                <w:rFonts w:ascii="Arial Narrow" w:eastAsia="TimesNewRoman" w:hAnsi="Arial Narrow"/>
                <w:color w:val="000000"/>
                <w:sz w:val="18"/>
                <w:szCs w:val="18"/>
              </w:rPr>
              <w:t xml:space="preserve">Must be treated by a gastroenterologist or </w:t>
            </w:r>
            <w:r w:rsidRPr="00C952AF">
              <w:rPr>
                <w:rFonts w:ascii="Arial Narrow" w:eastAsia="TimesNewRoman" w:hAnsi="Arial Narrow"/>
                <w:strike/>
                <w:color w:val="000000"/>
                <w:sz w:val="18"/>
                <w:szCs w:val="18"/>
              </w:rPr>
              <w:t>by another physician</w:t>
            </w:r>
            <w:r w:rsidRPr="00C952AF">
              <w:rPr>
                <w:rFonts w:ascii="Arial Narrow" w:eastAsia="TimesNewRoman" w:hAnsi="Arial Narrow"/>
                <w:color w:val="000000"/>
                <w:sz w:val="18"/>
                <w:szCs w:val="18"/>
              </w:rPr>
              <w:t xml:space="preserve"> in consultation with a gastroenterologist.</w:t>
            </w:r>
          </w:p>
        </w:tc>
      </w:tr>
      <w:tr w:rsidR="00C92FE5" w:rsidRPr="00AC2F09"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AC2F09"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
                <w:bCs w:val="0"/>
                <w:i/>
                <w:color w:val="333333"/>
                <w:sz w:val="18"/>
                <w:szCs w:val="18"/>
              </w:rPr>
            </w:pPr>
            <w:r w:rsidRPr="00C952AF">
              <w:rPr>
                <w:rFonts w:eastAsia="Times New Roman"/>
                <w:b/>
                <w:i/>
                <w:color w:val="333333"/>
                <w:sz w:val="18"/>
                <w:szCs w:val="18"/>
              </w:rPr>
              <w:t>Administrative Advice:</w:t>
            </w:r>
          </w:p>
        </w:tc>
      </w:tr>
      <w:tr w:rsidR="00C92FE5" w:rsidRPr="00AC2F09"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AC2F09"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Cs w:val="0"/>
                <w:i/>
                <w:color w:val="333333"/>
                <w:sz w:val="18"/>
                <w:szCs w:val="18"/>
              </w:rPr>
            </w:pPr>
            <w:r w:rsidRPr="00C952AF">
              <w:rPr>
                <w:rFonts w:eastAsia="Times New Roman"/>
                <w:i/>
                <w:color w:val="333333"/>
                <w:sz w:val="18"/>
                <w:szCs w:val="18"/>
              </w:rPr>
              <w:t>No increase in the maximum number of repeats may be authorised.</w:t>
            </w:r>
          </w:p>
        </w:tc>
      </w:tr>
      <w:tr w:rsidR="00C92FE5" w:rsidRPr="00AC2F09"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Pr="00AC2F09"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
                <w:bCs w:val="0"/>
                <w:i/>
                <w:color w:val="333333"/>
                <w:sz w:val="18"/>
                <w:szCs w:val="18"/>
              </w:rPr>
            </w:pPr>
            <w:r w:rsidRPr="00C952AF">
              <w:rPr>
                <w:rFonts w:eastAsia="Times New Roman"/>
                <w:b/>
                <w:i/>
                <w:color w:val="333333"/>
                <w:sz w:val="18"/>
                <w:szCs w:val="18"/>
              </w:rPr>
              <w:t>Administrative Advice:</w:t>
            </w:r>
          </w:p>
        </w:tc>
      </w:tr>
      <w:tr w:rsidR="00C92FE5" w:rsidTr="0072762B">
        <w:tblPrEx>
          <w:tblCellMar>
            <w:top w:w="15" w:type="dxa"/>
            <w:left w:w="15" w:type="dxa"/>
            <w:bottom w:w="15" w:type="dxa"/>
            <w:right w:w="15" w:type="dxa"/>
          </w:tblCellMar>
          <w:tblLook w:val="04A0" w:firstRow="1" w:lastRow="0" w:firstColumn="1" w:lastColumn="0" w:noHBand="0" w:noVBand="1"/>
        </w:tblPrEx>
        <w:tc>
          <w:tcPr>
            <w:tcW w:w="981" w:type="dxa"/>
            <w:vAlign w:val="center"/>
          </w:tcPr>
          <w:p w:rsidR="00C92FE5" w:rsidRDefault="00C92FE5" w:rsidP="0072762B">
            <w:pPr>
              <w:jc w:val="center"/>
              <w:rPr>
                <w:rFonts w:ascii="Arial Narrow" w:hAnsi="Arial Narrow"/>
                <w:i/>
                <w:color w:val="333333"/>
                <w:sz w:val="18"/>
                <w:szCs w:val="18"/>
              </w:rPr>
            </w:pPr>
          </w:p>
        </w:tc>
        <w:tc>
          <w:tcPr>
            <w:tcW w:w="8086" w:type="dxa"/>
            <w:gridSpan w:val="7"/>
            <w:vAlign w:val="center"/>
          </w:tcPr>
          <w:p w:rsidR="00C92FE5" w:rsidRPr="00C952AF" w:rsidRDefault="00C92FE5" w:rsidP="0072762B">
            <w:pPr>
              <w:pStyle w:val="TableText0"/>
              <w:widowControl w:val="0"/>
              <w:rPr>
                <w:rFonts w:eastAsia="Times New Roman"/>
                <w:bCs w:val="0"/>
                <w:i/>
                <w:color w:val="333333"/>
                <w:sz w:val="18"/>
                <w:szCs w:val="18"/>
              </w:rPr>
            </w:pPr>
            <w:r w:rsidRPr="00C952AF">
              <w:rPr>
                <w:rFonts w:eastAsia="Times New Roman"/>
                <w:i/>
                <w:color w:val="333333"/>
                <w:sz w:val="18"/>
                <w:szCs w:val="18"/>
              </w:rPr>
              <w:t>No increase in the maximum quantity or number of units may be authorised.</w:t>
            </w:r>
          </w:p>
        </w:tc>
      </w:tr>
    </w:tbl>
    <w:p w:rsidR="00292708" w:rsidRDefault="00292708" w:rsidP="001B0917">
      <w:pPr>
        <w:pStyle w:val="TableFigureFooter"/>
      </w:pPr>
    </w:p>
    <w:p w:rsidR="007C70D9" w:rsidRPr="007C70D9" w:rsidRDefault="007C70D9" w:rsidP="0069742D">
      <w:pPr>
        <w:pStyle w:val="3-BodyText"/>
        <w:rPr>
          <w:iCs/>
        </w:rPr>
      </w:pPr>
      <w:r w:rsidRPr="007C70D9">
        <w:rPr>
          <w:rFonts w:ascii="Calibri" w:hAnsi="Calibri"/>
          <w:bCs/>
          <w:iCs/>
        </w:rPr>
        <w:t xml:space="preserve">The submission sought an Authority Required (Streamlined) listing for </w:t>
      </w:r>
      <w:r w:rsidR="000714FE">
        <w:rPr>
          <w:rFonts w:ascii="Calibri" w:hAnsi="Calibri"/>
          <w:bCs/>
          <w:iCs/>
        </w:rPr>
        <w:t>BOT</w:t>
      </w:r>
      <w:r w:rsidRPr="007C70D9">
        <w:rPr>
          <w:rFonts w:ascii="Calibri" w:hAnsi="Calibri"/>
          <w:bCs/>
          <w:iCs/>
        </w:rPr>
        <w:t xml:space="preserve"> for the treatment of </w:t>
      </w:r>
      <w:r>
        <w:rPr>
          <w:rFonts w:ascii="Calibri" w:hAnsi="Calibri"/>
          <w:bCs/>
          <w:iCs/>
        </w:rPr>
        <w:t>EoE</w:t>
      </w:r>
      <w:r w:rsidRPr="007C70D9">
        <w:rPr>
          <w:rFonts w:ascii="Calibri" w:hAnsi="Calibri"/>
          <w:bCs/>
          <w:iCs/>
        </w:rPr>
        <w:t>. As</w:t>
      </w:r>
      <w:r>
        <w:rPr>
          <w:rFonts w:ascii="Calibri" w:hAnsi="Calibri"/>
          <w:bCs/>
          <w:iCs/>
        </w:rPr>
        <w:t xml:space="preserve"> the complex restriction </w:t>
      </w:r>
      <w:r w:rsidRPr="007C70D9">
        <w:rPr>
          <w:rFonts w:ascii="Calibri" w:hAnsi="Calibri"/>
          <w:bCs/>
          <w:iCs/>
        </w:rPr>
        <w:t>involves histological assessment to determine eligibility for continuing treatment the PBAC consider</w:t>
      </w:r>
      <w:r>
        <w:rPr>
          <w:rFonts w:ascii="Calibri" w:hAnsi="Calibri"/>
          <w:bCs/>
          <w:iCs/>
        </w:rPr>
        <w:t xml:space="preserve">ed </w:t>
      </w:r>
      <w:r w:rsidRPr="007C70D9">
        <w:rPr>
          <w:rFonts w:ascii="Calibri" w:hAnsi="Calibri"/>
          <w:bCs/>
          <w:iCs/>
        </w:rPr>
        <w:t xml:space="preserve">an Authority Required (Telephone) listing </w:t>
      </w:r>
      <w:r>
        <w:rPr>
          <w:rFonts w:ascii="Calibri" w:hAnsi="Calibri"/>
          <w:bCs/>
          <w:iCs/>
        </w:rPr>
        <w:t>w</w:t>
      </w:r>
      <w:r w:rsidR="00AF18C5">
        <w:rPr>
          <w:rFonts w:ascii="Calibri" w:hAnsi="Calibri"/>
          <w:bCs/>
          <w:iCs/>
        </w:rPr>
        <w:t>as</w:t>
      </w:r>
      <w:r w:rsidRPr="007C70D9">
        <w:rPr>
          <w:rFonts w:ascii="Calibri" w:hAnsi="Calibri"/>
          <w:bCs/>
          <w:iCs/>
        </w:rPr>
        <w:t xml:space="preserve"> appropriate.</w:t>
      </w:r>
    </w:p>
    <w:p w:rsidR="00967CDF" w:rsidRPr="00967CDF" w:rsidRDefault="001B0917" w:rsidP="0069742D">
      <w:pPr>
        <w:pStyle w:val="3-BodyText"/>
        <w:rPr>
          <w:iCs/>
        </w:rPr>
      </w:pPr>
      <w:r w:rsidRPr="00111964">
        <w:t>The requested listing</w:t>
      </w:r>
      <w:r w:rsidRPr="00111964" w:rsidDel="0085274C">
        <w:t xml:space="preserve"> </w:t>
      </w:r>
      <w:r w:rsidR="0085274C" w:rsidRPr="00111964">
        <w:t>include</w:t>
      </w:r>
      <w:r w:rsidR="0085274C">
        <w:t>d</w:t>
      </w:r>
      <w:r w:rsidR="0085274C" w:rsidRPr="00111964">
        <w:t xml:space="preserve"> </w:t>
      </w:r>
      <w:r w:rsidRPr="00111964">
        <w:t>an initial 90-day treatment period, where the 90-tablet pack size will be dispensed with one repeat. For patients achieving remission by day 90, the 60-tablet pack size will be subsequently dispensed with five repeats</w:t>
      </w:r>
      <w:r w:rsidR="00C724A8">
        <w:t xml:space="preserve"> for the first continuing and </w:t>
      </w:r>
      <w:r w:rsidR="0046713D">
        <w:t xml:space="preserve">the </w:t>
      </w:r>
      <w:r w:rsidR="00C724A8">
        <w:t>second and subsequent continuing treatment restrictions</w:t>
      </w:r>
      <w:r w:rsidRPr="00111964">
        <w:t>.</w:t>
      </w:r>
      <w:r>
        <w:t xml:space="preserve"> </w:t>
      </w:r>
    </w:p>
    <w:p w:rsidR="00967CDF" w:rsidRDefault="001B0917" w:rsidP="0069742D">
      <w:pPr>
        <w:pStyle w:val="3-BodyText"/>
        <w:rPr>
          <w:iCs/>
        </w:rPr>
      </w:pPr>
      <w:r w:rsidRPr="00D34648">
        <w:rPr>
          <w:iCs/>
        </w:rPr>
        <w:t xml:space="preserve">The proposed listing for </w:t>
      </w:r>
      <w:r w:rsidR="00D67D6A" w:rsidRPr="00D34648">
        <w:rPr>
          <w:iCs/>
        </w:rPr>
        <w:t xml:space="preserve">the </w:t>
      </w:r>
      <w:r w:rsidRPr="00D34648">
        <w:rPr>
          <w:iCs/>
        </w:rPr>
        <w:t xml:space="preserve">initial treatment phase was inconsistent with the TGA/PI </w:t>
      </w:r>
      <w:r w:rsidR="00DF778A">
        <w:rPr>
          <w:iCs/>
        </w:rPr>
        <w:t>dose recommendation</w:t>
      </w:r>
      <w:r w:rsidRPr="00D34648">
        <w:rPr>
          <w:iCs/>
        </w:rPr>
        <w:t xml:space="preserve"> and clinical evidence</w:t>
      </w:r>
      <w:r w:rsidR="0071161A" w:rsidRPr="00D34648">
        <w:rPr>
          <w:iCs/>
        </w:rPr>
        <w:t xml:space="preserve"> in terms of treatment duration and </w:t>
      </w:r>
      <w:r w:rsidR="00870E53" w:rsidRPr="00D34648">
        <w:rPr>
          <w:iCs/>
        </w:rPr>
        <w:t>assessment</w:t>
      </w:r>
      <w:r w:rsidR="005D35B5" w:rsidRPr="00D34648">
        <w:rPr>
          <w:iCs/>
        </w:rPr>
        <w:t xml:space="preserve"> schedule</w:t>
      </w:r>
      <w:r w:rsidRPr="00D34648">
        <w:rPr>
          <w:iCs/>
        </w:rPr>
        <w:t>.</w:t>
      </w:r>
      <w:r w:rsidR="00C25470" w:rsidRPr="00D34648">
        <w:rPr>
          <w:iCs/>
        </w:rPr>
        <w:t xml:space="preserve"> </w:t>
      </w:r>
      <w:r w:rsidR="0082215D" w:rsidRPr="00D34648">
        <w:rPr>
          <w:iCs/>
        </w:rPr>
        <w:t xml:space="preserve">While </w:t>
      </w:r>
      <w:r w:rsidR="0090599F" w:rsidRPr="00D34648">
        <w:rPr>
          <w:iCs/>
        </w:rPr>
        <w:t>treatment duration</w:t>
      </w:r>
      <w:r w:rsidR="00F55554" w:rsidRPr="00D34648">
        <w:rPr>
          <w:iCs/>
        </w:rPr>
        <w:t xml:space="preserve"> of BOT</w:t>
      </w:r>
      <w:r w:rsidR="000101DF" w:rsidRPr="00D34648">
        <w:rPr>
          <w:iCs/>
        </w:rPr>
        <w:t xml:space="preserve"> (</w:t>
      </w:r>
      <w:r w:rsidR="00201613" w:rsidRPr="00D34648">
        <w:rPr>
          <w:iCs/>
        </w:rPr>
        <w:t>induction setting</w:t>
      </w:r>
      <w:r w:rsidR="000101DF" w:rsidRPr="00D34648">
        <w:rPr>
          <w:iCs/>
        </w:rPr>
        <w:t>)</w:t>
      </w:r>
      <w:r w:rsidR="00E2756D" w:rsidRPr="00D34648">
        <w:rPr>
          <w:iCs/>
        </w:rPr>
        <w:t xml:space="preserve"> reflected </w:t>
      </w:r>
      <w:r w:rsidR="007D5003" w:rsidRPr="00D34648">
        <w:rPr>
          <w:iCs/>
        </w:rPr>
        <w:t xml:space="preserve">in </w:t>
      </w:r>
      <w:r w:rsidR="00E05DED" w:rsidRPr="00D34648">
        <w:rPr>
          <w:iCs/>
        </w:rPr>
        <w:t xml:space="preserve">the </w:t>
      </w:r>
      <w:r w:rsidR="00A2739F" w:rsidRPr="00D34648">
        <w:rPr>
          <w:iCs/>
        </w:rPr>
        <w:t>TGA</w:t>
      </w:r>
      <w:r w:rsidR="00E45B38" w:rsidRPr="00D34648">
        <w:rPr>
          <w:iCs/>
        </w:rPr>
        <w:t xml:space="preserve"> approved </w:t>
      </w:r>
      <w:r w:rsidR="00A2739F" w:rsidRPr="00D34648">
        <w:rPr>
          <w:iCs/>
        </w:rPr>
        <w:t xml:space="preserve">PI and </w:t>
      </w:r>
      <w:r w:rsidR="00E05DED" w:rsidRPr="00D34648">
        <w:rPr>
          <w:iCs/>
        </w:rPr>
        <w:t xml:space="preserve">the </w:t>
      </w:r>
      <w:r w:rsidR="00A2739F" w:rsidRPr="00D34648">
        <w:rPr>
          <w:iCs/>
        </w:rPr>
        <w:t xml:space="preserve">clinical evidence </w:t>
      </w:r>
      <w:r w:rsidR="00726B30" w:rsidRPr="00D34648">
        <w:rPr>
          <w:iCs/>
        </w:rPr>
        <w:t>was</w:t>
      </w:r>
      <w:r w:rsidR="00FA7A17" w:rsidRPr="00D34648">
        <w:rPr>
          <w:iCs/>
        </w:rPr>
        <w:t xml:space="preserve"> 12 weeks with</w:t>
      </w:r>
      <w:r w:rsidR="009B4A12" w:rsidRPr="00D34648">
        <w:rPr>
          <w:iCs/>
        </w:rPr>
        <w:t xml:space="preserve"> </w:t>
      </w:r>
      <w:r w:rsidR="00FA7A17" w:rsidRPr="00D34648">
        <w:rPr>
          <w:iCs/>
        </w:rPr>
        <w:t xml:space="preserve">assessment </w:t>
      </w:r>
      <w:r w:rsidR="009B4A12" w:rsidRPr="00D34648">
        <w:rPr>
          <w:iCs/>
        </w:rPr>
        <w:t xml:space="preserve">of response </w:t>
      </w:r>
      <w:r w:rsidR="00FA7A17" w:rsidRPr="00D34648">
        <w:rPr>
          <w:iCs/>
        </w:rPr>
        <w:t>needed at 6 weeks</w:t>
      </w:r>
      <w:r w:rsidR="0027303A" w:rsidRPr="00D34648">
        <w:rPr>
          <w:iCs/>
        </w:rPr>
        <w:t>, t</w:t>
      </w:r>
      <w:r w:rsidR="002B6985" w:rsidRPr="00D34648">
        <w:rPr>
          <w:iCs/>
        </w:rPr>
        <w:t>he p</w:t>
      </w:r>
      <w:r w:rsidR="00C25470" w:rsidRPr="00D34648">
        <w:rPr>
          <w:iCs/>
        </w:rPr>
        <w:t xml:space="preserve">roposed </w:t>
      </w:r>
      <w:r w:rsidR="00E61CDE" w:rsidRPr="00D34648">
        <w:rPr>
          <w:iCs/>
        </w:rPr>
        <w:t xml:space="preserve">PBS </w:t>
      </w:r>
      <w:r w:rsidR="00C25470" w:rsidRPr="00D34648">
        <w:rPr>
          <w:iCs/>
        </w:rPr>
        <w:t>listing</w:t>
      </w:r>
      <w:r w:rsidR="0072789B" w:rsidRPr="00D34648">
        <w:rPr>
          <w:iCs/>
        </w:rPr>
        <w:t xml:space="preserve"> </w:t>
      </w:r>
      <w:r w:rsidR="00C25470" w:rsidRPr="00D34648">
        <w:rPr>
          <w:iCs/>
        </w:rPr>
        <w:t>w</w:t>
      </w:r>
      <w:r w:rsidR="00E61CDE" w:rsidRPr="00D34648">
        <w:rPr>
          <w:iCs/>
        </w:rPr>
        <w:t xml:space="preserve">ould </w:t>
      </w:r>
      <w:r w:rsidR="00C25470" w:rsidRPr="00D34648">
        <w:rPr>
          <w:iCs/>
        </w:rPr>
        <w:t>allow patients up to almost 13 weeks of treat</w:t>
      </w:r>
      <w:r w:rsidR="00480B87" w:rsidRPr="00D34648">
        <w:rPr>
          <w:iCs/>
        </w:rPr>
        <w:t>ment with no assessment required at 6 weeks.</w:t>
      </w:r>
      <w:r w:rsidR="0034349A" w:rsidRPr="00D34648">
        <w:rPr>
          <w:iCs/>
        </w:rPr>
        <w:t xml:space="preserve"> </w:t>
      </w:r>
    </w:p>
    <w:p w:rsidR="0069742D" w:rsidRPr="002A1B1E" w:rsidRDefault="00732BF6" w:rsidP="0069742D">
      <w:pPr>
        <w:pStyle w:val="3-BodyText"/>
        <w:rPr>
          <w:iCs/>
        </w:rPr>
      </w:pPr>
      <w:r w:rsidRPr="00D34648">
        <w:rPr>
          <w:iCs/>
        </w:rPr>
        <w:t>Furthermore</w:t>
      </w:r>
      <w:r w:rsidR="0069742D" w:rsidRPr="00D34648">
        <w:rPr>
          <w:iCs/>
        </w:rPr>
        <w:t>,</w:t>
      </w:r>
      <w:r w:rsidRPr="00D34648">
        <w:rPr>
          <w:iCs/>
        </w:rPr>
        <w:t xml:space="preserve"> </w:t>
      </w:r>
      <w:r w:rsidR="0069742D" w:rsidRPr="00D34648">
        <w:rPr>
          <w:iCs/>
        </w:rPr>
        <w:t>t</w:t>
      </w:r>
      <w:r w:rsidR="0034349A" w:rsidRPr="00D34648">
        <w:rPr>
          <w:iCs/>
        </w:rPr>
        <w:t xml:space="preserve">he </w:t>
      </w:r>
      <w:r w:rsidR="008D458B" w:rsidRPr="00D34648">
        <w:rPr>
          <w:iCs/>
        </w:rPr>
        <w:t xml:space="preserve">requested </w:t>
      </w:r>
      <w:r w:rsidR="0034349A" w:rsidRPr="00D34648">
        <w:rPr>
          <w:iCs/>
        </w:rPr>
        <w:t xml:space="preserve">use of BOT </w:t>
      </w:r>
      <w:r w:rsidR="0069742D" w:rsidRPr="00D34648">
        <w:rPr>
          <w:iCs/>
        </w:rPr>
        <w:t>in</w:t>
      </w:r>
      <w:r w:rsidR="00ED5FBD" w:rsidRPr="00D34648">
        <w:rPr>
          <w:iCs/>
        </w:rPr>
        <w:t xml:space="preserve"> </w:t>
      </w:r>
      <w:r w:rsidR="008F5C97" w:rsidRPr="00D34648">
        <w:rPr>
          <w:iCs/>
        </w:rPr>
        <w:t xml:space="preserve">the </w:t>
      </w:r>
      <w:r w:rsidR="0069742D" w:rsidRPr="00D34648">
        <w:rPr>
          <w:iCs/>
        </w:rPr>
        <w:t>maintenance setting (beyond 12 weeks)</w:t>
      </w:r>
      <w:r w:rsidR="00ED5FBD" w:rsidRPr="00D34648">
        <w:rPr>
          <w:iCs/>
        </w:rPr>
        <w:t xml:space="preserve"> </w:t>
      </w:r>
      <w:r w:rsidR="0069742D" w:rsidRPr="00D34648">
        <w:rPr>
          <w:iCs/>
        </w:rPr>
        <w:t xml:space="preserve">is beyond the maximum duration of treatment reflected in the current </w:t>
      </w:r>
      <w:r w:rsidR="00305081" w:rsidRPr="00D34648">
        <w:rPr>
          <w:iCs/>
        </w:rPr>
        <w:t xml:space="preserve">TGA </w:t>
      </w:r>
      <w:r w:rsidR="0069742D" w:rsidRPr="00D34648">
        <w:rPr>
          <w:iCs/>
        </w:rPr>
        <w:t>approved PI</w:t>
      </w:r>
      <w:r w:rsidR="0069742D" w:rsidRPr="002A1B1E">
        <w:rPr>
          <w:iCs/>
        </w:rPr>
        <w:t>.</w:t>
      </w:r>
      <w:r w:rsidR="00967CDF" w:rsidRPr="002A1B1E">
        <w:rPr>
          <w:iCs/>
        </w:rPr>
        <w:t xml:space="preserve"> </w:t>
      </w:r>
      <w:r w:rsidR="000969B1" w:rsidRPr="002A1B1E">
        <w:rPr>
          <w:iCs/>
        </w:rPr>
        <w:t xml:space="preserve">The PSCR argued the chronicity and potential for disease progression provides a strong rationale for maintenance therapy of EoE. </w:t>
      </w:r>
      <w:r w:rsidR="008D19F5" w:rsidRPr="002A1B1E">
        <w:rPr>
          <w:iCs/>
        </w:rPr>
        <w:t xml:space="preserve">The PSCR stated that international practice guidelines recommend long-term therapy with STC in patients with EoE. </w:t>
      </w:r>
      <w:r w:rsidR="000969B1" w:rsidRPr="002A1B1E">
        <w:rPr>
          <w:iCs/>
        </w:rPr>
        <w:t xml:space="preserve">The PSCR noted that without a PBS listing for maintenance therapy it is possible that remitting-relapsing patients would cycle in and out of induction therapy potentially risking disease progression and adverse sequalae. The PSCR acknowledged that, while the current TGA-approved label for BOT is for the treatment of EoE, its use in the maintenance setting is not explicitly addressed. The PSCR argued that the results from the placebo group in the EOS-2 trial suggest that the majority of patients would suffer relapse within 12 months if they did not receive maintenance therapy. </w:t>
      </w:r>
      <w:r w:rsidR="008D19F5" w:rsidRPr="002A1B1E">
        <w:rPr>
          <w:iCs/>
        </w:rPr>
        <w:t>The ESC noted that a 0.5 mg BID regimen along with the requested 1 mg BID regimens are used in the EOS-2 trial for maintenance treatment.</w:t>
      </w:r>
      <w:r w:rsidR="008D19F5">
        <w:rPr>
          <w:i/>
          <w:iCs/>
        </w:rPr>
        <w:t xml:space="preserve">  </w:t>
      </w:r>
      <w:r w:rsidR="008D19F5" w:rsidRPr="002A1B1E">
        <w:rPr>
          <w:iCs/>
        </w:rPr>
        <w:t xml:space="preserve">The ESC noted that a decision regarding TGA approval of the 0.5 mg strength of </w:t>
      </w:r>
      <w:r w:rsidR="00534B13" w:rsidRPr="002A1B1E">
        <w:rPr>
          <w:iCs/>
        </w:rPr>
        <w:t>BOT or the</w:t>
      </w:r>
      <w:r w:rsidR="008D19F5" w:rsidRPr="002A1B1E">
        <w:rPr>
          <w:iCs/>
        </w:rPr>
        <w:t xml:space="preserve"> use of either strength of BOT in the maintenance setting was not</w:t>
      </w:r>
      <w:r w:rsidR="000969B1" w:rsidRPr="002A1B1E">
        <w:rPr>
          <w:iCs/>
        </w:rPr>
        <w:t xml:space="preserve"> expected </w:t>
      </w:r>
      <w:r w:rsidR="008D19F5" w:rsidRPr="002A1B1E">
        <w:rPr>
          <w:iCs/>
        </w:rPr>
        <w:t xml:space="preserve">until </w:t>
      </w:r>
      <w:r w:rsidR="000969B1" w:rsidRPr="002A1B1E">
        <w:rPr>
          <w:iCs/>
        </w:rPr>
        <w:t xml:space="preserve">January 2022. </w:t>
      </w:r>
    </w:p>
    <w:p w:rsidR="003B532F" w:rsidRPr="00D34648" w:rsidRDefault="001B0917" w:rsidP="003B532F">
      <w:pPr>
        <w:pStyle w:val="3-BodyText"/>
        <w:rPr>
          <w:iCs/>
        </w:rPr>
      </w:pPr>
      <w:r w:rsidRPr="00D34648">
        <w:rPr>
          <w:iCs/>
        </w:rPr>
        <w:t xml:space="preserve">The proposed listing was for the general EoE population. However, the </w:t>
      </w:r>
      <w:r w:rsidR="003B532F" w:rsidRPr="00D34648">
        <w:rPr>
          <w:iCs/>
        </w:rPr>
        <w:t xml:space="preserve">patient population for which </w:t>
      </w:r>
      <w:r w:rsidRPr="00D34648">
        <w:rPr>
          <w:iCs/>
        </w:rPr>
        <w:t xml:space="preserve">clinical evidence </w:t>
      </w:r>
      <w:r w:rsidR="00D67D6A" w:rsidRPr="00D34648">
        <w:rPr>
          <w:iCs/>
        </w:rPr>
        <w:t xml:space="preserve">was </w:t>
      </w:r>
      <w:r w:rsidRPr="00D34648">
        <w:rPr>
          <w:iCs/>
        </w:rPr>
        <w:t xml:space="preserve">presented </w:t>
      </w:r>
      <w:r w:rsidR="003B532F" w:rsidRPr="00D34648">
        <w:rPr>
          <w:iCs/>
        </w:rPr>
        <w:t>differed from a general EoE population in that:</w:t>
      </w:r>
    </w:p>
    <w:p w:rsidR="003B532F" w:rsidRPr="002A1B1E" w:rsidRDefault="003B532F" w:rsidP="00C7699D">
      <w:pPr>
        <w:pStyle w:val="3-BodyText"/>
        <w:numPr>
          <w:ilvl w:val="0"/>
          <w:numId w:val="11"/>
        </w:numPr>
        <w:ind w:left="1077" w:hanging="357"/>
        <w:rPr>
          <w:snapToGrid/>
          <w:lang w:val="en-US"/>
        </w:rPr>
      </w:pPr>
      <w:r w:rsidRPr="00D34648">
        <w:rPr>
          <w:iCs/>
        </w:rPr>
        <w:t>All patients in EOS-1 were refractory to previous</w:t>
      </w:r>
      <w:r w:rsidR="001B0917" w:rsidRPr="00D34648">
        <w:rPr>
          <w:iCs/>
        </w:rPr>
        <w:t xml:space="preserve"> </w:t>
      </w:r>
      <w:r w:rsidR="00C5717C" w:rsidRPr="00D34648">
        <w:rPr>
          <w:iCs/>
        </w:rPr>
        <w:t>proton pump inhibitor (</w:t>
      </w:r>
      <w:r w:rsidR="001B0917" w:rsidRPr="00D34648">
        <w:rPr>
          <w:iCs/>
        </w:rPr>
        <w:t>PPI</w:t>
      </w:r>
      <w:r w:rsidR="00C5717C" w:rsidRPr="00D34648">
        <w:rPr>
          <w:iCs/>
        </w:rPr>
        <w:t>)</w:t>
      </w:r>
      <w:r w:rsidR="001B0917" w:rsidRPr="00D34648">
        <w:rPr>
          <w:iCs/>
        </w:rPr>
        <w:t xml:space="preserve"> </w:t>
      </w:r>
      <w:r w:rsidRPr="00D34648">
        <w:rPr>
          <w:iCs/>
        </w:rPr>
        <w:t xml:space="preserve">therapy </w:t>
      </w:r>
      <w:r w:rsidR="001B0917" w:rsidRPr="00D34648">
        <w:rPr>
          <w:iCs/>
        </w:rPr>
        <w:t>of at least 4 weeks</w:t>
      </w:r>
      <w:r w:rsidRPr="00D34648">
        <w:rPr>
          <w:iCs/>
        </w:rPr>
        <w:t xml:space="preserve"> duration</w:t>
      </w:r>
      <w:r w:rsidR="001B0917" w:rsidRPr="00D34648">
        <w:rPr>
          <w:iCs/>
        </w:rPr>
        <w:t xml:space="preserve">. </w:t>
      </w:r>
      <w:r w:rsidR="007F225D" w:rsidRPr="00D34648">
        <w:rPr>
          <w:iCs/>
        </w:rPr>
        <w:t xml:space="preserve">While </w:t>
      </w:r>
      <w:r w:rsidR="00A9604A" w:rsidRPr="00D34648">
        <w:rPr>
          <w:iCs/>
          <w:snapToGrid/>
          <w:lang w:val="en-US"/>
        </w:rPr>
        <w:t xml:space="preserve">the submission is seeking a listing for use that does not refer to prior PPI exposure, </w:t>
      </w:r>
      <w:r w:rsidR="00A9604A" w:rsidRPr="00D34648">
        <w:rPr>
          <w:iCs/>
        </w:rPr>
        <w:t>t</w:t>
      </w:r>
      <w:r w:rsidR="001B0917" w:rsidRPr="00D34648">
        <w:rPr>
          <w:iCs/>
        </w:rPr>
        <w:t>he submission did not present</w:t>
      </w:r>
      <w:r w:rsidRPr="00D34648">
        <w:rPr>
          <w:iCs/>
        </w:rPr>
        <w:t xml:space="preserve"> comparative</w:t>
      </w:r>
      <w:r w:rsidR="001B0917" w:rsidRPr="00D34648">
        <w:rPr>
          <w:iCs/>
        </w:rPr>
        <w:t xml:space="preserve"> evidence on the efficacy or safety of using BOT in </w:t>
      </w:r>
      <w:r w:rsidRPr="00D34648">
        <w:rPr>
          <w:iCs/>
        </w:rPr>
        <w:t xml:space="preserve">PPI naïve </w:t>
      </w:r>
      <w:r w:rsidR="001B0917" w:rsidRPr="00D34648">
        <w:rPr>
          <w:iCs/>
        </w:rPr>
        <w:t xml:space="preserve">patients. </w:t>
      </w:r>
      <w:r w:rsidR="007746F9" w:rsidRPr="007746F9">
        <w:rPr>
          <w:i/>
        </w:rPr>
        <w:t xml:space="preserve"> </w:t>
      </w:r>
      <w:r w:rsidR="00604D9F" w:rsidRPr="002A1B1E">
        <w:rPr>
          <w:iCs/>
        </w:rPr>
        <w:t xml:space="preserve">The PSCR noted that early guidelines had cited the existence of a specific EoE subgroup who were responsive to PPIs (the PPI-REE group) and recommended these patients be identified with a trial of PPI treatment as part of the diagnostic work-up. The PSCR noted that current guidelines removed this procedure as the PPI-REE cohort was clinically, endoscopically and histologically indistinguishable from all other patients with a confirmed EoE diagnosis. </w:t>
      </w:r>
      <w:r w:rsidR="00D46C45" w:rsidRPr="002A1B1E">
        <w:t>The ESC considered that some EoE patients do respond to PPI therapy. However, the ESC noted that</w:t>
      </w:r>
      <w:r w:rsidR="00604D9F" w:rsidRPr="002A1B1E">
        <w:t xml:space="preserve"> including the need to be refractory to PPIs in the restriction would require all patients to use a non-TGA approved and non-PBS subsidised therapy.</w:t>
      </w:r>
      <w:r w:rsidR="00AF18C5">
        <w:t xml:space="preserve"> Th</w:t>
      </w:r>
      <w:r w:rsidR="001B0748">
        <w:t xml:space="preserve">e PBAC considered it appropriate to include PPI naïve patients in the proposed PBS population. </w:t>
      </w:r>
    </w:p>
    <w:p w:rsidR="00766458" w:rsidRPr="00241F9C" w:rsidRDefault="00766458" w:rsidP="00C7699D">
      <w:pPr>
        <w:pStyle w:val="3-BodyText"/>
        <w:numPr>
          <w:ilvl w:val="0"/>
          <w:numId w:val="11"/>
        </w:numPr>
        <w:ind w:left="1077" w:hanging="357"/>
        <w:rPr>
          <w:i/>
          <w:iCs/>
        </w:rPr>
      </w:pPr>
      <w:r w:rsidRPr="00D34648">
        <w:rPr>
          <w:iCs/>
        </w:rPr>
        <w:t>Neither the proposed simple nor complex restrictions specified the diagnostic criteria to apply with respect to the clinical presentation of EoE.</w:t>
      </w:r>
      <w:r w:rsidR="004C3465" w:rsidRPr="00D34648">
        <w:rPr>
          <w:iCs/>
        </w:rPr>
        <w:t xml:space="preserve"> </w:t>
      </w:r>
      <w:r w:rsidR="00AF6E6C" w:rsidRPr="00D34648">
        <w:rPr>
          <w:iCs/>
        </w:rPr>
        <w:t>I</w:t>
      </w:r>
      <w:r w:rsidR="004C3465" w:rsidRPr="00D34648">
        <w:rPr>
          <w:iCs/>
        </w:rPr>
        <w:t>nclusion</w:t>
      </w:r>
      <w:r w:rsidR="005365AD" w:rsidRPr="00D34648">
        <w:rPr>
          <w:iCs/>
        </w:rPr>
        <w:t xml:space="preserve"> </w:t>
      </w:r>
      <w:r w:rsidR="004C3465" w:rsidRPr="00D34648">
        <w:rPr>
          <w:iCs/>
        </w:rPr>
        <w:t>in EOS-1</w:t>
      </w:r>
      <w:r w:rsidR="00AB31D5" w:rsidRPr="00D34648">
        <w:rPr>
          <w:iCs/>
        </w:rPr>
        <w:t xml:space="preserve"> </w:t>
      </w:r>
      <w:r w:rsidR="004C3465" w:rsidRPr="00D34648">
        <w:rPr>
          <w:iCs/>
        </w:rPr>
        <w:t xml:space="preserve">had history of </w:t>
      </w:r>
      <w:r w:rsidR="00BA7B3B" w:rsidRPr="00D34648">
        <w:rPr>
          <w:iCs/>
        </w:rPr>
        <w:t xml:space="preserve">clinical </w:t>
      </w:r>
      <w:r w:rsidR="004C3465" w:rsidRPr="00D34648">
        <w:rPr>
          <w:iCs/>
        </w:rPr>
        <w:t>symptoms of oesophageal dysfunction for diagnosis of EoE</w:t>
      </w:r>
      <w:r w:rsidR="00054E89" w:rsidRPr="00D34648">
        <w:rPr>
          <w:iCs/>
        </w:rPr>
        <w:t xml:space="preserve"> (at least one of the following</w:t>
      </w:r>
      <w:r w:rsidR="00562877" w:rsidRPr="00D34648">
        <w:rPr>
          <w:iCs/>
        </w:rPr>
        <w:t xml:space="preserve">; </w:t>
      </w:r>
      <w:r w:rsidR="007B30F3" w:rsidRPr="00D34648">
        <w:rPr>
          <w:iCs/>
        </w:rPr>
        <w:t>transient or self-cleared food impaction, chest pain, epigastric discomfort, vomiting/regurgitation)</w:t>
      </w:r>
      <w:r w:rsidR="00346CDF" w:rsidRPr="00D34648">
        <w:rPr>
          <w:iCs/>
        </w:rPr>
        <w:t>;</w:t>
      </w:r>
      <w:r w:rsidR="004C3465" w:rsidRPr="00D34648">
        <w:rPr>
          <w:iCs/>
        </w:rPr>
        <w:t xml:space="preserve"> </w:t>
      </w:r>
      <w:r w:rsidR="007B30F3" w:rsidRPr="00D34648">
        <w:rPr>
          <w:iCs/>
        </w:rPr>
        <w:t>disease state</w:t>
      </w:r>
      <w:r w:rsidR="00D62BD0" w:rsidRPr="00D34648">
        <w:rPr>
          <w:iCs/>
        </w:rPr>
        <w:t xml:space="preserve"> </w:t>
      </w:r>
      <w:r w:rsidR="00632FEA" w:rsidRPr="00D34648">
        <w:rPr>
          <w:iCs/>
        </w:rPr>
        <w:t>with</w:t>
      </w:r>
      <w:r w:rsidR="00F61DD8" w:rsidRPr="00D34648">
        <w:rPr>
          <w:iCs/>
        </w:rPr>
        <w:t xml:space="preserve"> </w:t>
      </w:r>
      <w:r w:rsidR="004C3465" w:rsidRPr="00D34648">
        <w:rPr>
          <w:iCs/>
        </w:rPr>
        <w:t xml:space="preserve">score of at least 4 points on a 0–10 </w:t>
      </w:r>
      <w:r w:rsidR="00ED5CAA" w:rsidRPr="00D34648">
        <w:t>numerical rating scale (NRS)</w:t>
      </w:r>
      <w:r w:rsidR="004C3465" w:rsidRPr="00D34648">
        <w:rPr>
          <w:iCs/>
        </w:rPr>
        <w:t xml:space="preserve"> for either dysphagia or odynodysphagia, and for </w:t>
      </w:r>
      <w:r w:rsidR="003D177B" w:rsidRPr="00D34648">
        <w:rPr>
          <w:iCs/>
        </w:rPr>
        <w:t>Patient's Global Assessment (</w:t>
      </w:r>
      <w:r w:rsidR="004C3465" w:rsidRPr="00D34648">
        <w:rPr>
          <w:iCs/>
        </w:rPr>
        <w:t>PatGA</w:t>
      </w:r>
      <w:r w:rsidR="003D177B" w:rsidRPr="00D34648">
        <w:rPr>
          <w:iCs/>
        </w:rPr>
        <w:t>)</w:t>
      </w:r>
      <w:r w:rsidR="00126972" w:rsidRPr="00D34648">
        <w:rPr>
          <w:iCs/>
        </w:rPr>
        <w:t xml:space="preserve">. </w:t>
      </w:r>
      <w:r w:rsidRPr="00D34648">
        <w:rPr>
          <w:iCs/>
        </w:rPr>
        <w:t xml:space="preserve"> </w:t>
      </w:r>
      <w:r w:rsidR="00241F9C" w:rsidRPr="002A1B1E">
        <w:rPr>
          <w:iCs/>
        </w:rPr>
        <w:t xml:space="preserve">The PSCR argued that NRS for the assessment of EoE symptom severity are not used in routine clinical practice. </w:t>
      </w:r>
      <w:r w:rsidR="001B0748">
        <w:rPr>
          <w:iCs/>
        </w:rPr>
        <w:t>T</w:t>
      </w:r>
      <w:r w:rsidR="00241F9C" w:rsidRPr="002A1B1E">
        <w:rPr>
          <w:iCs/>
        </w:rPr>
        <w:t xml:space="preserve">he </w:t>
      </w:r>
      <w:r w:rsidR="001B0748">
        <w:rPr>
          <w:iCs/>
        </w:rPr>
        <w:t xml:space="preserve">PBAC </w:t>
      </w:r>
      <w:r w:rsidR="00241F9C" w:rsidRPr="002A1B1E">
        <w:rPr>
          <w:iCs/>
        </w:rPr>
        <w:t>considered the inclusion of a clinical criterion referencing a history of symptoms of oesophageal dysfunction appropriate.</w:t>
      </w:r>
      <w:r w:rsidR="00241F9C">
        <w:rPr>
          <w:i/>
          <w:iCs/>
        </w:rPr>
        <w:t xml:space="preserve"> </w:t>
      </w:r>
    </w:p>
    <w:p w:rsidR="003B532F" w:rsidRPr="002A1B1E" w:rsidRDefault="003B532F" w:rsidP="00C7699D">
      <w:pPr>
        <w:pStyle w:val="3-BodyText"/>
        <w:numPr>
          <w:ilvl w:val="3"/>
          <w:numId w:val="1"/>
        </w:numPr>
        <w:ind w:left="1077" w:hanging="357"/>
        <w:rPr>
          <w:iCs/>
        </w:rPr>
      </w:pPr>
      <w:r w:rsidRPr="00D34648">
        <w:rPr>
          <w:iCs/>
        </w:rPr>
        <w:t xml:space="preserve">EOS-1 did </w:t>
      </w:r>
      <w:r w:rsidR="001B0917" w:rsidRPr="00D34648">
        <w:rPr>
          <w:iCs/>
        </w:rPr>
        <w:t xml:space="preserve">not include </w:t>
      </w:r>
      <w:r w:rsidRPr="00D34648">
        <w:rPr>
          <w:iCs/>
        </w:rPr>
        <w:t>patients with</w:t>
      </w:r>
      <w:r w:rsidR="001B0917" w:rsidRPr="00D34648" w:rsidDel="003B532F">
        <w:rPr>
          <w:iCs/>
        </w:rPr>
        <w:t xml:space="preserve"> </w:t>
      </w:r>
      <w:r w:rsidR="001B0917" w:rsidRPr="00D34648">
        <w:rPr>
          <w:iCs/>
        </w:rPr>
        <w:t>a peak eosinophil count between 60 eos/mm</w:t>
      </w:r>
      <w:r w:rsidR="001B0917" w:rsidRPr="00D34648">
        <w:rPr>
          <w:iCs/>
          <w:vertAlign w:val="superscript"/>
        </w:rPr>
        <w:t>2</w:t>
      </w:r>
      <w:r w:rsidR="001B0917" w:rsidRPr="00D34648">
        <w:rPr>
          <w:iCs/>
        </w:rPr>
        <w:t xml:space="preserve"> hpf (corresponding to 15 eos/hpf</w:t>
      </w:r>
      <w:r w:rsidR="00110DC8" w:rsidRPr="00D34648">
        <w:rPr>
          <w:iCs/>
        </w:rPr>
        <w:t>)</w:t>
      </w:r>
      <w:r w:rsidR="00CF6A16" w:rsidRPr="00D34648">
        <w:rPr>
          <w:rStyle w:val="FootnoteReference"/>
          <w:iCs/>
        </w:rPr>
        <w:footnoteReference w:id="2"/>
      </w:r>
      <w:r w:rsidR="001B0917" w:rsidRPr="00D34648">
        <w:rPr>
          <w:iCs/>
        </w:rPr>
        <w:t xml:space="preserve"> and 65 eos/mm</w:t>
      </w:r>
      <w:r w:rsidR="001B0917" w:rsidRPr="00D34648">
        <w:rPr>
          <w:iCs/>
          <w:vertAlign w:val="superscript"/>
        </w:rPr>
        <w:t>2</w:t>
      </w:r>
      <w:r w:rsidR="001B0917" w:rsidRPr="00D34648">
        <w:rPr>
          <w:iCs/>
        </w:rPr>
        <w:t xml:space="preserve"> hpf (corresponding to 20 eos/hpf</w:t>
      </w:r>
      <w:r w:rsidR="00FF6DA7" w:rsidRPr="00D34648">
        <w:rPr>
          <w:iCs/>
        </w:rPr>
        <w:t>)</w:t>
      </w:r>
      <w:r w:rsidR="005B2A95" w:rsidRPr="00D34648">
        <w:rPr>
          <w:rStyle w:val="FootnoteReference"/>
          <w:iCs/>
        </w:rPr>
        <w:footnoteReference w:id="3"/>
      </w:r>
      <w:r w:rsidR="001B0917" w:rsidRPr="00D34648">
        <w:rPr>
          <w:iCs/>
        </w:rPr>
        <w:t>. Such patients would be eligible for treatment under the proposed PBS listing.</w:t>
      </w:r>
      <w:r w:rsidR="00241F9C">
        <w:rPr>
          <w:iCs/>
        </w:rPr>
        <w:t xml:space="preserve"> </w:t>
      </w:r>
      <w:r w:rsidR="00241F9C" w:rsidRPr="002A1B1E">
        <w:rPr>
          <w:iCs/>
        </w:rPr>
        <w:t xml:space="preserve">The </w:t>
      </w:r>
      <w:r w:rsidR="00D46C45" w:rsidRPr="002A1B1E">
        <w:rPr>
          <w:iCs/>
        </w:rPr>
        <w:t xml:space="preserve">ESC agreed with the PSCR </w:t>
      </w:r>
      <w:r w:rsidR="00241F9C" w:rsidRPr="002A1B1E">
        <w:t xml:space="preserve">that eosinophil counts are commonly </w:t>
      </w:r>
      <w:r w:rsidR="00241F9C" w:rsidRPr="002A1B1E">
        <w:rPr>
          <w:rFonts w:cs="Calibri"/>
        </w:rPr>
        <w:t>≥</w:t>
      </w:r>
      <w:r w:rsidR="00241F9C" w:rsidRPr="002A1B1E">
        <w:t xml:space="preserve"> 20 eos/hpf in the oesophagus of EoE patients with active disease. </w:t>
      </w:r>
    </w:p>
    <w:p w:rsidR="001B0917" w:rsidRPr="00D34648" w:rsidRDefault="00B652D7" w:rsidP="00C7699D">
      <w:pPr>
        <w:pStyle w:val="3-BodyText"/>
        <w:numPr>
          <w:ilvl w:val="3"/>
          <w:numId w:val="1"/>
        </w:numPr>
        <w:ind w:left="1077" w:hanging="357"/>
        <w:rPr>
          <w:iCs/>
        </w:rPr>
      </w:pPr>
      <w:r w:rsidRPr="00D34648">
        <w:rPr>
          <w:iCs/>
        </w:rPr>
        <w:t>P</w:t>
      </w:r>
      <w:r w:rsidR="001B0917" w:rsidRPr="00D34648">
        <w:rPr>
          <w:iCs/>
        </w:rPr>
        <w:t>atients in the trials were restricted from the concurrent use of systemic or topical glucocorticosteroids, biologics, or immunosuppressants; or initiating dietary restrictions. This is not reflected in the wording of the proposed prescriber instructions.</w:t>
      </w:r>
    </w:p>
    <w:p w:rsidR="00EC5BD9" w:rsidRPr="00D34648" w:rsidRDefault="00EC5BD9" w:rsidP="0028732F">
      <w:pPr>
        <w:pStyle w:val="3-BodyText"/>
        <w:rPr>
          <w:iCs/>
        </w:rPr>
      </w:pPr>
      <w:r w:rsidRPr="00D34648">
        <w:rPr>
          <w:iCs/>
        </w:rPr>
        <w:t>The proposed restriction allows use of BOT in the retreatment setting. However, no evidence was presented to establish whether patients who relapse after an initial response would respond to a subsequent course of treatment (re-treatment).</w:t>
      </w:r>
    </w:p>
    <w:p w:rsidR="001B0917" w:rsidRDefault="001B0917" w:rsidP="001B0917">
      <w:pPr>
        <w:pStyle w:val="3-BodyText"/>
        <w:rPr>
          <w:iCs/>
        </w:rPr>
      </w:pPr>
      <w:r w:rsidRPr="00D34648">
        <w:t>The submission stated th</w:t>
      </w:r>
      <w:r w:rsidR="003711D9" w:rsidRPr="00D34648">
        <w:t>at th</w:t>
      </w:r>
      <w:r w:rsidRPr="00D34648">
        <w:t xml:space="preserve">ere is </w:t>
      </w:r>
      <w:r w:rsidR="003711D9" w:rsidRPr="00D34648">
        <w:t xml:space="preserve">the </w:t>
      </w:r>
      <w:r w:rsidRPr="00D34648">
        <w:t xml:space="preserve">possibility that </w:t>
      </w:r>
      <w:r w:rsidR="003711D9" w:rsidRPr="00D34648">
        <w:t xml:space="preserve">some </w:t>
      </w:r>
      <w:r w:rsidRPr="00D34648">
        <w:t xml:space="preserve">patients will receive BOT </w:t>
      </w:r>
      <w:r w:rsidR="003711D9" w:rsidRPr="00D34648">
        <w:t xml:space="preserve">after TGA registration and prior to PBS listing, either </w:t>
      </w:r>
      <w:r w:rsidRPr="00D34648">
        <w:t>as part of a treatment familiarisation program</w:t>
      </w:r>
      <w:r w:rsidRPr="00D34648" w:rsidDel="003711D9">
        <w:t xml:space="preserve"> </w:t>
      </w:r>
      <w:r w:rsidRPr="00D34648">
        <w:t>or alternatively through private prescriptions</w:t>
      </w:r>
      <w:r w:rsidR="003711D9" w:rsidRPr="00D34648">
        <w:t>. Such patients</w:t>
      </w:r>
      <w:r w:rsidRPr="00D34648">
        <w:t xml:space="preserve"> would require a grandfathering restriction in order to access continuing treatment with BOT on the PBS. </w:t>
      </w:r>
      <w:r w:rsidRPr="00D34648">
        <w:rPr>
          <w:iCs/>
        </w:rPr>
        <w:t xml:space="preserve">The submission did not provide a grandfathering </w:t>
      </w:r>
      <w:r w:rsidR="00913C1A" w:rsidRPr="00D34648">
        <w:rPr>
          <w:iCs/>
        </w:rPr>
        <w:t>restriction,</w:t>
      </w:r>
      <w:r w:rsidRPr="00D34648">
        <w:rPr>
          <w:iCs/>
        </w:rPr>
        <w:t xml:space="preserve"> </w:t>
      </w:r>
      <w:r w:rsidR="003711D9" w:rsidRPr="00D34648">
        <w:rPr>
          <w:iCs/>
        </w:rPr>
        <w:t xml:space="preserve">nor </w:t>
      </w:r>
      <w:r w:rsidRPr="00D34648">
        <w:rPr>
          <w:iCs/>
        </w:rPr>
        <w:t xml:space="preserve">did </w:t>
      </w:r>
      <w:r w:rsidR="003711D9" w:rsidRPr="00D34648">
        <w:rPr>
          <w:iCs/>
        </w:rPr>
        <w:t xml:space="preserve">it </w:t>
      </w:r>
      <w:r w:rsidRPr="00D34648">
        <w:rPr>
          <w:iCs/>
        </w:rPr>
        <w:t xml:space="preserve">account for the use of BOT in grandfathered patients in </w:t>
      </w:r>
      <w:r w:rsidR="00D46C45" w:rsidRPr="00D46C45">
        <w:rPr>
          <w:iCs/>
        </w:rPr>
        <w:t>the financial estimates</w:t>
      </w:r>
      <w:r w:rsidRPr="00D34648">
        <w:rPr>
          <w:iCs/>
        </w:rPr>
        <w:t>.</w:t>
      </w:r>
    </w:p>
    <w:p w:rsidR="00911428" w:rsidRPr="00911428" w:rsidRDefault="00911428" w:rsidP="00911428">
      <w:pPr>
        <w:pStyle w:val="3-BodyText"/>
        <w:numPr>
          <w:ilvl w:val="0"/>
          <w:numId w:val="0"/>
        </w:numPr>
        <w:ind w:left="720"/>
        <w:rPr>
          <w:i/>
          <w:iCs/>
        </w:rPr>
      </w:pPr>
      <w:r w:rsidRPr="00911428">
        <w:rPr>
          <w:i/>
          <w:iCs/>
        </w:rPr>
        <w:t>For more detail on PBAC’s view, see section 7 PBAC outcome.</w:t>
      </w:r>
    </w:p>
    <w:p w:rsidR="001B0917" w:rsidRPr="00407F2D" w:rsidRDefault="001B0917" w:rsidP="001B0917">
      <w:pPr>
        <w:pStyle w:val="2-SectionHeading"/>
      </w:pPr>
      <w:bookmarkStart w:id="7" w:name="_Toc62047617"/>
      <w:r>
        <w:t>Population and disease</w:t>
      </w:r>
      <w:bookmarkEnd w:id="7"/>
    </w:p>
    <w:p w:rsidR="001B0917" w:rsidRPr="00D2535C" w:rsidRDefault="001B0917" w:rsidP="001B0917">
      <w:pPr>
        <w:pStyle w:val="3-BodyText"/>
        <w:rPr>
          <w:i/>
          <w:iCs/>
        </w:rPr>
      </w:pPr>
      <w:r w:rsidRPr="00BC0C33">
        <w:t xml:space="preserve">The PBAC has not previously considered any applications for the listing of drugs for EoE. </w:t>
      </w:r>
    </w:p>
    <w:p w:rsidR="001B0917" w:rsidRDefault="001B0917" w:rsidP="001B0917">
      <w:pPr>
        <w:pStyle w:val="3-BodyText"/>
      </w:pPr>
      <w:r w:rsidRPr="00BC0C33">
        <w:t>EoE is an immune mediated (atopic), chronic and progressive inflammatory disease, characterised histologically by the accumulation of eosinophils in the oesophageal lining and clinically by symptoms of oesophageal dysfunction.</w:t>
      </w:r>
    </w:p>
    <w:p w:rsidR="001B0917" w:rsidRPr="00CA27B2" w:rsidRDefault="001B0917" w:rsidP="001B0917">
      <w:pPr>
        <w:pStyle w:val="3-BodyText"/>
      </w:pPr>
      <w:r w:rsidRPr="00E829DB">
        <w:t xml:space="preserve">BOT is a non-halogenated glucocorticosteroid, which achieves an anti-inflammatory effect through its binding to the glucocorticoid receptor. The exact mechanism of action in the treatment of EoE is not fully understood, </w:t>
      </w:r>
      <w:r w:rsidR="00C128B4">
        <w:t>however it i</w:t>
      </w:r>
      <w:r w:rsidR="003711D9">
        <w:t>s</w:t>
      </w:r>
      <w:r w:rsidR="00C128B4">
        <w:t xml:space="preserve"> thought that</w:t>
      </w:r>
      <w:r w:rsidR="00C128B4" w:rsidRPr="00E829DB">
        <w:t xml:space="preserve"> </w:t>
      </w:r>
      <w:r w:rsidRPr="00E829DB">
        <w:t>budesonide may inhibit antigen-stimulated secretion of several pro-inflammatory signal molecules, such as thymic stromal lymphopoietin, interleukin-13 and eotaxin-3 in the oesophageal epithelium.</w:t>
      </w:r>
    </w:p>
    <w:p w:rsidR="001B0917" w:rsidRPr="00D34648" w:rsidRDefault="001B0917" w:rsidP="001B0917">
      <w:pPr>
        <w:pStyle w:val="3-BodyText"/>
        <w:rPr>
          <w:iCs/>
          <w:color w:val="0066FF"/>
        </w:rPr>
      </w:pPr>
      <w:r w:rsidRPr="00301466">
        <w:t xml:space="preserve">Under the current treatment algorithm presented by the submission, adult patients diagnosed with EOE will be offered </w:t>
      </w:r>
      <w:r w:rsidRPr="00D34648">
        <w:t xml:space="preserve">either PPI, </w:t>
      </w:r>
      <w:r w:rsidR="00C32B20" w:rsidRPr="00D34648">
        <w:rPr>
          <w:iCs/>
        </w:rPr>
        <w:t>swallowed topical corticosteroids (</w:t>
      </w:r>
      <w:r w:rsidRPr="00D34648">
        <w:t>STC</w:t>
      </w:r>
      <w:r w:rsidR="00C32B20" w:rsidRPr="00D34648">
        <w:t>)</w:t>
      </w:r>
      <w:r w:rsidRPr="00D34648">
        <w:t>, or dietary modification as a first line therapy; the choice of treatment strategy being based on clinician guidance and patient preference. The proposed treatment algorithm</w:t>
      </w:r>
      <w:r w:rsidR="00CE7872" w:rsidRPr="00D34648">
        <w:t xml:space="preserve"> (Figure 1)</w:t>
      </w:r>
      <w:r w:rsidRPr="00D34648">
        <w:t xml:space="preserve"> positions BOT as the only approved first line alterna</w:t>
      </w:r>
      <w:r w:rsidR="00292C55" w:rsidRPr="00D34648">
        <w:t>te</w:t>
      </w:r>
      <w:r w:rsidRPr="00D34648">
        <w:t xml:space="preserve"> therapy to PPI or diet modification. </w:t>
      </w:r>
      <w:r w:rsidRPr="00D34648">
        <w:rPr>
          <w:iCs/>
        </w:rPr>
        <w:t xml:space="preserve">This acknowledges that, in practice, BOT would be anticipated to replace PPIs or diet modification. </w:t>
      </w:r>
    </w:p>
    <w:p w:rsidR="003711D9" w:rsidRPr="00CF69A2" w:rsidRDefault="003711D9" w:rsidP="00CF69A2">
      <w:pPr>
        <w:pStyle w:val="TableFigureHeading"/>
        <w:keepLines/>
      </w:pPr>
      <w:r w:rsidRPr="003711D9">
        <w:rPr>
          <w:rStyle w:val="CommentReference"/>
          <w:b/>
          <w:szCs w:val="24"/>
        </w:rPr>
        <w:t>Figure 1: Proposed treatment algorithm indicating the positioning of JORVEZA® post-PBS listing</w:t>
      </w:r>
    </w:p>
    <w:p w:rsidR="00CE7872" w:rsidRPr="00CE7872" w:rsidRDefault="00CE7872" w:rsidP="00CE7872">
      <w:pPr>
        <w:pStyle w:val="3-BodyText"/>
        <w:numPr>
          <w:ilvl w:val="1"/>
          <w:numId w:val="0"/>
        </w:numPr>
        <w:ind w:left="720"/>
        <w:rPr>
          <w:rStyle w:val="CommentReference"/>
          <w:rFonts w:eastAsiaTheme="majorEastAsia" w:cstheme="majorBidi"/>
          <w:snapToGrid/>
          <w:szCs w:val="24"/>
        </w:rPr>
      </w:pPr>
      <w:r>
        <w:rPr>
          <w:noProof/>
        </w:rPr>
        <w:drawing>
          <wp:inline distT="0" distB="0" distL="0" distR="0" wp14:anchorId="77E61F8C" wp14:editId="5F2607B9">
            <wp:extent cx="4187860" cy="4502439"/>
            <wp:effectExtent l="0" t="0" r="3175" b="635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187860" cy="4502439"/>
                    </a:xfrm>
                    <a:prstGeom prst="rect">
                      <a:avLst/>
                    </a:prstGeom>
                  </pic:spPr>
                </pic:pic>
              </a:graphicData>
            </a:graphic>
          </wp:inline>
        </w:drawing>
      </w:r>
    </w:p>
    <w:p w:rsidR="00CE7872" w:rsidRDefault="00CE7872" w:rsidP="00CE7872">
      <w:pPr>
        <w:pStyle w:val="TableFigureFooter"/>
        <w:ind w:left="720"/>
      </w:pPr>
      <w:r w:rsidRPr="00CE7872">
        <w:t xml:space="preserve">Source: Figure 1-9, p39 of the submission. </w:t>
      </w:r>
    </w:p>
    <w:p w:rsidR="00CE7872" w:rsidRPr="00CE7872" w:rsidRDefault="00CE7872" w:rsidP="00CE7872">
      <w:pPr>
        <w:pStyle w:val="TableFigureFooter"/>
        <w:ind w:left="720"/>
      </w:pPr>
      <w:r w:rsidRPr="00CE7872">
        <w:t>Notes: Histologic remission is defined as an eosinophil count of less than 5 eos/hpf (corresponding to less than16 eos/mm</w:t>
      </w:r>
      <w:r w:rsidRPr="00B426CA">
        <w:rPr>
          <w:vertAlign w:val="superscript"/>
        </w:rPr>
        <w:t>2</w:t>
      </w:r>
      <w:r w:rsidRPr="00CE7872">
        <w:t xml:space="preserve"> hpf).</w:t>
      </w:r>
    </w:p>
    <w:p w:rsidR="00CE7872" w:rsidRPr="00CE7872" w:rsidRDefault="00CE7872" w:rsidP="00CE7872">
      <w:pPr>
        <w:pStyle w:val="TableFigureFooter"/>
        <w:ind w:left="720"/>
      </w:pPr>
      <w:r w:rsidRPr="00CE7872">
        <w:t>For Dietary modification, endoscopies are performed every 2-6 weeks after reintroduction of each food.</w:t>
      </w:r>
    </w:p>
    <w:p w:rsidR="00FA4099" w:rsidRPr="00BB18B1" w:rsidRDefault="001B0917" w:rsidP="0028732F">
      <w:pPr>
        <w:pStyle w:val="3-BodyText"/>
        <w:rPr>
          <w:i/>
          <w:iCs/>
          <w:color w:val="0066FF"/>
        </w:rPr>
      </w:pPr>
      <w:r w:rsidRPr="00CA27B2">
        <w:t xml:space="preserve">The submission noted that while </w:t>
      </w:r>
      <w:r>
        <w:t>BOT</w:t>
      </w:r>
      <w:r w:rsidRPr="00CA27B2">
        <w:t xml:space="preserve"> would be the only treatment option specifically indicated for EoE, the off-label use of PPI therapy may remain a preferred first line treatment option for some patients based on local clinicians’ advice; for example, in those with co-existing </w:t>
      </w:r>
      <w:r w:rsidR="00A91B86" w:rsidRPr="00A91B86">
        <w:t xml:space="preserve">gastro-oesophageal reflux disease </w:t>
      </w:r>
      <w:r w:rsidR="00A91B86">
        <w:t>(</w:t>
      </w:r>
      <w:r w:rsidRPr="00CA27B2">
        <w:t>GORD</w:t>
      </w:r>
      <w:r w:rsidR="00A91B86">
        <w:t>)</w:t>
      </w:r>
      <w:r w:rsidRPr="00CA27B2">
        <w:t xml:space="preserve">. However, it is acknowledged that the overall proportion of patients currently receiving PPIs first line might reduce over time with the availability of BOT. </w:t>
      </w:r>
      <w:r w:rsidRPr="00D34648">
        <w:rPr>
          <w:iCs/>
        </w:rPr>
        <w:t xml:space="preserve">While this may be reasonable, </w:t>
      </w:r>
      <w:r w:rsidR="00766F2B" w:rsidRPr="00D34648">
        <w:rPr>
          <w:iCs/>
        </w:rPr>
        <w:t xml:space="preserve">the use of PPI </w:t>
      </w:r>
      <w:r w:rsidR="00356FF7" w:rsidRPr="00D34648">
        <w:rPr>
          <w:iCs/>
        </w:rPr>
        <w:t xml:space="preserve">may </w:t>
      </w:r>
      <w:r w:rsidR="00000D46" w:rsidRPr="00D34648">
        <w:rPr>
          <w:iCs/>
        </w:rPr>
        <w:t xml:space="preserve">still </w:t>
      </w:r>
      <w:r w:rsidR="00356FF7" w:rsidRPr="00D34648">
        <w:rPr>
          <w:iCs/>
        </w:rPr>
        <w:t xml:space="preserve">remain a </w:t>
      </w:r>
      <w:r w:rsidR="00CF57E7" w:rsidRPr="00D34648">
        <w:rPr>
          <w:iCs/>
        </w:rPr>
        <w:t>desired</w:t>
      </w:r>
      <w:r w:rsidR="00356FF7" w:rsidRPr="00D34648">
        <w:rPr>
          <w:iCs/>
        </w:rPr>
        <w:t xml:space="preserve"> </w:t>
      </w:r>
      <w:r w:rsidR="00CF57E7" w:rsidRPr="00D34648">
        <w:rPr>
          <w:iCs/>
        </w:rPr>
        <w:t>initial treatment</w:t>
      </w:r>
      <w:r w:rsidR="00356FF7" w:rsidRPr="00D34648">
        <w:rPr>
          <w:iCs/>
        </w:rPr>
        <w:t xml:space="preserve"> for some patients with EoE (</w:t>
      </w:r>
      <w:r w:rsidR="00CF57E7" w:rsidRPr="00D34648">
        <w:rPr>
          <w:iCs/>
        </w:rPr>
        <w:t>PPI-responsive)</w:t>
      </w:r>
      <w:r w:rsidR="00AC4A16" w:rsidRPr="00D34648">
        <w:rPr>
          <w:iCs/>
        </w:rPr>
        <w:t xml:space="preserve">. </w:t>
      </w:r>
      <w:r w:rsidR="00AC4A16" w:rsidRPr="00D34648">
        <w:rPr>
          <w:iCs/>
          <w:snapToGrid/>
          <w:lang w:val="en-US"/>
        </w:rPr>
        <w:t xml:space="preserve">Current clinical guidelines from the Royal Australian College of General Practice </w:t>
      </w:r>
      <w:r w:rsidR="00536932" w:rsidRPr="00D34648">
        <w:rPr>
          <w:iCs/>
          <w:snapToGrid/>
          <w:lang w:val="en-US"/>
        </w:rPr>
        <w:t>(</w:t>
      </w:r>
      <w:r w:rsidR="00AC4A16" w:rsidRPr="00D34648">
        <w:rPr>
          <w:iCs/>
          <w:snapToGrid/>
          <w:lang w:val="en-US"/>
        </w:rPr>
        <w:t>RACGP</w:t>
      </w:r>
      <w:r w:rsidR="00EE1B4C" w:rsidRPr="00D34648">
        <w:rPr>
          <w:iCs/>
          <w:snapToGrid/>
          <w:lang w:val="en-US"/>
        </w:rPr>
        <w:t xml:space="preserve"> 2015</w:t>
      </w:r>
      <w:r w:rsidR="00FB7477" w:rsidRPr="00D34648">
        <w:rPr>
          <w:rStyle w:val="FootnoteReference"/>
          <w:iCs/>
          <w:snapToGrid/>
          <w:lang w:val="en-US"/>
        </w:rPr>
        <w:footnoteReference w:id="4"/>
      </w:r>
      <w:r w:rsidR="00AC4A16" w:rsidRPr="00D34648">
        <w:rPr>
          <w:iCs/>
          <w:snapToGrid/>
          <w:lang w:val="en-US"/>
        </w:rPr>
        <w:t xml:space="preserve">) note that PPIs and STCs may be used for EoE treatment in patients who do not respond to dietary measures alone. In particular, STCs, namely fluticasone and budesonide “slurry”, are currently regarded as the initial therapy of choice. Although there are no direct comparative data available, both agents are regarded as efficacious. Furthermore, </w:t>
      </w:r>
      <w:r w:rsidR="00D67D6A" w:rsidRPr="00D34648">
        <w:rPr>
          <w:iCs/>
          <w:snapToGrid/>
          <w:lang w:val="en-US"/>
        </w:rPr>
        <w:t xml:space="preserve">the </w:t>
      </w:r>
      <w:r w:rsidR="00AC4A16" w:rsidRPr="00D34648">
        <w:rPr>
          <w:iCs/>
          <w:snapToGrid/>
          <w:lang w:val="en-US"/>
        </w:rPr>
        <w:t>updated European guidelines</w:t>
      </w:r>
      <w:r w:rsidR="00265F7C" w:rsidRPr="00D34648">
        <w:rPr>
          <w:iCs/>
          <w:snapToGrid/>
          <w:lang w:val="en-US"/>
        </w:rPr>
        <w:t xml:space="preserve"> </w:t>
      </w:r>
      <w:r w:rsidR="00AC4A16" w:rsidRPr="00D34648">
        <w:rPr>
          <w:iCs/>
          <w:snapToGrid/>
          <w:lang w:val="en-US"/>
        </w:rPr>
        <w:t>2017</w:t>
      </w:r>
      <w:r w:rsidR="00720277" w:rsidRPr="00D34648">
        <w:rPr>
          <w:rStyle w:val="FootnoteReference"/>
          <w:iCs/>
          <w:snapToGrid/>
          <w:lang w:val="en-US"/>
        </w:rPr>
        <w:footnoteReference w:id="5"/>
      </w:r>
      <w:r w:rsidR="00265F7C" w:rsidRPr="00D34648">
        <w:rPr>
          <w:iCs/>
          <w:snapToGrid/>
          <w:lang w:val="en-US"/>
        </w:rPr>
        <w:t xml:space="preserve"> </w:t>
      </w:r>
      <w:r w:rsidR="00AC4A16" w:rsidRPr="00D34648">
        <w:rPr>
          <w:iCs/>
          <w:snapToGrid/>
          <w:lang w:val="en-US"/>
        </w:rPr>
        <w:t xml:space="preserve">and AGREE criteria </w:t>
      </w:r>
      <w:r w:rsidR="00E93F32" w:rsidRPr="00D34648">
        <w:rPr>
          <w:iCs/>
          <w:snapToGrid/>
          <w:lang w:val="en-US"/>
        </w:rPr>
        <w:t>2018</w:t>
      </w:r>
      <w:r w:rsidR="0078203A" w:rsidRPr="00D34648">
        <w:rPr>
          <w:rStyle w:val="FootnoteReference"/>
          <w:iCs/>
          <w:snapToGrid/>
          <w:lang w:val="en-US"/>
        </w:rPr>
        <w:footnoteReference w:id="6"/>
      </w:r>
      <w:r w:rsidR="00E93F32" w:rsidRPr="00D34648">
        <w:rPr>
          <w:iCs/>
          <w:snapToGrid/>
          <w:lang w:val="en-US"/>
        </w:rPr>
        <w:t xml:space="preserve"> </w:t>
      </w:r>
      <w:r w:rsidR="00AC4A16" w:rsidRPr="00D34648">
        <w:rPr>
          <w:iCs/>
          <w:snapToGrid/>
          <w:lang w:val="en-US"/>
        </w:rPr>
        <w:t>suggest that PPIs should be considered as a potential early or initial treatment, while STCs or dietary elimination may also be considered.</w:t>
      </w:r>
    </w:p>
    <w:p w:rsidR="00BB18B1" w:rsidRPr="00D34648" w:rsidRDefault="00FA4099" w:rsidP="0028732F">
      <w:pPr>
        <w:pStyle w:val="3-BodyText"/>
        <w:rPr>
          <w:iCs/>
          <w:color w:val="0066FF"/>
        </w:rPr>
      </w:pPr>
      <w:r w:rsidRPr="00D34648">
        <w:rPr>
          <w:iCs/>
        </w:rPr>
        <w:t>T</w:t>
      </w:r>
      <w:r w:rsidR="001B0917" w:rsidRPr="00D34648">
        <w:rPr>
          <w:iCs/>
        </w:rPr>
        <w:t xml:space="preserve">he submission has not proposed that use of BOT be restricted to </w:t>
      </w:r>
      <w:r w:rsidR="003711D9" w:rsidRPr="00D34648">
        <w:rPr>
          <w:iCs/>
        </w:rPr>
        <w:t xml:space="preserve">the </w:t>
      </w:r>
      <w:r w:rsidR="001B0917" w:rsidRPr="00D34648">
        <w:rPr>
          <w:iCs/>
        </w:rPr>
        <w:t xml:space="preserve">second-line, post-PPI setting. </w:t>
      </w:r>
    </w:p>
    <w:p w:rsidR="001B0917" w:rsidRPr="00911428" w:rsidRDefault="001B0917" w:rsidP="001B0917">
      <w:pPr>
        <w:pStyle w:val="3-BodyText"/>
        <w:rPr>
          <w:iCs/>
          <w:color w:val="0066FF"/>
        </w:rPr>
      </w:pPr>
      <w:r w:rsidRPr="00D34648">
        <w:rPr>
          <w:iCs/>
        </w:rPr>
        <w:t xml:space="preserve">As there is no PBS listed treatment currently for adults with EoE, </w:t>
      </w:r>
      <w:r w:rsidR="000714FE">
        <w:rPr>
          <w:iCs/>
        </w:rPr>
        <w:t>BOT</w:t>
      </w:r>
      <w:r w:rsidRPr="00D34648">
        <w:rPr>
          <w:iCs/>
        </w:rPr>
        <w:t xml:space="preserve"> will not substitute directly for any other PBS-listed medicines.</w:t>
      </w:r>
      <w:r w:rsidR="00425072" w:rsidRPr="00D34648">
        <w:rPr>
          <w:iCs/>
        </w:rPr>
        <w:t xml:space="preserve"> However, it is quite possible that BOT will replace </w:t>
      </w:r>
      <w:r w:rsidR="00543FDC" w:rsidRPr="00D34648">
        <w:rPr>
          <w:iCs/>
        </w:rPr>
        <w:t xml:space="preserve">off label use of other PBS listed drugs such as </w:t>
      </w:r>
      <w:r w:rsidR="00A14D13" w:rsidRPr="00D34648">
        <w:rPr>
          <w:iCs/>
        </w:rPr>
        <w:t xml:space="preserve">PPIs and STCs. </w:t>
      </w:r>
    </w:p>
    <w:p w:rsidR="00911428" w:rsidRPr="00911428" w:rsidRDefault="00911428" w:rsidP="00911428">
      <w:pPr>
        <w:pStyle w:val="3-BodyText"/>
        <w:numPr>
          <w:ilvl w:val="0"/>
          <w:numId w:val="0"/>
        </w:numPr>
        <w:ind w:left="720"/>
        <w:rPr>
          <w:i/>
          <w:iCs/>
        </w:rPr>
      </w:pPr>
      <w:r w:rsidRPr="00911428">
        <w:rPr>
          <w:i/>
          <w:iCs/>
        </w:rPr>
        <w:t>For more detail on PBAC’s view, see section 7 PBAC outcome.</w:t>
      </w:r>
    </w:p>
    <w:p w:rsidR="001B0917" w:rsidRPr="00407F2D" w:rsidRDefault="001B0917" w:rsidP="001B0917">
      <w:pPr>
        <w:pStyle w:val="2-SectionHeading"/>
      </w:pPr>
      <w:bookmarkStart w:id="8" w:name="_Toc62047618"/>
      <w:r w:rsidRPr="00407F2D">
        <w:t>Comparator</w:t>
      </w:r>
      <w:bookmarkEnd w:id="8"/>
    </w:p>
    <w:p w:rsidR="001B0917" w:rsidRDefault="001B0917" w:rsidP="001B0917">
      <w:pPr>
        <w:pStyle w:val="3-BodyText"/>
        <w:rPr>
          <w:snapToGrid/>
          <w:lang w:val="en-US"/>
        </w:rPr>
      </w:pPr>
      <w:r w:rsidRPr="00571F43">
        <w:rPr>
          <w:snapToGrid/>
          <w:lang w:val="en-US"/>
        </w:rPr>
        <w:t xml:space="preserve">The submission nominated </w:t>
      </w:r>
      <w:r w:rsidRPr="00B3590A">
        <w:rPr>
          <w:snapToGrid/>
          <w:lang w:val="en-US"/>
        </w:rPr>
        <w:t>placebo as a proxy for standard of care (SOC) as the</w:t>
      </w:r>
      <w:r w:rsidRPr="00571F43">
        <w:rPr>
          <w:snapToGrid/>
          <w:lang w:val="en-US"/>
        </w:rPr>
        <w:t xml:space="preserve"> main comparator. </w:t>
      </w:r>
    </w:p>
    <w:p w:rsidR="001B0917" w:rsidRPr="00D34648" w:rsidRDefault="001B0917" w:rsidP="001B0917">
      <w:pPr>
        <w:pStyle w:val="3-BodyText"/>
        <w:rPr>
          <w:snapToGrid/>
          <w:lang w:val="en-US"/>
        </w:rPr>
      </w:pPr>
      <w:r w:rsidRPr="00571F43">
        <w:rPr>
          <w:snapToGrid/>
          <w:lang w:val="en-US"/>
        </w:rPr>
        <w:t xml:space="preserve">The submission acknowledged that PPIs and STC therapy (represented by the compounded budesonide slurry; or by swallowed fluticasone propionate, in either liquid </w:t>
      </w:r>
      <w:r w:rsidR="00713EFF">
        <w:rPr>
          <w:snapToGrid/>
          <w:lang w:val="en-US"/>
        </w:rPr>
        <w:t xml:space="preserve">from </w:t>
      </w:r>
      <w:r w:rsidRPr="00571F43">
        <w:rPr>
          <w:snapToGrid/>
          <w:lang w:val="en-US"/>
        </w:rPr>
        <w:t>for nebulising or as powder) are currently used in the treatment of patients with EoE. However, the submission justified exclusion of these therapies as comparators</w:t>
      </w:r>
      <w:r>
        <w:rPr>
          <w:snapToGrid/>
          <w:lang w:val="en-US"/>
        </w:rPr>
        <w:t xml:space="preserve"> on the basis that</w:t>
      </w:r>
      <w:r w:rsidR="003711D9">
        <w:rPr>
          <w:snapToGrid/>
          <w:lang w:val="en-US"/>
        </w:rPr>
        <w:t xml:space="preserve">: </w:t>
      </w:r>
      <w:r>
        <w:rPr>
          <w:snapToGrid/>
          <w:lang w:val="en-US"/>
        </w:rPr>
        <w:t>t</w:t>
      </w:r>
      <w:r w:rsidRPr="008F6E9F">
        <w:rPr>
          <w:snapToGrid/>
          <w:lang w:val="en-US"/>
        </w:rPr>
        <w:t>he use of these treatments in EoE is off-label and the quality of the data supporting their use are generally poor</w:t>
      </w:r>
      <w:r w:rsidR="003711D9">
        <w:rPr>
          <w:snapToGrid/>
          <w:lang w:val="en-US"/>
        </w:rPr>
        <w:t>; and</w:t>
      </w:r>
      <w:r w:rsidRPr="008F6E9F" w:rsidDel="008F6E9F">
        <w:rPr>
          <w:snapToGrid/>
          <w:lang w:val="en-US"/>
        </w:rPr>
        <w:t xml:space="preserve"> the </w:t>
      </w:r>
      <w:r w:rsidRPr="008F6E9F">
        <w:rPr>
          <w:snapToGrid/>
          <w:lang w:val="en-US"/>
        </w:rPr>
        <w:t>cost-effectiveness of these medications in the treatment of EoE has not been evaluated by the PBAC</w:t>
      </w:r>
      <w:r w:rsidR="003711D9">
        <w:rPr>
          <w:snapToGrid/>
          <w:lang w:val="en-US"/>
        </w:rPr>
        <w:t>.</w:t>
      </w:r>
      <w:r w:rsidRPr="008F6E9F">
        <w:rPr>
          <w:snapToGrid/>
          <w:lang w:val="en-US"/>
        </w:rPr>
        <w:t xml:space="preserve"> </w:t>
      </w:r>
      <w:r w:rsidRPr="00D34648">
        <w:rPr>
          <w:iCs/>
          <w:snapToGrid/>
          <w:lang w:val="en-US"/>
        </w:rPr>
        <w:t xml:space="preserve">The exclusion of these therapies </w:t>
      </w:r>
      <w:r w:rsidR="003711D9" w:rsidRPr="00D34648">
        <w:rPr>
          <w:iCs/>
          <w:snapToGrid/>
          <w:lang w:val="en-US"/>
        </w:rPr>
        <w:t xml:space="preserve">on this basis </w:t>
      </w:r>
      <w:r w:rsidRPr="00D34648">
        <w:rPr>
          <w:iCs/>
          <w:snapToGrid/>
          <w:lang w:val="en-US"/>
        </w:rPr>
        <w:t xml:space="preserve">may be reasonable. In addition, patients in the pivotal trial presented had been previously treated with PPIs, reducing the relevance of PPIs as a main comparator in the post-PPI setting. </w:t>
      </w:r>
    </w:p>
    <w:p w:rsidR="001B0917" w:rsidRPr="00D34648" w:rsidRDefault="001B0917" w:rsidP="001B0917">
      <w:pPr>
        <w:pStyle w:val="3-BodyText"/>
        <w:rPr>
          <w:iCs/>
          <w:snapToGrid/>
          <w:lang w:val="en-US"/>
        </w:rPr>
      </w:pPr>
      <w:r w:rsidRPr="00007811">
        <w:rPr>
          <w:snapToGrid/>
          <w:lang w:val="en-US"/>
        </w:rPr>
        <w:t>The submission justified exclusion of dietary modification as a comparator to BOT on the basis that</w:t>
      </w:r>
      <w:r>
        <w:rPr>
          <w:snapToGrid/>
          <w:lang w:val="en-US"/>
        </w:rPr>
        <w:t xml:space="preserve"> d</w:t>
      </w:r>
      <w:r w:rsidRPr="00BD3EEF">
        <w:rPr>
          <w:snapToGrid/>
          <w:lang w:val="en-US"/>
        </w:rPr>
        <w:t xml:space="preserve">ietary modification is not a preferred treatment approach for many patients because of the requirement for repeat endoscopies and biopsies after each food reintroduction, the difficulty </w:t>
      </w:r>
      <w:r w:rsidR="002F554C">
        <w:rPr>
          <w:snapToGrid/>
          <w:lang w:val="en-US"/>
        </w:rPr>
        <w:t xml:space="preserve">in </w:t>
      </w:r>
      <w:r w:rsidRPr="00BD3EEF">
        <w:rPr>
          <w:snapToGrid/>
          <w:lang w:val="en-US"/>
        </w:rPr>
        <w:t xml:space="preserve">sustaining a restricted diet, requiring access to a specialist dietician, and the out-of-pocket expense relating to use of food alternatives. </w:t>
      </w:r>
      <w:r w:rsidR="000A2304">
        <w:rPr>
          <w:snapToGrid/>
          <w:lang w:val="en-US"/>
        </w:rPr>
        <w:t xml:space="preserve">Although </w:t>
      </w:r>
      <w:r w:rsidR="000A2304">
        <w:rPr>
          <w:iCs/>
          <w:snapToGrid/>
          <w:lang w:val="en-US"/>
        </w:rPr>
        <w:t>t</w:t>
      </w:r>
      <w:r w:rsidRPr="00D34648">
        <w:rPr>
          <w:iCs/>
          <w:snapToGrid/>
          <w:lang w:val="en-US"/>
        </w:rPr>
        <w:t>his seem</w:t>
      </w:r>
      <w:r w:rsidR="000A2304">
        <w:rPr>
          <w:iCs/>
          <w:snapToGrid/>
          <w:lang w:val="en-US"/>
        </w:rPr>
        <w:t>ed</w:t>
      </w:r>
      <w:r w:rsidRPr="00D34648">
        <w:rPr>
          <w:iCs/>
          <w:snapToGrid/>
          <w:lang w:val="en-US"/>
        </w:rPr>
        <w:t xml:space="preserve"> reasonable</w:t>
      </w:r>
      <w:r w:rsidR="00854565">
        <w:rPr>
          <w:iCs/>
          <w:snapToGrid/>
          <w:lang w:val="en-US"/>
        </w:rPr>
        <w:t xml:space="preserve"> the</w:t>
      </w:r>
      <w:r w:rsidR="000A2304">
        <w:rPr>
          <w:iCs/>
          <w:snapToGrid/>
          <w:lang w:val="en-US"/>
        </w:rPr>
        <w:t xml:space="preserve"> PBAC noted that</w:t>
      </w:r>
      <w:r w:rsidRPr="00D34648">
        <w:rPr>
          <w:iCs/>
          <w:snapToGrid/>
          <w:lang w:val="en-US"/>
        </w:rPr>
        <w:t xml:space="preserve"> the RACGP</w:t>
      </w:r>
      <w:r w:rsidR="009962A8" w:rsidRPr="00D34648">
        <w:rPr>
          <w:iCs/>
          <w:snapToGrid/>
          <w:lang w:val="en-US"/>
        </w:rPr>
        <w:t xml:space="preserve"> 2015</w:t>
      </w:r>
      <w:r w:rsidRPr="00D34648">
        <w:rPr>
          <w:iCs/>
          <w:snapToGrid/>
          <w:lang w:val="en-US"/>
        </w:rPr>
        <w:t xml:space="preserve"> guidelines recommend dietary modification as first-line treatment for EoE in children and adults. </w:t>
      </w:r>
    </w:p>
    <w:p w:rsidR="001B0917" w:rsidRDefault="001B0917" w:rsidP="001B0917">
      <w:pPr>
        <w:pStyle w:val="3-BodyText"/>
        <w:rPr>
          <w:iCs/>
          <w:snapToGrid/>
          <w:lang w:val="en-US"/>
        </w:rPr>
      </w:pPr>
      <w:r w:rsidRPr="00D34648">
        <w:rPr>
          <w:iCs/>
          <w:snapToGrid/>
          <w:lang w:val="en-US"/>
        </w:rPr>
        <w:t xml:space="preserve">While there is no clinical evidence presented comparing BOT with PPIs or STCs, information was presented in </w:t>
      </w:r>
      <w:r w:rsidR="00D46C45">
        <w:rPr>
          <w:iCs/>
          <w:snapToGrid/>
          <w:lang w:val="en-US"/>
        </w:rPr>
        <w:t>the economic analysis section</w:t>
      </w:r>
      <w:r w:rsidRPr="00D34648">
        <w:rPr>
          <w:iCs/>
          <w:snapToGrid/>
          <w:lang w:val="en-US"/>
        </w:rPr>
        <w:t xml:space="preserve"> of the submission which provided a comparison of the anticipated daily cost of treatment of the three therapies in the EoE setting. </w:t>
      </w:r>
    </w:p>
    <w:p w:rsidR="00911428" w:rsidRPr="00911428" w:rsidRDefault="00911428" w:rsidP="00911428">
      <w:pPr>
        <w:pStyle w:val="3-BodyText"/>
        <w:numPr>
          <w:ilvl w:val="0"/>
          <w:numId w:val="0"/>
        </w:numPr>
        <w:ind w:left="720"/>
        <w:rPr>
          <w:i/>
          <w:iCs/>
          <w:snapToGrid/>
          <w:lang w:val="en-US"/>
        </w:rPr>
      </w:pPr>
      <w:r w:rsidRPr="00911428">
        <w:rPr>
          <w:i/>
          <w:iCs/>
          <w:snapToGrid/>
          <w:lang w:val="en-US"/>
        </w:rPr>
        <w:t>For more detail on PBAC’s view, see section 7 PBAC outcome.</w:t>
      </w:r>
    </w:p>
    <w:p w:rsidR="001B0917" w:rsidRDefault="001B0917" w:rsidP="001B0917">
      <w:pPr>
        <w:pStyle w:val="2-SectionHeading"/>
      </w:pPr>
      <w:bookmarkStart w:id="9" w:name="_Toc62047619"/>
      <w:bookmarkStart w:id="10" w:name="_Toc22897640"/>
      <w:r>
        <w:t>C</w:t>
      </w:r>
      <w:r w:rsidRPr="00407F2D">
        <w:t>onsideration of the evidence</w:t>
      </w:r>
      <w:bookmarkEnd w:id="9"/>
    </w:p>
    <w:p w:rsidR="00911428" w:rsidRDefault="00911428" w:rsidP="00911428">
      <w:pPr>
        <w:pStyle w:val="4-SubsectionHeading"/>
      </w:pPr>
      <w:r>
        <w:t>Sponsor hearing</w:t>
      </w:r>
    </w:p>
    <w:p w:rsidR="00911428" w:rsidRPr="00CA12A0" w:rsidRDefault="00911428" w:rsidP="00911428">
      <w:pPr>
        <w:pStyle w:val="3-BodyText"/>
        <w:rPr>
          <w:iCs/>
          <w:snapToGrid/>
          <w:lang w:val="en-US"/>
        </w:rPr>
      </w:pPr>
      <w:r w:rsidRPr="00CA12A0">
        <w:rPr>
          <w:iCs/>
          <w:snapToGrid/>
          <w:lang w:val="en-US"/>
        </w:rPr>
        <w:t>The sponsor requested a hearing for this item.  The</w:t>
      </w:r>
      <w:r w:rsidR="0016464E">
        <w:rPr>
          <w:iCs/>
          <w:snapToGrid/>
          <w:lang w:val="en-US"/>
        </w:rPr>
        <w:t xml:space="preserve"> clinician</w:t>
      </w:r>
      <w:r w:rsidRPr="00CA12A0">
        <w:rPr>
          <w:iCs/>
          <w:snapToGrid/>
          <w:lang w:val="en-US"/>
        </w:rPr>
        <w:t xml:space="preserve"> discussed the natural history of the disease </w:t>
      </w:r>
      <w:r w:rsidR="0054605C">
        <w:rPr>
          <w:iCs/>
          <w:snapToGrid/>
          <w:lang w:val="en-US"/>
        </w:rPr>
        <w:t xml:space="preserve">and </w:t>
      </w:r>
      <w:r w:rsidRPr="00CA12A0">
        <w:rPr>
          <w:iCs/>
          <w:snapToGrid/>
          <w:lang w:val="en-US"/>
        </w:rPr>
        <w:t>how the drug would be used in practice</w:t>
      </w:r>
      <w:r w:rsidR="003B5383" w:rsidRPr="00CA12A0">
        <w:rPr>
          <w:iCs/>
          <w:snapToGrid/>
          <w:lang w:val="en-US"/>
        </w:rPr>
        <w:t>.</w:t>
      </w:r>
      <w:r w:rsidRPr="00CA12A0">
        <w:rPr>
          <w:iCs/>
          <w:snapToGrid/>
          <w:lang w:val="en-US"/>
        </w:rPr>
        <w:t xml:space="preserve"> The PBAC considered that the hearing was informative as it provided a clinical perspective on treati</w:t>
      </w:r>
      <w:r w:rsidR="00CA12A0">
        <w:rPr>
          <w:iCs/>
          <w:snapToGrid/>
          <w:lang w:val="en-US"/>
        </w:rPr>
        <w:t>ng this uncommon disease</w:t>
      </w:r>
      <w:r w:rsidRPr="00CA12A0">
        <w:rPr>
          <w:iCs/>
          <w:snapToGrid/>
          <w:lang w:val="en-US"/>
        </w:rPr>
        <w:t>.</w:t>
      </w:r>
    </w:p>
    <w:p w:rsidR="000C5BE8" w:rsidRPr="000C5BE8" w:rsidRDefault="000C5BE8" w:rsidP="000C5BE8">
      <w:pPr>
        <w:pStyle w:val="4-SubsectionHeading"/>
      </w:pPr>
      <w:r w:rsidRPr="00CA12A0">
        <w:t>Consumer comments</w:t>
      </w:r>
    </w:p>
    <w:p w:rsidR="000C5BE8" w:rsidRPr="000C5BE8" w:rsidRDefault="000C5BE8" w:rsidP="000C5BE8">
      <w:pPr>
        <w:pStyle w:val="3-BodyText"/>
        <w:rPr>
          <w:iCs/>
          <w:snapToGrid/>
          <w:lang w:val="en-US"/>
        </w:rPr>
      </w:pPr>
      <w:r w:rsidRPr="000C5BE8">
        <w:rPr>
          <w:iCs/>
          <w:snapToGrid/>
          <w:lang w:val="en-US"/>
        </w:rPr>
        <w:t>The PBAC noted and welcomed the input from individua</w:t>
      </w:r>
      <w:r w:rsidR="00AC361A">
        <w:rPr>
          <w:iCs/>
          <w:snapToGrid/>
          <w:lang w:val="en-US"/>
        </w:rPr>
        <w:t>ls (7), health care professionals (5) and organisations (4</w:t>
      </w:r>
      <w:r w:rsidRPr="000C5BE8">
        <w:rPr>
          <w:iCs/>
          <w:snapToGrid/>
          <w:lang w:val="en-US"/>
        </w:rPr>
        <w:t>) via the Consumer Comments facility on the PBS website</w:t>
      </w:r>
      <w:r w:rsidR="00AC361A">
        <w:rPr>
          <w:iCs/>
          <w:snapToGrid/>
          <w:lang w:val="en-US"/>
        </w:rPr>
        <w:t>. The comments described the limitations associated with the off-label treatment options currently availabl</w:t>
      </w:r>
      <w:r w:rsidR="000C1C1F">
        <w:rPr>
          <w:iCs/>
          <w:snapToGrid/>
          <w:lang w:val="en-US"/>
        </w:rPr>
        <w:t xml:space="preserve">e for EoE. These </w:t>
      </w:r>
      <w:r w:rsidR="00AC361A">
        <w:rPr>
          <w:iCs/>
          <w:snapToGrid/>
          <w:lang w:val="en-US"/>
        </w:rPr>
        <w:t>inclu</w:t>
      </w:r>
      <w:r w:rsidR="000C1C1F">
        <w:rPr>
          <w:iCs/>
          <w:snapToGrid/>
          <w:lang w:val="en-US"/>
        </w:rPr>
        <w:t xml:space="preserve">de the medication costs, compounding issues and the </w:t>
      </w:r>
      <w:r w:rsidR="00AC361A">
        <w:rPr>
          <w:iCs/>
          <w:snapToGrid/>
          <w:lang w:val="en-US"/>
        </w:rPr>
        <w:t xml:space="preserve">confusion that can arise when medicines indicated for asthma </w:t>
      </w:r>
      <w:r w:rsidR="000C1C1F">
        <w:rPr>
          <w:iCs/>
          <w:snapToGrid/>
          <w:lang w:val="en-US"/>
        </w:rPr>
        <w:t>(</w:t>
      </w:r>
      <w:r w:rsidR="00AC361A">
        <w:rPr>
          <w:iCs/>
          <w:snapToGrid/>
          <w:lang w:val="en-US"/>
        </w:rPr>
        <w:t>and intended to be inhaled</w:t>
      </w:r>
      <w:r w:rsidR="000C1C1F">
        <w:rPr>
          <w:iCs/>
          <w:snapToGrid/>
          <w:lang w:val="en-US"/>
        </w:rPr>
        <w:t xml:space="preserve">) are used for </w:t>
      </w:r>
      <w:r w:rsidR="00AC361A">
        <w:rPr>
          <w:iCs/>
          <w:snapToGrid/>
          <w:lang w:val="en-US"/>
        </w:rPr>
        <w:t>EoE</w:t>
      </w:r>
      <w:r w:rsidR="000C1C1F">
        <w:rPr>
          <w:iCs/>
          <w:snapToGrid/>
          <w:lang w:val="en-US"/>
        </w:rPr>
        <w:t xml:space="preserve"> (and need to be swallowed)</w:t>
      </w:r>
      <w:r w:rsidR="00AC361A">
        <w:rPr>
          <w:iCs/>
          <w:snapToGrid/>
          <w:lang w:val="en-US"/>
        </w:rPr>
        <w:t xml:space="preserve">. </w:t>
      </w:r>
      <w:r w:rsidR="000C1C1F">
        <w:rPr>
          <w:iCs/>
          <w:snapToGrid/>
          <w:lang w:val="en-US"/>
        </w:rPr>
        <w:t xml:space="preserve">The comments also describe the pain and anxiety associated with the symptoms of oesophageal dysfunction for both children and adults and the desire for EoE specific treatment options. </w:t>
      </w:r>
    </w:p>
    <w:p w:rsidR="001B0917" w:rsidRPr="00C9624D" w:rsidRDefault="001B0917" w:rsidP="001B0917">
      <w:pPr>
        <w:pStyle w:val="4-SubsectionHeading"/>
      </w:pPr>
      <w:bookmarkStart w:id="11" w:name="_Toc62047620"/>
      <w:r w:rsidRPr="00C9624D">
        <w:t>Clinical trials</w:t>
      </w:r>
      <w:bookmarkEnd w:id="10"/>
      <w:bookmarkEnd w:id="11"/>
    </w:p>
    <w:p w:rsidR="001B0917" w:rsidRPr="00842D2D" w:rsidRDefault="001B0917" w:rsidP="001B0917">
      <w:pPr>
        <w:pStyle w:val="3-BodyText"/>
        <w:rPr>
          <w:snapToGrid/>
          <w:lang w:val="en-US"/>
        </w:rPr>
      </w:pPr>
      <w:r w:rsidRPr="00842D2D">
        <w:rPr>
          <w:snapToGrid/>
          <w:lang w:val="en-US"/>
        </w:rPr>
        <w:t>The submission was based on two head-to-head randomised trials comparing BOT to placebo</w:t>
      </w:r>
      <w:r w:rsidR="003711D9">
        <w:rPr>
          <w:snapToGrid/>
          <w:lang w:val="en-US"/>
        </w:rPr>
        <w:t>:</w:t>
      </w:r>
    </w:p>
    <w:p w:rsidR="001B0917" w:rsidRPr="00842D2D" w:rsidRDefault="001B0917" w:rsidP="00C7699D">
      <w:pPr>
        <w:pStyle w:val="3-BodyText"/>
        <w:numPr>
          <w:ilvl w:val="2"/>
          <w:numId w:val="9"/>
        </w:numPr>
        <w:ind w:left="1077" w:hanging="357"/>
        <w:rPr>
          <w:snapToGrid/>
          <w:lang w:val="en-US"/>
        </w:rPr>
      </w:pPr>
      <w:r w:rsidRPr="00842D2D">
        <w:rPr>
          <w:snapToGrid/>
          <w:lang w:val="en-US"/>
        </w:rPr>
        <w:t>EOS-1</w:t>
      </w:r>
      <w:r w:rsidR="002520F5">
        <w:rPr>
          <w:snapToGrid/>
          <w:lang w:val="en-US"/>
        </w:rPr>
        <w:t xml:space="preserve"> for the induction setting</w:t>
      </w:r>
      <w:r w:rsidRPr="00842D2D">
        <w:rPr>
          <w:snapToGrid/>
          <w:lang w:val="en-US"/>
        </w:rPr>
        <w:t>: randomised (2:1), double-blind (DB), placebo-controlled (PC), parallel group (PG), multicentre (MC) phase III study comparing BOT 1 mg BID vs. placebo for 6-weeks, with an additional 6 week open-label induction (OLI) phase with BOT 1 mg BID</w:t>
      </w:r>
      <w:r w:rsidR="002520F5" w:rsidRPr="003E7A7A" w:rsidDel="002520F5">
        <w:rPr>
          <w:snapToGrid/>
          <w:lang w:val="en-US"/>
        </w:rPr>
        <w:t>.</w:t>
      </w:r>
    </w:p>
    <w:p w:rsidR="001B0917" w:rsidRDefault="001B0917" w:rsidP="00C7699D">
      <w:pPr>
        <w:pStyle w:val="3-BodyText"/>
        <w:numPr>
          <w:ilvl w:val="2"/>
          <w:numId w:val="9"/>
        </w:numPr>
        <w:ind w:left="1077" w:hanging="357"/>
        <w:rPr>
          <w:snapToGrid/>
          <w:lang w:val="en-US"/>
        </w:rPr>
      </w:pPr>
      <w:r w:rsidRPr="00842D2D">
        <w:rPr>
          <w:snapToGrid/>
          <w:lang w:val="en-US"/>
        </w:rPr>
        <w:t>EOS-2</w:t>
      </w:r>
      <w:r w:rsidR="002520F5">
        <w:rPr>
          <w:snapToGrid/>
          <w:lang w:val="en-US"/>
        </w:rPr>
        <w:t xml:space="preserve"> for the maintenance setting</w:t>
      </w:r>
      <w:r w:rsidRPr="00842D2D">
        <w:rPr>
          <w:snapToGrid/>
          <w:lang w:val="en-US"/>
        </w:rPr>
        <w:t>: randomised (1:1:1), DB, PC, comparative, MC, phase III study comparing BOT 1 mg BID, BOT 0.5 mg BID, with placebo for 48 weeks.</w:t>
      </w:r>
    </w:p>
    <w:p w:rsidR="001B0917" w:rsidRPr="00D34648" w:rsidRDefault="001B0917" w:rsidP="001B0917">
      <w:pPr>
        <w:pStyle w:val="3-BodyText"/>
        <w:rPr>
          <w:iCs/>
        </w:rPr>
      </w:pPr>
      <w:r>
        <w:rPr>
          <w:snapToGrid/>
          <w:lang w:val="en-US"/>
        </w:rPr>
        <w:t xml:space="preserve">Details of the trials presented in the submission are provided in Table 2. </w:t>
      </w:r>
      <w:r w:rsidRPr="00D34648">
        <w:rPr>
          <w:iCs/>
          <w:snapToGrid/>
          <w:lang w:val="en-US"/>
        </w:rPr>
        <w:t>There were no other potentially relevant trials identified during the evaluation.</w:t>
      </w:r>
    </w:p>
    <w:p w:rsidR="001B0917" w:rsidRPr="00842D2D" w:rsidRDefault="001B0917" w:rsidP="00C7699D">
      <w:pPr>
        <w:pStyle w:val="3-BodyText"/>
        <w:numPr>
          <w:ilvl w:val="0"/>
          <w:numId w:val="0"/>
        </w:numPr>
        <w:spacing w:after="0"/>
        <w:rPr>
          <w:rStyle w:val="CommentReference"/>
          <w:rFonts w:asciiTheme="minorHAnsi" w:hAnsiTheme="minorHAnsi"/>
          <w:b w:val="0"/>
          <w:sz w:val="24"/>
          <w:szCs w:val="24"/>
        </w:rPr>
      </w:pPr>
      <w:r w:rsidRPr="00842D2D">
        <w:rPr>
          <w:rStyle w:val="CommentReference"/>
          <w:szCs w:val="24"/>
        </w:rPr>
        <w:t>Table</w:t>
      </w:r>
      <w:r>
        <w:rPr>
          <w:rStyle w:val="CommentReference"/>
          <w:szCs w:val="24"/>
        </w:rPr>
        <w:t xml:space="preserve"> 2</w:t>
      </w:r>
      <w:r w:rsidRPr="00842D2D">
        <w:rPr>
          <w:rStyle w:val="CommentReference"/>
          <w:szCs w:val="24"/>
        </w:rPr>
        <w:t>: Trials</w:t>
      </w:r>
      <w:r>
        <w:rPr>
          <w:rStyle w:val="CommentReference"/>
          <w:szCs w:val="24"/>
        </w:rPr>
        <w:t xml:space="preserve"> </w:t>
      </w:r>
      <w:r w:rsidRPr="00842D2D">
        <w:rPr>
          <w:rStyle w:val="CommentReference"/>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1B0917" w:rsidRPr="00B41614" w:rsidTr="00C7699D">
        <w:trPr>
          <w:cantSplit/>
          <w:trHeight w:val="20"/>
          <w:tblHeader/>
        </w:trPr>
        <w:tc>
          <w:tcPr>
            <w:tcW w:w="796" w:type="pct"/>
          </w:tcPr>
          <w:p w:rsidR="001B0917" w:rsidRPr="00B41614" w:rsidRDefault="001B0917" w:rsidP="002520F5">
            <w:pPr>
              <w:pStyle w:val="In-tableHeading"/>
              <w:keepNext w:val="0"/>
              <w:widowControl w:val="0"/>
            </w:pPr>
            <w:r w:rsidRPr="00B41614">
              <w:t>Trial ID</w:t>
            </w:r>
          </w:p>
        </w:tc>
        <w:tc>
          <w:tcPr>
            <w:tcW w:w="3027" w:type="pct"/>
          </w:tcPr>
          <w:p w:rsidR="001B0917" w:rsidRPr="00B41614" w:rsidRDefault="001B0917" w:rsidP="002520F5">
            <w:pPr>
              <w:pStyle w:val="In-tableHeading"/>
              <w:keepNext w:val="0"/>
              <w:widowControl w:val="0"/>
            </w:pPr>
            <w:r w:rsidRPr="00B41614">
              <w:t>Protocol title/ Publication title</w:t>
            </w:r>
          </w:p>
        </w:tc>
        <w:tc>
          <w:tcPr>
            <w:tcW w:w="1177" w:type="pct"/>
          </w:tcPr>
          <w:p w:rsidR="001B0917" w:rsidRPr="00B41614" w:rsidRDefault="001B0917" w:rsidP="002520F5">
            <w:pPr>
              <w:pStyle w:val="In-tableHeading"/>
              <w:keepNext w:val="0"/>
              <w:widowControl w:val="0"/>
            </w:pPr>
            <w:r w:rsidRPr="00B41614">
              <w:t>Publication citation</w:t>
            </w:r>
          </w:p>
        </w:tc>
      </w:tr>
      <w:tr w:rsidR="001B0917" w:rsidRPr="00B41614" w:rsidTr="00C7699D">
        <w:trPr>
          <w:cantSplit/>
          <w:trHeight w:val="20"/>
        </w:trPr>
        <w:tc>
          <w:tcPr>
            <w:tcW w:w="5000" w:type="pct"/>
            <w:gridSpan w:val="3"/>
          </w:tcPr>
          <w:p w:rsidR="001B0917" w:rsidRPr="00963130" w:rsidRDefault="001B0917" w:rsidP="002520F5">
            <w:pPr>
              <w:pStyle w:val="In-tableHeading"/>
              <w:keepNext w:val="0"/>
              <w:widowControl w:val="0"/>
              <w:rPr>
                <w:b w:val="0"/>
                <w:bCs/>
              </w:rPr>
            </w:pPr>
            <w:r w:rsidRPr="00963130">
              <w:rPr>
                <w:b w:val="0"/>
                <w:bCs/>
              </w:rPr>
              <w:t>Included in further review in main body of the submission</w:t>
            </w:r>
          </w:p>
        </w:tc>
      </w:tr>
      <w:tr w:rsidR="001B0917" w:rsidRPr="00CB38A8" w:rsidTr="00C7699D">
        <w:trPr>
          <w:cantSplit/>
          <w:trHeight w:val="20"/>
        </w:trPr>
        <w:tc>
          <w:tcPr>
            <w:tcW w:w="796" w:type="pct"/>
            <w:tcBorders>
              <w:bottom w:val="nil"/>
            </w:tcBorders>
          </w:tcPr>
          <w:p w:rsidR="001B0917" w:rsidRPr="00CB38A8" w:rsidRDefault="001B0917" w:rsidP="002520F5">
            <w:pPr>
              <w:pStyle w:val="TableText0"/>
              <w:keepNext w:val="0"/>
              <w:widowControl w:val="0"/>
            </w:pPr>
            <w:r w:rsidRPr="00463DDC">
              <w:t>EOS-1 (NCT02434029)</w:t>
            </w:r>
          </w:p>
        </w:tc>
        <w:tc>
          <w:tcPr>
            <w:tcW w:w="3027" w:type="pct"/>
            <w:tcBorders>
              <w:bottom w:val="nil"/>
            </w:tcBorders>
          </w:tcPr>
          <w:p w:rsidR="001B0917" w:rsidRPr="00AB6248" w:rsidRDefault="001B0917" w:rsidP="002520F5">
            <w:pPr>
              <w:pStyle w:val="TableText0"/>
              <w:keepNext w:val="0"/>
              <w:widowControl w:val="0"/>
              <w:rPr>
                <w:szCs w:val="18"/>
              </w:rPr>
            </w:pPr>
            <w:r w:rsidRPr="001F6AF5">
              <w:rPr>
                <w:szCs w:val="18"/>
              </w:rPr>
              <w:t>Double-blind, randomized, placebo-controlled, phase III trial on the efficacy and tolerability of a 6-week treatment with budesonide effervescent tablets vs. placebo for induction of clinicopathological remission in adult patients with active eosinophilic esophagitis</w:t>
            </w:r>
            <w:r w:rsidRPr="001F6AF5">
              <w:rPr>
                <w:szCs w:val="18"/>
              </w:rPr>
              <w:tab/>
            </w:r>
          </w:p>
        </w:tc>
        <w:tc>
          <w:tcPr>
            <w:tcW w:w="1177" w:type="pct"/>
            <w:tcBorders>
              <w:bottom w:val="nil"/>
            </w:tcBorders>
          </w:tcPr>
          <w:p w:rsidR="001B0917" w:rsidRPr="00CD5342" w:rsidRDefault="001B0917" w:rsidP="002520F5">
            <w:pPr>
              <w:pStyle w:val="TableText0"/>
              <w:keepNext w:val="0"/>
              <w:widowControl w:val="0"/>
              <w:rPr>
                <w:i/>
                <w:szCs w:val="18"/>
              </w:rPr>
            </w:pPr>
            <w:r w:rsidRPr="00CD5342">
              <w:rPr>
                <w:i/>
                <w:szCs w:val="18"/>
              </w:rPr>
              <w:t>February 2017</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1F6AF5" w:rsidRDefault="001B0917" w:rsidP="002520F5">
            <w:pPr>
              <w:pStyle w:val="TableText0"/>
              <w:keepNext w:val="0"/>
              <w:widowControl w:val="0"/>
              <w:rPr>
                <w:szCs w:val="18"/>
              </w:rPr>
            </w:pPr>
            <w:r w:rsidRPr="001F6AF5">
              <w:rPr>
                <w:szCs w:val="18"/>
              </w:rPr>
              <w:t>Lucendo AJ, Miehlke S, Schlag C et al. Efficacy of Budesonide Orodispersible Tablets as Induction Therapy for Eosinophilic Esophagitis in a Randomized Placebo-Controlled Trial.</w:t>
            </w:r>
          </w:p>
        </w:tc>
        <w:tc>
          <w:tcPr>
            <w:tcW w:w="1177" w:type="pct"/>
            <w:tcBorders>
              <w:top w:val="nil"/>
              <w:bottom w:val="nil"/>
            </w:tcBorders>
          </w:tcPr>
          <w:p w:rsidR="001B0917" w:rsidRPr="001F6AF5" w:rsidRDefault="001B0917" w:rsidP="002520F5">
            <w:pPr>
              <w:pStyle w:val="TableText0"/>
              <w:keepNext w:val="0"/>
              <w:widowControl w:val="0"/>
              <w:rPr>
                <w:iCs/>
                <w:szCs w:val="18"/>
              </w:rPr>
            </w:pPr>
            <w:r w:rsidRPr="001F6AF5">
              <w:rPr>
                <w:i/>
                <w:szCs w:val="18"/>
              </w:rPr>
              <w:t>Gastroenterology</w:t>
            </w:r>
            <w:r>
              <w:rPr>
                <w:i/>
                <w:szCs w:val="18"/>
              </w:rPr>
              <w:t xml:space="preserve"> </w:t>
            </w:r>
            <w:r w:rsidRPr="001F6AF5">
              <w:rPr>
                <w:iCs/>
                <w:szCs w:val="18"/>
              </w:rPr>
              <w:t>2019a Jul;157(1):74-86.e15.</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1F6AF5" w:rsidRDefault="001B0917" w:rsidP="002520F5">
            <w:pPr>
              <w:pStyle w:val="TableText0"/>
              <w:keepNext w:val="0"/>
              <w:widowControl w:val="0"/>
              <w:rPr>
                <w:szCs w:val="18"/>
              </w:rPr>
            </w:pPr>
            <w:r w:rsidRPr="001F6AF5">
              <w:rPr>
                <w:szCs w:val="18"/>
              </w:rPr>
              <w:t>Lucendo, A., et al. Budesonide orodispersible tablets are highly effective for treatment of active eosinophilic esophagitis: Results from a randomized, double-blind, placebo-controlled, pivotal multicenter trial (EOS-1).</w:t>
            </w:r>
          </w:p>
        </w:tc>
        <w:tc>
          <w:tcPr>
            <w:tcW w:w="1177" w:type="pct"/>
            <w:tcBorders>
              <w:top w:val="nil"/>
              <w:bottom w:val="nil"/>
            </w:tcBorders>
          </w:tcPr>
          <w:p w:rsidR="001B0917" w:rsidRPr="001F6AF5" w:rsidRDefault="001B0917" w:rsidP="002520F5">
            <w:pPr>
              <w:pStyle w:val="TableText0"/>
              <w:keepNext w:val="0"/>
              <w:widowControl w:val="0"/>
              <w:rPr>
                <w:iCs/>
                <w:szCs w:val="18"/>
              </w:rPr>
            </w:pPr>
            <w:r w:rsidRPr="008E5F6C">
              <w:rPr>
                <w:i/>
                <w:iCs/>
                <w:szCs w:val="18"/>
              </w:rPr>
              <w:t>Gastroenterology</w:t>
            </w:r>
            <w:r>
              <w:rPr>
                <w:i/>
                <w:iCs/>
                <w:szCs w:val="18"/>
              </w:rPr>
              <w:t xml:space="preserve"> </w:t>
            </w:r>
            <w:r w:rsidRPr="001F6AF5">
              <w:rPr>
                <w:szCs w:val="18"/>
              </w:rPr>
              <w:t>2017d;152(5): S207</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1F6AF5" w:rsidRDefault="001B0917" w:rsidP="002520F5">
            <w:pPr>
              <w:pStyle w:val="TableText0"/>
              <w:keepNext w:val="0"/>
              <w:widowControl w:val="0"/>
              <w:rPr>
                <w:szCs w:val="18"/>
              </w:rPr>
            </w:pPr>
            <w:r w:rsidRPr="001F6AF5">
              <w:rPr>
                <w:szCs w:val="18"/>
              </w:rPr>
              <w:t xml:space="preserve">Lucendo, A., et al. Prolongation of eosinophilic esophagitis treatment with budesonide orodispersible tablets for incomplete responder is effective and safe: results from a 6-weeks open-label treatment phase of the pivotal trial EOS-1. </w:t>
            </w:r>
          </w:p>
        </w:tc>
        <w:tc>
          <w:tcPr>
            <w:tcW w:w="1177" w:type="pct"/>
            <w:tcBorders>
              <w:top w:val="nil"/>
              <w:bottom w:val="nil"/>
            </w:tcBorders>
          </w:tcPr>
          <w:p w:rsidR="001B0917" w:rsidRPr="001F6AF5" w:rsidRDefault="001B0917" w:rsidP="002520F5">
            <w:pPr>
              <w:pStyle w:val="TableText0"/>
              <w:keepNext w:val="0"/>
              <w:widowControl w:val="0"/>
              <w:rPr>
                <w:iCs/>
                <w:szCs w:val="18"/>
              </w:rPr>
            </w:pPr>
            <w:r w:rsidRPr="008F19D5">
              <w:rPr>
                <w:i/>
                <w:iCs/>
                <w:szCs w:val="18"/>
              </w:rPr>
              <w:t>Gastroenterology</w:t>
            </w:r>
            <w:r>
              <w:rPr>
                <w:szCs w:val="18"/>
              </w:rPr>
              <w:t xml:space="preserve"> </w:t>
            </w:r>
            <w:r w:rsidRPr="001F6AF5">
              <w:rPr>
                <w:szCs w:val="18"/>
              </w:rPr>
              <w:t>2018a;154(6): S-75.</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1F6AF5" w:rsidRDefault="001B0917" w:rsidP="002520F5">
            <w:pPr>
              <w:pStyle w:val="TableText0"/>
              <w:keepNext w:val="0"/>
              <w:widowControl w:val="0"/>
              <w:rPr>
                <w:szCs w:val="18"/>
              </w:rPr>
            </w:pPr>
            <w:r w:rsidRPr="001F6AF5">
              <w:rPr>
                <w:szCs w:val="18"/>
              </w:rPr>
              <w:t xml:space="preserve">Lucendo, A., et al. Budesonide orodispersible tablets can effectively induce complete remission of endoscopic and histologic mucosal abnormalities and can induce deep disease remission in active eosinophilic esophagitis: results from a post-hoc analysis of the randomized, double-blind, placebo-controlled EOS-1 trial. </w:t>
            </w:r>
          </w:p>
        </w:tc>
        <w:tc>
          <w:tcPr>
            <w:tcW w:w="1177" w:type="pct"/>
            <w:tcBorders>
              <w:top w:val="nil"/>
              <w:bottom w:val="nil"/>
            </w:tcBorders>
          </w:tcPr>
          <w:p w:rsidR="001B0917" w:rsidRPr="001F6AF5" w:rsidRDefault="001B0917" w:rsidP="002520F5">
            <w:pPr>
              <w:pStyle w:val="TableText0"/>
              <w:keepNext w:val="0"/>
              <w:widowControl w:val="0"/>
              <w:rPr>
                <w:iCs/>
                <w:szCs w:val="18"/>
              </w:rPr>
            </w:pPr>
            <w:r w:rsidRPr="00C53543">
              <w:rPr>
                <w:i/>
                <w:szCs w:val="18"/>
              </w:rPr>
              <w:t>Gastroenterology</w:t>
            </w:r>
            <w:r>
              <w:rPr>
                <w:i/>
                <w:szCs w:val="18"/>
              </w:rPr>
              <w:t xml:space="preserve"> </w:t>
            </w:r>
            <w:r w:rsidRPr="00C53543">
              <w:rPr>
                <w:iCs/>
                <w:szCs w:val="18"/>
              </w:rPr>
              <w:t>2019b:156(6); S-715-S-716.</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1F6AF5" w:rsidRDefault="001B0917" w:rsidP="002520F5">
            <w:pPr>
              <w:pStyle w:val="TableText0"/>
              <w:keepNext w:val="0"/>
              <w:widowControl w:val="0"/>
              <w:rPr>
                <w:szCs w:val="18"/>
              </w:rPr>
            </w:pPr>
            <w:r w:rsidRPr="001F6AF5">
              <w:rPr>
                <w:szCs w:val="18"/>
              </w:rPr>
              <w:t>Miehlke, S., et al. A randomized, double-blind, placebo-controlled, pivotal multicenter trial with budesonide orodispersible tablets for treatment of active eosinophilic esophagitis (EOS-1).</w:t>
            </w:r>
          </w:p>
        </w:tc>
        <w:tc>
          <w:tcPr>
            <w:tcW w:w="1177" w:type="pct"/>
            <w:tcBorders>
              <w:top w:val="nil"/>
              <w:bottom w:val="nil"/>
            </w:tcBorders>
          </w:tcPr>
          <w:p w:rsidR="001B0917" w:rsidRPr="001F6AF5" w:rsidRDefault="001B0917" w:rsidP="002520F5">
            <w:pPr>
              <w:pStyle w:val="TableText0"/>
              <w:keepNext w:val="0"/>
              <w:widowControl w:val="0"/>
              <w:rPr>
                <w:iCs/>
                <w:szCs w:val="18"/>
              </w:rPr>
            </w:pPr>
            <w:r w:rsidRPr="00234911">
              <w:rPr>
                <w:i/>
                <w:iCs/>
                <w:szCs w:val="18"/>
              </w:rPr>
              <w:t>Allergy: European Journal of Allergy and Clinical Immunology</w:t>
            </w:r>
            <w:r>
              <w:rPr>
                <w:szCs w:val="18"/>
              </w:rPr>
              <w:t xml:space="preserve"> </w:t>
            </w:r>
            <w:r w:rsidRPr="001F6AF5">
              <w:rPr>
                <w:szCs w:val="18"/>
              </w:rPr>
              <w:t>2017:72: 78-79.</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1F6AF5" w:rsidRDefault="001B0917" w:rsidP="002520F5">
            <w:pPr>
              <w:pStyle w:val="TableText0"/>
              <w:keepNext w:val="0"/>
              <w:widowControl w:val="0"/>
              <w:rPr>
                <w:szCs w:val="18"/>
              </w:rPr>
            </w:pPr>
            <w:r w:rsidRPr="001F6AF5">
              <w:rPr>
                <w:szCs w:val="18"/>
              </w:rPr>
              <w:t>Miehlke, S., et al. Predictive factors for early vs delayed response to budesonide orodispersible tablets in eosinophilic esophagitis: Results from the pivotal trial EOS-1.</w:t>
            </w:r>
          </w:p>
        </w:tc>
        <w:tc>
          <w:tcPr>
            <w:tcW w:w="1177" w:type="pct"/>
            <w:tcBorders>
              <w:top w:val="nil"/>
              <w:bottom w:val="nil"/>
            </w:tcBorders>
          </w:tcPr>
          <w:p w:rsidR="001B0917" w:rsidRPr="001F6AF5" w:rsidRDefault="001B0917" w:rsidP="002520F5">
            <w:pPr>
              <w:pStyle w:val="TableText0"/>
              <w:keepNext w:val="0"/>
              <w:widowControl w:val="0"/>
              <w:rPr>
                <w:iCs/>
                <w:szCs w:val="18"/>
              </w:rPr>
            </w:pPr>
            <w:r w:rsidRPr="0066300A">
              <w:rPr>
                <w:i/>
                <w:szCs w:val="18"/>
              </w:rPr>
              <w:t>Allergy: European Journal of Allergy and Clinical Immunology</w:t>
            </w:r>
            <w:r>
              <w:rPr>
                <w:i/>
                <w:szCs w:val="18"/>
              </w:rPr>
              <w:t xml:space="preserve"> </w:t>
            </w:r>
            <w:r w:rsidRPr="0066300A">
              <w:rPr>
                <w:iCs/>
                <w:szCs w:val="18"/>
              </w:rPr>
              <w:t>2018:73: 37.</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1F6AF5" w:rsidRDefault="001B0917" w:rsidP="002520F5">
            <w:pPr>
              <w:pStyle w:val="TableText0"/>
              <w:keepNext w:val="0"/>
              <w:widowControl w:val="0"/>
              <w:rPr>
                <w:szCs w:val="18"/>
              </w:rPr>
            </w:pPr>
            <w:r w:rsidRPr="001F6AF5">
              <w:rPr>
                <w:szCs w:val="18"/>
              </w:rPr>
              <w:t>Miehlke, S., et al. A novel budesonide orodispersible tablet with a special esophageal-targeting can induce complete clinical, endoscopic and histologic remission in active Eosinophilic Esophagitis: Results from a post-hoc analysis of the randomized, double-blind, placebo-controlled EOS-1 trial.</w:t>
            </w:r>
          </w:p>
        </w:tc>
        <w:tc>
          <w:tcPr>
            <w:tcW w:w="1177" w:type="pct"/>
            <w:tcBorders>
              <w:top w:val="nil"/>
              <w:bottom w:val="nil"/>
            </w:tcBorders>
          </w:tcPr>
          <w:p w:rsidR="001B0917" w:rsidRPr="001F6AF5" w:rsidRDefault="001B0917" w:rsidP="002520F5">
            <w:pPr>
              <w:pStyle w:val="TableText0"/>
              <w:keepNext w:val="0"/>
              <w:widowControl w:val="0"/>
              <w:rPr>
                <w:iCs/>
                <w:szCs w:val="18"/>
              </w:rPr>
            </w:pPr>
            <w:r w:rsidRPr="00710815">
              <w:rPr>
                <w:i/>
                <w:iCs/>
                <w:szCs w:val="18"/>
              </w:rPr>
              <w:t>United European Gastroenterology Journal</w:t>
            </w:r>
            <w:r>
              <w:rPr>
                <w:szCs w:val="18"/>
              </w:rPr>
              <w:t xml:space="preserve"> </w:t>
            </w:r>
            <w:r w:rsidRPr="001F6AF5">
              <w:rPr>
                <w:szCs w:val="18"/>
              </w:rPr>
              <w:t>2019:7(8): 423.</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1F6AF5" w:rsidRDefault="001B0917" w:rsidP="002520F5">
            <w:pPr>
              <w:pStyle w:val="TableText0"/>
              <w:keepNext w:val="0"/>
              <w:widowControl w:val="0"/>
              <w:rPr>
                <w:szCs w:val="18"/>
              </w:rPr>
            </w:pPr>
            <w:r w:rsidRPr="001F6AF5">
              <w:rPr>
                <w:szCs w:val="18"/>
              </w:rPr>
              <w:t>Straumann A, Lucendo AJ, Greinwald R. Efficacy and safety of budesonide orodispersible tablets in active eosinophilic oesophagitis: Results from a randomised, double-blind, placebo-controlled, pivotal,</w:t>
            </w:r>
          </w:p>
          <w:p w:rsidR="001B0917" w:rsidRPr="001F6AF5" w:rsidRDefault="001B0917" w:rsidP="002520F5">
            <w:pPr>
              <w:pStyle w:val="TableText0"/>
              <w:keepNext w:val="0"/>
              <w:widowControl w:val="0"/>
              <w:rPr>
                <w:szCs w:val="18"/>
              </w:rPr>
            </w:pPr>
            <w:r w:rsidRPr="001F6AF5">
              <w:rPr>
                <w:szCs w:val="18"/>
              </w:rPr>
              <w:t>European multicentre trial (EOS-1)"Annual Meeting Swiss Society of Gastroenterology, SGG-SSG, Swiss Society of Visceral Surgery, SGVC-SSCV, Swiss Association for the Study of the Liver, SASL and Swiss Society of Endoscopy Nurses and Associates, SVEP-ASPE.</w:t>
            </w:r>
          </w:p>
        </w:tc>
        <w:tc>
          <w:tcPr>
            <w:tcW w:w="1177" w:type="pct"/>
            <w:tcBorders>
              <w:top w:val="nil"/>
              <w:bottom w:val="nil"/>
            </w:tcBorders>
          </w:tcPr>
          <w:p w:rsidR="001B0917" w:rsidRPr="001F6AF5" w:rsidRDefault="001B0917" w:rsidP="002520F5">
            <w:pPr>
              <w:pStyle w:val="TableText0"/>
              <w:keepNext w:val="0"/>
              <w:widowControl w:val="0"/>
              <w:rPr>
                <w:iCs/>
                <w:szCs w:val="18"/>
              </w:rPr>
            </w:pPr>
            <w:r w:rsidRPr="007159C3">
              <w:rPr>
                <w:i/>
                <w:iCs/>
                <w:szCs w:val="18"/>
              </w:rPr>
              <w:t>Swiss Medical Weekly</w:t>
            </w:r>
            <w:r>
              <w:rPr>
                <w:szCs w:val="18"/>
              </w:rPr>
              <w:t xml:space="preserve"> </w:t>
            </w:r>
            <w:r w:rsidRPr="001F6AF5">
              <w:rPr>
                <w:szCs w:val="18"/>
              </w:rPr>
              <w:t>2017a;147Suppl 225.</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1F6AF5" w:rsidRDefault="001B0917" w:rsidP="002520F5">
            <w:pPr>
              <w:pStyle w:val="TableText0"/>
              <w:keepNext w:val="0"/>
              <w:widowControl w:val="0"/>
              <w:rPr>
                <w:szCs w:val="18"/>
              </w:rPr>
            </w:pPr>
            <w:r w:rsidRPr="001F6AF5">
              <w:rPr>
                <w:szCs w:val="18"/>
              </w:rPr>
              <w:t xml:space="preserve">Straumann, A., et al. Efficacy and safety of budesonide orodispersible tablets in active eosinophilic oesophagitis: Results from a randomised, double-blind, placebo-controlled, pivotal, European multicentre trial (EOS-1). </w:t>
            </w:r>
          </w:p>
        </w:tc>
        <w:tc>
          <w:tcPr>
            <w:tcW w:w="1177" w:type="pct"/>
            <w:tcBorders>
              <w:top w:val="nil"/>
              <w:bottom w:val="nil"/>
            </w:tcBorders>
          </w:tcPr>
          <w:p w:rsidR="001B0917" w:rsidRPr="001F6AF5" w:rsidRDefault="001B0917" w:rsidP="002520F5">
            <w:pPr>
              <w:pStyle w:val="TableText0"/>
              <w:keepNext w:val="0"/>
              <w:widowControl w:val="0"/>
              <w:rPr>
                <w:iCs/>
                <w:szCs w:val="18"/>
              </w:rPr>
            </w:pPr>
            <w:r w:rsidRPr="007159C3">
              <w:rPr>
                <w:i/>
                <w:szCs w:val="18"/>
              </w:rPr>
              <w:t>Swiss Medical Weekly</w:t>
            </w:r>
            <w:r>
              <w:rPr>
                <w:iCs/>
                <w:szCs w:val="18"/>
              </w:rPr>
              <w:t xml:space="preserve"> </w:t>
            </w:r>
            <w:r w:rsidRPr="007159C3">
              <w:rPr>
                <w:iCs/>
                <w:szCs w:val="18"/>
              </w:rPr>
              <w:t>2017:147: 10S.</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1F6AF5" w:rsidRDefault="001B0917" w:rsidP="002520F5">
            <w:pPr>
              <w:pStyle w:val="TableText0"/>
              <w:keepNext w:val="0"/>
              <w:widowControl w:val="0"/>
              <w:rPr>
                <w:szCs w:val="18"/>
              </w:rPr>
            </w:pPr>
            <w:r w:rsidRPr="001F6AF5">
              <w:rPr>
                <w:szCs w:val="18"/>
              </w:rPr>
              <w:t xml:space="preserve">Straumann, A., et al. Efficacy and safety of budesonide orodispersible tablets in active eosinophilic oesophagitis: Results from a randomised, double-blind, placebo-controlled, Pivotal, European multicentre trial (EOS-1). </w:t>
            </w:r>
          </w:p>
        </w:tc>
        <w:tc>
          <w:tcPr>
            <w:tcW w:w="1177" w:type="pct"/>
            <w:tcBorders>
              <w:top w:val="nil"/>
              <w:bottom w:val="nil"/>
            </w:tcBorders>
          </w:tcPr>
          <w:p w:rsidR="001B0917" w:rsidRPr="001F6AF5" w:rsidRDefault="001B0917" w:rsidP="002520F5">
            <w:pPr>
              <w:pStyle w:val="TableText0"/>
              <w:keepNext w:val="0"/>
              <w:widowControl w:val="0"/>
              <w:rPr>
                <w:iCs/>
                <w:szCs w:val="18"/>
              </w:rPr>
            </w:pPr>
            <w:r w:rsidRPr="00C35A28">
              <w:rPr>
                <w:i/>
                <w:iCs/>
                <w:szCs w:val="18"/>
              </w:rPr>
              <w:t>United European Gastroenterology Journal</w:t>
            </w:r>
            <w:r>
              <w:rPr>
                <w:szCs w:val="18"/>
              </w:rPr>
              <w:t xml:space="preserve"> </w:t>
            </w:r>
            <w:r w:rsidRPr="001F6AF5">
              <w:rPr>
                <w:szCs w:val="18"/>
              </w:rPr>
              <w:t>2017b:5(5): A146-A147.</w:t>
            </w:r>
          </w:p>
        </w:tc>
      </w:tr>
      <w:tr w:rsidR="001B0917" w:rsidRPr="00CB38A8" w:rsidTr="00C7699D">
        <w:trPr>
          <w:cantSplit/>
          <w:trHeight w:val="20"/>
        </w:trPr>
        <w:tc>
          <w:tcPr>
            <w:tcW w:w="796" w:type="pct"/>
            <w:tcBorders>
              <w:bottom w:val="nil"/>
            </w:tcBorders>
          </w:tcPr>
          <w:p w:rsidR="001B0917" w:rsidRPr="00CB38A8" w:rsidRDefault="001B0917" w:rsidP="002520F5">
            <w:pPr>
              <w:pStyle w:val="TableText0"/>
              <w:keepNext w:val="0"/>
              <w:widowControl w:val="0"/>
            </w:pPr>
            <w:r w:rsidRPr="00503DEB">
              <w:t>EOS-2 (NCT02493335)</w:t>
            </w:r>
          </w:p>
        </w:tc>
        <w:tc>
          <w:tcPr>
            <w:tcW w:w="3027" w:type="pct"/>
            <w:tcBorders>
              <w:bottom w:val="nil"/>
            </w:tcBorders>
          </w:tcPr>
          <w:p w:rsidR="001B0917" w:rsidRPr="001F6AF5" w:rsidRDefault="001B0917" w:rsidP="002520F5">
            <w:pPr>
              <w:pStyle w:val="TableText0"/>
              <w:keepNext w:val="0"/>
              <w:widowControl w:val="0"/>
              <w:rPr>
                <w:szCs w:val="18"/>
              </w:rPr>
            </w:pPr>
            <w:r w:rsidRPr="009A63C6">
              <w:rPr>
                <w:szCs w:val="18"/>
              </w:rPr>
              <w:t>Double- blind, randomized, placebo-controlled, phase III study on the efficacy and tolerability of a 48-week treatment with two different doses of budesonide effervescent tablets vs. placebo for maintenance of clinicopathological remission in adult patients with eosinophilic esophagitis.</w:t>
            </w:r>
          </w:p>
        </w:tc>
        <w:tc>
          <w:tcPr>
            <w:tcW w:w="1177" w:type="pct"/>
            <w:tcBorders>
              <w:bottom w:val="nil"/>
            </w:tcBorders>
          </w:tcPr>
          <w:p w:rsidR="001B0917" w:rsidRPr="00CD5342" w:rsidRDefault="001B0917" w:rsidP="002520F5">
            <w:pPr>
              <w:pStyle w:val="TableText0"/>
              <w:keepNext w:val="0"/>
              <w:widowControl w:val="0"/>
              <w:rPr>
                <w:i/>
                <w:iCs/>
                <w:szCs w:val="18"/>
              </w:rPr>
            </w:pPr>
            <w:r w:rsidRPr="00CD5342">
              <w:rPr>
                <w:i/>
                <w:iCs/>
                <w:szCs w:val="18"/>
              </w:rPr>
              <w:t>May 2019</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E34A35" w:rsidRDefault="001B0917" w:rsidP="002520F5">
            <w:pPr>
              <w:pStyle w:val="TableText0"/>
              <w:keepNext w:val="0"/>
              <w:widowControl w:val="0"/>
              <w:rPr>
                <w:szCs w:val="18"/>
              </w:rPr>
            </w:pPr>
            <w:r w:rsidRPr="009A63C6">
              <w:rPr>
                <w:szCs w:val="18"/>
              </w:rPr>
              <w:t xml:space="preserve">Straumann A, Lucendo AJ, Miehlke S et al.. Budesonide Orodispersible Tablets Maintain Remission in a Randomized, Placebo-Controlled Trial of Patients With Eosinophilic Esophagitis. </w:t>
            </w:r>
          </w:p>
        </w:tc>
        <w:tc>
          <w:tcPr>
            <w:tcW w:w="1177" w:type="pct"/>
            <w:tcBorders>
              <w:top w:val="nil"/>
              <w:bottom w:val="nil"/>
            </w:tcBorders>
          </w:tcPr>
          <w:p w:rsidR="001B0917" w:rsidRPr="005979B6" w:rsidRDefault="001B0917" w:rsidP="002520F5">
            <w:pPr>
              <w:pStyle w:val="TableText0"/>
              <w:keepNext w:val="0"/>
              <w:widowControl w:val="0"/>
              <w:rPr>
                <w:szCs w:val="18"/>
              </w:rPr>
            </w:pPr>
            <w:r w:rsidRPr="00123515">
              <w:rPr>
                <w:i/>
                <w:iCs/>
                <w:szCs w:val="18"/>
              </w:rPr>
              <w:t>Gastroenterology</w:t>
            </w:r>
            <w:r>
              <w:rPr>
                <w:szCs w:val="18"/>
              </w:rPr>
              <w:t xml:space="preserve"> </w:t>
            </w:r>
            <w:r w:rsidRPr="005979B6">
              <w:rPr>
                <w:szCs w:val="18"/>
              </w:rPr>
              <w:t>2020 Jul 25:S0016-5085(20)35002-2.</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Pr="00804917" w:rsidRDefault="001B0917" w:rsidP="002520F5">
            <w:pPr>
              <w:pStyle w:val="TableText0"/>
              <w:keepNext w:val="0"/>
              <w:widowControl w:val="0"/>
              <w:rPr>
                <w:szCs w:val="18"/>
              </w:rPr>
            </w:pPr>
            <w:r w:rsidRPr="009A63C6">
              <w:rPr>
                <w:szCs w:val="18"/>
              </w:rPr>
              <w:t xml:space="preserve">Lucendo, A., et al. Budesonide orodispersible tablets are highly effective to maintain clinic-histological remission in adult patients with eosinophilic esophagitis: results from the 48-weeks, double-blind, placebo-controlled, pivotal EOS-2 trial. </w:t>
            </w:r>
          </w:p>
        </w:tc>
        <w:tc>
          <w:tcPr>
            <w:tcW w:w="1177" w:type="pct"/>
            <w:tcBorders>
              <w:top w:val="nil"/>
              <w:bottom w:val="nil"/>
            </w:tcBorders>
          </w:tcPr>
          <w:p w:rsidR="001B0917" w:rsidRPr="005979B6" w:rsidRDefault="001B0917" w:rsidP="002520F5">
            <w:pPr>
              <w:pStyle w:val="TableText0"/>
              <w:keepNext w:val="0"/>
              <w:widowControl w:val="0"/>
              <w:rPr>
                <w:szCs w:val="18"/>
              </w:rPr>
            </w:pPr>
            <w:r w:rsidRPr="00123515">
              <w:rPr>
                <w:i/>
                <w:iCs/>
                <w:szCs w:val="18"/>
              </w:rPr>
              <w:t>Gastroenterology</w:t>
            </w:r>
            <w:r>
              <w:rPr>
                <w:szCs w:val="18"/>
              </w:rPr>
              <w:t xml:space="preserve"> </w:t>
            </w:r>
            <w:r w:rsidRPr="005979B6">
              <w:rPr>
                <w:szCs w:val="18"/>
              </w:rPr>
              <w:t>2019c:156(6): S-1509.</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Default="001B0917" w:rsidP="002520F5">
            <w:pPr>
              <w:pStyle w:val="TableText0"/>
              <w:keepNext w:val="0"/>
              <w:widowControl w:val="0"/>
              <w:rPr>
                <w:szCs w:val="18"/>
              </w:rPr>
            </w:pPr>
            <w:r w:rsidRPr="009A63C6">
              <w:rPr>
                <w:szCs w:val="18"/>
              </w:rPr>
              <w:t xml:space="preserve">Lucendo, A. J., et al. A novel oral budesonide formulation is highly effective for induction of remission in patients with active eosinophilic esophagitis : Results from the 6-weeks open-label treatment phase of EOS-2 trial. </w:t>
            </w:r>
          </w:p>
        </w:tc>
        <w:tc>
          <w:tcPr>
            <w:tcW w:w="1177" w:type="pct"/>
            <w:tcBorders>
              <w:top w:val="nil"/>
              <w:bottom w:val="nil"/>
            </w:tcBorders>
          </w:tcPr>
          <w:p w:rsidR="001B0917" w:rsidRPr="005979B6" w:rsidRDefault="001B0917" w:rsidP="002520F5">
            <w:pPr>
              <w:pStyle w:val="TableText0"/>
              <w:keepNext w:val="0"/>
              <w:widowControl w:val="0"/>
              <w:rPr>
                <w:szCs w:val="18"/>
              </w:rPr>
            </w:pPr>
            <w:r w:rsidRPr="00123515">
              <w:rPr>
                <w:i/>
                <w:iCs/>
                <w:szCs w:val="18"/>
              </w:rPr>
              <w:t>United European Gastroenterology Journal</w:t>
            </w:r>
            <w:r>
              <w:rPr>
                <w:szCs w:val="18"/>
              </w:rPr>
              <w:t xml:space="preserve"> </w:t>
            </w:r>
            <w:r w:rsidRPr="005979B6">
              <w:rPr>
                <w:szCs w:val="18"/>
              </w:rPr>
              <w:t>2019d:7(8): 54.</w:t>
            </w:r>
          </w:p>
        </w:tc>
      </w:tr>
      <w:tr w:rsidR="001B0917" w:rsidRPr="00CB38A8" w:rsidTr="00C7699D">
        <w:trPr>
          <w:cantSplit/>
          <w:trHeight w:val="20"/>
        </w:trPr>
        <w:tc>
          <w:tcPr>
            <w:tcW w:w="796" w:type="pct"/>
            <w:tcBorders>
              <w:top w:val="nil"/>
              <w:bottom w:val="nil"/>
            </w:tcBorders>
          </w:tcPr>
          <w:p w:rsidR="001B0917" w:rsidRPr="00CB38A8" w:rsidRDefault="001B0917" w:rsidP="002520F5">
            <w:pPr>
              <w:pStyle w:val="TableText0"/>
              <w:keepNext w:val="0"/>
              <w:widowControl w:val="0"/>
            </w:pPr>
          </w:p>
        </w:tc>
        <w:tc>
          <w:tcPr>
            <w:tcW w:w="3027" w:type="pct"/>
            <w:tcBorders>
              <w:top w:val="nil"/>
              <w:bottom w:val="nil"/>
            </w:tcBorders>
          </w:tcPr>
          <w:p w:rsidR="001B0917" w:rsidRDefault="001B0917" w:rsidP="002520F5">
            <w:pPr>
              <w:pStyle w:val="TableText0"/>
              <w:keepNext w:val="0"/>
              <w:widowControl w:val="0"/>
              <w:rPr>
                <w:szCs w:val="18"/>
              </w:rPr>
            </w:pPr>
            <w:r w:rsidRPr="009A63C6">
              <w:rPr>
                <w:szCs w:val="18"/>
              </w:rPr>
              <w:t xml:space="preserve">Schlag, C., et al. Budesonide orodispersible tablets are superior to maintain and even further improve quality of life in adult patients with eosinophilic esophagitis: Results from the 48-weeks, double-blind, placebo-controlled pivotal EOS-2 trial. </w:t>
            </w:r>
          </w:p>
        </w:tc>
        <w:tc>
          <w:tcPr>
            <w:tcW w:w="1177" w:type="pct"/>
            <w:tcBorders>
              <w:top w:val="nil"/>
              <w:bottom w:val="nil"/>
            </w:tcBorders>
          </w:tcPr>
          <w:p w:rsidR="001B0917" w:rsidRPr="005979B6" w:rsidRDefault="001B0917" w:rsidP="002520F5">
            <w:pPr>
              <w:pStyle w:val="TableText0"/>
              <w:keepNext w:val="0"/>
              <w:widowControl w:val="0"/>
              <w:rPr>
                <w:szCs w:val="18"/>
              </w:rPr>
            </w:pPr>
            <w:r w:rsidRPr="00123515">
              <w:rPr>
                <w:i/>
                <w:iCs/>
                <w:szCs w:val="18"/>
              </w:rPr>
              <w:t>United European Gastroenterology Journal</w:t>
            </w:r>
            <w:r>
              <w:rPr>
                <w:szCs w:val="18"/>
              </w:rPr>
              <w:t xml:space="preserve"> </w:t>
            </w:r>
            <w:r w:rsidRPr="005979B6">
              <w:rPr>
                <w:szCs w:val="18"/>
              </w:rPr>
              <w:t>2019a:7(8): 705.</w:t>
            </w:r>
          </w:p>
        </w:tc>
      </w:tr>
      <w:tr w:rsidR="001B0917" w:rsidRPr="00CB38A8" w:rsidTr="00C7699D">
        <w:trPr>
          <w:cantSplit/>
          <w:trHeight w:val="20"/>
        </w:trPr>
        <w:tc>
          <w:tcPr>
            <w:tcW w:w="796" w:type="pct"/>
            <w:tcBorders>
              <w:top w:val="nil"/>
              <w:bottom w:val="single" w:sz="4" w:space="0" w:color="auto"/>
            </w:tcBorders>
          </w:tcPr>
          <w:p w:rsidR="001B0917" w:rsidRPr="00CB38A8" w:rsidRDefault="001B0917" w:rsidP="002520F5">
            <w:pPr>
              <w:pStyle w:val="TableText0"/>
              <w:keepNext w:val="0"/>
              <w:widowControl w:val="0"/>
            </w:pPr>
          </w:p>
        </w:tc>
        <w:tc>
          <w:tcPr>
            <w:tcW w:w="3027" w:type="pct"/>
            <w:tcBorders>
              <w:top w:val="nil"/>
              <w:bottom w:val="single" w:sz="4" w:space="0" w:color="auto"/>
            </w:tcBorders>
          </w:tcPr>
          <w:p w:rsidR="001B0917" w:rsidRDefault="001B0917" w:rsidP="002520F5">
            <w:pPr>
              <w:pStyle w:val="TableText0"/>
              <w:keepNext w:val="0"/>
              <w:widowControl w:val="0"/>
              <w:rPr>
                <w:szCs w:val="18"/>
              </w:rPr>
            </w:pPr>
            <w:r w:rsidRPr="009A63C6">
              <w:rPr>
                <w:szCs w:val="18"/>
              </w:rPr>
              <w:t xml:space="preserve">Schlag, C., et al. Efficacy of budesonide orodispersible tablet for induction of remission in patients with active eosinophilic esophagitis: results from the 6-weeks open-label treatment phase of EOS-2 trial. </w:t>
            </w:r>
          </w:p>
        </w:tc>
        <w:tc>
          <w:tcPr>
            <w:tcW w:w="1177" w:type="pct"/>
            <w:tcBorders>
              <w:top w:val="nil"/>
              <w:bottom w:val="single" w:sz="4" w:space="0" w:color="auto"/>
            </w:tcBorders>
          </w:tcPr>
          <w:p w:rsidR="001B0917" w:rsidRPr="005979B6" w:rsidRDefault="001B0917" w:rsidP="002520F5">
            <w:pPr>
              <w:pStyle w:val="TableText0"/>
              <w:keepNext w:val="0"/>
              <w:widowControl w:val="0"/>
              <w:rPr>
                <w:szCs w:val="18"/>
              </w:rPr>
            </w:pPr>
            <w:r w:rsidRPr="00123515">
              <w:rPr>
                <w:i/>
                <w:iCs/>
                <w:szCs w:val="18"/>
              </w:rPr>
              <w:t>Gastroenterology</w:t>
            </w:r>
            <w:r>
              <w:rPr>
                <w:szCs w:val="18"/>
              </w:rPr>
              <w:t xml:space="preserve"> </w:t>
            </w:r>
            <w:r w:rsidRPr="005979B6">
              <w:rPr>
                <w:szCs w:val="18"/>
              </w:rPr>
              <w:t>2019b:156(6): S-715.</w:t>
            </w:r>
          </w:p>
        </w:tc>
      </w:tr>
    </w:tbl>
    <w:p w:rsidR="001B0917" w:rsidRPr="00B1011F" w:rsidRDefault="001B0917" w:rsidP="001B0917">
      <w:pPr>
        <w:pStyle w:val="TableFigureFooter"/>
        <w:rPr>
          <w:sz w:val="20"/>
        </w:rPr>
      </w:pPr>
      <w:r w:rsidRPr="00842D2D">
        <w:t>Source: Table 2-5, pp58-59 of the submission</w:t>
      </w:r>
    </w:p>
    <w:p w:rsidR="001B0917" w:rsidRPr="00CD5342" w:rsidRDefault="001B0917" w:rsidP="001B0917">
      <w:pPr>
        <w:pStyle w:val="3-BodyText"/>
        <w:rPr>
          <w:color w:val="0066FF"/>
        </w:rPr>
      </w:pPr>
      <w:r w:rsidRPr="00B50DB8">
        <w:t xml:space="preserve">The key features of the </w:t>
      </w:r>
      <w:r>
        <w:t>included trials</w:t>
      </w:r>
      <w:r w:rsidRPr="00B50DB8">
        <w:t xml:space="preserve"> are summarised in </w:t>
      </w:r>
      <w:r>
        <w:t>T</w:t>
      </w:r>
      <w:r w:rsidRPr="00B50DB8">
        <w:t xml:space="preserve">able </w:t>
      </w:r>
      <w:r>
        <w:t>3</w:t>
      </w:r>
      <w:r w:rsidRPr="00B50DB8">
        <w:t>.</w:t>
      </w:r>
      <w:r>
        <w:t xml:space="preserve"> </w:t>
      </w:r>
    </w:p>
    <w:p w:rsidR="001B0917" w:rsidRPr="00EC5836" w:rsidRDefault="001B0917" w:rsidP="00C7699D">
      <w:pPr>
        <w:pStyle w:val="TableFigureHeading"/>
        <w:rPr>
          <w:rStyle w:val="CommentReference"/>
          <w:b/>
          <w:szCs w:val="24"/>
        </w:rPr>
      </w:pPr>
      <w:r w:rsidRPr="00EC5836">
        <w:rPr>
          <w:rStyle w:val="CommentReference"/>
          <w:b/>
          <w:szCs w:val="24"/>
        </w:rPr>
        <w:t xml:space="preserve">Table </w:t>
      </w:r>
      <w:r>
        <w:rPr>
          <w:rStyle w:val="CommentReference"/>
          <w:b/>
          <w:szCs w:val="24"/>
        </w:rPr>
        <w:t>3</w:t>
      </w:r>
      <w:r w:rsidRPr="00EC5836">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1"/>
        <w:gridCol w:w="995"/>
        <w:gridCol w:w="991"/>
        <w:gridCol w:w="850"/>
        <w:gridCol w:w="708"/>
        <w:gridCol w:w="1442"/>
        <w:gridCol w:w="2462"/>
        <w:gridCol w:w="868"/>
      </w:tblGrid>
      <w:tr w:rsidR="001B0917" w:rsidRPr="00B41614" w:rsidTr="00DA5F85">
        <w:trPr>
          <w:cantSplit/>
          <w:tblHeader/>
        </w:trPr>
        <w:tc>
          <w:tcPr>
            <w:tcW w:w="389" w:type="pct"/>
            <w:shd w:val="clear" w:color="auto" w:fill="auto"/>
            <w:vAlign w:val="center"/>
          </w:tcPr>
          <w:p w:rsidR="001B0917" w:rsidRPr="00B41614" w:rsidRDefault="001B0917" w:rsidP="00C7699D">
            <w:pPr>
              <w:pStyle w:val="In-tableHeading"/>
              <w:widowControl w:val="0"/>
            </w:pPr>
            <w:r w:rsidRPr="00B41614">
              <w:t>Trial</w:t>
            </w:r>
          </w:p>
        </w:tc>
        <w:tc>
          <w:tcPr>
            <w:tcW w:w="552" w:type="pct"/>
            <w:vAlign w:val="center"/>
          </w:tcPr>
          <w:p w:rsidR="001B0917" w:rsidRPr="00B41614" w:rsidRDefault="001B0917" w:rsidP="00C7699D">
            <w:pPr>
              <w:pStyle w:val="In-tableHeading"/>
              <w:widowControl w:val="0"/>
              <w:jc w:val="center"/>
            </w:pPr>
            <w:r w:rsidRPr="00D25352">
              <w:t>Intervention arm</w:t>
            </w:r>
          </w:p>
        </w:tc>
        <w:tc>
          <w:tcPr>
            <w:tcW w:w="550" w:type="pct"/>
            <w:shd w:val="clear" w:color="auto" w:fill="auto"/>
            <w:vAlign w:val="center"/>
          </w:tcPr>
          <w:p w:rsidR="001B0917" w:rsidRPr="00B41614" w:rsidRDefault="001B0917" w:rsidP="00C7699D">
            <w:pPr>
              <w:pStyle w:val="In-tableHeading"/>
              <w:widowControl w:val="0"/>
              <w:jc w:val="center"/>
            </w:pPr>
            <w:r w:rsidRPr="00B41614">
              <w:t>N</w:t>
            </w:r>
            <w:r>
              <w:t>o. randomised</w:t>
            </w:r>
          </w:p>
        </w:tc>
        <w:tc>
          <w:tcPr>
            <w:tcW w:w="472" w:type="pct"/>
            <w:shd w:val="clear" w:color="auto" w:fill="auto"/>
            <w:vAlign w:val="center"/>
          </w:tcPr>
          <w:p w:rsidR="001B0917" w:rsidRPr="00B41614" w:rsidRDefault="001B0917" w:rsidP="00C7699D">
            <w:pPr>
              <w:pStyle w:val="In-tableHeading"/>
              <w:widowControl w:val="0"/>
              <w:jc w:val="center"/>
            </w:pPr>
            <w:r w:rsidRPr="00B41614">
              <w:t>Design/ duration</w:t>
            </w:r>
          </w:p>
        </w:tc>
        <w:tc>
          <w:tcPr>
            <w:tcW w:w="393" w:type="pct"/>
            <w:shd w:val="clear" w:color="auto" w:fill="auto"/>
            <w:vAlign w:val="center"/>
          </w:tcPr>
          <w:p w:rsidR="001B0917" w:rsidRPr="00B41614" w:rsidRDefault="001B0917" w:rsidP="00C7699D">
            <w:pPr>
              <w:pStyle w:val="In-tableHeading"/>
              <w:widowControl w:val="0"/>
              <w:jc w:val="center"/>
            </w:pPr>
            <w:r w:rsidRPr="00B41614">
              <w:t>Risk of bias</w:t>
            </w:r>
          </w:p>
        </w:tc>
        <w:tc>
          <w:tcPr>
            <w:tcW w:w="797" w:type="pct"/>
            <w:shd w:val="clear" w:color="auto" w:fill="auto"/>
            <w:vAlign w:val="center"/>
          </w:tcPr>
          <w:p w:rsidR="001B0917" w:rsidRPr="00B41614" w:rsidRDefault="001B0917" w:rsidP="00C7699D">
            <w:pPr>
              <w:pStyle w:val="In-tableHeading"/>
              <w:widowControl w:val="0"/>
              <w:jc w:val="center"/>
            </w:pPr>
            <w:r w:rsidRPr="00B41614">
              <w:t>Patient population</w:t>
            </w:r>
          </w:p>
        </w:tc>
        <w:tc>
          <w:tcPr>
            <w:tcW w:w="1366" w:type="pct"/>
            <w:shd w:val="clear" w:color="auto" w:fill="auto"/>
            <w:vAlign w:val="center"/>
          </w:tcPr>
          <w:p w:rsidR="001B0917" w:rsidRPr="00B41614" w:rsidRDefault="001B0917" w:rsidP="00C7699D">
            <w:pPr>
              <w:pStyle w:val="In-tableHeading"/>
              <w:widowControl w:val="0"/>
              <w:jc w:val="center"/>
            </w:pPr>
            <w:r w:rsidRPr="00B41614">
              <w:t>Outcomes</w:t>
            </w:r>
          </w:p>
        </w:tc>
        <w:tc>
          <w:tcPr>
            <w:tcW w:w="481" w:type="pct"/>
            <w:shd w:val="clear" w:color="auto" w:fill="auto"/>
            <w:vAlign w:val="center"/>
          </w:tcPr>
          <w:p w:rsidR="001B0917" w:rsidRPr="00B41614" w:rsidRDefault="001B0917" w:rsidP="00C7699D">
            <w:pPr>
              <w:pStyle w:val="In-tableHeading"/>
              <w:widowControl w:val="0"/>
              <w:jc w:val="center"/>
            </w:pPr>
            <w:r w:rsidRPr="00B41614">
              <w:t>Use in modelled evaluation</w:t>
            </w:r>
          </w:p>
        </w:tc>
      </w:tr>
      <w:tr w:rsidR="001B0917" w:rsidRPr="00E2771E" w:rsidTr="00DA5F85">
        <w:trPr>
          <w:cantSplit/>
        </w:trPr>
        <w:tc>
          <w:tcPr>
            <w:tcW w:w="5000" w:type="pct"/>
            <w:gridSpan w:val="8"/>
          </w:tcPr>
          <w:p w:rsidR="001B0917" w:rsidRPr="00EC5836" w:rsidRDefault="001B0917" w:rsidP="00C7699D">
            <w:pPr>
              <w:pStyle w:val="In-tableHeading"/>
              <w:widowControl w:val="0"/>
            </w:pPr>
            <w:r>
              <w:t>BOT</w:t>
            </w:r>
            <w:r w:rsidRPr="00EC5836">
              <w:t xml:space="preserve"> vs. </w:t>
            </w:r>
            <w:r>
              <w:t>placebo</w:t>
            </w:r>
          </w:p>
        </w:tc>
      </w:tr>
      <w:tr w:rsidR="001B0917" w:rsidRPr="00E2771E" w:rsidTr="00DA5F85">
        <w:trPr>
          <w:cantSplit/>
          <w:trHeight w:val="900"/>
        </w:trPr>
        <w:tc>
          <w:tcPr>
            <w:tcW w:w="389" w:type="pct"/>
            <w:vMerge w:val="restart"/>
            <w:shd w:val="clear" w:color="auto" w:fill="auto"/>
            <w:vAlign w:val="center"/>
          </w:tcPr>
          <w:p w:rsidR="001B0917" w:rsidRPr="00E2771E" w:rsidRDefault="001B0917" w:rsidP="00C7699D">
            <w:pPr>
              <w:pStyle w:val="TableText0"/>
              <w:widowControl w:val="0"/>
              <w:jc w:val="center"/>
              <w:rPr>
                <w:lang w:val="en-US"/>
              </w:rPr>
            </w:pPr>
            <w:r>
              <w:rPr>
                <w:lang w:val="en-US"/>
              </w:rPr>
              <w:t>EOS-1</w:t>
            </w:r>
            <w:r w:rsidRPr="00F5392B">
              <w:rPr>
                <w:vertAlign w:val="superscript"/>
                <w:lang w:val="en-US"/>
              </w:rPr>
              <w:t>a</w:t>
            </w:r>
          </w:p>
        </w:tc>
        <w:tc>
          <w:tcPr>
            <w:tcW w:w="552" w:type="pct"/>
            <w:vAlign w:val="center"/>
          </w:tcPr>
          <w:p w:rsidR="001B0917" w:rsidRPr="009C65BC" w:rsidRDefault="001B0917" w:rsidP="00C7699D">
            <w:pPr>
              <w:pStyle w:val="TableText0"/>
              <w:widowControl w:val="0"/>
              <w:jc w:val="center"/>
              <w:rPr>
                <w:highlight w:val="yellow"/>
                <w:lang w:val="en-US"/>
              </w:rPr>
            </w:pPr>
            <w:r>
              <w:t>BOT 1 mg BID</w:t>
            </w:r>
          </w:p>
        </w:tc>
        <w:tc>
          <w:tcPr>
            <w:tcW w:w="550" w:type="pct"/>
            <w:shd w:val="clear" w:color="auto" w:fill="auto"/>
            <w:vAlign w:val="center"/>
          </w:tcPr>
          <w:p w:rsidR="001B0917" w:rsidRPr="009C65BC" w:rsidRDefault="001B0917" w:rsidP="00C7699D">
            <w:pPr>
              <w:pStyle w:val="TableText0"/>
              <w:widowControl w:val="0"/>
              <w:jc w:val="center"/>
              <w:rPr>
                <w:highlight w:val="yellow"/>
                <w:lang w:val="en-US"/>
              </w:rPr>
            </w:pPr>
            <w:r>
              <w:t>59</w:t>
            </w:r>
          </w:p>
        </w:tc>
        <w:tc>
          <w:tcPr>
            <w:tcW w:w="472" w:type="pct"/>
            <w:vMerge w:val="restart"/>
            <w:shd w:val="clear" w:color="auto" w:fill="auto"/>
            <w:vAlign w:val="center"/>
          </w:tcPr>
          <w:p w:rsidR="001B0917" w:rsidRPr="009C65BC" w:rsidRDefault="001B0917" w:rsidP="00C7699D">
            <w:pPr>
              <w:pStyle w:val="TableText0"/>
              <w:widowControl w:val="0"/>
              <w:jc w:val="center"/>
              <w:rPr>
                <w:highlight w:val="yellow"/>
                <w:lang w:val="en-US"/>
              </w:rPr>
            </w:pPr>
            <w:r w:rsidRPr="009C65BC">
              <w:rPr>
                <w:lang w:val="en-US"/>
              </w:rPr>
              <w:t>6-week R, DB, PC, PG, Phase 3 study</w:t>
            </w:r>
          </w:p>
        </w:tc>
        <w:tc>
          <w:tcPr>
            <w:tcW w:w="393" w:type="pct"/>
            <w:vMerge w:val="restart"/>
            <w:shd w:val="clear" w:color="auto" w:fill="auto"/>
            <w:vAlign w:val="center"/>
          </w:tcPr>
          <w:p w:rsidR="001B0917" w:rsidRPr="00ED5CAA" w:rsidRDefault="001B0917" w:rsidP="00C7699D">
            <w:pPr>
              <w:pStyle w:val="TableText0"/>
              <w:widowControl w:val="0"/>
              <w:jc w:val="center"/>
              <w:rPr>
                <w:lang w:val="en-US"/>
              </w:rPr>
            </w:pPr>
            <w:r w:rsidRPr="00ED5CAA">
              <w:rPr>
                <w:lang w:val="en-US"/>
              </w:rPr>
              <w:t>Low</w:t>
            </w:r>
          </w:p>
        </w:tc>
        <w:tc>
          <w:tcPr>
            <w:tcW w:w="797" w:type="pct"/>
            <w:vMerge w:val="restart"/>
            <w:shd w:val="clear" w:color="auto" w:fill="auto"/>
          </w:tcPr>
          <w:p w:rsidR="001B0917" w:rsidRPr="009C65BC" w:rsidRDefault="001B0917" w:rsidP="00C7699D">
            <w:pPr>
              <w:pStyle w:val="TableText0"/>
              <w:widowControl w:val="0"/>
              <w:rPr>
                <w:highlight w:val="yellow"/>
                <w:lang w:val="en-US"/>
              </w:rPr>
            </w:pPr>
            <w:r w:rsidRPr="009C65BC">
              <w:rPr>
                <w:lang w:val="en-US"/>
              </w:rPr>
              <w:t>Adults aged 18-75 years with clinicohistologically active EoE refractory to treatment with standard dosages of PPI used for a 4-week period.</w:t>
            </w:r>
          </w:p>
        </w:tc>
        <w:tc>
          <w:tcPr>
            <w:tcW w:w="1366" w:type="pct"/>
            <w:vMerge w:val="restart"/>
            <w:shd w:val="clear" w:color="auto" w:fill="auto"/>
          </w:tcPr>
          <w:p w:rsidR="001B0917" w:rsidRPr="00084B9B" w:rsidRDefault="001B0917" w:rsidP="00C7699D">
            <w:pPr>
              <w:pStyle w:val="TableText0"/>
              <w:widowControl w:val="0"/>
              <w:rPr>
                <w:lang w:val="en-US"/>
              </w:rPr>
            </w:pPr>
            <w:r w:rsidRPr="00084B9B">
              <w:rPr>
                <w:lang w:val="en-US"/>
              </w:rPr>
              <w:t>Primary:</w:t>
            </w:r>
            <w:r>
              <w:rPr>
                <w:lang w:val="en-US"/>
              </w:rPr>
              <w:t xml:space="preserve"> </w:t>
            </w:r>
            <w:r w:rsidRPr="00084B9B">
              <w:rPr>
                <w:lang w:val="en-US"/>
              </w:rPr>
              <w:t>clinicohistologic remission (composite)</w:t>
            </w:r>
          </w:p>
          <w:p w:rsidR="001B0917" w:rsidRDefault="001B0917" w:rsidP="00C7699D">
            <w:pPr>
              <w:pStyle w:val="TableText0"/>
              <w:widowControl w:val="0"/>
              <w:rPr>
                <w:lang w:val="en-US"/>
              </w:rPr>
            </w:pPr>
          </w:p>
          <w:p w:rsidR="001B0917" w:rsidRPr="009C65BC" w:rsidRDefault="001B0917" w:rsidP="00C7699D">
            <w:pPr>
              <w:pStyle w:val="TableText0"/>
              <w:widowControl w:val="0"/>
              <w:rPr>
                <w:highlight w:val="yellow"/>
                <w:lang w:val="en-US"/>
              </w:rPr>
            </w:pPr>
            <w:r w:rsidRPr="00084B9B">
              <w:rPr>
                <w:lang w:val="en-US"/>
              </w:rPr>
              <w:t>Secondary: histologic remission; change in peak eosinophil count; resolution of symptoms based on NRS scores for dysphagia and odynodysphagia; EEsAI-PRO score/ VDQ score/ AMS score; modSHS; EoE QoL-A; Safety</w:t>
            </w:r>
          </w:p>
        </w:tc>
        <w:tc>
          <w:tcPr>
            <w:tcW w:w="481" w:type="pct"/>
            <w:vMerge w:val="restart"/>
            <w:shd w:val="clear" w:color="auto" w:fill="auto"/>
            <w:vAlign w:val="center"/>
          </w:tcPr>
          <w:p w:rsidR="001B0917" w:rsidRPr="009C65BC" w:rsidRDefault="001871C6" w:rsidP="00C7699D">
            <w:pPr>
              <w:pStyle w:val="TableText0"/>
              <w:widowControl w:val="0"/>
              <w:jc w:val="center"/>
              <w:rPr>
                <w:lang w:val="en-US"/>
              </w:rPr>
            </w:pPr>
            <w:r>
              <w:rPr>
                <w:lang w:val="en-US"/>
              </w:rPr>
              <w:t>Remission</w:t>
            </w:r>
            <w:r w:rsidR="004A41D3">
              <w:rPr>
                <w:lang w:val="en-US"/>
              </w:rPr>
              <w:t xml:space="preserve"> rates</w:t>
            </w:r>
            <w:r w:rsidR="00F1613C">
              <w:rPr>
                <w:lang w:val="en-US"/>
              </w:rPr>
              <w:t xml:space="preserve"> </w:t>
            </w:r>
          </w:p>
        </w:tc>
      </w:tr>
      <w:tr w:rsidR="001B0917" w:rsidRPr="00E2771E" w:rsidTr="00DA5F85">
        <w:trPr>
          <w:cantSplit/>
          <w:trHeight w:val="491"/>
        </w:trPr>
        <w:tc>
          <w:tcPr>
            <w:tcW w:w="389" w:type="pct"/>
            <w:vMerge/>
            <w:shd w:val="clear" w:color="auto" w:fill="auto"/>
            <w:vAlign w:val="center"/>
          </w:tcPr>
          <w:p w:rsidR="001B0917" w:rsidRDefault="001B0917" w:rsidP="00C7699D">
            <w:pPr>
              <w:pStyle w:val="TableText0"/>
              <w:widowControl w:val="0"/>
              <w:jc w:val="center"/>
              <w:rPr>
                <w:lang w:val="en-US"/>
              </w:rPr>
            </w:pPr>
          </w:p>
        </w:tc>
        <w:tc>
          <w:tcPr>
            <w:tcW w:w="552" w:type="pct"/>
            <w:vAlign w:val="center"/>
          </w:tcPr>
          <w:p w:rsidR="001B0917" w:rsidRPr="009C65BC" w:rsidRDefault="001B0917" w:rsidP="00C7699D">
            <w:pPr>
              <w:pStyle w:val="TableText0"/>
              <w:widowControl w:val="0"/>
              <w:jc w:val="center"/>
              <w:rPr>
                <w:highlight w:val="yellow"/>
                <w:lang w:val="en-US"/>
              </w:rPr>
            </w:pPr>
            <w:r>
              <w:t>Placebo</w:t>
            </w:r>
          </w:p>
        </w:tc>
        <w:tc>
          <w:tcPr>
            <w:tcW w:w="550" w:type="pct"/>
            <w:shd w:val="clear" w:color="auto" w:fill="auto"/>
            <w:vAlign w:val="center"/>
          </w:tcPr>
          <w:p w:rsidR="001B0917" w:rsidRPr="009C65BC" w:rsidRDefault="001B0917" w:rsidP="00C7699D">
            <w:pPr>
              <w:pStyle w:val="TableText0"/>
              <w:widowControl w:val="0"/>
              <w:jc w:val="center"/>
              <w:rPr>
                <w:highlight w:val="yellow"/>
                <w:lang w:val="en-US"/>
              </w:rPr>
            </w:pPr>
            <w:r>
              <w:t>29</w:t>
            </w:r>
          </w:p>
        </w:tc>
        <w:tc>
          <w:tcPr>
            <w:tcW w:w="472" w:type="pct"/>
            <w:vMerge/>
            <w:shd w:val="clear" w:color="auto" w:fill="auto"/>
            <w:vAlign w:val="center"/>
          </w:tcPr>
          <w:p w:rsidR="001B0917" w:rsidRPr="009C65BC" w:rsidRDefault="001B0917" w:rsidP="00C7699D">
            <w:pPr>
              <w:pStyle w:val="TableText0"/>
              <w:widowControl w:val="0"/>
              <w:jc w:val="center"/>
              <w:rPr>
                <w:lang w:val="en-US"/>
              </w:rPr>
            </w:pPr>
          </w:p>
        </w:tc>
        <w:tc>
          <w:tcPr>
            <w:tcW w:w="393" w:type="pct"/>
            <w:vMerge/>
            <w:shd w:val="clear" w:color="auto" w:fill="auto"/>
            <w:vAlign w:val="center"/>
          </w:tcPr>
          <w:p w:rsidR="001B0917" w:rsidRPr="009C65BC" w:rsidRDefault="001B0917" w:rsidP="00C7699D">
            <w:pPr>
              <w:pStyle w:val="TableText0"/>
              <w:widowControl w:val="0"/>
              <w:jc w:val="center"/>
              <w:rPr>
                <w:i/>
                <w:lang w:val="en-US"/>
              </w:rPr>
            </w:pPr>
          </w:p>
        </w:tc>
        <w:tc>
          <w:tcPr>
            <w:tcW w:w="797" w:type="pct"/>
            <w:vMerge/>
            <w:shd w:val="clear" w:color="auto" w:fill="auto"/>
          </w:tcPr>
          <w:p w:rsidR="001B0917" w:rsidRPr="009C65BC" w:rsidRDefault="001B0917" w:rsidP="00C7699D">
            <w:pPr>
              <w:pStyle w:val="TableText0"/>
              <w:widowControl w:val="0"/>
              <w:rPr>
                <w:lang w:val="en-US"/>
              </w:rPr>
            </w:pPr>
          </w:p>
        </w:tc>
        <w:tc>
          <w:tcPr>
            <w:tcW w:w="1366" w:type="pct"/>
            <w:vMerge/>
            <w:shd w:val="clear" w:color="auto" w:fill="auto"/>
          </w:tcPr>
          <w:p w:rsidR="001B0917" w:rsidRPr="009C65BC" w:rsidRDefault="001B0917" w:rsidP="00C7699D">
            <w:pPr>
              <w:pStyle w:val="TableText0"/>
              <w:widowControl w:val="0"/>
              <w:rPr>
                <w:highlight w:val="yellow"/>
                <w:lang w:val="en-US"/>
              </w:rPr>
            </w:pPr>
          </w:p>
        </w:tc>
        <w:tc>
          <w:tcPr>
            <w:tcW w:w="481" w:type="pct"/>
            <w:vMerge/>
            <w:shd w:val="clear" w:color="auto" w:fill="auto"/>
            <w:vAlign w:val="center"/>
          </w:tcPr>
          <w:p w:rsidR="001B0917" w:rsidRPr="009C65BC" w:rsidRDefault="001B0917" w:rsidP="00C7699D">
            <w:pPr>
              <w:pStyle w:val="TableText0"/>
              <w:widowControl w:val="0"/>
              <w:jc w:val="center"/>
              <w:rPr>
                <w:lang w:val="en-US"/>
              </w:rPr>
            </w:pPr>
          </w:p>
        </w:tc>
      </w:tr>
      <w:tr w:rsidR="001B0917" w:rsidRPr="00E2771E" w:rsidTr="00DA5F85">
        <w:trPr>
          <w:cantSplit/>
          <w:trHeight w:val="802"/>
        </w:trPr>
        <w:tc>
          <w:tcPr>
            <w:tcW w:w="389" w:type="pct"/>
            <w:vMerge w:val="restart"/>
            <w:shd w:val="clear" w:color="auto" w:fill="auto"/>
            <w:vAlign w:val="center"/>
          </w:tcPr>
          <w:p w:rsidR="001B0917" w:rsidRPr="00E2771E" w:rsidRDefault="001B0917" w:rsidP="00C7699D">
            <w:pPr>
              <w:pStyle w:val="TableText0"/>
              <w:widowControl w:val="0"/>
              <w:jc w:val="center"/>
              <w:rPr>
                <w:lang w:val="en-US"/>
              </w:rPr>
            </w:pPr>
            <w:r>
              <w:rPr>
                <w:lang w:val="en-US"/>
              </w:rPr>
              <w:t>EOS-2</w:t>
            </w:r>
          </w:p>
        </w:tc>
        <w:tc>
          <w:tcPr>
            <w:tcW w:w="552" w:type="pct"/>
            <w:vAlign w:val="center"/>
          </w:tcPr>
          <w:p w:rsidR="001B0917" w:rsidRPr="009C65BC" w:rsidRDefault="001B0917" w:rsidP="00C7699D">
            <w:pPr>
              <w:pStyle w:val="TableText0"/>
              <w:widowControl w:val="0"/>
              <w:jc w:val="center"/>
              <w:rPr>
                <w:highlight w:val="yellow"/>
                <w:lang w:val="en-US"/>
              </w:rPr>
            </w:pPr>
            <w:r>
              <w:t>BOT 1 mg BID</w:t>
            </w:r>
          </w:p>
        </w:tc>
        <w:tc>
          <w:tcPr>
            <w:tcW w:w="550" w:type="pct"/>
            <w:shd w:val="clear" w:color="auto" w:fill="auto"/>
            <w:vAlign w:val="center"/>
          </w:tcPr>
          <w:p w:rsidR="001B0917" w:rsidRPr="009C65BC" w:rsidRDefault="001B0917" w:rsidP="00C7699D">
            <w:pPr>
              <w:pStyle w:val="TableText0"/>
              <w:widowControl w:val="0"/>
              <w:jc w:val="center"/>
              <w:rPr>
                <w:highlight w:val="yellow"/>
                <w:lang w:val="en-US"/>
              </w:rPr>
            </w:pPr>
            <w:r>
              <w:t>68</w:t>
            </w:r>
          </w:p>
        </w:tc>
        <w:tc>
          <w:tcPr>
            <w:tcW w:w="472" w:type="pct"/>
            <w:vMerge w:val="restart"/>
            <w:shd w:val="clear" w:color="auto" w:fill="auto"/>
            <w:vAlign w:val="center"/>
          </w:tcPr>
          <w:p w:rsidR="001B0917" w:rsidRPr="009C65BC" w:rsidRDefault="001B0917" w:rsidP="00C7699D">
            <w:pPr>
              <w:pStyle w:val="TableText0"/>
              <w:widowControl w:val="0"/>
              <w:jc w:val="center"/>
              <w:rPr>
                <w:highlight w:val="yellow"/>
                <w:lang w:val="en-US"/>
              </w:rPr>
            </w:pPr>
            <w:r w:rsidRPr="009C65BC">
              <w:rPr>
                <w:lang w:val="en-US"/>
              </w:rPr>
              <w:t>48-week R, DB, PC, Phase 3 study</w:t>
            </w:r>
          </w:p>
        </w:tc>
        <w:tc>
          <w:tcPr>
            <w:tcW w:w="393" w:type="pct"/>
            <w:vMerge w:val="restart"/>
            <w:shd w:val="clear" w:color="auto" w:fill="auto"/>
            <w:vAlign w:val="center"/>
          </w:tcPr>
          <w:p w:rsidR="001B0917" w:rsidRPr="00ED5CAA" w:rsidRDefault="001B0917" w:rsidP="00C7699D">
            <w:pPr>
              <w:pStyle w:val="TableText0"/>
              <w:widowControl w:val="0"/>
              <w:jc w:val="center"/>
              <w:rPr>
                <w:lang w:val="en-US"/>
              </w:rPr>
            </w:pPr>
            <w:r w:rsidRPr="00ED5CAA">
              <w:rPr>
                <w:lang w:val="en-US"/>
              </w:rPr>
              <w:t>Low</w:t>
            </w:r>
          </w:p>
        </w:tc>
        <w:tc>
          <w:tcPr>
            <w:tcW w:w="797" w:type="pct"/>
            <w:vMerge w:val="restart"/>
            <w:shd w:val="clear" w:color="auto" w:fill="auto"/>
          </w:tcPr>
          <w:p w:rsidR="001B0917" w:rsidRPr="009C65BC" w:rsidRDefault="001B0917" w:rsidP="00C7699D">
            <w:pPr>
              <w:pStyle w:val="TableText0"/>
              <w:widowControl w:val="0"/>
              <w:rPr>
                <w:highlight w:val="yellow"/>
                <w:lang w:val="en-US"/>
              </w:rPr>
            </w:pPr>
            <w:r w:rsidRPr="009C65BC">
              <w:rPr>
                <w:lang w:val="en-US"/>
              </w:rPr>
              <w:t>Adults, 18 to 75 years of age, with confirmed clinicohistological diagnosis of EoE who are in clinicohistological remission of EoE and have a documented trial with PPI therapy.</w:t>
            </w:r>
          </w:p>
        </w:tc>
        <w:tc>
          <w:tcPr>
            <w:tcW w:w="1366" w:type="pct"/>
            <w:vMerge w:val="restart"/>
            <w:shd w:val="clear" w:color="auto" w:fill="auto"/>
          </w:tcPr>
          <w:p w:rsidR="001B0917" w:rsidRPr="00084B9B" w:rsidRDefault="001B0917" w:rsidP="00C7699D">
            <w:pPr>
              <w:pStyle w:val="TableText0"/>
              <w:widowControl w:val="0"/>
              <w:rPr>
                <w:lang w:val="en-US"/>
              </w:rPr>
            </w:pPr>
            <w:r w:rsidRPr="00084B9B">
              <w:rPr>
                <w:lang w:val="en-US"/>
              </w:rPr>
              <w:t xml:space="preserve">Primary: maintenance of clinicohistologic remission (free of treatment failure [composite]) </w:t>
            </w:r>
          </w:p>
          <w:p w:rsidR="001B0917" w:rsidRDefault="001B0917" w:rsidP="00C7699D">
            <w:pPr>
              <w:pStyle w:val="TableText0"/>
              <w:widowControl w:val="0"/>
              <w:rPr>
                <w:lang w:val="en-US"/>
              </w:rPr>
            </w:pPr>
          </w:p>
          <w:p w:rsidR="001B0917" w:rsidRPr="009C65BC" w:rsidRDefault="001B0917" w:rsidP="00C7699D">
            <w:pPr>
              <w:pStyle w:val="TableText0"/>
              <w:widowControl w:val="0"/>
              <w:rPr>
                <w:highlight w:val="yellow"/>
                <w:lang w:val="en-US"/>
              </w:rPr>
            </w:pPr>
            <w:r w:rsidRPr="00084B9B">
              <w:rPr>
                <w:lang w:val="en-US"/>
              </w:rPr>
              <w:t>Secondary: clinical relapse; histologic relapse; change in peak eosinophil count; EEsAI-PRO relapse; deep disease remission; modified EREFS (grading of major features); endoscopist’s overall assessment of EoE activity; safety</w:t>
            </w:r>
          </w:p>
        </w:tc>
        <w:tc>
          <w:tcPr>
            <w:tcW w:w="481" w:type="pct"/>
            <w:vMerge w:val="restart"/>
            <w:shd w:val="clear" w:color="auto" w:fill="auto"/>
            <w:vAlign w:val="center"/>
          </w:tcPr>
          <w:p w:rsidR="001B0917" w:rsidRPr="009C65BC" w:rsidRDefault="004E327C" w:rsidP="00C7699D">
            <w:pPr>
              <w:pStyle w:val="TableText0"/>
              <w:widowControl w:val="0"/>
              <w:jc w:val="center"/>
              <w:rPr>
                <w:lang w:val="en-US"/>
              </w:rPr>
            </w:pPr>
            <w:r>
              <w:rPr>
                <w:lang w:val="en-US"/>
              </w:rPr>
              <w:t>Remission rates</w:t>
            </w:r>
          </w:p>
        </w:tc>
      </w:tr>
      <w:tr w:rsidR="001B0917" w:rsidRPr="00E2771E" w:rsidTr="00DA5F85">
        <w:trPr>
          <w:cantSplit/>
          <w:trHeight w:val="984"/>
        </w:trPr>
        <w:tc>
          <w:tcPr>
            <w:tcW w:w="389" w:type="pct"/>
            <w:vMerge/>
            <w:shd w:val="clear" w:color="auto" w:fill="auto"/>
            <w:vAlign w:val="center"/>
          </w:tcPr>
          <w:p w:rsidR="001B0917" w:rsidRDefault="001B0917" w:rsidP="00DA5F85">
            <w:pPr>
              <w:pStyle w:val="TableText0"/>
              <w:rPr>
                <w:lang w:val="en-US"/>
              </w:rPr>
            </w:pPr>
          </w:p>
        </w:tc>
        <w:tc>
          <w:tcPr>
            <w:tcW w:w="552" w:type="pct"/>
            <w:vAlign w:val="center"/>
          </w:tcPr>
          <w:p w:rsidR="001B0917" w:rsidRPr="009C65BC" w:rsidRDefault="001B0917" w:rsidP="00DA5F85">
            <w:pPr>
              <w:pStyle w:val="TableText0"/>
              <w:jc w:val="center"/>
              <w:rPr>
                <w:highlight w:val="yellow"/>
                <w:lang w:val="en-US"/>
              </w:rPr>
            </w:pPr>
            <w:r>
              <w:t>BOT 0.5 mg BID</w:t>
            </w:r>
          </w:p>
        </w:tc>
        <w:tc>
          <w:tcPr>
            <w:tcW w:w="550" w:type="pct"/>
            <w:shd w:val="clear" w:color="auto" w:fill="auto"/>
            <w:vAlign w:val="center"/>
          </w:tcPr>
          <w:p w:rsidR="001B0917" w:rsidRPr="009C65BC" w:rsidRDefault="001B0917" w:rsidP="00DA5F85">
            <w:pPr>
              <w:pStyle w:val="TableText0"/>
              <w:jc w:val="center"/>
              <w:rPr>
                <w:highlight w:val="yellow"/>
                <w:lang w:val="en-US"/>
              </w:rPr>
            </w:pPr>
            <w:r>
              <w:t>68</w:t>
            </w:r>
          </w:p>
        </w:tc>
        <w:tc>
          <w:tcPr>
            <w:tcW w:w="472" w:type="pct"/>
            <w:vMerge/>
            <w:shd w:val="clear" w:color="auto" w:fill="auto"/>
            <w:vAlign w:val="center"/>
          </w:tcPr>
          <w:p w:rsidR="001B0917" w:rsidRPr="009C65BC" w:rsidRDefault="001B0917" w:rsidP="00DA5F85">
            <w:pPr>
              <w:pStyle w:val="TableText0"/>
              <w:jc w:val="center"/>
              <w:rPr>
                <w:lang w:val="en-US"/>
              </w:rPr>
            </w:pPr>
          </w:p>
        </w:tc>
        <w:tc>
          <w:tcPr>
            <w:tcW w:w="393" w:type="pct"/>
            <w:vMerge/>
            <w:shd w:val="clear" w:color="auto" w:fill="auto"/>
            <w:vAlign w:val="center"/>
          </w:tcPr>
          <w:p w:rsidR="001B0917" w:rsidRPr="009C65BC" w:rsidRDefault="001B0917" w:rsidP="00DA5F85">
            <w:pPr>
              <w:pStyle w:val="TableText0"/>
              <w:jc w:val="center"/>
              <w:rPr>
                <w:i/>
                <w:lang w:val="en-US"/>
              </w:rPr>
            </w:pPr>
          </w:p>
        </w:tc>
        <w:tc>
          <w:tcPr>
            <w:tcW w:w="797" w:type="pct"/>
            <w:vMerge/>
            <w:shd w:val="clear" w:color="auto" w:fill="auto"/>
            <w:vAlign w:val="center"/>
          </w:tcPr>
          <w:p w:rsidR="001B0917" w:rsidRPr="009C65BC" w:rsidRDefault="001B0917" w:rsidP="00DA5F85">
            <w:pPr>
              <w:pStyle w:val="TableText0"/>
              <w:jc w:val="center"/>
              <w:rPr>
                <w:lang w:val="en-US"/>
              </w:rPr>
            </w:pPr>
          </w:p>
        </w:tc>
        <w:tc>
          <w:tcPr>
            <w:tcW w:w="1366" w:type="pct"/>
            <w:vMerge/>
            <w:shd w:val="clear" w:color="auto" w:fill="auto"/>
            <w:vAlign w:val="center"/>
          </w:tcPr>
          <w:p w:rsidR="001B0917" w:rsidRPr="009C65BC" w:rsidRDefault="001B0917" w:rsidP="00DA5F85">
            <w:pPr>
              <w:pStyle w:val="TableText0"/>
              <w:jc w:val="center"/>
              <w:rPr>
                <w:highlight w:val="yellow"/>
                <w:lang w:val="en-US"/>
              </w:rPr>
            </w:pPr>
          </w:p>
        </w:tc>
        <w:tc>
          <w:tcPr>
            <w:tcW w:w="481" w:type="pct"/>
            <w:vMerge/>
            <w:shd w:val="clear" w:color="auto" w:fill="auto"/>
            <w:vAlign w:val="center"/>
          </w:tcPr>
          <w:p w:rsidR="001B0917" w:rsidRPr="009C65BC" w:rsidRDefault="001B0917" w:rsidP="00DA5F85">
            <w:pPr>
              <w:pStyle w:val="TableText0"/>
              <w:jc w:val="center"/>
              <w:rPr>
                <w:lang w:val="en-US"/>
              </w:rPr>
            </w:pPr>
          </w:p>
        </w:tc>
      </w:tr>
      <w:tr w:rsidR="001B0917" w:rsidRPr="00E2771E" w:rsidTr="00DA5F85">
        <w:trPr>
          <w:cantSplit/>
          <w:trHeight w:val="400"/>
        </w:trPr>
        <w:tc>
          <w:tcPr>
            <w:tcW w:w="389" w:type="pct"/>
            <w:vMerge/>
            <w:shd w:val="clear" w:color="auto" w:fill="auto"/>
            <w:vAlign w:val="center"/>
          </w:tcPr>
          <w:p w:rsidR="001B0917" w:rsidRDefault="001B0917" w:rsidP="00DA5F85">
            <w:pPr>
              <w:pStyle w:val="TableText0"/>
              <w:rPr>
                <w:lang w:val="en-US"/>
              </w:rPr>
            </w:pPr>
          </w:p>
        </w:tc>
        <w:tc>
          <w:tcPr>
            <w:tcW w:w="552" w:type="pct"/>
            <w:vAlign w:val="center"/>
          </w:tcPr>
          <w:p w:rsidR="001B0917" w:rsidRPr="009C65BC" w:rsidRDefault="001B0917" w:rsidP="00DA5F85">
            <w:pPr>
              <w:pStyle w:val="TableText0"/>
              <w:jc w:val="center"/>
              <w:rPr>
                <w:highlight w:val="yellow"/>
                <w:lang w:val="en-US"/>
              </w:rPr>
            </w:pPr>
            <w:r>
              <w:t>Placebo</w:t>
            </w:r>
          </w:p>
        </w:tc>
        <w:tc>
          <w:tcPr>
            <w:tcW w:w="550" w:type="pct"/>
            <w:shd w:val="clear" w:color="auto" w:fill="auto"/>
            <w:vAlign w:val="center"/>
          </w:tcPr>
          <w:p w:rsidR="001B0917" w:rsidRPr="009C65BC" w:rsidRDefault="001B0917" w:rsidP="00DA5F85">
            <w:pPr>
              <w:pStyle w:val="TableText0"/>
              <w:jc w:val="center"/>
              <w:rPr>
                <w:highlight w:val="yellow"/>
                <w:lang w:val="en-US"/>
              </w:rPr>
            </w:pPr>
            <w:r>
              <w:t>68</w:t>
            </w:r>
          </w:p>
        </w:tc>
        <w:tc>
          <w:tcPr>
            <w:tcW w:w="472" w:type="pct"/>
            <w:vMerge/>
            <w:shd w:val="clear" w:color="auto" w:fill="auto"/>
            <w:vAlign w:val="center"/>
          </w:tcPr>
          <w:p w:rsidR="001B0917" w:rsidRPr="009C65BC" w:rsidRDefault="001B0917" w:rsidP="00DA5F85">
            <w:pPr>
              <w:pStyle w:val="TableText0"/>
              <w:jc w:val="center"/>
              <w:rPr>
                <w:lang w:val="en-US"/>
              </w:rPr>
            </w:pPr>
          </w:p>
        </w:tc>
        <w:tc>
          <w:tcPr>
            <w:tcW w:w="393" w:type="pct"/>
            <w:vMerge/>
            <w:shd w:val="clear" w:color="auto" w:fill="auto"/>
            <w:vAlign w:val="center"/>
          </w:tcPr>
          <w:p w:rsidR="001B0917" w:rsidRPr="009C65BC" w:rsidRDefault="001B0917" w:rsidP="00DA5F85">
            <w:pPr>
              <w:pStyle w:val="TableText0"/>
              <w:jc w:val="center"/>
              <w:rPr>
                <w:i/>
                <w:lang w:val="en-US"/>
              </w:rPr>
            </w:pPr>
          </w:p>
        </w:tc>
        <w:tc>
          <w:tcPr>
            <w:tcW w:w="797" w:type="pct"/>
            <w:vMerge/>
            <w:shd w:val="clear" w:color="auto" w:fill="auto"/>
            <w:vAlign w:val="center"/>
          </w:tcPr>
          <w:p w:rsidR="001B0917" w:rsidRPr="009C65BC" w:rsidRDefault="001B0917" w:rsidP="00DA5F85">
            <w:pPr>
              <w:pStyle w:val="TableText0"/>
              <w:jc w:val="center"/>
              <w:rPr>
                <w:lang w:val="en-US"/>
              </w:rPr>
            </w:pPr>
          </w:p>
        </w:tc>
        <w:tc>
          <w:tcPr>
            <w:tcW w:w="1366" w:type="pct"/>
            <w:vMerge/>
            <w:shd w:val="clear" w:color="auto" w:fill="auto"/>
            <w:vAlign w:val="center"/>
          </w:tcPr>
          <w:p w:rsidR="001B0917" w:rsidRPr="009C65BC" w:rsidRDefault="001B0917" w:rsidP="00DA5F85">
            <w:pPr>
              <w:pStyle w:val="TableText0"/>
              <w:jc w:val="center"/>
              <w:rPr>
                <w:highlight w:val="yellow"/>
                <w:lang w:val="en-US"/>
              </w:rPr>
            </w:pPr>
          </w:p>
        </w:tc>
        <w:tc>
          <w:tcPr>
            <w:tcW w:w="481" w:type="pct"/>
            <w:vMerge/>
            <w:shd w:val="clear" w:color="auto" w:fill="auto"/>
            <w:vAlign w:val="center"/>
          </w:tcPr>
          <w:p w:rsidR="001B0917" w:rsidRPr="009C65BC" w:rsidRDefault="001B0917" w:rsidP="00DA5F85">
            <w:pPr>
              <w:pStyle w:val="TableText0"/>
              <w:jc w:val="center"/>
              <w:rPr>
                <w:lang w:val="en-US"/>
              </w:rPr>
            </w:pPr>
          </w:p>
        </w:tc>
      </w:tr>
    </w:tbl>
    <w:p w:rsidR="001B0917" w:rsidRDefault="001B0917" w:rsidP="001B0917">
      <w:pPr>
        <w:pStyle w:val="TableFigureFooter"/>
      </w:pPr>
      <w:r>
        <w:t xml:space="preserve">Source: Table 1-1, p3, Table 2-6, pp64-65, and Table 2-9, p72 </w:t>
      </w:r>
      <w:r w:rsidRPr="00D13A3E">
        <w:t xml:space="preserve">of the </w:t>
      </w:r>
      <w:r>
        <w:t xml:space="preserve">submission. </w:t>
      </w:r>
      <w:r w:rsidR="00625148">
        <w:t xml:space="preserve">Page 67 of the submission. </w:t>
      </w:r>
    </w:p>
    <w:p w:rsidR="001B0917" w:rsidRDefault="001B0917" w:rsidP="001B0917">
      <w:pPr>
        <w:pStyle w:val="TableFigureFooter"/>
      </w:pPr>
      <w:r w:rsidRPr="00084B9B">
        <w:t xml:space="preserve">Abbreviations: AMS = avoidance, modification and slow eating; BOT = budesonide orally disintegrating tablet; </w:t>
      </w:r>
      <w:r>
        <w:t xml:space="preserve">BID = twice daily; </w:t>
      </w:r>
      <w:r w:rsidRPr="00084B9B">
        <w:t>DB = double-blind</w:t>
      </w:r>
      <w:r>
        <w:t xml:space="preserve">; </w:t>
      </w:r>
      <w:r w:rsidRPr="00084B9B">
        <w:t>EEsAI-PRO = Eosinophilic Esophagitis Activity Index-Patient Reported Outcome; EoE = eosinophilic esophagitis; EoE-QoL-A = Eosinophilic Esophagitis Quality of Life Scale for Adults; EOS = Eosinophilic Oesophagitis Study; EREFS = Endoscopic Reference Score; mg = milligram</w:t>
      </w:r>
      <w:r>
        <w:t xml:space="preserve">; </w:t>
      </w:r>
      <w:r w:rsidRPr="00084B9B">
        <w:t>modSHS = modified Short Health Scale;</w:t>
      </w:r>
      <w:r>
        <w:t xml:space="preserve"> </w:t>
      </w:r>
      <w:r w:rsidRPr="00084B9B">
        <w:t xml:space="preserve">NRS = numerical rating scale; </w:t>
      </w:r>
      <w:r w:rsidRPr="00701510">
        <w:t>OLI = open label induction</w:t>
      </w:r>
      <w:r>
        <w:t xml:space="preserve">; </w:t>
      </w:r>
      <w:r w:rsidRPr="00084B9B">
        <w:t>PPI = proton pump inhibitor; PRO = Patient Reported Outcome; PC = placebo-controlled; PG = parallel group; R = randomised</w:t>
      </w:r>
      <w:r>
        <w:t xml:space="preserve">; </w:t>
      </w:r>
      <w:r w:rsidRPr="00084B9B">
        <w:t>STC = swallowed topical corticosteroids; VDQ = Visual Dysphagia Questionnaire</w:t>
      </w:r>
      <w:r>
        <w:t>.</w:t>
      </w:r>
    </w:p>
    <w:p w:rsidR="001B0917" w:rsidRDefault="001B0917" w:rsidP="001B0917">
      <w:pPr>
        <w:pStyle w:val="TableFigureFooter"/>
      </w:pPr>
      <w:r>
        <w:t xml:space="preserve">Notes: a. 51 (58.0%) patients in EOS-1 trial (23 [39.0%] patients initially randomised to BOT and 28 [96.9%] patients </w:t>
      </w:r>
    </w:p>
    <w:p w:rsidR="001B0917" w:rsidRDefault="001B0917" w:rsidP="001B0917">
      <w:pPr>
        <w:pStyle w:val="TableFigureFooter"/>
      </w:pPr>
      <w:r>
        <w:t>initially randomised to placebo) who were not in clinicohistological remission at completion of the DB treatment phase (week 6), or who were prematurely withdrawn due to lack of efficacy after at least 4 weeks of treatment were invited to enter an OLI phase of the trial in which all received BOT 1.0 mg BID.</w:t>
      </w:r>
    </w:p>
    <w:p w:rsidR="000C4301" w:rsidRPr="00D34648" w:rsidRDefault="000C4301" w:rsidP="001B0917">
      <w:pPr>
        <w:pStyle w:val="3-BodyText"/>
      </w:pPr>
      <w:r>
        <w:t xml:space="preserve">As noted, the submission is </w:t>
      </w:r>
      <w:r w:rsidR="001E6ABB">
        <w:t>seeking listing of BOT 1 mg only</w:t>
      </w:r>
      <w:r w:rsidR="00B5576D">
        <w:t xml:space="preserve">, however, </w:t>
      </w:r>
      <w:r w:rsidR="00F8361C">
        <w:t xml:space="preserve">the </w:t>
      </w:r>
      <w:r w:rsidR="00B5576D">
        <w:t xml:space="preserve">EOS-2 trial included </w:t>
      </w:r>
      <w:r w:rsidR="00EF2C9F">
        <w:t>BOT 0.5 mg</w:t>
      </w:r>
      <w:r w:rsidR="00F8361C">
        <w:t xml:space="preserve">. </w:t>
      </w:r>
      <w:r w:rsidR="00F8361C" w:rsidRPr="00D34648">
        <w:rPr>
          <w:iCs/>
        </w:rPr>
        <w:t>However, BOT 0.5 mg is not yet TGA registered, thus listing of that strength was not requested by the submission.</w:t>
      </w:r>
      <w:r w:rsidR="00FD2B9A" w:rsidRPr="00D34648">
        <w:t xml:space="preserve"> </w:t>
      </w:r>
    </w:p>
    <w:p w:rsidR="001B0917" w:rsidRPr="00D34648" w:rsidRDefault="002520F5" w:rsidP="001B0917">
      <w:pPr>
        <w:pStyle w:val="3-BodyText"/>
      </w:pPr>
      <w:r w:rsidRPr="00D34648">
        <w:t>Patients i</w:t>
      </w:r>
      <w:r w:rsidR="001B0917" w:rsidRPr="00D34648">
        <w:t>n EOS-1</w:t>
      </w:r>
      <w:r w:rsidRPr="00D34648">
        <w:t xml:space="preserve"> </w:t>
      </w:r>
      <w:r w:rsidR="001B0917" w:rsidRPr="00D34648" w:rsidDel="002520F5">
        <w:t>(</w:t>
      </w:r>
      <w:r w:rsidR="001B0917" w:rsidRPr="00D34648">
        <w:t xml:space="preserve">23 [39.0%] </w:t>
      </w:r>
      <w:r w:rsidRPr="00D34648">
        <w:t xml:space="preserve">from </w:t>
      </w:r>
      <w:r w:rsidR="001B0917" w:rsidRPr="00D34648">
        <w:t xml:space="preserve">BOT and 28 [96.9%] </w:t>
      </w:r>
      <w:r w:rsidRPr="00D34648">
        <w:t>from</w:t>
      </w:r>
      <w:r w:rsidR="001B0917" w:rsidRPr="00D34648" w:rsidDel="002520F5">
        <w:t xml:space="preserve"> </w:t>
      </w:r>
      <w:r w:rsidR="001B0917" w:rsidRPr="00D34648">
        <w:t>placebo) who were not in clinicohistological remission at completion of the DB treatment phase (week 6), or who were prematurely withdrawn due to lack of efficacy after at least 4 weeks of treatment</w:t>
      </w:r>
      <w:r w:rsidRPr="00D34648">
        <w:t>,</w:t>
      </w:r>
      <w:r w:rsidR="001B0917" w:rsidRPr="00D34648">
        <w:t xml:space="preserve"> were invited to enter a</w:t>
      </w:r>
      <w:r w:rsidRPr="00D34648">
        <w:t xml:space="preserve"> further</w:t>
      </w:r>
      <w:r w:rsidR="001B0917" w:rsidRPr="00D34648">
        <w:t xml:space="preserve"> OLI phase of the trial in which all received BOT 1.0 mg BID. </w:t>
      </w:r>
      <w:r w:rsidR="001B0917" w:rsidRPr="00D34648">
        <w:rPr>
          <w:iCs/>
        </w:rPr>
        <w:t>The risk of bias in the OLI phase of EOS-1 may be high due to this phase being non comparative (single arm</w:t>
      </w:r>
      <w:r w:rsidRPr="00D34648">
        <w:rPr>
          <w:iCs/>
        </w:rPr>
        <w:t>).</w:t>
      </w:r>
    </w:p>
    <w:p w:rsidR="001B0917" w:rsidRPr="00D34648" w:rsidRDefault="001B0917" w:rsidP="001B0917">
      <w:pPr>
        <w:pStyle w:val="3-BodyText"/>
        <w:rPr>
          <w:iCs/>
        </w:rPr>
      </w:pPr>
      <w:r w:rsidRPr="00D34648">
        <w:t xml:space="preserve">The primary endpoint in both trials comprised both objective and subjective measures. The dysphagia NRS, odynodysphagia NRS, and Patient’s Global Assessment (PatGA) were used to measure the clinical remission co-primary endpoint. </w:t>
      </w:r>
      <w:r w:rsidRPr="00D34648">
        <w:rPr>
          <w:iCs/>
        </w:rPr>
        <w:t xml:space="preserve">These instruments </w:t>
      </w:r>
      <w:r w:rsidR="004E27C9" w:rsidRPr="00D34648">
        <w:rPr>
          <w:iCs/>
        </w:rPr>
        <w:t xml:space="preserve">may be </w:t>
      </w:r>
      <w:r w:rsidRPr="00D34648">
        <w:rPr>
          <w:iCs/>
        </w:rPr>
        <w:t>subject to bias due to the subjective nature of their assessment.</w:t>
      </w:r>
    </w:p>
    <w:p w:rsidR="00F00780" w:rsidRDefault="00D10A87" w:rsidP="001B0917">
      <w:pPr>
        <w:pStyle w:val="3-BodyText"/>
        <w:rPr>
          <w:i/>
          <w:iCs/>
        </w:rPr>
      </w:pPr>
      <w:r>
        <w:t>Across trials</w:t>
      </w:r>
      <w:r w:rsidR="00E04A57">
        <w:t>, a</w:t>
      </w:r>
      <w:r w:rsidRPr="00D10A87">
        <w:t xml:space="preserve">lmost all study </w:t>
      </w:r>
      <w:r w:rsidR="008F5C97">
        <w:t>patients</w:t>
      </w:r>
      <w:r w:rsidRPr="00D10A87">
        <w:t xml:space="preserve"> had current dysphagia symptoms at baseline, with approximately 15% of </w:t>
      </w:r>
      <w:r w:rsidR="008F5C97">
        <w:t xml:space="preserve">patients </w:t>
      </w:r>
      <w:r w:rsidRPr="00D10A87">
        <w:t xml:space="preserve">previously undergoing oesophageal dilation. Approximately 50-60% of </w:t>
      </w:r>
      <w:r w:rsidR="008F5C97">
        <w:t>patients</w:t>
      </w:r>
      <w:r w:rsidRPr="00D10A87">
        <w:t xml:space="preserve"> had experienced odynodysphagia, with majority experiencing food impaction symptoms. </w:t>
      </w:r>
    </w:p>
    <w:p w:rsidR="001B0917" w:rsidRPr="00D34648" w:rsidRDefault="001B0917" w:rsidP="001B0917">
      <w:pPr>
        <w:pStyle w:val="3-BodyText"/>
        <w:rPr>
          <w:iCs/>
        </w:rPr>
      </w:pPr>
      <w:r w:rsidRPr="00540805">
        <w:t>The proportion of patients who discontinued treatment in both trials was lower for BOT compared with placebo, being 5.1% vs. 13.8% for BOT and placebo respectively in EOS-1, and 13.2% vs. 66.2% for BOT (0.5, 1 mg) and placebo respectively in EOS-2.</w:t>
      </w:r>
      <w:r w:rsidRPr="00540805">
        <w:rPr>
          <w:i/>
          <w:iCs/>
        </w:rPr>
        <w:t xml:space="preserve"> </w:t>
      </w:r>
      <w:r w:rsidRPr="00540805">
        <w:t>However, the submission noted that the only reason for discontinuation in EOS-1 was the lack of efficacy.</w:t>
      </w:r>
      <w:r>
        <w:rPr>
          <w:i/>
          <w:iCs/>
        </w:rPr>
        <w:t xml:space="preserve"> </w:t>
      </w:r>
      <w:r w:rsidRPr="00D34648">
        <w:rPr>
          <w:iCs/>
        </w:rPr>
        <w:t xml:space="preserve">High discontinuation rate due to lack of efficacy in the placebo arm is consistent with the natural course of the disease when </w:t>
      </w:r>
      <w:r w:rsidR="002520F5" w:rsidRPr="00D34648">
        <w:rPr>
          <w:iCs/>
        </w:rPr>
        <w:t xml:space="preserve">left </w:t>
      </w:r>
      <w:r w:rsidRPr="00D34648">
        <w:rPr>
          <w:iCs/>
        </w:rPr>
        <w:t>untreated.</w:t>
      </w:r>
    </w:p>
    <w:p w:rsidR="001B0917" w:rsidRPr="00C9624D" w:rsidRDefault="001B0917" w:rsidP="001B0917">
      <w:pPr>
        <w:pStyle w:val="4-SubsectionHeading"/>
      </w:pPr>
      <w:bookmarkStart w:id="12" w:name="_Toc22897641"/>
      <w:bookmarkStart w:id="13" w:name="_Toc62047621"/>
      <w:r w:rsidRPr="00C9624D">
        <w:t>Comparative effectiveness</w:t>
      </w:r>
      <w:bookmarkEnd w:id="12"/>
      <w:bookmarkEnd w:id="13"/>
    </w:p>
    <w:p w:rsidR="001B0917" w:rsidRPr="00F606C0" w:rsidRDefault="001B0917" w:rsidP="001B0917">
      <w:pPr>
        <w:pStyle w:val="3-BodyText"/>
        <w:numPr>
          <w:ilvl w:val="0"/>
          <w:numId w:val="0"/>
        </w:numPr>
        <w:ind w:left="720" w:hanging="720"/>
        <w:rPr>
          <w:u w:val="single"/>
        </w:rPr>
      </w:pPr>
      <w:r w:rsidRPr="00F606C0">
        <w:rPr>
          <w:u w:val="single"/>
        </w:rPr>
        <w:t>EOS-1 (induction of remission)</w:t>
      </w:r>
    </w:p>
    <w:p w:rsidR="001B0917" w:rsidRDefault="001B0917" w:rsidP="001B0917">
      <w:pPr>
        <w:pStyle w:val="3-BodyText"/>
      </w:pPr>
      <w:r>
        <w:t>The primary outcome in EOS-1 was clinicohistologic remission at week 6 defined as:</w:t>
      </w:r>
    </w:p>
    <w:p w:rsidR="001B0917" w:rsidRDefault="001B0917" w:rsidP="00C7699D">
      <w:pPr>
        <w:pStyle w:val="3-BodyText"/>
        <w:numPr>
          <w:ilvl w:val="0"/>
          <w:numId w:val="7"/>
        </w:numPr>
        <w:ind w:left="1077" w:hanging="357"/>
      </w:pPr>
      <w:r>
        <w:t>Histological remission: peak of &lt;16 eos/mm</w:t>
      </w:r>
      <w:r w:rsidRPr="008302DD">
        <w:rPr>
          <w:vertAlign w:val="superscript"/>
        </w:rPr>
        <w:t>2</w:t>
      </w:r>
      <w:r>
        <w:t xml:space="preserve"> hpf (&lt; 5 eos/hpf) at week 6/EOT</w:t>
      </w:r>
      <w:r w:rsidR="00C7699D">
        <w:t>; and</w:t>
      </w:r>
    </w:p>
    <w:p w:rsidR="001B0917" w:rsidRDefault="001B0917" w:rsidP="00C7699D">
      <w:pPr>
        <w:pStyle w:val="3-BodyText"/>
        <w:numPr>
          <w:ilvl w:val="0"/>
          <w:numId w:val="7"/>
        </w:numPr>
        <w:ind w:left="1077" w:hanging="357"/>
      </w:pPr>
      <w:r>
        <w:t xml:space="preserve">Clinical remission: symptom severity of ≤2 points on (0-10 point) NRS for both dysphagia AND odynodysphagia on each day in the week prior to week 6 (EOT). </w:t>
      </w:r>
    </w:p>
    <w:p w:rsidR="001B0917" w:rsidRDefault="001B0917" w:rsidP="001B0917">
      <w:pPr>
        <w:pStyle w:val="3-BodyText"/>
      </w:pPr>
      <w:r w:rsidRPr="00F13A04">
        <w:t xml:space="preserve">The secondary outcomes in EOS-1 </w:t>
      </w:r>
      <w:r>
        <w:t xml:space="preserve">were histological remission; change in </w:t>
      </w:r>
      <w:r w:rsidRPr="000000E7">
        <w:t>the peak eos/mm</w:t>
      </w:r>
      <w:r w:rsidRPr="000000E7">
        <w:rPr>
          <w:vertAlign w:val="superscript"/>
        </w:rPr>
        <w:t>2</w:t>
      </w:r>
      <w:r>
        <w:t xml:space="preserve"> </w:t>
      </w:r>
      <w:r w:rsidRPr="000000E7">
        <w:t>hpf</w:t>
      </w:r>
      <w:r>
        <w:t xml:space="preserve">; resolution of clinical symptoms based on NRS scores for dysphagia and odynodysphagia; </w:t>
      </w:r>
      <w:r w:rsidRPr="000000E7">
        <w:t>clinical remission</w:t>
      </w:r>
      <w:r>
        <w:t xml:space="preserve"> based on </w:t>
      </w:r>
      <w:r w:rsidRPr="000000E7">
        <w:t>EEsAI-PRO score</w:t>
      </w:r>
      <w:r>
        <w:t xml:space="preserve">; </w:t>
      </w:r>
      <w:r w:rsidRPr="000000E7">
        <w:t>improvement in VDQ</w:t>
      </w:r>
      <w:r>
        <w:t>/AMS score; c</w:t>
      </w:r>
      <w:r w:rsidRPr="000000E7">
        <w:t xml:space="preserve">hange in Short Health Survey score </w:t>
      </w:r>
      <w:r>
        <w:t>(modSHS); c</w:t>
      </w:r>
      <w:r w:rsidRPr="000000E7">
        <w:t>hange in adult Eosinophilic Esophagitis quality of life (EoE-QoL-A) questionnaire</w:t>
      </w:r>
      <w:r>
        <w:t xml:space="preserve">. </w:t>
      </w:r>
      <w:r w:rsidR="002520F5">
        <w:t>Key results for the primary and secondary endpoints are presented in Table 4 and Table 5.</w:t>
      </w:r>
    </w:p>
    <w:p w:rsidR="001B0917" w:rsidRDefault="001B0917" w:rsidP="00645185">
      <w:pPr>
        <w:keepNext/>
        <w:keepLines/>
        <w:rPr>
          <w:rStyle w:val="CommentReference"/>
          <w:rFonts w:eastAsiaTheme="majorEastAsia" w:cstheme="majorBidi"/>
          <w:bCs/>
          <w:szCs w:val="24"/>
        </w:rPr>
      </w:pPr>
      <w:r>
        <w:rPr>
          <w:rStyle w:val="CommentReference"/>
          <w:rFonts w:eastAsiaTheme="majorEastAsia" w:cstheme="majorBidi"/>
          <w:bCs/>
          <w:szCs w:val="24"/>
        </w:rPr>
        <w:t xml:space="preserve">Table 4: </w:t>
      </w:r>
      <w:r w:rsidRPr="00E9665D">
        <w:rPr>
          <w:rStyle w:val="CommentReference"/>
          <w:rFonts w:eastAsiaTheme="majorEastAsia" w:cstheme="majorBidi"/>
          <w:bCs/>
          <w:szCs w:val="24"/>
        </w:rPr>
        <w:t>Results for key endpoints in EOS-1 induction of remission study</w:t>
      </w:r>
    </w:p>
    <w:tbl>
      <w:tblPr>
        <w:tblStyle w:val="TableGrid"/>
        <w:tblW w:w="5000" w:type="pct"/>
        <w:tblLayout w:type="fixed"/>
        <w:tblLook w:val="04A0" w:firstRow="1" w:lastRow="0" w:firstColumn="1" w:lastColumn="0" w:noHBand="0" w:noVBand="1"/>
        <w:tblCaption w:val="Table 4: Results for key endpoints in EOS-1 induction of remission study"/>
      </w:tblPr>
      <w:tblGrid>
        <w:gridCol w:w="2973"/>
        <w:gridCol w:w="1277"/>
        <w:gridCol w:w="1134"/>
        <w:gridCol w:w="1419"/>
        <w:gridCol w:w="1134"/>
        <w:gridCol w:w="1080"/>
      </w:tblGrid>
      <w:tr w:rsidR="001B0917" w:rsidRPr="008F1A97" w:rsidTr="00C7699D">
        <w:trPr>
          <w:tblHeader/>
        </w:trPr>
        <w:tc>
          <w:tcPr>
            <w:tcW w:w="1648" w:type="pct"/>
            <w:tcMar>
              <w:left w:w="28" w:type="dxa"/>
              <w:right w:w="28" w:type="dxa"/>
            </w:tcMar>
          </w:tcPr>
          <w:p w:rsidR="001B0917" w:rsidRPr="008F1A97" w:rsidRDefault="001B0917" w:rsidP="00645185">
            <w:pPr>
              <w:keepNext/>
              <w:keepLines/>
              <w:spacing w:before="20" w:after="20"/>
              <w:jc w:val="left"/>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Outcome measure</w:t>
            </w:r>
          </w:p>
        </w:tc>
        <w:tc>
          <w:tcPr>
            <w:tcW w:w="708" w:type="pct"/>
            <w:tcMar>
              <w:left w:w="28" w:type="dxa"/>
              <w:right w:w="28" w:type="dxa"/>
            </w:tcMar>
          </w:tcPr>
          <w:p w:rsidR="001B0917" w:rsidRPr="008F1A97" w:rsidRDefault="001B0917" w:rsidP="00645185">
            <w:pPr>
              <w:keepNext/>
              <w:keepLines/>
              <w:spacing w:before="20" w:after="20"/>
              <w:jc w:val="center"/>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 xml:space="preserve">BOT 1 mg BID </w:t>
            </w:r>
            <w:r w:rsidRPr="008F1A97">
              <w:rPr>
                <w:rFonts w:ascii="Arial Narrow" w:eastAsia="TimesNewRoman" w:hAnsi="Arial Narrow" w:cs="Times New Roman"/>
                <w:b/>
                <w:bCs/>
                <w:color w:val="000000"/>
                <w:sz w:val="20"/>
                <w:szCs w:val="20"/>
                <w:lang w:val="en-US"/>
              </w:rPr>
              <w:br/>
              <w:t>N=59</w:t>
            </w:r>
          </w:p>
        </w:tc>
        <w:tc>
          <w:tcPr>
            <w:tcW w:w="629" w:type="pct"/>
            <w:tcMar>
              <w:left w:w="28" w:type="dxa"/>
              <w:right w:w="28" w:type="dxa"/>
            </w:tcMar>
          </w:tcPr>
          <w:p w:rsidR="001B0917" w:rsidRPr="008F1A97" w:rsidRDefault="001B0917" w:rsidP="00645185">
            <w:pPr>
              <w:keepNext/>
              <w:keepLines/>
              <w:spacing w:before="20" w:after="20"/>
              <w:jc w:val="center"/>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Placebo</w:t>
            </w:r>
          </w:p>
          <w:p w:rsidR="001B0917" w:rsidRPr="008F1A97" w:rsidRDefault="001B0917" w:rsidP="00645185">
            <w:pPr>
              <w:keepNext/>
              <w:keepLines/>
              <w:spacing w:before="20" w:after="20"/>
              <w:jc w:val="center"/>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N=29</w:t>
            </w:r>
          </w:p>
        </w:tc>
        <w:tc>
          <w:tcPr>
            <w:tcW w:w="787" w:type="pct"/>
            <w:tcMar>
              <w:left w:w="28" w:type="dxa"/>
              <w:right w:w="28" w:type="dxa"/>
            </w:tcMar>
          </w:tcPr>
          <w:p w:rsidR="001B0917" w:rsidRPr="008F1A97" w:rsidRDefault="001B0917" w:rsidP="00645185">
            <w:pPr>
              <w:keepNext/>
              <w:keepLines/>
              <w:spacing w:before="20" w:after="20"/>
              <w:jc w:val="center"/>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Treatment difference</w:t>
            </w:r>
          </w:p>
        </w:tc>
        <w:tc>
          <w:tcPr>
            <w:tcW w:w="629" w:type="pct"/>
            <w:tcMar>
              <w:left w:w="28" w:type="dxa"/>
              <w:right w:w="28" w:type="dxa"/>
            </w:tcMar>
          </w:tcPr>
          <w:p w:rsidR="001B0917" w:rsidRPr="008F1A97" w:rsidRDefault="00682800" w:rsidP="00645185">
            <w:pPr>
              <w:keepNext/>
              <w:keepLines/>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RR</w:t>
            </w:r>
            <w:r w:rsidR="001B0917" w:rsidRPr="009747E4">
              <w:rPr>
                <w:rFonts w:ascii="Arial Narrow" w:eastAsia="TimesNewRoman" w:hAnsi="Arial Narrow" w:cs="Times New Roman"/>
                <w:b/>
                <w:bCs/>
                <w:color w:val="000000"/>
                <w:sz w:val="20"/>
                <w:szCs w:val="20"/>
                <w:lang w:val="en-US"/>
              </w:rPr>
              <w:t xml:space="preserve"> </w:t>
            </w:r>
            <w:r w:rsidR="00C7699D">
              <w:rPr>
                <w:rFonts w:ascii="Arial Narrow" w:eastAsia="TimesNewRoman" w:hAnsi="Arial Narrow" w:cs="Times New Roman"/>
                <w:b/>
                <w:bCs/>
                <w:color w:val="000000"/>
                <w:sz w:val="20"/>
                <w:szCs w:val="20"/>
                <w:lang w:val="en-US"/>
              </w:rPr>
              <w:br/>
            </w:r>
            <w:r w:rsidR="001B0917" w:rsidRPr="009747E4">
              <w:rPr>
                <w:rFonts w:ascii="Arial Narrow" w:eastAsia="TimesNewRoman" w:hAnsi="Arial Narrow" w:cs="Times New Roman"/>
                <w:b/>
                <w:bCs/>
                <w:color w:val="000000"/>
                <w:sz w:val="20"/>
                <w:szCs w:val="20"/>
                <w:lang w:val="en-US"/>
              </w:rPr>
              <w:t>(95%CI)</w:t>
            </w:r>
            <w:r w:rsidR="001B0917" w:rsidRPr="009747E4">
              <w:rPr>
                <w:rFonts w:ascii="Arial Narrow" w:eastAsia="TimesNewRoman" w:hAnsi="Arial Narrow" w:cs="Times New Roman"/>
                <w:b/>
                <w:bCs/>
                <w:color w:val="000000"/>
                <w:sz w:val="20"/>
                <w:szCs w:val="20"/>
                <w:vertAlign w:val="superscript"/>
                <w:lang w:val="en-US"/>
              </w:rPr>
              <w:t>c</w:t>
            </w:r>
          </w:p>
        </w:tc>
        <w:tc>
          <w:tcPr>
            <w:tcW w:w="600" w:type="pct"/>
            <w:tcMar>
              <w:left w:w="28" w:type="dxa"/>
              <w:right w:w="28" w:type="dxa"/>
            </w:tcMar>
          </w:tcPr>
          <w:p w:rsidR="001B0917" w:rsidRPr="008F1A97" w:rsidRDefault="00682800" w:rsidP="00645185">
            <w:pPr>
              <w:keepNext/>
              <w:keepLines/>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RD</w:t>
            </w:r>
            <w:r w:rsidR="001B0917" w:rsidRPr="009747E4">
              <w:rPr>
                <w:rFonts w:ascii="Arial Narrow" w:eastAsia="TimesNewRoman" w:hAnsi="Arial Narrow" w:cs="Times New Roman"/>
                <w:b/>
                <w:bCs/>
                <w:color w:val="000000"/>
                <w:sz w:val="20"/>
                <w:szCs w:val="20"/>
                <w:lang w:val="en-US"/>
              </w:rPr>
              <w:t xml:space="preserve"> </w:t>
            </w:r>
            <w:r w:rsidR="00C7699D">
              <w:rPr>
                <w:rFonts w:ascii="Arial Narrow" w:eastAsia="TimesNewRoman" w:hAnsi="Arial Narrow" w:cs="Times New Roman"/>
                <w:b/>
                <w:bCs/>
                <w:color w:val="000000"/>
                <w:sz w:val="20"/>
                <w:szCs w:val="20"/>
                <w:lang w:val="en-US"/>
              </w:rPr>
              <w:br/>
            </w:r>
            <w:r w:rsidR="001B0917" w:rsidRPr="009747E4">
              <w:rPr>
                <w:rFonts w:ascii="Arial Narrow" w:eastAsia="TimesNewRoman" w:hAnsi="Arial Narrow" w:cs="Times New Roman"/>
                <w:b/>
                <w:bCs/>
                <w:color w:val="000000"/>
                <w:sz w:val="20"/>
                <w:szCs w:val="20"/>
                <w:lang w:val="en-US"/>
              </w:rPr>
              <w:t>(95%CI)</w:t>
            </w:r>
            <w:r w:rsidR="001B0917" w:rsidRPr="009747E4">
              <w:rPr>
                <w:rFonts w:ascii="Arial Narrow" w:eastAsia="TimesNewRoman" w:hAnsi="Arial Narrow" w:cs="Times New Roman"/>
                <w:b/>
                <w:bCs/>
                <w:color w:val="000000"/>
                <w:sz w:val="20"/>
                <w:szCs w:val="20"/>
                <w:vertAlign w:val="superscript"/>
                <w:lang w:val="en-US"/>
              </w:rPr>
              <w:t>c</w:t>
            </w:r>
          </w:p>
        </w:tc>
      </w:tr>
      <w:tr w:rsidR="001B0917" w:rsidRPr="008F1A97" w:rsidTr="00C7699D">
        <w:tc>
          <w:tcPr>
            <w:tcW w:w="3771" w:type="pct"/>
            <w:gridSpan w:val="4"/>
            <w:shd w:val="clear" w:color="auto" w:fill="FFFFFF" w:themeFill="background1"/>
            <w:tcMar>
              <w:left w:w="28" w:type="dxa"/>
              <w:right w:w="28" w:type="dxa"/>
            </w:tcMar>
          </w:tcPr>
          <w:p w:rsidR="001B0917" w:rsidRPr="00E709F7" w:rsidRDefault="001B0917" w:rsidP="00645185">
            <w:pPr>
              <w:keepNext/>
              <w:keepLines/>
              <w:widowControl w:val="0"/>
              <w:jc w:val="left"/>
              <w:rPr>
                <w:rFonts w:ascii="Candara" w:eastAsiaTheme="majorEastAsia" w:hAnsi="Candara" w:cstheme="majorBidi"/>
                <w:b/>
                <w:bCs/>
                <w:sz w:val="20"/>
                <w:lang w:bidi="en-US"/>
              </w:rPr>
            </w:pPr>
            <w:r w:rsidRPr="00E709F7">
              <w:rPr>
                <w:rFonts w:ascii="Arial Narrow" w:eastAsia="TimesNewRoman" w:hAnsi="Arial Narrow" w:cs="Times New Roman"/>
                <w:b/>
                <w:bCs/>
                <w:color w:val="000000"/>
                <w:sz w:val="20"/>
                <w:szCs w:val="20"/>
                <w:lang w:val="en-US"/>
              </w:rPr>
              <w:t>Primary endpoint</w:t>
            </w:r>
          </w:p>
        </w:tc>
        <w:tc>
          <w:tcPr>
            <w:tcW w:w="629" w:type="pct"/>
            <w:shd w:val="clear" w:color="auto" w:fill="FFFFFF" w:themeFill="background1"/>
            <w:tcMar>
              <w:left w:w="28" w:type="dxa"/>
              <w:right w:w="28" w:type="dxa"/>
            </w:tcMar>
          </w:tcPr>
          <w:p w:rsidR="001B0917" w:rsidRPr="00E709F7" w:rsidRDefault="001B0917" w:rsidP="00645185">
            <w:pPr>
              <w:keepNext/>
              <w:keepLines/>
              <w:widowControl w:val="0"/>
              <w:jc w:val="left"/>
              <w:rPr>
                <w:rFonts w:ascii="Arial Narrow" w:eastAsia="TimesNewRoman" w:hAnsi="Arial Narrow" w:cs="Times New Roman"/>
                <w:b/>
                <w:bCs/>
                <w:color w:val="000000"/>
                <w:sz w:val="20"/>
                <w:szCs w:val="20"/>
                <w:lang w:val="en-US"/>
              </w:rPr>
            </w:pPr>
          </w:p>
        </w:tc>
        <w:tc>
          <w:tcPr>
            <w:tcW w:w="600" w:type="pct"/>
            <w:shd w:val="clear" w:color="auto" w:fill="FFFFFF" w:themeFill="background1"/>
            <w:tcMar>
              <w:left w:w="28" w:type="dxa"/>
              <w:right w:w="28" w:type="dxa"/>
            </w:tcMar>
          </w:tcPr>
          <w:p w:rsidR="001B0917" w:rsidRPr="00E709F7" w:rsidRDefault="001B0917" w:rsidP="00645185">
            <w:pPr>
              <w:keepNext/>
              <w:keepLines/>
              <w:widowControl w:val="0"/>
              <w:jc w:val="left"/>
              <w:rPr>
                <w:rFonts w:ascii="Arial Narrow" w:eastAsia="TimesNewRoman" w:hAnsi="Arial Narrow" w:cs="Times New Roman"/>
                <w:b/>
                <w:bCs/>
                <w:color w:val="000000"/>
                <w:sz w:val="20"/>
                <w:szCs w:val="20"/>
                <w:lang w:val="en-US"/>
              </w:rPr>
            </w:pPr>
          </w:p>
        </w:tc>
      </w:tr>
      <w:tr w:rsidR="001B0917" w:rsidRPr="008F1A97" w:rsidTr="00C7699D">
        <w:tc>
          <w:tcPr>
            <w:tcW w:w="1648" w:type="pct"/>
            <w:tcMar>
              <w:left w:w="28" w:type="dxa"/>
              <w:right w:w="28" w:type="dxa"/>
            </w:tcMar>
          </w:tcPr>
          <w:p w:rsidR="001B0917" w:rsidRPr="008F1A97" w:rsidRDefault="001B0917"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Clinicohistologic remission</w:t>
            </w:r>
            <w:r w:rsidRPr="00C9232A">
              <w:rPr>
                <w:rFonts w:ascii="Arial Narrow" w:eastAsia="TimesNewRoman" w:hAnsi="Arial Narrow" w:cs="Times New Roman"/>
                <w:color w:val="000000"/>
                <w:sz w:val="20"/>
                <w:szCs w:val="20"/>
                <w:vertAlign w:val="superscript"/>
                <w:lang w:val="en-US"/>
              </w:rPr>
              <w:t>a</w:t>
            </w:r>
            <w:r w:rsidRPr="008F1A97">
              <w:rPr>
                <w:rFonts w:ascii="Arial Narrow" w:eastAsia="TimesNewRoman" w:hAnsi="Arial Narrow" w:cs="Times New Roman"/>
                <w:color w:val="000000"/>
                <w:sz w:val="20"/>
                <w:szCs w:val="20"/>
                <w:lang w:val="en-US"/>
              </w:rPr>
              <w:t xml:space="preserve"> at 6 weeks (LOCF; FAS-DB): n/N (%)</w:t>
            </w:r>
          </w:p>
        </w:tc>
        <w:tc>
          <w:tcPr>
            <w:tcW w:w="708"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34/59 (57.6%)</w:t>
            </w:r>
          </w:p>
        </w:tc>
        <w:tc>
          <w:tcPr>
            <w:tcW w:w="629"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0/29 (0.0%)</w:t>
            </w:r>
          </w:p>
        </w:tc>
        <w:tc>
          <w:tcPr>
            <w:tcW w:w="787" w:type="pct"/>
            <w:tcMar>
              <w:left w:w="28" w:type="dxa"/>
              <w:right w:w="28" w:type="dxa"/>
            </w:tcMar>
            <w:vAlign w:val="center"/>
          </w:tcPr>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9665D">
              <w:rPr>
                <w:rFonts w:ascii="Arial Narrow" w:eastAsia="TimesNewRoman" w:hAnsi="Arial Narrow" w:cs="Times New Roman"/>
                <w:b/>
                <w:bCs/>
                <w:color w:val="000000"/>
                <w:sz w:val="20"/>
                <w:szCs w:val="20"/>
                <w:lang w:val="en-US"/>
              </w:rPr>
              <w:t>57.63%</w:t>
            </w:r>
          </w:p>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E9665D">
              <w:rPr>
                <w:rFonts w:ascii="Arial Narrow" w:eastAsia="TimesNewRoman" w:hAnsi="Arial Narrow" w:cs="Times New Roman"/>
                <w:b/>
                <w:bCs/>
                <w:color w:val="000000"/>
                <w:sz w:val="20"/>
                <w:szCs w:val="20"/>
                <w:lang w:val="en-US"/>
              </w:rPr>
              <w:t xml:space="preserve">95% RCI: </w:t>
            </w:r>
            <w:r w:rsidR="00C7699D">
              <w:rPr>
                <w:rFonts w:ascii="Arial Narrow" w:eastAsia="TimesNewRoman" w:hAnsi="Arial Narrow" w:cs="Times New Roman"/>
                <w:b/>
                <w:bCs/>
                <w:color w:val="000000"/>
                <w:sz w:val="20"/>
                <w:szCs w:val="20"/>
                <w:lang w:val="en-US"/>
              </w:rPr>
              <w:br/>
            </w:r>
            <w:r w:rsidRPr="00E9665D">
              <w:rPr>
                <w:rFonts w:ascii="Arial Narrow" w:eastAsia="TimesNewRoman" w:hAnsi="Arial Narrow" w:cs="Times New Roman"/>
                <w:b/>
                <w:bCs/>
                <w:color w:val="000000"/>
                <w:sz w:val="20"/>
                <w:szCs w:val="20"/>
                <w:lang w:val="en-US"/>
              </w:rPr>
              <w:t>38.22%, 71.97%</w:t>
            </w:r>
            <w:r>
              <w:rPr>
                <w:rFonts w:ascii="Arial Narrow" w:eastAsia="TimesNewRoman" w:hAnsi="Arial Narrow" w:cs="Times New Roman"/>
                <w:b/>
                <w:bCs/>
                <w:color w:val="000000"/>
                <w:sz w:val="20"/>
                <w:szCs w:val="20"/>
                <w:lang w:val="en-US"/>
              </w:rPr>
              <w:t>)</w:t>
            </w:r>
            <w:r w:rsidRPr="00E9665D">
              <w:rPr>
                <w:rFonts w:ascii="Arial Narrow" w:eastAsia="TimesNewRoman" w:hAnsi="Arial Narrow" w:cs="Times New Roman"/>
                <w:b/>
                <w:bCs/>
                <w:color w:val="000000"/>
                <w:sz w:val="20"/>
                <w:szCs w:val="20"/>
                <w:lang w:val="en-US"/>
              </w:rPr>
              <w:t>; p&lt;0.0001</w:t>
            </w:r>
            <w:r w:rsidRPr="00C9232A">
              <w:rPr>
                <w:rFonts w:ascii="Arial Narrow" w:eastAsia="TimesNewRoman" w:hAnsi="Arial Narrow" w:cs="Times New Roman"/>
                <w:b/>
                <w:bCs/>
                <w:color w:val="000000"/>
                <w:sz w:val="20"/>
                <w:szCs w:val="20"/>
                <w:vertAlign w:val="superscript"/>
                <w:lang w:val="en-US"/>
              </w:rPr>
              <w:t>b</w:t>
            </w:r>
          </w:p>
        </w:tc>
        <w:tc>
          <w:tcPr>
            <w:tcW w:w="629" w:type="pct"/>
            <w:tcMar>
              <w:left w:w="28" w:type="dxa"/>
              <w:right w:w="28" w:type="dxa"/>
            </w:tcMar>
            <w:vAlign w:val="center"/>
          </w:tcPr>
          <w:p w:rsidR="001B0917"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9747E4">
              <w:rPr>
                <w:rFonts w:ascii="Arial Narrow" w:eastAsia="TimesNewRoman" w:hAnsi="Arial Narrow" w:cs="Times New Roman"/>
                <w:b/>
                <w:bCs/>
                <w:color w:val="000000"/>
                <w:sz w:val="20"/>
                <w:szCs w:val="20"/>
                <w:lang w:val="en-US"/>
              </w:rPr>
              <w:t xml:space="preserve">34.50 </w:t>
            </w:r>
          </w:p>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9747E4">
              <w:rPr>
                <w:rFonts w:ascii="Arial Narrow" w:eastAsia="TimesNewRoman" w:hAnsi="Arial Narrow" w:cs="Times New Roman"/>
                <w:b/>
                <w:bCs/>
                <w:color w:val="000000"/>
                <w:sz w:val="20"/>
                <w:szCs w:val="20"/>
                <w:lang w:val="en-US"/>
              </w:rPr>
              <w:t>(2.19, 543.57)</w:t>
            </w:r>
          </w:p>
        </w:tc>
        <w:tc>
          <w:tcPr>
            <w:tcW w:w="600" w:type="pct"/>
            <w:tcMar>
              <w:left w:w="28" w:type="dxa"/>
              <w:right w:w="28" w:type="dxa"/>
            </w:tcMar>
            <w:vAlign w:val="center"/>
          </w:tcPr>
          <w:p w:rsidR="001B0917"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9747E4">
              <w:rPr>
                <w:rFonts w:ascii="Arial Narrow" w:eastAsia="TimesNewRoman" w:hAnsi="Arial Narrow" w:cs="Times New Roman"/>
                <w:b/>
                <w:bCs/>
                <w:color w:val="000000"/>
                <w:sz w:val="20"/>
                <w:szCs w:val="20"/>
                <w:lang w:val="en-US"/>
              </w:rPr>
              <w:t xml:space="preserve">0.58 </w:t>
            </w:r>
          </w:p>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9747E4">
              <w:rPr>
                <w:rFonts w:ascii="Arial Narrow" w:eastAsia="TimesNewRoman" w:hAnsi="Arial Narrow" w:cs="Times New Roman"/>
                <w:b/>
                <w:bCs/>
                <w:color w:val="000000"/>
                <w:sz w:val="20"/>
                <w:szCs w:val="20"/>
                <w:lang w:val="en-US"/>
              </w:rPr>
              <w:t>(0.44, 0.71)</w:t>
            </w:r>
          </w:p>
        </w:tc>
      </w:tr>
      <w:tr w:rsidR="001B0917" w:rsidRPr="008F1A97" w:rsidTr="00C7699D">
        <w:tc>
          <w:tcPr>
            <w:tcW w:w="1648" w:type="pct"/>
            <w:tcMar>
              <w:left w:w="28" w:type="dxa"/>
              <w:right w:w="28" w:type="dxa"/>
            </w:tcMar>
          </w:tcPr>
          <w:p w:rsidR="001B0917" w:rsidRPr="008F1A97" w:rsidRDefault="001B0917"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Cumulative clinicohistologic remission after 6 weeks DB treatment + additional 6 weeks OLI treatment for those not in clinicohistologic remission at the end of DB phase: n/N (%)</w:t>
            </w:r>
          </w:p>
        </w:tc>
        <w:tc>
          <w:tcPr>
            <w:tcW w:w="708"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50/59 (84.7%)</w:t>
            </w:r>
          </w:p>
        </w:tc>
        <w:tc>
          <w:tcPr>
            <w:tcW w:w="629"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Pr>
                <w:rFonts w:ascii="Arial Narrow" w:eastAsia="TimesNewRoman" w:hAnsi="Arial Narrow" w:cs="Times New Roman"/>
                <w:color w:val="000000"/>
                <w:sz w:val="20"/>
                <w:szCs w:val="20"/>
                <w:lang w:val="en-US"/>
              </w:rPr>
              <w:t>N/A</w:t>
            </w:r>
            <w:r w:rsidRPr="009747E4">
              <w:rPr>
                <w:rFonts w:ascii="Arial Narrow" w:eastAsia="TimesNewRoman" w:hAnsi="Arial Narrow" w:cs="Times New Roman"/>
                <w:color w:val="000000"/>
                <w:sz w:val="20"/>
                <w:szCs w:val="20"/>
                <w:vertAlign w:val="superscript"/>
                <w:lang w:val="en-US"/>
              </w:rPr>
              <w:t>d</w:t>
            </w:r>
          </w:p>
        </w:tc>
        <w:tc>
          <w:tcPr>
            <w:tcW w:w="787"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Pr>
                <w:rFonts w:ascii="Arial Narrow" w:eastAsia="TimesNewRoman" w:hAnsi="Arial Narrow" w:cs="Times New Roman"/>
                <w:color w:val="000000"/>
                <w:sz w:val="20"/>
                <w:szCs w:val="20"/>
                <w:lang w:val="en-US"/>
              </w:rPr>
              <w:t>N/A</w:t>
            </w:r>
            <w:r w:rsidRPr="009747E4">
              <w:rPr>
                <w:rFonts w:ascii="Arial Narrow" w:eastAsia="TimesNewRoman" w:hAnsi="Arial Narrow" w:cs="Times New Roman"/>
                <w:color w:val="000000"/>
                <w:sz w:val="20"/>
                <w:szCs w:val="20"/>
                <w:vertAlign w:val="superscript"/>
                <w:lang w:val="en-US"/>
              </w:rPr>
              <w:t>d</w:t>
            </w:r>
          </w:p>
        </w:tc>
        <w:tc>
          <w:tcPr>
            <w:tcW w:w="629"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Pr>
                <w:rFonts w:ascii="Arial Narrow" w:eastAsia="TimesNewRoman" w:hAnsi="Arial Narrow" w:cs="Times New Roman"/>
                <w:color w:val="000000"/>
                <w:sz w:val="20"/>
                <w:szCs w:val="20"/>
                <w:lang w:val="en-US"/>
              </w:rPr>
              <w:t>N/A</w:t>
            </w:r>
            <w:r w:rsidRPr="009747E4">
              <w:rPr>
                <w:rFonts w:ascii="Arial Narrow" w:eastAsia="TimesNewRoman" w:hAnsi="Arial Narrow" w:cs="Times New Roman"/>
                <w:color w:val="000000"/>
                <w:sz w:val="20"/>
                <w:szCs w:val="20"/>
                <w:vertAlign w:val="superscript"/>
                <w:lang w:val="en-US"/>
              </w:rPr>
              <w:t>d</w:t>
            </w:r>
          </w:p>
        </w:tc>
        <w:tc>
          <w:tcPr>
            <w:tcW w:w="600"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Pr>
                <w:rFonts w:ascii="Arial Narrow" w:eastAsia="TimesNewRoman" w:hAnsi="Arial Narrow" w:cs="Times New Roman"/>
                <w:color w:val="000000"/>
                <w:sz w:val="20"/>
                <w:szCs w:val="20"/>
                <w:lang w:val="en-US"/>
              </w:rPr>
              <w:t>N/A</w:t>
            </w:r>
            <w:r w:rsidRPr="009747E4">
              <w:rPr>
                <w:rFonts w:ascii="Arial Narrow" w:eastAsia="TimesNewRoman" w:hAnsi="Arial Narrow" w:cs="Times New Roman"/>
                <w:color w:val="000000"/>
                <w:sz w:val="20"/>
                <w:szCs w:val="20"/>
                <w:vertAlign w:val="superscript"/>
                <w:lang w:val="en-US"/>
              </w:rPr>
              <w:t>d</w:t>
            </w:r>
          </w:p>
        </w:tc>
      </w:tr>
      <w:tr w:rsidR="001B0917" w:rsidRPr="008F1A97" w:rsidTr="00C7699D">
        <w:tc>
          <w:tcPr>
            <w:tcW w:w="3771" w:type="pct"/>
            <w:gridSpan w:val="4"/>
            <w:shd w:val="clear" w:color="auto" w:fill="FFFFFF" w:themeFill="background1"/>
            <w:tcMar>
              <w:left w:w="28" w:type="dxa"/>
              <w:right w:w="28" w:type="dxa"/>
            </w:tcMar>
            <w:vAlign w:val="center"/>
          </w:tcPr>
          <w:p w:rsidR="001B0917" w:rsidRPr="008F1A97" w:rsidRDefault="001B0917" w:rsidP="00645185">
            <w:pPr>
              <w:keepNext/>
              <w:keepLines/>
              <w:widowControl w:val="0"/>
              <w:jc w:val="left"/>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A</w:t>
            </w:r>
            <w:r>
              <w:rPr>
                <w:rFonts w:ascii="Arial Narrow" w:eastAsia="TimesNewRoman" w:hAnsi="Arial Narrow" w:cs="Times New Roman"/>
                <w:b/>
                <w:bCs/>
                <w:color w:val="000000"/>
                <w:sz w:val="20"/>
                <w:szCs w:val="20"/>
                <w:lang w:val="en-US"/>
              </w:rPr>
              <w:t>-</w:t>
            </w:r>
            <w:r w:rsidRPr="008F1A97">
              <w:rPr>
                <w:rFonts w:ascii="Arial Narrow" w:eastAsia="TimesNewRoman" w:hAnsi="Arial Narrow" w:cs="Times New Roman"/>
                <w:b/>
                <w:bCs/>
                <w:color w:val="000000"/>
                <w:sz w:val="20"/>
                <w:szCs w:val="20"/>
                <w:lang w:val="en-US"/>
              </w:rPr>
              <w:t>priori ordered key secondary endpoints</w:t>
            </w:r>
          </w:p>
        </w:tc>
        <w:tc>
          <w:tcPr>
            <w:tcW w:w="629" w:type="pct"/>
            <w:shd w:val="clear" w:color="auto" w:fill="FFFFFF" w:themeFill="background1"/>
            <w:tcMar>
              <w:left w:w="28" w:type="dxa"/>
              <w:right w:w="28" w:type="dxa"/>
            </w:tcMar>
          </w:tcPr>
          <w:p w:rsidR="001B0917" w:rsidRPr="008F1A97" w:rsidRDefault="001B0917" w:rsidP="00645185">
            <w:pPr>
              <w:keepNext/>
              <w:keepLines/>
              <w:widowControl w:val="0"/>
              <w:jc w:val="left"/>
              <w:rPr>
                <w:rFonts w:ascii="Arial Narrow" w:eastAsia="TimesNewRoman" w:hAnsi="Arial Narrow" w:cs="Times New Roman"/>
                <w:b/>
                <w:bCs/>
                <w:color w:val="000000"/>
                <w:sz w:val="20"/>
                <w:szCs w:val="20"/>
                <w:lang w:val="en-US"/>
              </w:rPr>
            </w:pPr>
          </w:p>
        </w:tc>
        <w:tc>
          <w:tcPr>
            <w:tcW w:w="600" w:type="pct"/>
            <w:shd w:val="clear" w:color="auto" w:fill="FFFFFF" w:themeFill="background1"/>
            <w:tcMar>
              <w:left w:w="28" w:type="dxa"/>
              <w:right w:w="28" w:type="dxa"/>
            </w:tcMar>
          </w:tcPr>
          <w:p w:rsidR="001B0917" w:rsidRPr="008F1A97" w:rsidRDefault="001B0917" w:rsidP="00645185">
            <w:pPr>
              <w:keepNext/>
              <w:keepLines/>
              <w:widowControl w:val="0"/>
              <w:jc w:val="left"/>
              <w:rPr>
                <w:rFonts w:ascii="Arial Narrow" w:eastAsia="TimesNewRoman" w:hAnsi="Arial Narrow" w:cs="Times New Roman"/>
                <w:b/>
                <w:bCs/>
                <w:color w:val="000000"/>
                <w:sz w:val="20"/>
                <w:szCs w:val="20"/>
                <w:lang w:val="en-US"/>
              </w:rPr>
            </w:pPr>
          </w:p>
        </w:tc>
      </w:tr>
      <w:tr w:rsidR="001B0917" w:rsidRPr="008F1A97" w:rsidTr="00C7699D">
        <w:tc>
          <w:tcPr>
            <w:tcW w:w="1648" w:type="pct"/>
            <w:tcMar>
              <w:left w:w="28" w:type="dxa"/>
              <w:right w:w="28" w:type="dxa"/>
            </w:tcMar>
          </w:tcPr>
          <w:p w:rsidR="001B0917" w:rsidRPr="008F1A97" w:rsidRDefault="001B0917"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Histologic remission at 6 weeks</w:t>
            </w:r>
            <w:r>
              <w:rPr>
                <w:rFonts w:ascii="Arial Narrow" w:eastAsia="TimesNewRoman" w:hAnsi="Arial Narrow" w:cs="Times New Roman"/>
                <w:color w:val="000000"/>
                <w:sz w:val="20"/>
                <w:szCs w:val="20"/>
                <w:lang w:val="en-US"/>
              </w:rPr>
              <w:t xml:space="preserve"> </w:t>
            </w:r>
            <w:r w:rsidRPr="008F1A97">
              <w:rPr>
                <w:rFonts w:ascii="Arial Narrow" w:eastAsia="TimesNewRoman" w:hAnsi="Arial Narrow" w:cs="Times New Roman"/>
                <w:color w:val="000000"/>
                <w:sz w:val="20"/>
                <w:szCs w:val="20"/>
                <w:lang w:val="en-US"/>
              </w:rPr>
              <w:t>(LOCF, FAS-DB): n/N (%)</w:t>
            </w:r>
          </w:p>
        </w:tc>
        <w:tc>
          <w:tcPr>
            <w:tcW w:w="708"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55/59 (93.2%)</w:t>
            </w:r>
          </w:p>
        </w:tc>
        <w:tc>
          <w:tcPr>
            <w:tcW w:w="629"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0/29 (0.0%)</w:t>
            </w:r>
          </w:p>
        </w:tc>
        <w:tc>
          <w:tcPr>
            <w:tcW w:w="787" w:type="pct"/>
            <w:tcMar>
              <w:left w:w="28" w:type="dxa"/>
              <w:right w:w="28" w:type="dxa"/>
            </w:tcMar>
            <w:vAlign w:val="center"/>
          </w:tcPr>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9665D">
              <w:rPr>
                <w:rFonts w:ascii="Arial Narrow" w:eastAsia="TimesNewRoman" w:hAnsi="Arial Narrow" w:cs="Times New Roman"/>
                <w:b/>
                <w:bCs/>
                <w:color w:val="000000"/>
                <w:sz w:val="20"/>
                <w:szCs w:val="20"/>
                <w:lang w:val="en-US"/>
              </w:rPr>
              <w:t>93.22%</w:t>
            </w:r>
          </w:p>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E9665D">
              <w:rPr>
                <w:rFonts w:ascii="Arial Narrow" w:eastAsia="TimesNewRoman" w:hAnsi="Arial Narrow" w:cs="Times New Roman"/>
                <w:b/>
                <w:bCs/>
                <w:color w:val="000000"/>
                <w:sz w:val="20"/>
                <w:szCs w:val="20"/>
                <w:lang w:val="en-US"/>
              </w:rPr>
              <w:t>95% RCI:</w:t>
            </w:r>
            <w:r w:rsidR="00C7699D">
              <w:rPr>
                <w:rFonts w:ascii="Arial Narrow" w:eastAsia="TimesNewRoman" w:hAnsi="Arial Narrow" w:cs="Times New Roman"/>
                <w:b/>
                <w:bCs/>
                <w:color w:val="000000"/>
                <w:sz w:val="20"/>
                <w:szCs w:val="20"/>
                <w:lang w:val="en-US"/>
              </w:rPr>
              <w:t>0</w:t>
            </w:r>
            <w:r w:rsidR="00C7699D">
              <w:rPr>
                <w:rFonts w:ascii="Arial Narrow" w:eastAsia="TimesNewRoman" w:hAnsi="Arial Narrow" w:cs="Times New Roman"/>
                <w:b/>
                <w:bCs/>
                <w:color w:val="000000"/>
                <w:sz w:val="20"/>
                <w:szCs w:val="20"/>
                <w:lang w:val="en-US"/>
              </w:rPr>
              <w:br/>
            </w:r>
            <w:r w:rsidRPr="00E9665D">
              <w:rPr>
                <w:rFonts w:ascii="Arial Narrow" w:eastAsia="TimesNewRoman" w:hAnsi="Arial Narrow" w:cs="Times New Roman"/>
                <w:b/>
                <w:bCs/>
                <w:color w:val="000000"/>
                <w:sz w:val="20"/>
                <w:szCs w:val="20"/>
                <w:lang w:val="en-US"/>
              </w:rPr>
              <w:t xml:space="preserve"> 86.81%, 99.64%</w:t>
            </w:r>
            <w:r>
              <w:rPr>
                <w:rFonts w:ascii="Arial Narrow" w:eastAsia="TimesNewRoman" w:hAnsi="Arial Narrow" w:cs="Times New Roman"/>
                <w:b/>
                <w:bCs/>
                <w:color w:val="000000"/>
                <w:sz w:val="20"/>
                <w:szCs w:val="20"/>
                <w:lang w:val="en-US"/>
              </w:rPr>
              <w:t>)</w:t>
            </w:r>
            <w:r w:rsidRPr="00E9665D">
              <w:rPr>
                <w:rFonts w:ascii="Arial Narrow" w:eastAsia="TimesNewRoman" w:hAnsi="Arial Narrow" w:cs="Times New Roman"/>
                <w:b/>
                <w:bCs/>
                <w:color w:val="000000"/>
                <w:sz w:val="20"/>
                <w:szCs w:val="20"/>
                <w:lang w:val="en-US"/>
              </w:rPr>
              <w:t>; p&lt;0.0001</w:t>
            </w:r>
          </w:p>
        </w:tc>
        <w:tc>
          <w:tcPr>
            <w:tcW w:w="629" w:type="pct"/>
            <w:tcMar>
              <w:left w:w="28" w:type="dxa"/>
              <w:right w:w="28" w:type="dxa"/>
            </w:tcMar>
            <w:vAlign w:val="center"/>
          </w:tcPr>
          <w:p w:rsidR="001B0917" w:rsidRPr="00ED695E"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 xml:space="preserve">55.50 </w:t>
            </w:r>
          </w:p>
          <w:p w:rsidR="001B0917" w:rsidRPr="00ED695E"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(3.55, 867.78)</w:t>
            </w:r>
          </w:p>
        </w:tc>
        <w:tc>
          <w:tcPr>
            <w:tcW w:w="600" w:type="pct"/>
            <w:tcMar>
              <w:left w:w="28" w:type="dxa"/>
              <w:right w:w="28" w:type="dxa"/>
            </w:tcMar>
            <w:vAlign w:val="center"/>
          </w:tcPr>
          <w:p w:rsidR="001B0917" w:rsidRPr="00ED695E"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 xml:space="preserve">0.93 </w:t>
            </w:r>
          </w:p>
          <w:p w:rsidR="001B0917" w:rsidRPr="00ED695E"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(0.85, 1.01)</w:t>
            </w:r>
          </w:p>
        </w:tc>
      </w:tr>
      <w:tr w:rsidR="001B0917" w:rsidRPr="008F1A97" w:rsidTr="00C7699D">
        <w:tc>
          <w:tcPr>
            <w:tcW w:w="1648" w:type="pct"/>
            <w:tcMar>
              <w:left w:w="28" w:type="dxa"/>
              <w:right w:w="28" w:type="dxa"/>
            </w:tcMar>
          </w:tcPr>
          <w:p w:rsidR="001B0917" w:rsidRPr="008F1A97" w:rsidRDefault="001B0917"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Change in the peak eos/mm</w:t>
            </w:r>
            <w:r w:rsidRPr="008F1A97">
              <w:rPr>
                <w:rFonts w:ascii="Arial Narrow" w:eastAsia="TimesNewRoman" w:hAnsi="Arial Narrow" w:cs="Times New Roman"/>
                <w:color w:val="000000"/>
                <w:sz w:val="20"/>
                <w:szCs w:val="20"/>
                <w:vertAlign w:val="superscript"/>
                <w:lang w:val="en-US"/>
              </w:rPr>
              <w:t>2</w:t>
            </w:r>
            <w:r w:rsidRPr="008F1A97">
              <w:rPr>
                <w:rFonts w:ascii="Arial Narrow" w:eastAsia="TimesNewRoman" w:hAnsi="Arial Narrow" w:cs="Times New Roman"/>
                <w:color w:val="000000"/>
                <w:sz w:val="20"/>
                <w:szCs w:val="20"/>
                <w:lang w:val="en-US"/>
              </w:rPr>
              <w:t xml:space="preserve"> hpf from</w:t>
            </w:r>
            <w:r w:rsidR="00682800">
              <w:rPr>
                <w:rFonts w:ascii="Arial Narrow" w:eastAsia="TimesNewRoman" w:hAnsi="Arial Narrow" w:cs="Times New Roman"/>
                <w:color w:val="000000"/>
                <w:sz w:val="20"/>
                <w:szCs w:val="20"/>
                <w:lang w:val="en-US"/>
              </w:rPr>
              <w:t xml:space="preserve"> </w:t>
            </w:r>
            <w:r w:rsidRPr="008F1A97">
              <w:rPr>
                <w:rFonts w:ascii="Arial Narrow" w:eastAsia="TimesNewRoman" w:hAnsi="Arial Narrow" w:cs="Times New Roman"/>
                <w:color w:val="000000"/>
                <w:sz w:val="20"/>
                <w:szCs w:val="20"/>
                <w:lang w:val="en-US"/>
              </w:rPr>
              <w:t>baseline to week 6 (LOCF; FAS-DB): Mean (SD)</w:t>
            </w:r>
          </w:p>
        </w:tc>
        <w:tc>
          <w:tcPr>
            <w:tcW w:w="708" w:type="pct"/>
            <w:tcMar>
              <w:left w:w="28" w:type="dxa"/>
              <w:right w:w="28" w:type="dxa"/>
            </w:tcMar>
            <w:vAlign w:val="center"/>
          </w:tcPr>
          <w:p w:rsidR="001B0917" w:rsidRPr="008F1A97" w:rsidRDefault="001B0917" w:rsidP="00C7699D">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-225.5</w:t>
            </w:r>
            <w:r w:rsidRPr="00E9665D">
              <w:rPr>
                <w:rFonts w:ascii="Arial Narrow" w:eastAsia="TimesNewRoman" w:hAnsi="Arial Narrow" w:cs="Times New Roman"/>
                <w:color w:val="000000"/>
                <w:sz w:val="20"/>
                <w:szCs w:val="20"/>
                <w:lang w:val="en-US"/>
              </w:rPr>
              <w:t>^</w:t>
            </w:r>
            <w:r w:rsidR="00C7699D">
              <w:rPr>
                <w:rFonts w:ascii="Arial Narrow" w:eastAsia="TimesNewRoman" w:hAnsi="Arial Narrow" w:cs="Times New Roman"/>
                <w:color w:val="000000"/>
                <w:sz w:val="20"/>
                <w:szCs w:val="20"/>
                <w:lang w:val="en-US"/>
              </w:rPr>
              <w:t xml:space="preserve"> </w:t>
            </w:r>
            <w:r w:rsidRPr="008F1A97">
              <w:rPr>
                <w:rFonts w:ascii="Arial Narrow" w:eastAsia="TimesNewRoman" w:hAnsi="Arial Narrow" w:cs="Times New Roman"/>
                <w:color w:val="000000"/>
                <w:sz w:val="20"/>
                <w:szCs w:val="20"/>
                <w:lang w:val="en-US"/>
              </w:rPr>
              <w:t>(150.37)</w:t>
            </w:r>
          </w:p>
        </w:tc>
        <w:tc>
          <w:tcPr>
            <w:tcW w:w="629"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-4.3 (135.64)</w:t>
            </w:r>
          </w:p>
        </w:tc>
        <w:tc>
          <w:tcPr>
            <w:tcW w:w="787" w:type="pct"/>
            <w:tcMar>
              <w:left w:w="28" w:type="dxa"/>
              <w:right w:w="28" w:type="dxa"/>
            </w:tcMar>
            <w:vAlign w:val="center"/>
          </w:tcPr>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9665D">
              <w:rPr>
                <w:rFonts w:ascii="Arial Narrow" w:eastAsia="TimesNewRoman" w:hAnsi="Arial Narrow" w:cs="Times New Roman"/>
                <w:b/>
                <w:bCs/>
                <w:color w:val="000000"/>
                <w:sz w:val="20"/>
                <w:szCs w:val="20"/>
                <w:lang w:val="en-US"/>
              </w:rPr>
              <w:t>-221.3</w:t>
            </w:r>
          </w:p>
          <w:p w:rsidR="001B0917"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E9665D">
              <w:rPr>
                <w:rFonts w:ascii="Arial Narrow" w:eastAsia="TimesNewRoman" w:hAnsi="Arial Narrow" w:cs="Times New Roman"/>
                <w:b/>
                <w:bCs/>
                <w:color w:val="000000"/>
                <w:sz w:val="20"/>
                <w:szCs w:val="20"/>
                <w:lang w:val="en-US"/>
              </w:rPr>
              <w:t>95% CI:</w:t>
            </w:r>
            <w:r w:rsidR="00C7699D">
              <w:rPr>
                <w:rFonts w:ascii="Arial Narrow" w:eastAsia="TimesNewRoman" w:hAnsi="Arial Narrow" w:cs="Times New Roman"/>
                <w:b/>
                <w:bCs/>
                <w:color w:val="000000"/>
                <w:sz w:val="20"/>
                <w:szCs w:val="20"/>
                <w:lang w:val="en-US"/>
              </w:rPr>
              <w:br/>
            </w:r>
            <w:r w:rsidRPr="00E9665D">
              <w:rPr>
                <w:rFonts w:ascii="Arial Narrow" w:eastAsia="TimesNewRoman" w:hAnsi="Arial Narrow" w:cs="Times New Roman"/>
                <w:b/>
                <w:bCs/>
                <w:color w:val="000000"/>
                <w:sz w:val="20"/>
                <w:szCs w:val="20"/>
                <w:lang w:val="en-US"/>
              </w:rPr>
              <w:t xml:space="preserve"> -287.0, -155.6</w:t>
            </w:r>
            <w:r>
              <w:rPr>
                <w:rFonts w:ascii="Arial Narrow" w:eastAsia="TimesNewRoman" w:hAnsi="Arial Narrow" w:cs="Times New Roman"/>
                <w:b/>
                <w:bCs/>
                <w:color w:val="000000"/>
                <w:sz w:val="20"/>
                <w:szCs w:val="20"/>
                <w:lang w:val="en-US"/>
              </w:rPr>
              <w:t>)</w:t>
            </w:r>
            <w:r w:rsidRPr="00E9665D">
              <w:rPr>
                <w:rFonts w:ascii="Arial Narrow" w:eastAsia="TimesNewRoman" w:hAnsi="Arial Narrow" w:cs="Times New Roman"/>
                <w:b/>
                <w:bCs/>
                <w:color w:val="000000"/>
                <w:sz w:val="20"/>
                <w:szCs w:val="20"/>
                <w:lang w:val="en-US"/>
              </w:rPr>
              <w:t>;</w:t>
            </w:r>
          </w:p>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p</w:t>
            </w:r>
            <w:r w:rsidRPr="00E9665D">
              <w:rPr>
                <w:rFonts w:ascii="Arial Narrow" w:eastAsia="TimesNewRoman" w:hAnsi="Arial Narrow" w:cs="Times New Roman"/>
                <w:b/>
                <w:bCs/>
                <w:color w:val="000000"/>
                <w:sz w:val="20"/>
                <w:szCs w:val="20"/>
                <w:lang w:val="en-US"/>
              </w:rPr>
              <w:t>&lt;0.0001</w:t>
            </w:r>
          </w:p>
        </w:tc>
        <w:tc>
          <w:tcPr>
            <w:tcW w:w="629" w:type="pct"/>
            <w:tcMar>
              <w:left w:w="28" w:type="dxa"/>
              <w:right w:w="28" w:type="dxa"/>
            </w:tcMar>
            <w:vAlign w:val="center"/>
          </w:tcPr>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color w:val="000000"/>
                <w:sz w:val="20"/>
                <w:szCs w:val="20"/>
                <w:lang w:val="en-US"/>
              </w:rPr>
              <w:t>N/A</w:t>
            </w:r>
            <w:r w:rsidRPr="009747E4">
              <w:rPr>
                <w:rFonts w:ascii="Arial Narrow" w:eastAsia="TimesNewRoman" w:hAnsi="Arial Narrow" w:cs="Times New Roman"/>
                <w:color w:val="000000"/>
                <w:sz w:val="20"/>
                <w:szCs w:val="20"/>
                <w:vertAlign w:val="superscript"/>
                <w:lang w:val="en-US"/>
              </w:rPr>
              <w:t>d</w:t>
            </w:r>
          </w:p>
        </w:tc>
        <w:tc>
          <w:tcPr>
            <w:tcW w:w="600" w:type="pct"/>
            <w:tcMar>
              <w:left w:w="28" w:type="dxa"/>
              <w:right w:w="28" w:type="dxa"/>
            </w:tcMar>
            <w:vAlign w:val="center"/>
          </w:tcPr>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color w:val="000000"/>
                <w:sz w:val="20"/>
                <w:szCs w:val="20"/>
                <w:lang w:val="en-US"/>
              </w:rPr>
              <w:t>N/A</w:t>
            </w:r>
            <w:r w:rsidRPr="009747E4">
              <w:rPr>
                <w:rFonts w:ascii="Arial Narrow" w:eastAsia="TimesNewRoman" w:hAnsi="Arial Narrow" w:cs="Times New Roman"/>
                <w:color w:val="000000"/>
                <w:sz w:val="20"/>
                <w:szCs w:val="20"/>
                <w:vertAlign w:val="superscript"/>
                <w:lang w:val="en-US"/>
              </w:rPr>
              <w:t>d</w:t>
            </w:r>
          </w:p>
        </w:tc>
      </w:tr>
      <w:tr w:rsidR="001B0917" w:rsidRPr="008F1A97" w:rsidTr="00C7699D">
        <w:tc>
          <w:tcPr>
            <w:tcW w:w="1648" w:type="pct"/>
            <w:tcMar>
              <w:left w:w="28" w:type="dxa"/>
              <w:right w:w="28" w:type="dxa"/>
            </w:tcMar>
          </w:tcPr>
          <w:p w:rsidR="001B0917" w:rsidRPr="008F1A97" w:rsidRDefault="001B0917"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Resolution of symptoms on each day in the week prior to week 6 based on the NRS score of &lt;2 for dysphagia and odynodysphagia (LOCF; FAS-DB): n</w:t>
            </w:r>
            <w:r>
              <w:rPr>
                <w:rFonts w:ascii="Arial Narrow" w:eastAsia="TimesNewRoman" w:hAnsi="Arial Narrow" w:cs="Times New Roman"/>
                <w:color w:val="000000"/>
                <w:sz w:val="20"/>
                <w:szCs w:val="20"/>
                <w:lang w:val="en-US"/>
              </w:rPr>
              <w:t xml:space="preserve"> </w:t>
            </w:r>
            <w:r w:rsidRPr="008F1A97">
              <w:rPr>
                <w:rFonts w:ascii="Arial Narrow" w:eastAsia="TimesNewRoman" w:hAnsi="Arial Narrow" w:cs="Times New Roman"/>
                <w:color w:val="000000"/>
                <w:sz w:val="20"/>
                <w:szCs w:val="20"/>
                <w:lang w:val="en-US"/>
              </w:rPr>
              <w:t>(%)</w:t>
            </w:r>
          </w:p>
        </w:tc>
        <w:tc>
          <w:tcPr>
            <w:tcW w:w="708"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35/59 (59.3%)</w:t>
            </w:r>
          </w:p>
        </w:tc>
        <w:tc>
          <w:tcPr>
            <w:tcW w:w="629" w:type="pct"/>
            <w:tcMar>
              <w:left w:w="28" w:type="dxa"/>
              <w:right w:w="28" w:type="dxa"/>
            </w:tcMar>
            <w:vAlign w:val="center"/>
          </w:tcPr>
          <w:p w:rsidR="001B0917" w:rsidRPr="008F1A97" w:rsidRDefault="001B0917"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4/29 (13.8%)</w:t>
            </w:r>
          </w:p>
        </w:tc>
        <w:tc>
          <w:tcPr>
            <w:tcW w:w="787" w:type="pct"/>
            <w:tcMar>
              <w:left w:w="28" w:type="dxa"/>
              <w:right w:w="28" w:type="dxa"/>
            </w:tcMar>
            <w:vAlign w:val="center"/>
          </w:tcPr>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9665D">
              <w:rPr>
                <w:rFonts w:ascii="Arial Narrow" w:eastAsia="TimesNewRoman" w:hAnsi="Arial Narrow" w:cs="Times New Roman"/>
                <w:b/>
                <w:bCs/>
                <w:color w:val="000000"/>
                <w:sz w:val="20"/>
                <w:szCs w:val="20"/>
                <w:lang w:val="en-US"/>
              </w:rPr>
              <w:t>45.53%</w:t>
            </w:r>
          </w:p>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E9665D">
              <w:rPr>
                <w:rFonts w:ascii="Arial Narrow" w:eastAsia="TimesNewRoman" w:hAnsi="Arial Narrow" w:cs="Times New Roman"/>
                <w:b/>
                <w:bCs/>
                <w:color w:val="000000"/>
                <w:sz w:val="20"/>
                <w:szCs w:val="20"/>
                <w:lang w:val="en-US"/>
              </w:rPr>
              <w:t xml:space="preserve">95% CI: </w:t>
            </w:r>
            <w:r w:rsidR="00C7699D">
              <w:rPr>
                <w:rFonts w:ascii="Arial Narrow" w:eastAsia="TimesNewRoman" w:hAnsi="Arial Narrow" w:cs="Times New Roman"/>
                <w:b/>
                <w:bCs/>
                <w:color w:val="000000"/>
                <w:sz w:val="20"/>
                <w:szCs w:val="20"/>
                <w:lang w:val="en-US"/>
              </w:rPr>
              <w:br/>
            </w:r>
            <w:r w:rsidRPr="00E9665D">
              <w:rPr>
                <w:rFonts w:ascii="Arial Narrow" w:eastAsia="TimesNewRoman" w:hAnsi="Arial Narrow" w:cs="Times New Roman"/>
                <w:b/>
                <w:bCs/>
                <w:color w:val="000000"/>
                <w:sz w:val="20"/>
                <w:szCs w:val="20"/>
                <w:lang w:val="en-US"/>
              </w:rPr>
              <w:t>27.79%, 63.27%</w:t>
            </w:r>
            <w:r>
              <w:rPr>
                <w:rFonts w:ascii="Arial Narrow" w:eastAsia="TimesNewRoman" w:hAnsi="Arial Narrow" w:cs="Times New Roman"/>
                <w:b/>
                <w:bCs/>
                <w:color w:val="000000"/>
                <w:sz w:val="20"/>
                <w:szCs w:val="20"/>
                <w:lang w:val="en-US"/>
              </w:rPr>
              <w:t>)</w:t>
            </w:r>
            <w:r w:rsidRPr="00E9665D">
              <w:rPr>
                <w:rFonts w:ascii="Arial Narrow" w:eastAsia="TimesNewRoman" w:hAnsi="Arial Narrow" w:cs="Times New Roman"/>
                <w:b/>
                <w:bCs/>
                <w:color w:val="000000"/>
                <w:sz w:val="20"/>
                <w:szCs w:val="20"/>
                <w:lang w:val="en-US"/>
              </w:rPr>
              <w:t>;</w:t>
            </w:r>
          </w:p>
          <w:p w:rsidR="001B0917" w:rsidRPr="00E9665D"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p</w:t>
            </w:r>
            <w:r w:rsidRPr="00E9665D">
              <w:rPr>
                <w:rFonts w:ascii="Arial Narrow" w:eastAsia="TimesNewRoman" w:hAnsi="Arial Narrow" w:cs="Times New Roman"/>
                <w:b/>
                <w:bCs/>
                <w:color w:val="000000"/>
                <w:sz w:val="20"/>
                <w:szCs w:val="20"/>
                <w:lang w:val="en-US"/>
              </w:rPr>
              <w:t>&lt;0.0001</w:t>
            </w:r>
          </w:p>
        </w:tc>
        <w:tc>
          <w:tcPr>
            <w:tcW w:w="629" w:type="pct"/>
            <w:tcMar>
              <w:left w:w="28" w:type="dxa"/>
              <w:right w:w="28" w:type="dxa"/>
            </w:tcMar>
            <w:vAlign w:val="center"/>
          </w:tcPr>
          <w:p w:rsidR="001B0917" w:rsidRPr="00ED695E"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 xml:space="preserve">4.30 </w:t>
            </w:r>
          </w:p>
          <w:p w:rsidR="001B0917" w:rsidRPr="00ED695E"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(1.89, 28.74)</w:t>
            </w:r>
          </w:p>
        </w:tc>
        <w:tc>
          <w:tcPr>
            <w:tcW w:w="600" w:type="pct"/>
            <w:tcMar>
              <w:left w:w="28" w:type="dxa"/>
              <w:right w:w="28" w:type="dxa"/>
            </w:tcMar>
            <w:vAlign w:val="center"/>
          </w:tcPr>
          <w:p w:rsidR="001B0917" w:rsidRPr="00ED695E"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 xml:space="preserve">0.49 </w:t>
            </w:r>
          </w:p>
          <w:p w:rsidR="001B0917" w:rsidRPr="00ED695E" w:rsidRDefault="001B091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(0.28, 0.63)</w:t>
            </w:r>
          </w:p>
        </w:tc>
      </w:tr>
      <w:tr w:rsidR="001B0917" w:rsidRPr="008F1A97" w:rsidTr="00C7699D">
        <w:tc>
          <w:tcPr>
            <w:tcW w:w="1648" w:type="pct"/>
            <w:tcMar>
              <w:left w:w="28" w:type="dxa"/>
              <w:right w:w="28" w:type="dxa"/>
            </w:tcMar>
          </w:tcPr>
          <w:p w:rsidR="001B0917" w:rsidRPr="008F1A97" w:rsidRDefault="001B0917" w:rsidP="00DA5F85">
            <w:pPr>
              <w:widowControl w:val="0"/>
              <w:spacing w:before="20" w:after="20"/>
              <w:jc w:val="left"/>
              <w:rPr>
                <w:rFonts w:ascii="Arial Narrow" w:eastAsia="TimesNewRoman" w:hAnsi="Arial Narrow" w:cs="Times New Roman"/>
                <w:color w:val="000000"/>
                <w:sz w:val="20"/>
                <w:szCs w:val="20"/>
                <w:lang w:val="en-US"/>
              </w:rPr>
            </w:pPr>
            <w:r>
              <w:rPr>
                <w:rFonts w:ascii="Arial Narrow" w:eastAsia="TimesNewRoman" w:hAnsi="Arial Narrow" w:cs="Times New Roman"/>
                <w:color w:val="000000"/>
                <w:sz w:val="20"/>
                <w:szCs w:val="20"/>
                <w:lang w:val="en-US"/>
              </w:rPr>
              <w:t>C</w:t>
            </w:r>
            <w:r w:rsidRPr="008F1A97">
              <w:rPr>
                <w:rFonts w:ascii="Arial Narrow" w:eastAsia="TimesNewRoman" w:hAnsi="Arial Narrow" w:cs="Times New Roman"/>
                <w:color w:val="000000"/>
                <w:sz w:val="20"/>
                <w:szCs w:val="20"/>
                <w:lang w:val="en-US"/>
              </w:rPr>
              <w:t>linical remission, as defined as a EEsAI-PRO score of ≤20 at week 6 (LOCF; FAS-DB): n (%)</w:t>
            </w:r>
          </w:p>
        </w:tc>
        <w:tc>
          <w:tcPr>
            <w:tcW w:w="708" w:type="pct"/>
            <w:tcMar>
              <w:left w:w="28" w:type="dxa"/>
              <w:right w:w="28" w:type="dxa"/>
            </w:tcMar>
            <w:vAlign w:val="center"/>
          </w:tcPr>
          <w:p w:rsidR="001B0917" w:rsidRPr="008F1A97" w:rsidRDefault="001B0917" w:rsidP="00DA5F85">
            <w:pPr>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30/59 (50.8%)</w:t>
            </w:r>
          </w:p>
        </w:tc>
        <w:tc>
          <w:tcPr>
            <w:tcW w:w="629" w:type="pct"/>
            <w:tcMar>
              <w:left w:w="28" w:type="dxa"/>
              <w:right w:w="28" w:type="dxa"/>
            </w:tcMar>
            <w:vAlign w:val="center"/>
          </w:tcPr>
          <w:p w:rsidR="001B0917" w:rsidRPr="008F1A97" w:rsidRDefault="001B0917" w:rsidP="00DA5F85">
            <w:pPr>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2/29 (6.9%)</w:t>
            </w:r>
          </w:p>
        </w:tc>
        <w:tc>
          <w:tcPr>
            <w:tcW w:w="787" w:type="pct"/>
            <w:tcMar>
              <w:left w:w="28" w:type="dxa"/>
              <w:right w:w="28" w:type="dxa"/>
            </w:tcMar>
            <w:vAlign w:val="center"/>
          </w:tcPr>
          <w:p w:rsidR="001B0917" w:rsidRPr="00E9665D" w:rsidRDefault="001B0917" w:rsidP="00DA5F85">
            <w:pPr>
              <w:widowControl w:val="0"/>
              <w:spacing w:before="20" w:after="20"/>
              <w:jc w:val="center"/>
              <w:rPr>
                <w:rFonts w:ascii="Arial Narrow" w:eastAsia="TimesNewRoman" w:hAnsi="Arial Narrow" w:cs="Times New Roman"/>
                <w:b/>
                <w:bCs/>
                <w:color w:val="000000"/>
                <w:sz w:val="20"/>
                <w:szCs w:val="20"/>
                <w:lang w:val="en-US"/>
              </w:rPr>
            </w:pPr>
            <w:r w:rsidRPr="00E9665D">
              <w:rPr>
                <w:rFonts w:ascii="Arial Narrow" w:eastAsia="TimesNewRoman" w:hAnsi="Arial Narrow" w:cs="Times New Roman"/>
                <w:b/>
                <w:bCs/>
                <w:color w:val="000000"/>
                <w:sz w:val="20"/>
                <w:szCs w:val="20"/>
                <w:lang w:val="en-US"/>
              </w:rPr>
              <w:t>43.95%</w:t>
            </w:r>
          </w:p>
          <w:p w:rsidR="001B0917" w:rsidRPr="00E9665D" w:rsidRDefault="001B0917" w:rsidP="00DA5F85">
            <w:pPr>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E9665D">
              <w:rPr>
                <w:rFonts w:ascii="Arial Narrow" w:eastAsia="TimesNewRoman" w:hAnsi="Arial Narrow" w:cs="Times New Roman"/>
                <w:b/>
                <w:bCs/>
                <w:color w:val="000000"/>
                <w:sz w:val="20"/>
                <w:szCs w:val="20"/>
                <w:lang w:val="en-US"/>
              </w:rPr>
              <w:t xml:space="preserve">95% RCI: </w:t>
            </w:r>
            <w:r w:rsidR="00C7699D">
              <w:rPr>
                <w:rFonts w:ascii="Arial Narrow" w:eastAsia="TimesNewRoman" w:hAnsi="Arial Narrow" w:cs="Times New Roman"/>
                <w:b/>
                <w:bCs/>
                <w:color w:val="000000"/>
                <w:sz w:val="20"/>
                <w:szCs w:val="20"/>
                <w:lang w:val="en-US"/>
              </w:rPr>
              <w:br/>
            </w:r>
            <w:r w:rsidRPr="00E9665D">
              <w:rPr>
                <w:rFonts w:ascii="Arial Narrow" w:eastAsia="TimesNewRoman" w:hAnsi="Arial Narrow" w:cs="Times New Roman"/>
                <w:b/>
                <w:bCs/>
                <w:color w:val="000000"/>
                <w:sz w:val="20"/>
                <w:szCs w:val="20"/>
                <w:lang w:val="en-US"/>
              </w:rPr>
              <w:t>8.03%, 59.69%</w:t>
            </w:r>
            <w:r>
              <w:rPr>
                <w:rFonts w:ascii="Arial Narrow" w:eastAsia="TimesNewRoman" w:hAnsi="Arial Narrow" w:cs="Times New Roman"/>
                <w:b/>
                <w:bCs/>
                <w:color w:val="000000"/>
                <w:sz w:val="20"/>
                <w:szCs w:val="20"/>
                <w:lang w:val="en-US"/>
              </w:rPr>
              <w:t>)</w:t>
            </w:r>
            <w:r w:rsidRPr="00E9665D">
              <w:rPr>
                <w:rFonts w:ascii="Arial Narrow" w:eastAsia="TimesNewRoman" w:hAnsi="Arial Narrow" w:cs="Times New Roman"/>
                <w:b/>
                <w:bCs/>
                <w:color w:val="000000"/>
                <w:sz w:val="20"/>
                <w:szCs w:val="20"/>
                <w:lang w:val="en-US"/>
              </w:rPr>
              <w:t>;</w:t>
            </w:r>
          </w:p>
          <w:p w:rsidR="001B0917" w:rsidRPr="00E9665D" w:rsidRDefault="001B0917" w:rsidP="00DA5F85">
            <w:pPr>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p</w:t>
            </w:r>
            <w:r w:rsidRPr="00E9665D">
              <w:rPr>
                <w:rFonts w:ascii="Arial Narrow" w:eastAsia="TimesNewRoman" w:hAnsi="Arial Narrow" w:cs="Times New Roman"/>
                <w:b/>
                <w:bCs/>
                <w:color w:val="000000"/>
                <w:sz w:val="20"/>
                <w:szCs w:val="20"/>
                <w:lang w:val="en-US"/>
              </w:rPr>
              <w:t>&lt;0.0001</w:t>
            </w:r>
          </w:p>
        </w:tc>
        <w:tc>
          <w:tcPr>
            <w:tcW w:w="629" w:type="pct"/>
            <w:tcMar>
              <w:left w:w="28" w:type="dxa"/>
              <w:right w:w="28" w:type="dxa"/>
            </w:tcMar>
            <w:vAlign w:val="center"/>
          </w:tcPr>
          <w:p w:rsidR="001B0917" w:rsidRPr="00ED695E" w:rsidRDefault="001B0917" w:rsidP="00DA5F85">
            <w:pPr>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 xml:space="preserve">7.37 </w:t>
            </w:r>
          </w:p>
          <w:p w:rsidR="001B0917" w:rsidRPr="00ED695E" w:rsidRDefault="001B0917" w:rsidP="00DA5F85">
            <w:pPr>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(1.89, 28.74)</w:t>
            </w:r>
          </w:p>
        </w:tc>
        <w:tc>
          <w:tcPr>
            <w:tcW w:w="600" w:type="pct"/>
            <w:tcMar>
              <w:left w:w="28" w:type="dxa"/>
              <w:right w:w="28" w:type="dxa"/>
            </w:tcMar>
            <w:vAlign w:val="center"/>
          </w:tcPr>
          <w:p w:rsidR="001B0917" w:rsidRPr="00ED695E" w:rsidRDefault="001B0917" w:rsidP="00DA5F85">
            <w:pPr>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 xml:space="preserve">0.44 </w:t>
            </w:r>
          </w:p>
          <w:p w:rsidR="001B0917" w:rsidRPr="00ED695E" w:rsidRDefault="001B0917" w:rsidP="00DA5F85">
            <w:pPr>
              <w:widowControl w:val="0"/>
              <w:spacing w:before="20" w:after="20"/>
              <w:jc w:val="center"/>
              <w:rPr>
                <w:rFonts w:ascii="Arial Narrow" w:eastAsia="TimesNewRoman" w:hAnsi="Arial Narrow" w:cs="Times New Roman"/>
                <w:b/>
                <w:bCs/>
                <w:color w:val="000000"/>
                <w:sz w:val="20"/>
                <w:szCs w:val="20"/>
                <w:lang w:val="en-US"/>
              </w:rPr>
            </w:pPr>
            <w:r w:rsidRPr="00ED695E">
              <w:rPr>
                <w:rFonts w:ascii="Arial Narrow" w:eastAsia="TimesNewRoman" w:hAnsi="Arial Narrow" w:cs="Times New Roman"/>
                <w:b/>
                <w:bCs/>
                <w:color w:val="000000"/>
                <w:sz w:val="20"/>
                <w:szCs w:val="20"/>
                <w:lang w:val="en-US"/>
              </w:rPr>
              <w:t>(0.28, 0.60)</w:t>
            </w:r>
          </w:p>
        </w:tc>
      </w:tr>
    </w:tbl>
    <w:p w:rsidR="001B0917" w:rsidRPr="00E9665D" w:rsidRDefault="001B0917" w:rsidP="001B0917">
      <w:pPr>
        <w:pStyle w:val="Default"/>
        <w:jc w:val="both"/>
        <w:rPr>
          <w:rFonts w:ascii="Arial Narrow" w:hAnsi="Arial Narrow" w:cs="Arial"/>
          <w:snapToGrid w:val="0"/>
          <w:color w:val="auto"/>
          <w:sz w:val="18"/>
          <w:szCs w:val="22"/>
          <w:lang w:val="en-AU" w:eastAsia="en-AU"/>
        </w:rPr>
      </w:pPr>
      <w:r w:rsidRPr="00E9665D">
        <w:rPr>
          <w:rFonts w:ascii="Arial Narrow" w:hAnsi="Arial Narrow" w:cs="Arial"/>
          <w:snapToGrid w:val="0"/>
          <w:color w:val="auto"/>
          <w:sz w:val="18"/>
          <w:szCs w:val="22"/>
          <w:lang w:val="en-AU" w:eastAsia="en-AU"/>
        </w:rPr>
        <w:t>Source: Table 2-1, p50</w:t>
      </w:r>
      <w:r>
        <w:rPr>
          <w:rFonts w:ascii="Arial Narrow" w:hAnsi="Arial Narrow" w:cs="Arial"/>
          <w:snapToGrid w:val="0"/>
          <w:color w:val="auto"/>
          <w:sz w:val="18"/>
          <w:szCs w:val="22"/>
          <w:lang w:val="en-AU" w:eastAsia="en-AU"/>
        </w:rPr>
        <w:t>, Table 2-18, p106,</w:t>
      </w:r>
      <w:r w:rsidRPr="00E9665D">
        <w:rPr>
          <w:rFonts w:ascii="Arial Narrow" w:hAnsi="Arial Narrow" w:cs="Arial"/>
          <w:snapToGrid w:val="0"/>
          <w:color w:val="auto"/>
          <w:sz w:val="18"/>
          <w:szCs w:val="22"/>
          <w:lang w:val="en-AU" w:eastAsia="en-AU"/>
        </w:rPr>
        <w:t xml:space="preserve"> </w:t>
      </w:r>
      <w:r w:rsidRPr="00CC702A">
        <w:rPr>
          <w:rFonts w:ascii="Arial Narrow" w:hAnsi="Arial Narrow" w:cs="Arial"/>
          <w:snapToGrid w:val="0"/>
          <w:color w:val="auto"/>
          <w:sz w:val="18"/>
          <w:szCs w:val="22"/>
          <w:lang w:val="en-AU" w:eastAsia="en-AU"/>
        </w:rPr>
        <w:t>Table 2-19, p109, Table 2-21, p112, Table 2-22, p114, Table 2-23, p115, and Table 2-24, p115</w:t>
      </w:r>
      <w:r w:rsidRPr="00ED695E">
        <w:rPr>
          <w:rFonts w:ascii="Arial Narrow" w:hAnsi="Arial Narrow" w:cs="Arial"/>
          <w:snapToGrid w:val="0"/>
          <w:color w:val="auto"/>
          <w:sz w:val="18"/>
          <w:szCs w:val="22"/>
          <w:lang w:val="en-AU" w:eastAsia="en-AU"/>
        </w:rPr>
        <w:t xml:space="preserve"> </w:t>
      </w:r>
      <w:r w:rsidRPr="00E9665D">
        <w:rPr>
          <w:rFonts w:ascii="Arial Narrow" w:hAnsi="Arial Narrow" w:cs="Arial"/>
          <w:snapToGrid w:val="0"/>
          <w:color w:val="auto"/>
          <w:sz w:val="18"/>
          <w:szCs w:val="22"/>
          <w:lang w:val="en-AU" w:eastAsia="en-AU"/>
        </w:rPr>
        <w:t>of the submission.</w:t>
      </w:r>
    </w:p>
    <w:p w:rsidR="001B0917" w:rsidRPr="00E9665D" w:rsidRDefault="001B0917" w:rsidP="001B0917">
      <w:pPr>
        <w:pStyle w:val="Default"/>
        <w:jc w:val="both"/>
        <w:rPr>
          <w:rFonts w:ascii="Arial Narrow" w:hAnsi="Arial Narrow" w:cs="Arial"/>
          <w:snapToGrid w:val="0"/>
          <w:color w:val="auto"/>
          <w:sz w:val="18"/>
          <w:szCs w:val="22"/>
          <w:lang w:val="en-AU" w:eastAsia="en-AU"/>
        </w:rPr>
      </w:pPr>
      <w:r w:rsidRPr="00E9665D">
        <w:rPr>
          <w:rFonts w:ascii="Arial Narrow" w:hAnsi="Arial Narrow" w:cs="Arial"/>
          <w:snapToGrid w:val="0"/>
          <w:color w:val="auto"/>
          <w:sz w:val="18"/>
          <w:szCs w:val="22"/>
          <w:lang w:val="en-AU" w:eastAsia="en-AU"/>
        </w:rPr>
        <w:t xml:space="preserve">Abbreviations: BID = twice daily; BOT = budesonide orally disintegrating tablets; </w:t>
      </w:r>
      <w:r w:rsidRPr="006C10A8">
        <w:rPr>
          <w:rFonts w:ascii="Arial Narrow" w:hAnsi="Arial Narrow" w:cs="Arial"/>
          <w:snapToGrid w:val="0"/>
          <w:color w:val="auto"/>
          <w:sz w:val="18"/>
          <w:szCs w:val="22"/>
          <w:lang w:val="en-AU" w:eastAsia="en-AU"/>
        </w:rPr>
        <w:t>CI = confidence interval</w:t>
      </w:r>
      <w:r>
        <w:rPr>
          <w:rFonts w:ascii="Arial Narrow" w:hAnsi="Arial Narrow" w:cs="Arial"/>
          <w:snapToGrid w:val="0"/>
          <w:color w:val="auto"/>
          <w:sz w:val="18"/>
          <w:szCs w:val="22"/>
          <w:lang w:val="en-AU" w:eastAsia="en-AU"/>
        </w:rPr>
        <w:t xml:space="preserve">; </w:t>
      </w:r>
      <w:r w:rsidRPr="00E9665D">
        <w:rPr>
          <w:rFonts w:ascii="Arial Narrow" w:hAnsi="Arial Narrow" w:cs="Arial"/>
          <w:snapToGrid w:val="0"/>
          <w:color w:val="auto"/>
          <w:sz w:val="18"/>
          <w:szCs w:val="22"/>
          <w:lang w:val="en-AU" w:eastAsia="en-AU"/>
        </w:rPr>
        <w:t xml:space="preserve">DB = double-blind treatment phase; EEsAI-PRO = eosinophilic oesophagitis activity index- patient reported outcome; eos = eosinophils; FAS = full analysis set; hpf = high power field; LOCF = last observation carried forward; NRS = numerical rating scale; </w:t>
      </w:r>
      <w:r w:rsidRPr="006C10A8">
        <w:rPr>
          <w:rFonts w:ascii="Arial Narrow" w:hAnsi="Arial Narrow" w:cs="Arial"/>
          <w:snapToGrid w:val="0"/>
          <w:color w:val="auto"/>
          <w:sz w:val="18"/>
          <w:szCs w:val="22"/>
          <w:lang w:val="en-AU" w:eastAsia="en-AU"/>
        </w:rPr>
        <w:t>n = number of participants with event; N = total participants in group</w:t>
      </w:r>
      <w:r>
        <w:rPr>
          <w:rFonts w:ascii="Arial Narrow" w:hAnsi="Arial Narrow" w:cs="Arial"/>
          <w:snapToGrid w:val="0"/>
          <w:color w:val="auto"/>
          <w:sz w:val="18"/>
          <w:szCs w:val="22"/>
          <w:lang w:val="en-AU" w:eastAsia="en-AU"/>
        </w:rPr>
        <w:t xml:space="preserve">; N/A = not applicable; </w:t>
      </w:r>
      <w:r w:rsidRPr="00E9665D">
        <w:rPr>
          <w:rFonts w:ascii="Arial Narrow" w:hAnsi="Arial Narrow" w:cs="Arial"/>
          <w:snapToGrid w:val="0"/>
          <w:color w:val="auto"/>
          <w:sz w:val="18"/>
          <w:szCs w:val="22"/>
          <w:lang w:val="en-AU" w:eastAsia="en-AU"/>
        </w:rPr>
        <w:t>OLI = open label induction treatment; RCI = repeated confidence interval</w:t>
      </w:r>
      <w:r w:rsidR="00BE1AE0">
        <w:rPr>
          <w:rFonts w:ascii="Arial Narrow" w:hAnsi="Arial Narrow" w:cs="Arial"/>
          <w:snapToGrid w:val="0"/>
          <w:color w:val="auto"/>
          <w:sz w:val="18"/>
          <w:szCs w:val="22"/>
          <w:lang w:val="en-AU" w:eastAsia="en-AU"/>
        </w:rPr>
        <w:t xml:space="preserve">; </w:t>
      </w:r>
      <w:r w:rsidR="00BE1AE0">
        <w:rPr>
          <w:rFonts w:ascii="Arial Narrow" w:eastAsia="Calibri" w:hAnsi="Arial Narrow" w:cs="Arial"/>
          <w:snapToGrid w:val="0"/>
          <w:color w:val="auto"/>
          <w:sz w:val="18"/>
          <w:szCs w:val="22"/>
          <w:lang w:val="en-AU" w:eastAsia="en-AU"/>
        </w:rPr>
        <w:t>RD = risk difference; RR = relative risk</w:t>
      </w:r>
      <w:r w:rsidRPr="00E9665D" w:rsidDel="00BE1AE0">
        <w:rPr>
          <w:rFonts w:ascii="Arial Narrow" w:eastAsia="Calibri" w:hAnsi="Arial Narrow" w:cs="Arial"/>
          <w:snapToGrid w:val="0"/>
          <w:color w:val="auto"/>
          <w:sz w:val="18"/>
          <w:szCs w:val="22"/>
          <w:lang w:val="en-AU" w:eastAsia="en-AU"/>
        </w:rPr>
        <w:t>.</w:t>
      </w:r>
    </w:p>
    <w:p w:rsidR="001B0917" w:rsidRPr="00E9665D" w:rsidRDefault="001B0917" w:rsidP="001B0917">
      <w:pPr>
        <w:pStyle w:val="Default"/>
        <w:jc w:val="both"/>
        <w:rPr>
          <w:rFonts w:ascii="Arial Narrow" w:hAnsi="Arial Narrow" w:cs="Arial"/>
          <w:snapToGrid w:val="0"/>
          <w:color w:val="auto"/>
          <w:sz w:val="18"/>
          <w:szCs w:val="22"/>
          <w:lang w:val="en-AU" w:eastAsia="en-AU"/>
        </w:rPr>
      </w:pPr>
      <w:r w:rsidRPr="00E9665D">
        <w:rPr>
          <w:rFonts w:ascii="Arial Narrow" w:hAnsi="Arial Narrow" w:cs="Arial"/>
          <w:snapToGrid w:val="0"/>
          <w:color w:val="auto"/>
          <w:sz w:val="18"/>
          <w:szCs w:val="22"/>
          <w:lang w:val="en-AU" w:eastAsia="en-AU"/>
        </w:rPr>
        <w:t xml:space="preserve">Notes: </w:t>
      </w:r>
      <w:r w:rsidRPr="00E9665D">
        <w:rPr>
          <w:rFonts w:ascii="Arial Narrow" w:hAnsi="Arial Narrow" w:cs="Arial"/>
          <w:b/>
          <w:bCs/>
          <w:snapToGrid w:val="0"/>
          <w:color w:val="auto"/>
          <w:sz w:val="18"/>
          <w:szCs w:val="22"/>
          <w:lang w:val="en-AU" w:eastAsia="en-AU"/>
        </w:rPr>
        <w:t>Bold</w:t>
      </w:r>
      <w:r w:rsidRPr="00E9665D">
        <w:rPr>
          <w:rFonts w:ascii="Arial Narrow" w:hAnsi="Arial Narrow" w:cs="Arial"/>
          <w:snapToGrid w:val="0"/>
          <w:color w:val="auto"/>
          <w:sz w:val="18"/>
          <w:szCs w:val="22"/>
          <w:lang w:val="en-AU" w:eastAsia="en-AU"/>
        </w:rPr>
        <w:t xml:space="preserve"> indicates statistically significant results. </w:t>
      </w:r>
    </w:p>
    <w:p w:rsidR="001B0917" w:rsidRDefault="001B0917" w:rsidP="001B0917">
      <w:pPr>
        <w:pStyle w:val="TableFigureFooter"/>
      </w:pPr>
      <w:r w:rsidRPr="00E9665D">
        <w:t>^ error identified during the evaluation (should be -225.5 instead of 225.5).</w:t>
      </w:r>
      <w:r>
        <w:t xml:space="preserve"> </w:t>
      </w:r>
    </w:p>
    <w:p w:rsidR="001B0917" w:rsidRPr="00C13F7B" w:rsidRDefault="001B0917" w:rsidP="001B0917">
      <w:pPr>
        <w:pStyle w:val="TableFigureFooter"/>
        <w:rPr>
          <w:rFonts w:eastAsia="Calibri"/>
        </w:rPr>
      </w:pPr>
      <w:r w:rsidRPr="00C13F7B">
        <w:rPr>
          <w:rFonts w:eastAsia="Calibri"/>
        </w:rPr>
        <w:t>a. Defined as histological remission, i.e., peak of &lt;16 eos/mm</w:t>
      </w:r>
      <w:r w:rsidRPr="00813C18">
        <w:rPr>
          <w:rFonts w:eastAsia="Calibri"/>
          <w:vertAlign w:val="superscript"/>
        </w:rPr>
        <w:t>2</w:t>
      </w:r>
      <w:r w:rsidRPr="00C13F7B">
        <w:rPr>
          <w:rFonts w:eastAsia="Calibri"/>
        </w:rPr>
        <w:t xml:space="preserve"> hpf at week 6 (LOCF), AND resolution of symptoms (i.e., no or only minimal problems) defined as a severity of ≤2 points on 0 to 10-point (0-10) NRS for dysphagia AND a severity of ≤2 points on 0-10 NRS for pain during swallowing on each day in the week prior to week 6 (LOCF).</w:t>
      </w:r>
    </w:p>
    <w:p w:rsidR="001B0917" w:rsidRDefault="001B0917" w:rsidP="001B0917">
      <w:pPr>
        <w:pStyle w:val="TableFigureFooter"/>
        <w:rPr>
          <w:rFonts w:eastAsia="Calibri"/>
        </w:rPr>
      </w:pPr>
      <w:r>
        <w:rPr>
          <w:rFonts w:eastAsia="Calibri"/>
        </w:rPr>
        <w:t>b</w:t>
      </w:r>
      <w:r w:rsidRPr="00C13F7B">
        <w:rPr>
          <w:rFonts w:eastAsia="Calibri"/>
        </w:rPr>
        <w:t>. One-sided p-value from Fisher’s exact test</w:t>
      </w:r>
      <w:r>
        <w:rPr>
          <w:rFonts w:eastAsia="Calibri"/>
        </w:rPr>
        <w:t>.</w:t>
      </w:r>
    </w:p>
    <w:p w:rsidR="001B0917" w:rsidRDefault="001B0917" w:rsidP="001B0917">
      <w:pPr>
        <w:pStyle w:val="TableFigureFooter"/>
        <w:rPr>
          <w:rFonts w:eastAsia="Calibri"/>
          <w:i/>
          <w:iCs/>
        </w:rPr>
      </w:pPr>
      <w:r>
        <w:rPr>
          <w:rFonts w:eastAsia="Calibri"/>
        </w:rPr>
        <w:t xml:space="preserve">c. </w:t>
      </w:r>
      <w:r w:rsidRPr="009747E4">
        <w:rPr>
          <w:rFonts w:eastAsia="Calibri"/>
        </w:rPr>
        <w:t xml:space="preserve">Calculated post-hoc for the submission using Review Manager 5.4. </w:t>
      </w:r>
    </w:p>
    <w:p w:rsidR="001B0917" w:rsidRDefault="001B0917" w:rsidP="001B0917">
      <w:pPr>
        <w:pStyle w:val="TableFigureFooter"/>
        <w:rPr>
          <w:rFonts w:eastAsia="Calibri"/>
        </w:rPr>
      </w:pPr>
      <w:r>
        <w:rPr>
          <w:rFonts w:eastAsia="Calibri"/>
        </w:rPr>
        <w:t>d. Not presented by the submission.</w:t>
      </w:r>
    </w:p>
    <w:p w:rsidR="002520F5" w:rsidRDefault="002520F5" w:rsidP="001B0917">
      <w:pPr>
        <w:pStyle w:val="TableFigureFooter"/>
        <w:rPr>
          <w:rFonts w:eastAsia="Calibri"/>
        </w:rPr>
      </w:pPr>
    </w:p>
    <w:p w:rsidR="002520F5" w:rsidRPr="008302DD" w:rsidRDefault="00682800" w:rsidP="002520F5">
      <w:pPr>
        <w:pStyle w:val="3-BodyText"/>
      </w:pPr>
      <w:r>
        <w:t>The p</w:t>
      </w:r>
      <w:r w:rsidR="002520F5" w:rsidRPr="008302DD">
        <w:t>ercentage of patients in clinicohistologic remission at 6 weeks</w:t>
      </w:r>
      <w:r w:rsidR="002520F5">
        <w:t xml:space="preserve"> was </w:t>
      </w:r>
      <w:r w:rsidR="002520F5" w:rsidRPr="008302DD">
        <w:t>57.6% (34/59</w:t>
      </w:r>
      <w:r w:rsidR="002520F5">
        <w:t xml:space="preserve">) in </w:t>
      </w:r>
      <w:r w:rsidR="002520F5" w:rsidRPr="008302DD">
        <w:t>the BOT 1 mg BID group and 0.0% (0/29) in the placebo</w:t>
      </w:r>
      <w:r w:rsidR="002520F5">
        <w:t xml:space="preserve"> group</w:t>
      </w:r>
      <w:r w:rsidR="002520F5" w:rsidRPr="008302DD" w:rsidDel="00682800">
        <w:t xml:space="preserve"> </w:t>
      </w:r>
      <w:r w:rsidR="002520F5" w:rsidRPr="008302DD">
        <w:t>(difference=57.63%; 95% RCI: 38.22%, 71.97%</w:t>
      </w:r>
      <w:r>
        <w:t>, p&lt;0.0001</w:t>
      </w:r>
      <w:r w:rsidR="002520F5" w:rsidRPr="008302DD">
        <w:t>).</w:t>
      </w:r>
    </w:p>
    <w:p w:rsidR="00682800" w:rsidRPr="00D34648" w:rsidRDefault="00682800" w:rsidP="00682800">
      <w:pPr>
        <w:pStyle w:val="3-BodyText"/>
        <w:rPr>
          <w:iCs/>
        </w:rPr>
      </w:pPr>
      <w:r w:rsidRPr="00F606C0">
        <w:t xml:space="preserve">The submission stated that the overall cumulative percentage of patients in clinicohistologic remission, after a total treatment period of up to 12 weeks with BOT 1 mg BID, increased to </w:t>
      </w:r>
      <w:r w:rsidR="00F8361C">
        <w:t>84.7% (</w:t>
      </w:r>
      <w:r w:rsidRPr="00F606C0">
        <w:t>50 of the 59 patients</w:t>
      </w:r>
      <w:r w:rsidR="00F8361C" w:rsidRPr="00F8361C">
        <w:t xml:space="preserve"> </w:t>
      </w:r>
      <w:r w:rsidR="00F8361C" w:rsidRPr="00F606C0">
        <w:t>randomised</w:t>
      </w:r>
      <w:r w:rsidR="00F8361C">
        <w:t xml:space="preserve"> to BOT</w:t>
      </w:r>
      <w:r w:rsidRPr="00F606C0">
        <w:t xml:space="preserve">). </w:t>
      </w:r>
      <w:r w:rsidRPr="00D34648">
        <w:rPr>
          <w:iCs/>
        </w:rPr>
        <w:t>The calculated cumulative percentage should be interpreted with caution due to the different treatment duration between the two groups of patients (6 weeks versus 12 weeks), and the lack of a control group in the OLI phase of EOS-1.</w:t>
      </w:r>
      <w:r w:rsidR="00ED5CAA">
        <w:rPr>
          <w:iCs/>
        </w:rPr>
        <w:t xml:space="preserve"> </w:t>
      </w:r>
    </w:p>
    <w:p w:rsidR="00682800" w:rsidRPr="00F606C0" w:rsidRDefault="00682800" w:rsidP="00682800">
      <w:pPr>
        <w:pStyle w:val="3-BodyText"/>
        <w:rPr>
          <w:i/>
          <w:iCs/>
        </w:rPr>
      </w:pPr>
      <w:r w:rsidRPr="00E9665D">
        <w:t>Results</w:t>
      </w:r>
      <w:r w:rsidRPr="00F606C0">
        <w:t xml:space="preserve"> </w:t>
      </w:r>
      <w:r w:rsidR="004622CF">
        <w:t xml:space="preserve">of </w:t>
      </w:r>
      <w:r w:rsidR="00F8361C">
        <w:t xml:space="preserve">the </w:t>
      </w:r>
      <w:r w:rsidR="004622CF">
        <w:t>secondary endpoints</w:t>
      </w:r>
      <w:r w:rsidR="00A67CA8">
        <w:t xml:space="preserve"> </w:t>
      </w:r>
      <w:r w:rsidRPr="00F606C0">
        <w:t>histological remission, clinical remission</w:t>
      </w:r>
      <w:r w:rsidR="00A67CA8">
        <w:t>,</w:t>
      </w:r>
      <w:r w:rsidRPr="00F606C0">
        <w:t xml:space="preserve"> and mean change in peak eos/mm</w:t>
      </w:r>
      <w:r w:rsidRPr="009747E4">
        <w:rPr>
          <w:vertAlign w:val="superscript"/>
        </w:rPr>
        <w:t>2</w:t>
      </w:r>
      <w:r w:rsidRPr="00F606C0">
        <w:t xml:space="preserve"> hpf from baseline</w:t>
      </w:r>
      <w:r w:rsidR="00886519">
        <w:t>,</w:t>
      </w:r>
      <w:r w:rsidRPr="00F606C0">
        <w:t xml:space="preserve"> </w:t>
      </w:r>
      <w:r>
        <w:t>at</w:t>
      </w:r>
      <w:r w:rsidRPr="00F606C0">
        <w:t xml:space="preserve"> 6 weeks showed a statistically significant treatment effect in favour of BOT 1 mg compared to placebo. The change in both VDQ and the AMS score at week 6 showed no statistically significant treatment effect between groups.</w:t>
      </w:r>
    </w:p>
    <w:p w:rsidR="001B0917" w:rsidRPr="00920D95" w:rsidRDefault="001B0917" w:rsidP="00C7699D">
      <w:pPr>
        <w:pStyle w:val="3-BodyText"/>
        <w:keepNext/>
        <w:keepLines/>
        <w:numPr>
          <w:ilvl w:val="0"/>
          <w:numId w:val="0"/>
        </w:numPr>
        <w:spacing w:after="0"/>
        <w:rPr>
          <w:rStyle w:val="CommentReference"/>
          <w:rFonts w:eastAsiaTheme="majorEastAsia" w:cstheme="majorBidi"/>
          <w:bCs/>
          <w:szCs w:val="24"/>
        </w:rPr>
      </w:pPr>
      <w:r w:rsidRPr="00BC1622">
        <w:rPr>
          <w:rStyle w:val="CommentReference"/>
          <w:rFonts w:eastAsiaTheme="majorEastAsia" w:cstheme="majorBidi"/>
          <w:bCs/>
          <w:szCs w:val="24"/>
        </w:rPr>
        <w:t xml:space="preserve">Table </w:t>
      </w:r>
      <w:r>
        <w:rPr>
          <w:rStyle w:val="CommentReference"/>
          <w:rFonts w:eastAsiaTheme="majorEastAsia" w:cstheme="majorBidi"/>
          <w:bCs/>
          <w:szCs w:val="24"/>
        </w:rPr>
        <w:t>5</w:t>
      </w:r>
      <w:r w:rsidRPr="00BC1622">
        <w:rPr>
          <w:rStyle w:val="CommentReference"/>
          <w:rFonts w:eastAsiaTheme="majorEastAsia" w:cstheme="majorBidi"/>
          <w:bCs/>
          <w:szCs w:val="24"/>
        </w:rPr>
        <w:t>:</w:t>
      </w:r>
      <w:r w:rsidRPr="00920D95">
        <w:rPr>
          <w:rStyle w:val="CommentReference"/>
          <w:rFonts w:eastAsiaTheme="majorEastAsia" w:cstheme="majorBidi"/>
          <w:bCs/>
          <w:szCs w:val="24"/>
        </w:rPr>
        <w:t xml:space="preserve"> Change from </w:t>
      </w:r>
      <w:r>
        <w:rPr>
          <w:rStyle w:val="CommentReference"/>
          <w:rFonts w:eastAsiaTheme="majorEastAsia" w:cstheme="majorBidi"/>
          <w:bCs/>
          <w:szCs w:val="24"/>
        </w:rPr>
        <w:t>b</w:t>
      </w:r>
      <w:r w:rsidRPr="00920D95">
        <w:rPr>
          <w:rStyle w:val="CommentReference"/>
          <w:rFonts w:eastAsiaTheme="majorEastAsia" w:cstheme="majorBidi"/>
          <w:bCs/>
          <w:szCs w:val="24"/>
        </w:rPr>
        <w:t>aseline to week 6 in the Adult Eosinophilic Esophagitis Quality of Life Questionnaire (LOCF; FAS-DB)</w:t>
      </w:r>
    </w:p>
    <w:tbl>
      <w:tblPr>
        <w:tblW w:w="5107" w:type="pct"/>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2265"/>
        <w:gridCol w:w="565"/>
        <w:gridCol w:w="1702"/>
        <w:gridCol w:w="567"/>
        <w:gridCol w:w="1702"/>
        <w:gridCol w:w="1573"/>
        <w:gridCol w:w="836"/>
      </w:tblGrid>
      <w:tr w:rsidR="001B0917" w:rsidRPr="00255DD8" w:rsidTr="00DA5F85">
        <w:tc>
          <w:tcPr>
            <w:tcW w:w="1229" w:type="pct"/>
            <w:tcBorders>
              <w:top w:val="single" w:sz="4" w:space="0" w:color="auto"/>
              <w:left w:val="single" w:sz="4" w:space="0" w:color="auto"/>
              <w:bottom w:val="single" w:sz="4" w:space="0" w:color="auto"/>
            </w:tcBorders>
          </w:tcPr>
          <w:p w:rsidR="001B0917" w:rsidRPr="002F4149" w:rsidRDefault="001B0917" w:rsidP="00B83E31">
            <w:pPr>
              <w:pStyle w:val="TableText0"/>
              <w:keepLines/>
              <w:rPr>
                <w:b/>
                <w:bCs w:val="0"/>
              </w:rPr>
            </w:pPr>
            <w:r>
              <w:rPr>
                <w:b/>
              </w:rPr>
              <w:t>Outcome</w:t>
            </w:r>
          </w:p>
        </w:tc>
        <w:tc>
          <w:tcPr>
            <w:tcW w:w="1231" w:type="pct"/>
            <w:gridSpan w:val="2"/>
            <w:tcBorders>
              <w:top w:val="single" w:sz="4" w:space="0" w:color="auto"/>
              <w:bottom w:val="single" w:sz="4" w:space="0" w:color="auto"/>
            </w:tcBorders>
          </w:tcPr>
          <w:p w:rsidR="001B0917" w:rsidRPr="002F4149" w:rsidRDefault="001B0917" w:rsidP="00B83E31">
            <w:pPr>
              <w:pStyle w:val="TableText0"/>
              <w:keepLines/>
              <w:jc w:val="center"/>
              <w:rPr>
                <w:b/>
                <w:bCs w:val="0"/>
              </w:rPr>
            </w:pPr>
            <w:r>
              <w:rPr>
                <w:b/>
              </w:rPr>
              <w:t>BOT 1 mg BID</w:t>
            </w:r>
          </w:p>
        </w:tc>
        <w:tc>
          <w:tcPr>
            <w:tcW w:w="1232" w:type="pct"/>
            <w:gridSpan w:val="2"/>
            <w:tcBorders>
              <w:top w:val="single" w:sz="4" w:space="0" w:color="auto"/>
              <w:bottom w:val="single" w:sz="4" w:space="0" w:color="auto"/>
            </w:tcBorders>
          </w:tcPr>
          <w:p w:rsidR="001B0917" w:rsidRPr="002F4149" w:rsidRDefault="001B0917" w:rsidP="00B83E31">
            <w:pPr>
              <w:pStyle w:val="TableText0"/>
              <w:keepLines/>
              <w:jc w:val="center"/>
              <w:rPr>
                <w:b/>
                <w:bCs w:val="0"/>
              </w:rPr>
            </w:pPr>
            <w:r>
              <w:rPr>
                <w:b/>
              </w:rPr>
              <w:t>Placebo</w:t>
            </w:r>
          </w:p>
        </w:tc>
        <w:tc>
          <w:tcPr>
            <w:tcW w:w="854" w:type="pct"/>
            <w:tcBorders>
              <w:top w:val="single" w:sz="4" w:space="0" w:color="auto"/>
              <w:bottom w:val="single" w:sz="4" w:space="0" w:color="auto"/>
            </w:tcBorders>
          </w:tcPr>
          <w:p w:rsidR="001B0917" w:rsidRPr="002F4149" w:rsidRDefault="001B0917" w:rsidP="00B83E31">
            <w:pPr>
              <w:pStyle w:val="TableText0"/>
              <w:keepLines/>
              <w:jc w:val="center"/>
              <w:rPr>
                <w:b/>
                <w:bCs w:val="0"/>
              </w:rPr>
            </w:pPr>
            <w:r w:rsidRPr="002F4149">
              <w:rPr>
                <w:b/>
              </w:rPr>
              <w:t>MD (95% CI)</w:t>
            </w:r>
          </w:p>
        </w:tc>
        <w:tc>
          <w:tcPr>
            <w:tcW w:w="454" w:type="pct"/>
            <w:tcBorders>
              <w:top w:val="single" w:sz="4" w:space="0" w:color="auto"/>
              <w:bottom w:val="single" w:sz="4" w:space="0" w:color="auto"/>
              <w:right w:val="single" w:sz="4" w:space="0" w:color="auto"/>
            </w:tcBorders>
          </w:tcPr>
          <w:p w:rsidR="001B0917" w:rsidRPr="00255DD8" w:rsidRDefault="001B0917" w:rsidP="00B83E31">
            <w:pPr>
              <w:pStyle w:val="TableText0"/>
              <w:keepLines/>
              <w:jc w:val="center"/>
              <w:rPr>
                <w:b/>
                <w:bCs w:val="0"/>
                <w:vertAlign w:val="superscript"/>
              </w:rPr>
            </w:pPr>
            <w:r w:rsidRPr="002F4149">
              <w:rPr>
                <w:b/>
              </w:rPr>
              <w:t>p-value</w:t>
            </w:r>
            <w:r>
              <w:rPr>
                <w:b/>
                <w:vertAlign w:val="superscript"/>
              </w:rPr>
              <w:t>a</w:t>
            </w:r>
          </w:p>
        </w:tc>
      </w:tr>
      <w:tr w:rsidR="001B0917" w:rsidRPr="002F4149" w:rsidTr="00DA5F85">
        <w:tc>
          <w:tcPr>
            <w:tcW w:w="1229" w:type="pct"/>
            <w:tcBorders>
              <w:top w:val="single" w:sz="4" w:space="0" w:color="auto"/>
              <w:left w:val="single" w:sz="4" w:space="0" w:color="auto"/>
              <w:bottom w:val="single" w:sz="4" w:space="0" w:color="auto"/>
            </w:tcBorders>
          </w:tcPr>
          <w:p w:rsidR="001B0917" w:rsidRPr="002F4149" w:rsidRDefault="001B0917" w:rsidP="00B83E31">
            <w:pPr>
              <w:pStyle w:val="TableText0"/>
              <w:keepLines/>
              <w:rPr>
                <w:b/>
                <w:bCs w:val="0"/>
              </w:rPr>
            </w:pPr>
          </w:p>
        </w:tc>
        <w:tc>
          <w:tcPr>
            <w:tcW w:w="307" w:type="pct"/>
            <w:tcBorders>
              <w:top w:val="single" w:sz="4" w:space="0" w:color="auto"/>
              <w:bottom w:val="single" w:sz="4" w:space="0" w:color="auto"/>
            </w:tcBorders>
          </w:tcPr>
          <w:p w:rsidR="001B0917" w:rsidRPr="002F4149" w:rsidRDefault="001B0917" w:rsidP="00B83E31">
            <w:pPr>
              <w:pStyle w:val="TableText0"/>
              <w:keepLines/>
              <w:jc w:val="center"/>
              <w:rPr>
                <w:b/>
                <w:bCs w:val="0"/>
              </w:rPr>
            </w:pPr>
            <w:r w:rsidRPr="002F4149">
              <w:rPr>
                <w:b/>
              </w:rPr>
              <w:t>N</w:t>
            </w:r>
          </w:p>
        </w:tc>
        <w:tc>
          <w:tcPr>
            <w:tcW w:w="924" w:type="pct"/>
            <w:tcBorders>
              <w:top w:val="single" w:sz="4" w:space="0" w:color="auto"/>
              <w:bottom w:val="single" w:sz="4" w:space="0" w:color="auto"/>
            </w:tcBorders>
          </w:tcPr>
          <w:p w:rsidR="001B0917" w:rsidRPr="002F4149" w:rsidRDefault="001B0917" w:rsidP="00B83E31">
            <w:pPr>
              <w:pStyle w:val="TableText0"/>
              <w:keepLines/>
              <w:jc w:val="center"/>
              <w:rPr>
                <w:b/>
                <w:bCs w:val="0"/>
              </w:rPr>
            </w:pPr>
            <w:r w:rsidRPr="002F4149">
              <w:rPr>
                <w:b/>
              </w:rPr>
              <w:t>Mean</w:t>
            </w:r>
            <w:r>
              <w:rPr>
                <w:b/>
              </w:rPr>
              <w:t xml:space="preserve"> change </w:t>
            </w:r>
            <w:r w:rsidRPr="002F4149">
              <w:rPr>
                <w:b/>
              </w:rPr>
              <w:t>(SD)</w:t>
            </w:r>
          </w:p>
        </w:tc>
        <w:tc>
          <w:tcPr>
            <w:tcW w:w="308" w:type="pct"/>
            <w:tcBorders>
              <w:top w:val="single" w:sz="4" w:space="0" w:color="auto"/>
              <w:bottom w:val="single" w:sz="4" w:space="0" w:color="auto"/>
            </w:tcBorders>
          </w:tcPr>
          <w:p w:rsidR="001B0917" w:rsidRPr="002F4149" w:rsidRDefault="001B0917" w:rsidP="00B83E31">
            <w:pPr>
              <w:pStyle w:val="TableText0"/>
              <w:keepLines/>
              <w:jc w:val="center"/>
              <w:rPr>
                <w:b/>
                <w:bCs w:val="0"/>
              </w:rPr>
            </w:pPr>
            <w:r w:rsidRPr="002F4149">
              <w:rPr>
                <w:b/>
              </w:rPr>
              <w:t>N</w:t>
            </w:r>
          </w:p>
        </w:tc>
        <w:tc>
          <w:tcPr>
            <w:tcW w:w="924" w:type="pct"/>
            <w:tcBorders>
              <w:top w:val="single" w:sz="4" w:space="0" w:color="auto"/>
              <w:bottom w:val="single" w:sz="4" w:space="0" w:color="auto"/>
            </w:tcBorders>
          </w:tcPr>
          <w:p w:rsidR="001B0917" w:rsidRPr="002F4149" w:rsidRDefault="001B0917" w:rsidP="00B83E31">
            <w:pPr>
              <w:pStyle w:val="TableText0"/>
              <w:keepLines/>
              <w:jc w:val="center"/>
              <w:rPr>
                <w:b/>
                <w:bCs w:val="0"/>
              </w:rPr>
            </w:pPr>
            <w:r w:rsidRPr="002F4149">
              <w:rPr>
                <w:b/>
              </w:rPr>
              <w:t>Mean</w:t>
            </w:r>
            <w:r>
              <w:rPr>
                <w:b/>
              </w:rPr>
              <w:t xml:space="preserve"> change </w:t>
            </w:r>
            <w:r w:rsidRPr="002F4149">
              <w:rPr>
                <w:b/>
              </w:rPr>
              <w:t>(SD)</w:t>
            </w:r>
          </w:p>
        </w:tc>
        <w:tc>
          <w:tcPr>
            <w:tcW w:w="854" w:type="pct"/>
            <w:tcBorders>
              <w:top w:val="single" w:sz="4" w:space="0" w:color="auto"/>
              <w:bottom w:val="single" w:sz="4" w:space="0" w:color="auto"/>
            </w:tcBorders>
          </w:tcPr>
          <w:p w:rsidR="001B0917" w:rsidRPr="002F4149" w:rsidRDefault="001B0917" w:rsidP="00B83E31">
            <w:pPr>
              <w:pStyle w:val="TableText0"/>
              <w:keepLines/>
              <w:jc w:val="center"/>
              <w:rPr>
                <w:b/>
                <w:bCs w:val="0"/>
              </w:rPr>
            </w:pPr>
          </w:p>
        </w:tc>
        <w:tc>
          <w:tcPr>
            <w:tcW w:w="454" w:type="pct"/>
            <w:tcBorders>
              <w:top w:val="single" w:sz="4" w:space="0" w:color="auto"/>
              <w:bottom w:val="single" w:sz="4" w:space="0" w:color="auto"/>
              <w:right w:val="single" w:sz="4" w:space="0" w:color="auto"/>
            </w:tcBorders>
          </w:tcPr>
          <w:p w:rsidR="001B0917" w:rsidRPr="002F4149" w:rsidRDefault="001B0917" w:rsidP="00B83E31">
            <w:pPr>
              <w:pStyle w:val="TableText0"/>
              <w:keepLines/>
              <w:jc w:val="center"/>
              <w:rPr>
                <w:b/>
                <w:bCs w:val="0"/>
              </w:rPr>
            </w:pPr>
          </w:p>
        </w:tc>
      </w:tr>
      <w:tr w:rsidR="001B0917" w:rsidRPr="009C1383" w:rsidTr="00DA5F85">
        <w:tc>
          <w:tcPr>
            <w:tcW w:w="1229" w:type="pct"/>
            <w:tcBorders>
              <w:top w:val="single" w:sz="4" w:space="0" w:color="auto"/>
              <w:left w:val="single" w:sz="4" w:space="0" w:color="auto"/>
              <w:bottom w:val="single" w:sz="4" w:space="0" w:color="auto"/>
            </w:tcBorders>
          </w:tcPr>
          <w:p w:rsidR="001B0917" w:rsidRPr="002F4149" w:rsidRDefault="001B0917" w:rsidP="00B83E31">
            <w:pPr>
              <w:pStyle w:val="TableText0"/>
              <w:keepLines/>
            </w:pPr>
            <w:r>
              <w:t>30 items</w:t>
            </w:r>
          </w:p>
        </w:tc>
        <w:tc>
          <w:tcPr>
            <w:tcW w:w="307" w:type="pct"/>
            <w:tcBorders>
              <w:top w:val="single" w:sz="4" w:space="0" w:color="auto"/>
              <w:bottom w:val="single" w:sz="4" w:space="0" w:color="auto"/>
            </w:tcBorders>
          </w:tcPr>
          <w:p w:rsidR="001B0917" w:rsidRPr="002F4149" w:rsidRDefault="001B0917" w:rsidP="00B83E31">
            <w:pPr>
              <w:pStyle w:val="TableText0"/>
              <w:keepLines/>
              <w:jc w:val="center"/>
            </w:pPr>
            <w:r>
              <w:t>57</w:t>
            </w:r>
          </w:p>
        </w:tc>
        <w:tc>
          <w:tcPr>
            <w:tcW w:w="924" w:type="pct"/>
            <w:tcBorders>
              <w:top w:val="single" w:sz="4" w:space="0" w:color="auto"/>
              <w:bottom w:val="single" w:sz="4" w:space="0" w:color="auto"/>
            </w:tcBorders>
          </w:tcPr>
          <w:p w:rsidR="001B0917" w:rsidRPr="002F4149" w:rsidRDefault="001B0917" w:rsidP="00B83E31">
            <w:pPr>
              <w:pStyle w:val="TableText0"/>
              <w:keepLines/>
              <w:jc w:val="center"/>
            </w:pPr>
            <w:r>
              <w:t>0.47 (0.56)</w:t>
            </w:r>
          </w:p>
        </w:tc>
        <w:tc>
          <w:tcPr>
            <w:tcW w:w="308" w:type="pct"/>
            <w:tcBorders>
              <w:top w:val="single" w:sz="4" w:space="0" w:color="auto"/>
              <w:bottom w:val="single" w:sz="4" w:space="0" w:color="auto"/>
            </w:tcBorders>
          </w:tcPr>
          <w:p w:rsidR="001B0917" w:rsidRPr="002F4149" w:rsidRDefault="001B0917" w:rsidP="00B83E31">
            <w:pPr>
              <w:pStyle w:val="TableText0"/>
              <w:keepLines/>
              <w:jc w:val="center"/>
            </w:pPr>
            <w:r>
              <w:t>29</w:t>
            </w:r>
          </w:p>
        </w:tc>
        <w:tc>
          <w:tcPr>
            <w:tcW w:w="924" w:type="pct"/>
            <w:tcBorders>
              <w:top w:val="single" w:sz="4" w:space="0" w:color="auto"/>
              <w:bottom w:val="single" w:sz="4" w:space="0" w:color="auto"/>
            </w:tcBorders>
          </w:tcPr>
          <w:p w:rsidR="001B0917" w:rsidRPr="002F4149" w:rsidRDefault="001B0917" w:rsidP="00B83E31">
            <w:pPr>
              <w:pStyle w:val="TableText0"/>
              <w:keepLines/>
              <w:jc w:val="center"/>
            </w:pPr>
            <w:r>
              <w:t>0.24 (0.47)</w:t>
            </w:r>
          </w:p>
        </w:tc>
        <w:tc>
          <w:tcPr>
            <w:tcW w:w="854" w:type="pct"/>
            <w:tcBorders>
              <w:top w:val="single" w:sz="4" w:space="0" w:color="auto"/>
              <w:bottom w:val="single" w:sz="4" w:space="0" w:color="auto"/>
            </w:tcBorders>
          </w:tcPr>
          <w:p w:rsidR="001B0917" w:rsidRPr="002F4149" w:rsidRDefault="001B0917" w:rsidP="00B83E31">
            <w:pPr>
              <w:pStyle w:val="TableText0"/>
              <w:keepLines/>
              <w:jc w:val="center"/>
            </w:pPr>
            <w:r>
              <w:t>0.23 (-0.01, 0.47)</w:t>
            </w:r>
          </w:p>
        </w:tc>
        <w:tc>
          <w:tcPr>
            <w:tcW w:w="454" w:type="pct"/>
            <w:tcBorders>
              <w:top w:val="single" w:sz="4" w:space="0" w:color="auto"/>
              <w:bottom w:val="single" w:sz="4" w:space="0" w:color="auto"/>
              <w:right w:val="single" w:sz="4" w:space="0" w:color="auto"/>
            </w:tcBorders>
          </w:tcPr>
          <w:p w:rsidR="001B0917" w:rsidRPr="00865B76" w:rsidRDefault="001B0917" w:rsidP="00B83E31">
            <w:pPr>
              <w:pStyle w:val="TableText0"/>
              <w:keepLines/>
              <w:jc w:val="center"/>
            </w:pPr>
            <w:r w:rsidRPr="00213839">
              <w:t>NS</w:t>
            </w:r>
          </w:p>
        </w:tc>
      </w:tr>
      <w:tr w:rsidR="001B0917" w:rsidTr="00DA5F85">
        <w:tc>
          <w:tcPr>
            <w:tcW w:w="1229" w:type="pct"/>
            <w:tcBorders>
              <w:top w:val="single" w:sz="4" w:space="0" w:color="auto"/>
              <w:left w:val="single" w:sz="4" w:space="0" w:color="auto"/>
              <w:bottom w:val="single" w:sz="4" w:space="0" w:color="auto"/>
            </w:tcBorders>
          </w:tcPr>
          <w:p w:rsidR="001B0917" w:rsidRDefault="001B0917" w:rsidP="00B83E31">
            <w:pPr>
              <w:pStyle w:val="TableText0"/>
              <w:keepLines/>
            </w:pPr>
            <w:r>
              <w:t>24 items</w:t>
            </w:r>
          </w:p>
        </w:tc>
        <w:tc>
          <w:tcPr>
            <w:tcW w:w="307" w:type="pct"/>
            <w:tcBorders>
              <w:top w:val="single" w:sz="4" w:space="0" w:color="auto"/>
              <w:bottom w:val="single" w:sz="4" w:space="0" w:color="auto"/>
            </w:tcBorders>
          </w:tcPr>
          <w:p w:rsidR="001B0917" w:rsidRDefault="001B0917" w:rsidP="00B83E31">
            <w:pPr>
              <w:pStyle w:val="TableText0"/>
              <w:keepLines/>
              <w:jc w:val="center"/>
            </w:pPr>
            <w:r w:rsidRPr="00711D0F">
              <w:t>57</w:t>
            </w:r>
          </w:p>
        </w:tc>
        <w:tc>
          <w:tcPr>
            <w:tcW w:w="924" w:type="pct"/>
            <w:tcBorders>
              <w:top w:val="single" w:sz="4" w:space="0" w:color="auto"/>
              <w:bottom w:val="single" w:sz="4" w:space="0" w:color="auto"/>
            </w:tcBorders>
          </w:tcPr>
          <w:p w:rsidR="001B0917" w:rsidRDefault="001B0917" w:rsidP="00B83E31">
            <w:pPr>
              <w:pStyle w:val="TableText0"/>
              <w:keepLines/>
              <w:jc w:val="center"/>
            </w:pPr>
            <w:r>
              <w:t>0.48 (0.56)</w:t>
            </w:r>
          </w:p>
        </w:tc>
        <w:tc>
          <w:tcPr>
            <w:tcW w:w="308" w:type="pct"/>
            <w:tcBorders>
              <w:top w:val="single" w:sz="4" w:space="0" w:color="auto"/>
              <w:bottom w:val="single" w:sz="4" w:space="0" w:color="auto"/>
            </w:tcBorders>
          </w:tcPr>
          <w:p w:rsidR="001B0917" w:rsidRDefault="001B0917" w:rsidP="00B83E31">
            <w:pPr>
              <w:pStyle w:val="TableText0"/>
              <w:keepLines/>
              <w:jc w:val="center"/>
            </w:pPr>
            <w:r>
              <w:t>29</w:t>
            </w:r>
          </w:p>
        </w:tc>
        <w:tc>
          <w:tcPr>
            <w:tcW w:w="924" w:type="pct"/>
            <w:tcBorders>
              <w:top w:val="single" w:sz="4" w:space="0" w:color="auto"/>
              <w:bottom w:val="single" w:sz="4" w:space="0" w:color="auto"/>
            </w:tcBorders>
          </w:tcPr>
          <w:p w:rsidR="001B0917" w:rsidRDefault="001B0917" w:rsidP="00B83E31">
            <w:pPr>
              <w:pStyle w:val="TableText0"/>
              <w:keepLines/>
              <w:jc w:val="center"/>
            </w:pPr>
            <w:r>
              <w:t>0.24 (0.47)</w:t>
            </w:r>
          </w:p>
        </w:tc>
        <w:tc>
          <w:tcPr>
            <w:tcW w:w="854" w:type="pct"/>
            <w:tcBorders>
              <w:top w:val="single" w:sz="4" w:space="0" w:color="auto"/>
              <w:bottom w:val="single" w:sz="4" w:space="0" w:color="auto"/>
            </w:tcBorders>
          </w:tcPr>
          <w:p w:rsidR="001B0917" w:rsidRDefault="001B0917" w:rsidP="00B83E31">
            <w:pPr>
              <w:pStyle w:val="TableText0"/>
              <w:keepLines/>
              <w:jc w:val="center"/>
            </w:pPr>
            <w:r>
              <w:t>0.24 (-0.00, 0.48)</w:t>
            </w:r>
          </w:p>
        </w:tc>
        <w:tc>
          <w:tcPr>
            <w:tcW w:w="454" w:type="pct"/>
            <w:tcBorders>
              <w:top w:val="single" w:sz="4" w:space="0" w:color="auto"/>
              <w:bottom w:val="single" w:sz="4" w:space="0" w:color="auto"/>
              <w:right w:val="single" w:sz="4" w:space="0" w:color="auto"/>
            </w:tcBorders>
          </w:tcPr>
          <w:p w:rsidR="001B0917" w:rsidRDefault="001B0917" w:rsidP="00B83E31">
            <w:pPr>
              <w:pStyle w:val="TableText0"/>
              <w:keepLines/>
              <w:jc w:val="center"/>
            </w:pPr>
            <w:r w:rsidRPr="00213839">
              <w:t>NS</w:t>
            </w:r>
          </w:p>
        </w:tc>
      </w:tr>
      <w:tr w:rsidR="001B0917" w:rsidTr="00DA5F85">
        <w:tc>
          <w:tcPr>
            <w:tcW w:w="1229" w:type="pct"/>
            <w:tcBorders>
              <w:top w:val="single" w:sz="4" w:space="0" w:color="auto"/>
              <w:left w:val="single" w:sz="4" w:space="0" w:color="auto"/>
              <w:bottom w:val="single" w:sz="4" w:space="0" w:color="auto"/>
            </w:tcBorders>
          </w:tcPr>
          <w:p w:rsidR="001B0917" w:rsidRDefault="001B0917" w:rsidP="00B83E31">
            <w:pPr>
              <w:pStyle w:val="TableText0"/>
              <w:keepLines/>
            </w:pPr>
            <w:r>
              <w:t>Eating/diet impact (10 items)</w:t>
            </w:r>
          </w:p>
        </w:tc>
        <w:tc>
          <w:tcPr>
            <w:tcW w:w="307" w:type="pct"/>
            <w:tcBorders>
              <w:top w:val="single" w:sz="4" w:space="0" w:color="auto"/>
              <w:bottom w:val="single" w:sz="4" w:space="0" w:color="auto"/>
            </w:tcBorders>
          </w:tcPr>
          <w:p w:rsidR="001B0917" w:rsidRDefault="001B0917" w:rsidP="00B83E31">
            <w:pPr>
              <w:pStyle w:val="TableText0"/>
              <w:keepLines/>
              <w:jc w:val="center"/>
            </w:pPr>
            <w:r w:rsidRPr="00711D0F">
              <w:t>57</w:t>
            </w:r>
          </w:p>
        </w:tc>
        <w:tc>
          <w:tcPr>
            <w:tcW w:w="924" w:type="pct"/>
            <w:tcBorders>
              <w:top w:val="single" w:sz="4" w:space="0" w:color="auto"/>
              <w:bottom w:val="single" w:sz="4" w:space="0" w:color="auto"/>
            </w:tcBorders>
          </w:tcPr>
          <w:p w:rsidR="001B0917" w:rsidRDefault="001B0917" w:rsidP="00B83E31">
            <w:pPr>
              <w:pStyle w:val="TableText0"/>
              <w:keepLines/>
              <w:jc w:val="center"/>
            </w:pPr>
            <w:r>
              <w:t>0.65 (0.88)</w:t>
            </w:r>
          </w:p>
        </w:tc>
        <w:tc>
          <w:tcPr>
            <w:tcW w:w="308" w:type="pct"/>
            <w:tcBorders>
              <w:top w:val="single" w:sz="4" w:space="0" w:color="auto"/>
              <w:bottom w:val="single" w:sz="4" w:space="0" w:color="auto"/>
            </w:tcBorders>
          </w:tcPr>
          <w:p w:rsidR="001B0917" w:rsidRDefault="001B0917" w:rsidP="00B83E31">
            <w:pPr>
              <w:pStyle w:val="TableText0"/>
              <w:keepLines/>
              <w:jc w:val="center"/>
            </w:pPr>
            <w:r>
              <w:t>29</w:t>
            </w:r>
          </w:p>
        </w:tc>
        <w:tc>
          <w:tcPr>
            <w:tcW w:w="924" w:type="pct"/>
            <w:tcBorders>
              <w:top w:val="single" w:sz="4" w:space="0" w:color="auto"/>
              <w:bottom w:val="single" w:sz="4" w:space="0" w:color="auto"/>
            </w:tcBorders>
          </w:tcPr>
          <w:p w:rsidR="001B0917" w:rsidRDefault="001B0917" w:rsidP="00B83E31">
            <w:pPr>
              <w:pStyle w:val="TableText0"/>
              <w:keepLines/>
              <w:jc w:val="center"/>
            </w:pPr>
            <w:r>
              <w:t>0.15 (0.60)</w:t>
            </w:r>
          </w:p>
        </w:tc>
        <w:tc>
          <w:tcPr>
            <w:tcW w:w="854" w:type="pct"/>
            <w:tcBorders>
              <w:top w:val="single" w:sz="4" w:space="0" w:color="auto"/>
              <w:bottom w:val="single" w:sz="4" w:space="0" w:color="auto"/>
            </w:tcBorders>
          </w:tcPr>
          <w:p w:rsidR="001B0917" w:rsidRPr="00AA07A6" w:rsidRDefault="001B0917" w:rsidP="00B83E31">
            <w:pPr>
              <w:pStyle w:val="TableText0"/>
              <w:keepLines/>
              <w:jc w:val="center"/>
              <w:rPr>
                <w:b/>
              </w:rPr>
            </w:pPr>
            <w:r w:rsidRPr="00AA07A6">
              <w:rPr>
                <w:b/>
              </w:rPr>
              <w:t>0.50 (0.13, 0.86)</w:t>
            </w:r>
          </w:p>
        </w:tc>
        <w:tc>
          <w:tcPr>
            <w:tcW w:w="454" w:type="pct"/>
            <w:tcBorders>
              <w:top w:val="single" w:sz="4" w:space="0" w:color="auto"/>
              <w:bottom w:val="single" w:sz="4" w:space="0" w:color="auto"/>
              <w:right w:val="single" w:sz="4" w:space="0" w:color="auto"/>
            </w:tcBorders>
          </w:tcPr>
          <w:p w:rsidR="001B0917" w:rsidRPr="001679F4" w:rsidRDefault="001B0917" w:rsidP="00B83E31">
            <w:pPr>
              <w:pStyle w:val="TableText0"/>
              <w:keepLines/>
              <w:jc w:val="center"/>
              <w:rPr>
                <w:b/>
              </w:rPr>
            </w:pPr>
            <w:r w:rsidRPr="001679F4">
              <w:rPr>
                <w:b/>
              </w:rPr>
              <w:t>&lt;0.05</w:t>
            </w:r>
          </w:p>
        </w:tc>
      </w:tr>
      <w:tr w:rsidR="001B0917" w:rsidTr="00DA5F85">
        <w:tc>
          <w:tcPr>
            <w:tcW w:w="1229" w:type="pct"/>
            <w:tcBorders>
              <w:top w:val="single" w:sz="4" w:space="0" w:color="auto"/>
              <w:left w:val="single" w:sz="4" w:space="0" w:color="auto"/>
              <w:bottom w:val="single" w:sz="4" w:space="0" w:color="auto"/>
            </w:tcBorders>
          </w:tcPr>
          <w:p w:rsidR="001B0917" w:rsidRDefault="001B0917" w:rsidP="00B83E31">
            <w:pPr>
              <w:pStyle w:val="TableText0"/>
              <w:keepLines/>
            </w:pPr>
            <w:r>
              <w:t>Eating/diet impact (4 items)</w:t>
            </w:r>
          </w:p>
        </w:tc>
        <w:tc>
          <w:tcPr>
            <w:tcW w:w="307" w:type="pct"/>
            <w:tcBorders>
              <w:top w:val="single" w:sz="4" w:space="0" w:color="auto"/>
              <w:bottom w:val="single" w:sz="4" w:space="0" w:color="auto"/>
            </w:tcBorders>
          </w:tcPr>
          <w:p w:rsidR="001B0917" w:rsidRPr="00711D0F" w:rsidRDefault="001B0917" w:rsidP="00B83E31">
            <w:pPr>
              <w:pStyle w:val="TableText0"/>
              <w:keepLines/>
              <w:jc w:val="center"/>
            </w:pPr>
            <w:r>
              <w:t>57</w:t>
            </w:r>
          </w:p>
        </w:tc>
        <w:tc>
          <w:tcPr>
            <w:tcW w:w="924" w:type="pct"/>
            <w:tcBorders>
              <w:top w:val="single" w:sz="4" w:space="0" w:color="auto"/>
              <w:bottom w:val="single" w:sz="4" w:space="0" w:color="auto"/>
            </w:tcBorders>
          </w:tcPr>
          <w:p w:rsidR="001B0917" w:rsidRDefault="001B0917" w:rsidP="00B83E31">
            <w:pPr>
              <w:pStyle w:val="TableText0"/>
              <w:keepLines/>
              <w:jc w:val="center"/>
            </w:pPr>
            <w:r>
              <w:t>0.69 (</w:t>
            </w:r>
            <w:r w:rsidR="00091422">
              <w:t>0.</w:t>
            </w:r>
            <w:r>
              <w:t>87</w:t>
            </w:r>
            <w:r w:rsidR="00201C0B" w:rsidRPr="00201C0B">
              <w:rPr>
                <w:vertAlign w:val="superscript"/>
              </w:rPr>
              <w:t>^</w:t>
            </w:r>
            <w:r>
              <w:t>)</w:t>
            </w:r>
          </w:p>
        </w:tc>
        <w:tc>
          <w:tcPr>
            <w:tcW w:w="308" w:type="pct"/>
            <w:tcBorders>
              <w:top w:val="single" w:sz="4" w:space="0" w:color="auto"/>
              <w:bottom w:val="single" w:sz="4" w:space="0" w:color="auto"/>
            </w:tcBorders>
          </w:tcPr>
          <w:p w:rsidR="001B0917" w:rsidRDefault="001B0917" w:rsidP="00B83E31">
            <w:pPr>
              <w:pStyle w:val="TableText0"/>
              <w:keepLines/>
              <w:jc w:val="center"/>
            </w:pPr>
            <w:r>
              <w:t>29</w:t>
            </w:r>
          </w:p>
        </w:tc>
        <w:tc>
          <w:tcPr>
            <w:tcW w:w="924" w:type="pct"/>
            <w:tcBorders>
              <w:top w:val="single" w:sz="4" w:space="0" w:color="auto"/>
              <w:bottom w:val="single" w:sz="4" w:space="0" w:color="auto"/>
            </w:tcBorders>
          </w:tcPr>
          <w:p w:rsidR="001B0917" w:rsidRDefault="001B0917" w:rsidP="00B83E31">
            <w:pPr>
              <w:pStyle w:val="TableText0"/>
              <w:keepLines/>
              <w:jc w:val="center"/>
            </w:pPr>
            <w:r>
              <w:t>0.20 (0.64)</w:t>
            </w:r>
          </w:p>
        </w:tc>
        <w:tc>
          <w:tcPr>
            <w:tcW w:w="854" w:type="pct"/>
            <w:tcBorders>
              <w:top w:val="single" w:sz="4" w:space="0" w:color="auto"/>
              <w:bottom w:val="single" w:sz="4" w:space="0" w:color="auto"/>
            </w:tcBorders>
          </w:tcPr>
          <w:p w:rsidR="001B0917" w:rsidRPr="00AA07A6" w:rsidRDefault="001B0917" w:rsidP="00B83E31">
            <w:pPr>
              <w:pStyle w:val="TableText0"/>
              <w:keepLines/>
              <w:jc w:val="center"/>
              <w:rPr>
                <w:b/>
              </w:rPr>
            </w:pPr>
            <w:r w:rsidRPr="00AA07A6">
              <w:rPr>
                <w:b/>
              </w:rPr>
              <w:t>0.50 (0.13, 0.86)</w:t>
            </w:r>
          </w:p>
        </w:tc>
        <w:tc>
          <w:tcPr>
            <w:tcW w:w="454" w:type="pct"/>
            <w:tcBorders>
              <w:top w:val="single" w:sz="4" w:space="0" w:color="auto"/>
              <w:bottom w:val="single" w:sz="4" w:space="0" w:color="auto"/>
              <w:right w:val="single" w:sz="4" w:space="0" w:color="auto"/>
            </w:tcBorders>
          </w:tcPr>
          <w:p w:rsidR="001B0917" w:rsidRPr="001679F4" w:rsidRDefault="001B0917" w:rsidP="00B83E31">
            <w:pPr>
              <w:pStyle w:val="TableText0"/>
              <w:keepLines/>
              <w:jc w:val="center"/>
              <w:rPr>
                <w:b/>
              </w:rPr>
            </w:pPr>
            <w:r w:rsidRPr="001679F4">
              <w:rPr>
                <w:b/>
              </w:rPr>
              <w:t>&lt;0.05</w:t>
            </w:r>
          </w:p>
        </w:tc>
      </w:tr>
      <w:tr w:rsidR="001B0917" w:rsidTr="00DA5F85">
        <w:tc>
          <w:tcPr>
            <w:tcW w:w="1229" w:type="pct"/>
            <w:tcBorders>
              <w:top w:val="single" w:sz="4" w:space="0" w:color="auto"/>
              <w:left w:val="single" w:sz="4" w:space="0" w:color="auto"/>
              <w:bottom w:val="single" w:sz="4" w:space="0" w:color="auto"/>
            </w:tcBorders>
          </w:tcPr>
          <w:p w:rsidR="001B0917" w:rsidRDefault="001B0917" w:rsidP="00B83E31">
            <w:pPr>
              <w:pStyle w:val="TableText0"/>
              <w:keepLines/>
            </w:pPr>
            <w:r>
              <w:t>Social impact</w:t>
            </w:r>
          </w:p>
        </w:tc>
        <w:tc>
          <w:tcPr>
            <w:tcW w:w="307" w:type="pct"/>
            <w:tcBorders>
              <w:top w:val="single" w:sz="4" w:space="0" w:color="auto"/>
              <w:bottom w:val="single" w:sz="4" w:space="0" w:color="auto"/>
            </w:tcBorders>
          </w:tcPr>
          <w:p w:rsidR="001B0917" w:rsidRPr="00106D87" w:rsidRDefault="001B0917" w:rsidP="00B83E31">
            <w:pPr>
              <w:pStyle w:val="TableText0"/>
              <w:keepLines/>
              <w:jc w:val="center"/>
            </w:pPr>
            <w:r w:rsidRPr="00711D0F">
              <w:t>57</w:t>
            </w:r>
          </w:p>
        </w:tc>
        <w:tc>
          <w:tcPr>
            <w:tcW w:w="924" w:type="pct"/>
            <w:tcBorders>
              <w:top w:val="single" w:sz="4" w:space="0" w:color="auto"/>
              <w:bottom w:val="single" w:sz="4" w:space="0" w:color="auto"/>
            </w:tcBorders>
          </w:tcPr>
          <w:p w:rsidR="001B0917" w:rsidRDefault="001B0917" w:rsidP="00B83E31">
            <w:pPr>
              <w:pStyle w:val="TableText0"/>
              <w:keepLines/>
              <w:jc w:val="center"/>
            </w:pPr>
            <w:r>
              <w:t>0.46 (0.73)</w:t>
            </w:r>
          </w:p>
        </w:tc>
        <w:tc>
          <w:tcPr>
            <w:tcW w:w="308" w:type="pct"/>
            <w:tcBorders>
              <w:top w:val="single" w:sz="4" w:space="0" w:color="auto"/>
              <w:bottom w:val="single" w:sz="4" w:space="0" w:color="auto"/>
            </w:tcBorders>
          </w:tcPr>
          <w:p w:rsidR="001B0917" w:rsidRDefault="001B0917" w:rsidP="00B83E31">
            <w:pPr>
              <w:pStyle w:val="TableText0"/>
              <w:keepLines/>
              <w:jc w:val="center"/>
            </w:pPr>
            <w:r w:rsidRPr="007106EF">
              <w:t>29</w:t>
            </w:r>
          </w:p>
        </w:tc>
        <w:tc>
          <w:tcPr>
            <w:tcW w:w="924" w:type="pct"/>
            <w:tcBorders>
              <w:top w:val="single" w:sz="4" w:space="0" w:color="auto"/>
              <w:bottom w:val="single" w:sz="4" w:space="0" w:color="auto"/>
            </w:tcBorders>
          </w:tcPr>
          <w:p w:rsidR="001B0917" w:rsidRDefault="001B0917" w:rsidP="00B83E31">
            <w:pPr>
              <w:pStyle w:val="TableText0"/>
              <w:keepLines/>
              <w:jc w:val="center"/>
            </w:pPr>
            <w:r>
              <w:t>0.30 (0.74)</w:t>
            </w:r>
          </w:p>
        </w:tc>
        <w:tc>
          <w:tcPr>
            <w:tcW w:w="854" w:type="pct"/>
            <w:tcBorders>
              <w:top w:val="single" w:sz="4" w:space="0" w:color="auto"/>
              <w:bottom w:val="single" w:sz="4" w:space="0" w:color="auto"/>
            </w:tcBorders>
          </w:tcPr>
          <w:p w:rsidR="001B0917" w:rsidRDefault="001B0917" w:rsidP="00B83E31">
            <w:pPr>
              <w:pStyle w:val="TableText0"/>
              <w:keepLines/>
              <w:jc w:val="center"/>
            </w:pPr>
            <w:r>
              <w:t>0.16 (-0.17, 0.49)</w:t>
            </w:r>
          </w:p>
        </w:tc>
        <w:tc>
          <w:tcPr>
            <w:tcW w:w="454" w:type="pct"/>
            <w:tcBorders>
              <w:top w:val="single" w:sz="4" w:space="0" w:color="auto"/>
              <w:bottom w:val="single" w:sz="4" w:space="0" w:color="auto"/>
              <w:right w:val="single" w:sz="4" w:space="0" w:color="auto"/>
            </w:tcBorders>
          </w:tcPr>
          <w:p w:rsidR="001B0917" w:rsidRDefault="001B0917" w:rsidP="00B83E31">
            <w:pPr>
              <w:pStyle w:val="TableText0"/>
              <w:keepLines/>
              <w:jc w:val="center"/>
            </w:pPr>
            <w:r w:rsidRPr="00FE5E3E">
              <w:t>NS</w:t>
            </w:r>
          </w:p>
        </w:tc>
      </w:tr>
      <w:tr w:rsidR="001B0917" w:rsidTr="00DA5F85">
        <w:tc>
          <w:tcPr>
            <w:tcW w:w="1229" w:type="pct"/>
            <w:tcBorders>
              <w:top w:val="single" w:sz="4" w:space="0" w:color="auto"/>
              <w:left w:val="single" w:sz="4" w:space="0" w:color="auto"/>
              <w:bottom w:val="single" w:sz="4" w:space="0" w:color="auto"/>
            </w:tcBorders>
          </w:tcPr>
          <w:p w:rsidR="001B0917" w:rsidRDefault="001B0917" w:rsidP="00B83E31">
            <w:pPr>
              <w:pStyle w:val="TableText0"/>
              <w:keepLines/>
            </w:pPr>
            <w:r>
              <w:t>Emotional impact</w:t>
            </w:r>
          </w:p>
        </w:tc>
        <w:tc>
          <w:tcPr>
            <w:tcW w:w="307" w:type="pct"/>
            <w:tcBorders>
              <w:top w:val="single" w:sz="4" w:space="0" w:color="auto"/>
              <w:bottom w:val="single" w:sz="4" w:space="0" w:color="auto"/>
            </w:tcBorders>
          </w:tcPr>
          <w:p w:rsidR="001B0917" w:rsidRPr="00711D0F" w:rsidRDefault="001B0917" w:rsidP="00B83E31">
            <w:pPr>
              <w:pStyle w:val="TableText0"/>
              <w:keepLines/>
              <w:jc w:val="center"/>
            </w:pPr>
            <w:r>
              <w:t>57</w:t>
            </w:r>
          </w:p>
        </w:tc>
        <w:tc>
          <w:tcPr>
            <w:tcW w:w="924" w:type="pct"/>
            <w:tcBorders>
              <w:top w:val="single" w:sz="4" w:space="0" w:color="auto"/>
              <w:bottom w:val="single" w:sz="4" w:space="0" w:color="auto"/>
            </w:tcBorders>
          </w:tcPr>
          <w:p w:rsidR="001B0917" w:rsidRDefault="001B0917" w:rsidP="00B83E31">
            <w:pPr>
              <w:pStyle w:val="TableText0"/>
              <w:keepLines/>
              <w:jc w:val="center"/>
            </w:pPr>
            <w:r>
              <w:t>0.44 (0.60)</w:t>
            </w:r>
          </w:p>
        </w:tc>
        <w:tc>
          <w:tcPr>
            <w:tcW w:w="308" w:type="pct"/>
            <w:tcBorders>
              <w:top w:val="single" w:sz="4" w:space="0" w:color="auto"/>
              <w:bottom w:val="single" w:sz="4" w:space="0" w:color="auto"/>
            </w:tcBorders>
          </w:tcPr>
          <w:p w:rsidR="001B0917" w:rsidRPr="007106EF" w:rsidRDefault="001B0917" w:rsidP="00B83E31">
            <w:pPr>
              <w:pStyle w:val="TableText0"/>
              <w:keepLines/>
              <w:jc w:val="center"/>
            </w:pPr>
            <w:r>
              <w:t>29</w:t>
            </w:r>
          </w:p>
        </w:tc>
        <w:tc>
          <w:tcPr>
            <w:tcW w:w="924" w:type="pct"/>
            <w:tcBorders>
              <w:top w:val="single" w:sz="4" w:space="0" w:color="auto"/>
              <w:bottom w:val="single" w:sz="4" w:space="0" w:color="auto"/>
            </w:tcBorders>
          </w:tcPr>
          <w:p w:rsidR="001B0917" w:rsidRDefault="001B0917" w:rsidP="00B83E31">
            <w:pPr>
              <w:pStyle w:val="TableText0"/>
              <w:keepLines/>
              <w:jc w:val="center"/>
            </w:pPr>
            <w:r>
              <w:t>0.24 (0.51)</w:t>
            </w:r>
          </w:p>
        </w:tc>
        <w:tc>
          <w:tcPr>
            <w:tcW w:w="854" w:type="pct"/>
            <w:tcBorders>
              <w:top w:val="single" w:sz="4" w:space="0" w:color="auto"/>
              <w:bottom w:val="single" w:sz="4" w:space="0" w:color="auto"/>
            </w:tcBorders>
          </w:tcPr>
          <w:p w:rsidR="001B0917" w:rsidRDefault="001B0917" w:rsidP="00B83E31">
            <w:pPr>
              <w:pStyle w:val="TableText0"/>
              <w:keepLines/>
              <w:jc w:val="center"/>
            </w:pPr>
            <w:r>
              <w:t>0.20 (-0.06, 0.46)</w:t>
            </w:r>
          </w:p>
        </w:tc>
        <w:tc>
          <w:tcPr>
            <w:tcW w:w="454" w:type="pct"/>
            <w:tcBorders>
              <w:top w:val="single" w:sz="4" w:space="0" w:color="auto"/>
              <w:bottom w:val="single" w:sz="4" w:space="0" w:color="auto"/>
              <w:right w:val="single" w:sz="4" w:space="0" w:color="auto"/>
            </w:tcBorders>
          </w:tcPr>
          <w:p w:rsidR="001B0917" w:rsidRDefault="001B0917" w:rsidP="00B83E31">
            <w:pPr>
              <w:pStyle w:val="TableText0"/>
              <w:keepLines/>
              <w:jc w:val="center"/>
            </w:pPr>
            <w:r w:rsidRPr="00FE5E3E">
              <w:t>NS</w:t>
            </w:r>
          </w:p>
        </w:tc>
      </w:tr>
      <w:tr w:rsidR="001B0917" w:rsidTr="00DA5F85">
        <w:tc>
          <w:tcPr>
            <w:tcW w:w="1229" w:type="pct"/>
            <w:tcBorders>
              <w:top w:val="single" w:sz="4" w:space="0" w:color="auto"/>
              <w:left w:val="single" w:sz="4" w:space="0" w:color="auto"/>
              <w:bottom w:val="single" w:sz="4" w:space="0" w:color="auto"/>
            </w:tcBorders>
          </w:tcPr>
          <w:p w:rsidR="001B0917" w:rsidRDefault="001B0917" w:rsidP="00B83E31">
            <w:pPr>
              <w:pStyle w:val="TableText0"/>
              <w:keepLines/>
            </w:pPr>
            <w:r>
              <w:t>Disease anxiety</w:t>
            </w:r>
          </w:p>
        </w:tc>
        <w:tc>
          <w:tcPr>
            <w:tcW w:w="307" w:type="pct"/>
            <w:tcBorders>
              <w:top w:val="single" w:sz="4" w:space="0" w:color="auto"/>
              <w:bottom w:val="single" w:sz="4" w:space="0" w:color="auto"/>
            </w:tcBorders>
          </w:tcPr>
          <w:p w:rsidR="001B0917" w:rsidRPr="00106D87" w:rsidRDefault="001B0917" w:rsidP="00B83E31">
            <w:pPr>
              <w:pStyle w:val="TableText0"/>
              <w:keepLines/>
              <w:jc w:val="center"/>
            </w:pPr>
            <w:r w:rsidRPr="00711D0F">
              <w:t>57</w:t>
            </w:r>
          </w:p>
        </w:tc>
        <w:tc>
          <w:tcPr>
            <w:tcW w:w="924" w:type="pct"/>
            <w:tcBorders>
              <w:top w:val="single" w:sz="4" w:space="0" w:color="auto"/>
              <w:bottom w:val="single" w:sz="4" w:space="0" w:color="auto"/>
            </w:tcBorders>
          </w:tcPr>
          <w:p w:rsidR="001B0917" w:rsidRDefault="001B0917" w:rsidP="00B83E31">
            <w:pPr>
              <w:pStyle w:val="TableText0"/>
              <w:keepLines/>
              <w:jc w:val="center"/>
            </w:pPr>
            <w:r>
              <w:t>0.31 (0.53)</w:t>
            </w:r>
          </w:p>
        </w:tc>
        <w:tc>
          <w:tcPr>
            <w:tcW w:w="308" w:type="pct"/>
            <w:tcBorders>
              <w:top w:val="single" w:sz="4" w:space="0" w:color="auto"/>
              <w:bottom w:val="single" w:sz="4" w:space="0" w:color="auto"/>
            </w:tcBorders>
          </w:tcPr>
          <w:p w:rsidR="001B0917" w:rsidRDefault="001B0917" w:rsidP="00B83E31">
            <w:pPr>
              <w:pStyle w:val="TableText0"/>
              <w:keepLines/>
              <w:jc w:val="center"/>
            </w:pPr>
            <w:r w:rsidRPr="007106EF">
              <w:t>29</w:t>
            </w:r>
          </w:p>
        </w:tc>
        <w:tc>
          <w:tcPr>
            <w:tcW w:w="924" w:type="pct"/>
            <w:tcBorders>
              <w:top w:val="single" w:sz="4" w:space="0" w:color="auto"/>
              <w:bottom w:val="single" w:sz="4" w:space="0" w:color="auto"/>
            </w:tcBorders>
          </w:tcPr>
          <w:p w:rsidR="001B0917" w:rsidRDefault="001B0917" w:rsidP="00B83E31">
            <w:pPr>
              <w:pStyle w:val="TableText0"/>
              <w:keepLines/>
              <w:jc w:val="center"/>
            </w:pPr>
            <w:r>
              <w:t>0.15 (0.49)</w:t>
            </w:r>
          </w:p>
        </w:tc>
        <w:tc>
          <w:tcPr>
            <w:tcW w:w="854" w:type="pct"/>
            <w:tcBorders>
              <w:top w:val="single" w:sz="4" w:space="0" w:color="auto"/>
              <w:bottom w:val="single" w:sz="4" w:space="0" w:color="auto"/>
            </w:tcBorders>
          </w:tcPr>
          <w:p w:rsidR="001B0917" w:rsidRDefault="001B0917" w:rsidP="00B83E31">
            <w:pPr>
              <w:pStyle w:val="TableText0"/>
              <w:keepLines/>
              <w:jc w:val="center"/>
            </w:pPr>
            <w:r>
              <w:t>0.16 (-0.08, 0.39)</w:t>
            </w:r>
          </w:p>
        </w:tc>
        <w:tc>
          <w:tcPr>
            <w:tcW w:w="454" w:type="pct"/>
            <w:tcBorders>
              <w:top w:val="single" w:sz="4" w:space="0" w:color="auto"/>
              <w:bottom w:val="single" w:sz="4" w:space="0" w:color="auto"/>
              <w:right w:val="single" w:sz="4" w:space="0" w:color="auto"/>
            </w:tcBorders>
          </w:tcPr>
          <w:p w:rsidR="001B0917" w:rsidRDefault="001B0917" w:rsidP="00B83E31">
            <w:pPr>
              <w:pStyle w:val="TableText0"/>
              <w:keepLines/>
              <w:jc w:val="center"/>
            </w:pPr>
            <w:r w:rsidRPr="00FE5E3E">
              <w:t>NS</w:t>
            </w:r>
          </w:p>
        </w:tc>
      </w:tr>
      <w:tr w:rsidR="001B0917" w:rsidTr="00DA5F85">
        <w:tc>
          <w:tcPr>
            <w:tcW w:w="1229" w:type="pct"/>
            <w:tcBorders>
              <w:top w:val="single" w:sz="4" w:space="0" w:color="auto"/>
              <w:left w:val="single" w:sz="4" w:space="0" w:color="auto"/>
              <w:bottom w:val="single" w:sz="4" w:space="0" w:color="auto"/>
            </w:tcBorders>
          </w:tcPr>
          <w:p w:rsidR="001B0917" w:rsidRDefault="001B0917" w:rsidP="00B83E31">
            <w:pPr>
              <w:pStyle w:val="TableText0"/>
              <w:keepLines/>
            </w:pPr>
            <w:r>
              <w:t>Swallowing anxiety</w:t>
            </w:r>
          </w:p>
        </w:tc>
        <w:tc>
          <w:tcPr>
            <w:tcW w:w="307" w:type="pct"/>
            <w:tcBorders>
              <w:top w:val="single" w:sz="4" w:space="0" w:color="auto"/>
              <w:bottom w:val="single" w:sz="4" w:space="0" w:color="auto"/>
            </w:tcBorders>
          </w:tcPr>
          <w:p w:rsidR="001B0917" w:rsidRPr="00106D87" w:rsidRDefault="001B0917" w:rsidP="00B83E31">
            <w:pPr>
              <w:pStyle w:val="TableText0"/>
              <w:keepLines/>
              <w:jc w:val="center"/>
            </w:pPr>
            <w:r w:rsidRPr="00711D0F">
              <w:t>57</w:t>
            </w:r>
          </w:p>
        </w:tc>
        <w:tc>
          <w:tcPr>
            <w:tcW w:w="924" w:type="pct"/>
            <w:tcBorders>
              <w:top w:val="single" w:sz="4" w:space="0" w:color="auto"/>
              <w:bottom w:val="single" w:sz="4" w:space="0" w:color="auto"/>
            </w:tcBorders>
          </w:tcPr>
          <w:p w:rsidR="001B0917" w:rsidRDefault="001B0917" w:rsidP="00B83E31">
            <w:pPr>
              <w:pStyle w:val="TableText0"/>
              <w:keepLines/>
              <w:jc w:val="center"/>
            </w:pPr>
            <w:r>
              <w:t>0.60 (0.78)</w:t>
            </w:r>
          </w:p>
        </w:tc>
        <w:tc>
          <w:tcPr>
            <w:tcW w:w="308" w:type="pct"/>
            <w:tcBorders>
              <w:top w:val="single" w:sz="4" w:space="0" w:color="auto"/>
              <w:bottom w:val="single" w:sz="4" w:space="0" w:color="auto"/>
            </w:tcBorders>
          </w:tcPr>
          <w:p w:rsidR="001B0917" w:rsidRDefault="001B0917" w:rsidP="00B83E31">
            <w:pPr>
              <w:pStyle w:val="TableText0"/>
              <w:keepLines/>
              <w:jc w:val="center"/>
            </w:pPr>
            <w:r w:rsidRPr="007106EF">
              <w:t>29</w:t>
            </w:r>
          </w:p>
        </w:tc>
        <w:tc>
          <w:tcPr>
            <w:tcW w:w="924" w:type="pct"/>
            <w:tcBorders>
              <w:top w:val="single" w:sz="4" w:space="0" w:color="auto"/>
              <w:bottom w:val="single" w:sz="4" w:space="0" w:color="auto"/>
            </w:tcBorders>
          </w:tcPr>
          <w:p w:rsidR="001B0917" w:rsidRDefault="001B0917" w:rsidP="00B83E31">
            <w:pPr>
              <w:pStyle w:val="TableText0"/>
              <w:keepLines/>
              <w:jc w:val="center"/>
            </w:pPr>
            <w:r>
              <w:t>0.40 (0.72)</w:t>
            </w:r>
          </w:p>
        </w:tc>
        <w:tc>
          <w:tcPr>
            <w:tcW w:w="854" w:type="pct"/>
            <w:tcBorders>
              <w:top w:val="single" w:sz="4" w:space="0" w:color="auto"/>
              <w:bottom w:val="single" w:sz="4" w:space="0" w:color="auto"/>
            </w:tcBorders>
          </w:tcPr>
          <w:p w:rsidR="001B0917" w:rsidRDefault="001B0917" w:rsidP="00B83E31">
            <w:pPr>
              <w:pStyle w:val="TableText0"/>
              <w:keepLines/>
              <w:jc w:val="center"/>
            </w:pPr>
            <w:r>
              <w:t>0.19 (-0.15, 0.54)</w:t>
            </w:r>
          </w:p>
        </w:tc>
        <w:tc>
          <w:tcPr>
            <w:tcW w:w="454" w:type="pct"/>
            <w:tcBorders>
              <w:top w:val="single" w:sz="4" w:space="0" w:color="auto"/>
              <w:bottom w:val="single" w:sz="4" w:space="0" w:color="auto"/>
              <w:right w:val="single" w:sz="4" w:space="0" w:color="auto"/>
            </w:tcBorders>
          </w:tcPr>
          <w:p w:rsidR="001B0917" w:rsidRDefault="001B0917" w:rsidP="00B83E31">
            <w:pPr>
              <w:pStyle w:val="TableText0"/>
              <w:keepLines/>
              <w:jc w:val="center"/>
            </w:pPr>
            <w:r w:rsidRPr="00FE5E3E">
              <w:t>NS</w:t>
            </w:r>
          </w:p>
        </w:tc>
      </w:tr>
    </w:tbl>
    <w:p w:rsidR="001B0917" w:rsidRDefault="001B0917" w:rsidP="00B83E31">
      <w:pPr>
        <w:pStyle w:val="Default"/>
        <w:keepNext/>
        <w:keepLines/>
        <w:jc w:val="both"/>
        <w:rPr>
          <w:rFonts w:ascii="Arial Narrow" w:eastAsia="Calibri" w:hAnsi="Arial Narrow" w:cs="Arial"/>
          <w:snapToGrid w:val="0"/>
          <w:color w:val="auto"/>
          <w:sz w:val="18"/>
          <w:szCs w:val="22"/>
          <w:lang w:val="en-AU" w:eastAsia="en-AU"/>
        </w:rPr>
      </w:pPr>
      <w:r>
        <w:rPr>
          <w:rFonts w:ascii="Arial Narrow" w:eastAsia="Calibri" w:hAnsi="Arial Narrow" w:cs="Arial"/>
          <w:snapToGrid w:val="0"/>
          <w:color w:val="auto"/>
          <w:sz w:val="18"/>
          <w:szCs w:val="22"/>
          <w:lang w:val="en-AU" w:eastAsia="en-AU"/>
        </w:rPr>
        <w:t xml:space="preserve">Source: Table 2-26, p116 of the submission. </w:t>
      </w:r>
    </w:p>
    <w:p w:rsidR="001B0917" w:rsidRPr="002E7447" w:rsidRDefault="001B0917" w:rsidP="001B0917">
      <w:pPr>
        <w:pStyle w:val="Default"/>
        <w:jc w:val="both"/>
        <w:rPr>
          <w:rFonts w:ascii="Arial Narrow" w:eastAsia="Calibri" w:hAnsi="Arial Narrow" w:cs="Arial"/>
          <w:snapToGrid w:val="0"/>
          <w:color w:val="auto"/>
          <w:sz w:val="18"/>
          <w:szCs w:val="22"/>
          <w:lang w:val="en-AU" w:eastAsia="en-AU"/>
        </w:rPr>
      </w:pPr>
      <w:r w:rsidRPr="002E7447">
        <w:rPr>
          <w:rFonts w:ascii="Arial Narrow" w:eastAsia="Calibri" w:hAnsi="Arial Narrow" w:cs="Arial"/>
          <w:snapToGrid w:val="0"/>
          <w:color w:val="auto"/>
          <w:sz w:val="18"/>
          <w:szCs w:val="22"/>
          <w:lang w:val="en-AU" w:eastAsia="en-AU"/>
        </w:rPr>
        <w:t>Abbreviations:</w:t>
      </w:r>
      <w:r>
        <w:rPr>
          <w:rFonts w:ascii="Arial Narrow" w:eastAsia="Calibri" w:hAnsi="Arial Narrow" w:cs="Arial"/>
          <w:snapToGrid w:val="0"/>
          <w:color w:val="auto"/>
          <w:sz w:val="18"/>
          <w:szCs w:val="22"/>
          <w:lang w:val="en-AU" w:eastAsia="en-AU"/>
        </w:rPr>
        <w:t xml:space="preserve"> </w:t>
      </w:r>
      <w:r w:rsidRPr="002E7447">
        <w:rPr>
          <w:rFonts w:ascii="Arial Narrow" w:eastAsia="Calibri" w:hAnsi="Arial Narrow" w:cs="Arial"/>
          <w:snapToGrid w:val="0"/>
          <w:color w:val="auto"/>
          <w:sz w:val="18"/>
          <w:szCs w:val="22"/>
          <w:lang w:val="en-AU" w:eastAsia="en-AU"/>
        </w:rPr>
        <w:t xml:space="preserve">BID = twice daily; BOT = budesonide orally disintegrating tablet; CI = confidence interval; DB = double-blind; FAS = full analysis set; LOCF = last observation carried forward; MD = mean difference; NS = not significant; PBO = placebo; SD = standard deviation; SHS = </w:t>
      </w:r>
      <w:r>
        <w:rPr>
          <w:rFonts w:ascii="Arial Narrow" w:eastAsia="Calibri" w:hAnsi="Arial Narrow" w:cs="Arial"/>
          <w:snapToGrid w:val="0"/>
          <w:color w:val="auto"/>
          <w:sz w:val="18"/>
          <w:szCs w:val="22"/>
          <w:lang w:val="en-AU" w:eastAsia="en-AU"/>
        </w:rPr>
        <w:t>s</w:t>
      </w:r>
      <w:r w:rsidRPr="002E7447">
        <w:rPr>
          <w:rFonts w:ascii="Arial Narrow" w:eastAsia="Calibri" w:hAnsi="Arial Narrow" w:cs="Arial"/>
          <w:snapToGrid w:val="0"/>
          <w:color w:val="auto"/>
          <w:sz w:val="18"/>
          <w:szCs w:val="22"/>
          <w:lang w:val="en-AU" w:eastAsia="en-AU"/>
        </w:rPr>
        <w:t xml:space="preserve">hort </w:t>
      </w:r>
      <w:r>
        <w:rPr>
          <w:rFonts w:ascii="Arial Narrow" w:eastAsia="Calibri" w:hAnsi="Arial Narrow" w:cs="Arial"/>
          <w:snapToGrid w:val="0"/>
          <w:color w:val="auto"/>
          <w:sz w:val="18"/>
          <w:szCs w:val="22"/>
          <w:lang w:val="en-AU" w:eastAsia="en-AU"/>
        </w:rPr>
        <w:t>h</w:t>
      </w:r>
      <w:r w:rsidRPr="002E7447">
        <w:rPr>
          <w:rFonts w:ascii="Arial Narrow" w:eastAsia="Calibri" w:hAnsi="Arial Narrow" w:cs="Arial"/>
          <w:snapToGrid w:val="0"/>
          <w:color w:val="auto"/>
          <w:sz w:val="18"/>
          <w:szCs w:val="22"/>
          <w:lang w:val="en-AU" w:eastAsia="en-AU"/>
        </w:rPr>
        <w:t xml:space="preserve">ealth </w:t>
      </w:r>
      <w:r>
        <w:rPr>
          <w:rFonts w:ascii="Arial Narrow" w:eastAsia="Calibri" w:hAnsi="Arial Narrow" w:cs="Arial"/>
          <w:snapToGrid w:val="0"/>
          <w:color w:val="auto"/>
          <w:sz w:val="18"/>
          <w:szCs w:val="22"/>
          <w:lang w:val="en-AU" w:eastAsia="en-AU"/>
        </w:rPr>
        <w:t>s</w:t>
      </w:r>
      <w:r w:rsidRPr="002E7447">
        <w:rPr>
          <w:rFonts w:ascii="Arial Narrow" w:eastAsia="Calibri" w:hAnsi="Arial Narrow" w:cs="Arial"/>
          <w:snapToGrid w:val="0"/>
          <w:color w:val="auto"/>
          <w:sz w:val="18"/>
          <w:szCs w:val="22"/>
          <w:lang w:val="en-AU" w:eastAsia="en-AU"/>
        </w:rPr>
        <w:t>urvey.</w:t>
      </w:r>
    </w:p>
    <w:p w:rsidR="001B0917" w:rsidRDefault="001B0917" w:rsidP="001B0917">
      <w:pPr>
        <w:pStyle w:val="Default"/>
        <w:jc w:val="both"/>
        <w:rPr>
          <w:rFonts w:ascii="Arial Narrow" w:eastAsia="Calibri" w:hAnsi="Arial Narrow" w:cs="Arial"/>
          <w:snapToGrid w:val="0"/>
          <w:color w:val="auto"/>
          <w:sz w:val="18"/>
          <w:szCs w:val="22"/>
          <w:lang w:val="en-AU" w:eastAsia="en-AU"/>
        </w:rPr>
      </w:pPr>
      <w:r>
        <w:rPr>
          <w:rFonts w:ascii="Arial Narrow" w:eastAsia="Calibri" w:hAnsi="Arial Narrow" w:cs="Arial"/>
          <w:snapToGrid w:val="0"/>
          <w:color w:val="auto"/>
          <w:sz w:val="18"/>
          <w:szCs w:val="22"/>
          <w:lang w:val="en-AU" w:eastAsia="en-AU"/>
        </w:rPr>
        <w:t xml:space="preserve">Notes: </w:t>
      </w:r>
      <w:r w:rsidR="00201C0B" w:rsidRPr="004C24C6">
        <w:rPr>
          <w:rFonts w:ascii="Arial Narrow" w:eastAsia="Calibri" w:hAnsi="Arial Narrow" w:cs="Arial"/>
          <w:snapToGrid w:val="0"/>
          <w:color w:val="auto"/>
          <w:sz w:val="18"/>
          <w:szCs w:val="22"/>
          <w:vertAlign w:val="superscript"/>
          <w:lang w:val="en-AU" w:eastAsia="en-AU"/>
        </w:rPr>
        <w:t>^</w:t>
      </w:r>
      <w:r w:rsidR="00201C0B">
        <w:rPr>
          <w:rFonts w:ascii="Arial Narrow" w:eastAsia="Calibri" w:hAnsi="Arial Narrow" w:cs="Arial"/>
          <w:snapToGrid w:val="0"/>
          <w:color w:val="auto"/>
          <w:sz w:val="18"/>
          <w:szCs w:val="22"/>
          <w:lang w:val="en-AU" w:eastAsia="en-AU"/>
        </w:rPr>
        <w:t xml:space="preserve">Typographical error was identified </w:t>
      </w:r>
      <w:r w:rsidR="000253D9">
        <w:rPr>
          <w:rFonts w:ascii="Arial Narrow" w:eastAsia="Calibri" w:hAnsi="Arial Narrow" w:cs="Arial"/>
          <w:snapToGrid w:val="0"/>
          <w:color w:val="auto"/>
          <w:sz w:val="18"/>
          <w:szCs w:val="22"/>
          <w:lang w:val="en-AU" w:eastAsia="en-AU"/>
        </w:rPr>
        <w:t xml:space="preserve">and corrected </w:t>
      </w:r>
      <w:r w:rsidR="00201C0B">
        <w:rPr>
          <w:rFonts w:ascii="Arial Narrow" w:eastAsia="Calibri" w:hAnsi="Arial Narrow" w:cs="Arial"/>
          <w:snapToGrid w:val="0"/>
          <w:color w:val="auto"/>
          <w:sz w:val="18"/>
          <w:szCs w:val="22"/>
          <w:lang w:val="en-AU" w:eastAsia="en-AU"/>
        </w:rPr>
        <w:t xml:space="preserve">during </w:t>
      </w:r>
      <w:r w:rsidR="00974012">
        <w:rPr>
          <w:rFonts w:ascii="Arial Narrow" w:eastAsia="Calibri" w:hAnsi="Arial Narrow" w:cs="Arial"/>
          <w:snapToGrid w:val="0"/>
          <w:color w:val="auto"/>
          <w:sz w:val="18"/>
          <w:szCs w:val="22"/>
          <w:lang w:val="en-AU" w:eastAsia="en-AU"/>
        </w:rPr>
        <w:t>evaluation</w:t>
      </w:r>
      <w:r w:rsidR="001A5BE8">
        <w:rPr>
          <w:rFonts w:ascii="Arial Narrow" w:eastAsia="Calibri" w:hAnsi="Arial Narrow" w:cs="Arial"/>
          <w:snapToGrid w:val="0"/>
          <w:color w:val="auto"/>
          <w:sz w:val="18"/>
          <w:szCs w:val="22"/>
          <w:lang w:val="en-AU" w:eastAsia="en-AU"/>
        </w:rPr>
        <w:t xml:space="preserve"> </w:t>
      </w:r>
      <w:r w:rsidR="001A5BE8" w:rsidRPr="001A5BE8">
        <w:rPr>
          <w:rFonts w:ascii="Arial Narrow" w:eastAsia="Calibri" w:hAnsi="Arial Narrow" w:cs="Arial"/>
          <w:snapToGrid w:val="0"/>
          <w:color w:val="auto"/>
          <w:sz w:val="18"/>
          <w:szCs w:val="22"/>
          <w:lang w:val="en-AU" w:eastAsia="en-AU"/>
        </w:rPr>
        <w:t>(corrections were obtained from EOS-</w:t>
      </w:r>
      <w:r w:rsidR="001A5BE8">
        <w:rPr>
          <w:rFonts w:ascii="Arial Narrow" w:eastAsia="Calibri" w:hAnsi="Arial Narrow" w:cs="Arial"/>
          <w:snapToGrid w:val="0"/>
          <w:color w:val="auto"/>
          <w:sz w:val="18"/>
          <w:szCs w:val="22"/>
          <w:lang w:val="en-AU" w:eastAsia="en-AU"/>
        </w:rPr>
        <w:t>1</w:t>
      </w:r>
      <w:r w:rsidR="001A5BE8" w:rsidRPr="001A5BE8">
        <w:rPr>
          <w:rFonts w:ascii="Arial Narrow" w:eastAsia="Calibri" w:hAnsi="Arial Narrow" w:cs="Arial"/>
          <w:snapToGrid w:val="0"/>
          <w:color w:val="auto"/>
          <w:sz w:val="18"/>
          <w:szCs w:val="22"/>
          <w:lang w:val="en-AU" w:eastAsia="en-AU"/>
        </w:rPr>
        <w:t xml:space="preserve"> CSR, p</w:t>
      </w:r>
      <w:r w:rsidR="002C5996">
        <w:rPr>
          <w:rFonts w:ascii="Arial Narrow" w:eastAsia="Calibri" w:hAnsi="Arial Narrow" w:cs="Arial"/>
          <w:snapToGrid w:val="0"/>
          <w:color w:val="auto"/>
          <w:sz w:val="18"/>
          <w:szCs w:val="22"/>
          <w:lang w:val="en-AU" w:eastAsia="en-AU"/>
        </w:rPr>
        <w:t>878</w:t>
      </w:r>
      <w:r w:rsidR="001A5BE8">
        <w:rPr>
          <w:rFonts w:ascii="Arial Narrow" w:eastAsia="Calibri" w:hAnsi="Arial Narrow" w:cs="Arial"/>
          <w:snapToGrid w:val="0"/>
          <w:color w:val="auto"/>
          <w:sz w:val="18"/>
          <w:szCs w:val="22"/>
          <w:lang w:val="en-AU" w:eastAsia="en-AU"/>
        </w:rPr>
        <w:t>)</w:t>
      </w:r>
      <w:r w:rsidR="00974012">
        <w:rPr>
          <w:rFonts w:ascii="Arial Narrow" w:eastAsia="Calibri" w:hAnsi="Arial Narrow" w:cs="Arial"/>
          <w:snapToGrid w:val="0"/>
          <w:color w:val="auto"/>
          <w:sz w:val="18"/>
          <w:szCs w:val="22"/>
          <w:lang w:val="en-AU" w:eastAsia="en-AU"/>
        </w:rPr>
        <w:t xml:space="preserve">. </w:t>
      </w:r>
      <w:r w:rsidRPr="00A05386">
        <w:rPr>
          <w:rFonts w:ascii="Arial Narrow" w:eastAsia="Calibri" w:hAnsi="Arial Narrow" w:cs="Arial"/>
          <w:b/>
          <w:bCs/>
          <w:snapToGrid w:val="0"/>
          <w:color w:val="auto"/>
          <w:sz w:val="18"/>
          <w:szCs w:val="22"/>
          <w:lang w:val="en-AU" w:eastAsia="en-AU"/>
        </w:rPr>
        <w:t>Bold</w:t>
      </w:r>
      <w:r w:rsidRPr="00A05386">
        <w:rPr>
          <w:rFonts w:ascii="Arial Narrow" w:eastAsia="Calibri" w:hAnsi="Arial Narrow" w:cs="Arial"/>
          <w:snapToGrid w:val="0"/>
          <w:color w:val="auto"/>
          <w:sz w:val="18"/>
          <w:szCs w:val="22"/>
          <w:lang w:val="en-AU" w:eastAsia="en-AU"/>
        </w:rPr>
        <w:t xml:space="preserve"> indicates statistically significant results</w:t>
      </w:r>
      <w:r>
        <w:rPr>
          <w:rFonts w:ascii="Arial Narrow" w:eastAsia="Calibri" w:hAnsi="Arial Narrow" w:cs="Arial"/>
          <w:snapToGrid w:val="0"/>
          <w:color w:val="auto"/>
          <w:sz w:val="18"/>
          <w:szCs w:val="22"/>
          <w:lang w:val="en-AU" w:eastAsia="en-AU"/>
        </w:rPr>
        <w:t>.</w:t>
      </w:r>
    </w:p>
    <w:p w:rsidR="001B0917" w:rsidRDefault="001B0917" w:rsidP="001B0917">
      <w:pPr>
        <w:pStyle w:val="Default"/>
        <w:jc w:val="both"/>
        <w:rPr>
          <w:rFonts w:ascii="Arial Narrow" w:eastAsia="Calibri" w:hAnsi="Arial Narrow" w:cs="Arial"/>
          <w:snapToGrid w:val="0"/>
          <w:color w:val="auto"/>
          <w:sz w:val="18"/>
          <w:szCs w:val="22"/>
          <w:lang w:val="en-AU" w:eastAsia="en-AU"/>
        </w:rPr>
      </w:pPr>
      <w:r w:rsidRPr="002E7447">
        <w:rPr>
          <w:rFonts w:ascii="Arial Narrow" w:eastAsia="Calibri" w:hAnsi="Arial Narrow" w:cs="Arial"/>
          <w:snapToGrid w:val="0"/>
          <w:color w:val="auto"/>
          <w:sz w:val="18"/>
          <w:szCs w:val="22"/>
          <w:lang w:val="en-AU" w:eastAsia="en-AU"/>
        </w:rPr>
        <w:t>a. p-value estimated based on confidence intervals as exact p-value was not reported</w:t>
      </w:r>
      <w:r>
        <w:rPr>
          <w:rFonts w:ascii="Arial Narrow" w:eastAsia="Calibri" w:hAnsi="Arial Narrow" w:cs="Arial"/>
          <w:snapToGrid w:val="0"/>
          <w:color w:val="auto"/>
          <w:sz w:val="18"/>
          <w:szCs w:val="22"/>
          <w:lang w:val="en-AU" w:eastAsia="en-AU"/>
        </w:rPr>
        <w:t>.</w:t>
      </w:r>
    </w:p>
    <w:p w:rsidR="001B0917" w:rsidRDefault="001B0917" w:rsidP="001B0917">
      <w:pPr>
        <w:pStyle w:val="Default"/>
        <w:jc w:val="both"/>
        <w:rPr>
          <w:rFonts w:ascii="Arial Narrow" w:eastAsia="Calibri" w:hAnsi="Arial Narrow" w:cs="Arial"/>
          <w:snapToGrid w:val="0"/>
          <w:color w:val="auto"/>
          <w:sz w:val="18"/>
          <w:szCs w:val="22"/>
          <w:lang w:val="en-AU" w:eastAsia="en-AU"/>
        </w:rPr>
      </w:pPr>
    </w:p>
    <w:p w:rsidR="002520F5" w:rsidRPr="006C5245" w:rsidRDefault="002520F5" w:rsidP="002520F5">
      <w:pPr>
        <w:pStyle w:val="3-BodyText"/>
        <w:rPr>
          <w:i/>
          <w:iCs/>
        </w:rPr>
      </w:pPr>
      <w:r w:rsidRPr="00F606C0">
        <w:t xml:space="preserve">The mean absolute change in </w:t>
      </w:r>
      <w:r w:rsidR="00F8361C">
        <w:t xml:space="preserve">the </w:t>
      </w:r>
      <w:r w:rsidRPr="00F606C0">
        <w:t>EoE-QoL-A questionnaire overall score (30 items) was greater for the BOT 1 mg (0.47) versus the placebo group (0.24), indicating greater improvement in QoL from baseline for the patients in the BOT 1 mg group, albeit this difference was not statistically significant. There were, however, statistically significant differences in favour of BOT for the eating/diet impact (in both 10, and 4 items). The absolute change in Short Health Survey (modSHS) mean scores from baseline to week 6 were greater in the BOT 1 mg group, versus the placebo group.</w:t>
      </w:r>
    </w:p>
    <w:p w:rsidR="002520F5" w:rsidRPr="00D64161" w:rsidRDefault="002520F5" w:rsidP="001B0917">
      <w:pPr>
        <w:pStyle w:val="Default"/>
        <w:jc w:val="both"/>
        <w:rPr>
          <w:rFonts w:ascii="Arial Narrow" w:eastAsia="Calibri" w:hAnsi="Arial Narrow" w:cs="Arial"/>
          <w:snapToGrid w:val="0"/>
          <w:color w:val="auto"/>
          <w:sz w:val="18"/>
          <w:szCs w:val="22"/>
          <w:lang w:val="en-AU" w:eastAsia="en-AU"/>
        </w:rPr>
      </w:pPr>
    </w:p>
    <w:p w:rsidR="001B0917" w:rsidRPr="006D2E20" w:rsidRDefault="001B0917" w:rsidP="001B0917">
      <w:pPr>
        <w:pStyle w:val="3-BodyText"/>
        <w:numPr>
          <w:ilvl w:val="0"/>
          <w:numId w:val="0"/>
        </w:numPr>
        <w:ind w:left="720" w:hanging="720"/>
        <w:rPr>
          <w:u w:val="single"/>
        </w:rPr>
      </w:pPr>
      <w:r w:rsidRPr="006D2E20">
        <w:rPr>
          <w:u w:val="single"/>
        </w:rPr>
        <w:t>EOS-2 (maintenance of remission)</w:t>
      </w:r>
    </w:p>
    <w:p w:rsidR="00BE0D4A" w:rsidRDefault="008E3DCC" w:rsidP="00BE0D4A">
      <w:pPr>
        <w:pStyle w:val="3-BodyText"/>
      </w:pPr>
      <w:r w:rsidRPr="008E3DCC">
        <w:t xml:space="preserve">Maintenance of clinicohistologic remission was defined as </w:t>
      </w:r>
      <w:r w:rsidR="00F8361C">
        <w:t>absence</w:t>
      </w:r>
      <w:r w:rsidRPr="008E3DCC">
        <w:t xml:space="preserve"> of the following criteria at any time during the 48-week DB treatment phase:</w:t>
      </w:r>
    </w:p>
    <w:p w:rsidR="00BE0D4A" w:rsidRDefault="00BE0D4A" w:rsidP="00437FE5">
      <w:pPr>
        <w:pStyle w:val="3-BodyText"/>
        <w:numPr>
          <w:ilvl w:val="0"/>
          <w:numId w:val="12"/>
        </w:numPr>
      </w:pPr>
      <w:r>
        <w:t xml:space="preserve">Clinical relapse, i.e., symptom score of ≥4 points for dysphagia or odynodysphagia, respectively, (based on </w:t>
      </w:r>
      <w:r w:rsidR="00381EF3">
        <w:t>7-day</w:t>
      </w:r>
      <w:r>
        <w:t xml:space="preserve"> recall, using 0-10 point NRS) </w:t>
      </w:r>
    </w:p>
    <w:p w:rsidR="00BE0D4A" w:rsidRDefault="00BE0D4A" w:rsidP="00437FE5">
      <w:pPr>
        <w:pStyle w:val="3-BodyText"/>
        <w:numPr>
          <w:ilvl w:val="0"/>
          <w:numId w:val="12"/>
        </w:numPr>
      </w:pPr>
      <w:r>
        <w:t>Histological relapse, i.e., a peak of ≥48 eos/mm</w:t>
      </w:r>
      <w:r w:rsidRPr="009E07EC">
        <w:rPr>
          <w:vertAlign w:val="superscript"/>
        </w:rPr>
        <w:t>2</w:t>
      </w:r>
      <w:r>
        <w:t xml:space="preserve"> hpf at week 48/EOT</w:t>
      </w:r>
    </w:p>
    <w:p w:rsidR="00BE0D4A" w:rsidRDefault="00BE0D4A" w:rsidP="00437FE5">
      <w:pPr>
        <w:pStyle w:val="3-BodyText"/>
        <w:numPr>
          <w:ilvl w:val="0"/>
          <w:numId w:val="12"/>
        </w:numPr>
      </w:pPr>
      <w:r>
        <w:t>Experiencing a food impaction requiring endoscopic intervention at any time</w:t>
      </w:r>
    </w:p>
    <w:p w:rsidR="00BE0D4A" w:rsidRDefault="00BE0D4A" w:rsidP="00437FE5">
      <w:pPr>
        <w:pStyle w:val="3-BodyText"/>
        <w:numPr>
          <w:ilvl w:val="0"/>
          <w:numId w:val="12"/>
        </w:numPr>
      </w:pPr>
      <w:r>
        <w:t>Need for an endoscopic dilation at any time</w:t>
      </w:r>
    </w:p>
    <w:p w:rsidR="00BE1AE0" w:rsidRPr="00F8361C" w:rsidRDefault="00BE0D4A" w:rsidP="00437FE5">
      <w:pPr>
        <w:pStyle w:val="3-BodyText"/>
        <w:numPr>
          <w:ilvl w:val="0"/>
          <w:numId w:val="12"/>
        </w:numPr>
      </w:pPr>
      <w:r>
        <w:t>Premature withdrawal for any reason</w:t>
      </w:r>
    </w:p>
    <w:p w:rsidR="0060798E" w:rsidRDefault="00157A84" w:rsidP="001B0917">
      <w:pPr>
        <w:pStyle w:val="3-BodyText"/>
        <w:rPr>
          <w:i/>
          <w:iCs/>
        </w:rPr>
      </w:pPr>
      <w:r>
        <w:t xml:space="preserve">The key results for primary and secondary endpoints are presented in Table 6 and Table 7. </w:t>
      </w:r>
      <w:r w:rsidR="001B0917" w:rsidRPr="006D2E20">
        <w:t xml:space="preserve">The percentage of study subjects maintaining clinicohistologic remission after 48 weeks in the FAS-DB treatment phase was 75.0% (51/68) in the BOT 1 mg BID group, 73.5% (50/68) in the BOT 0.5 mg BID group and 4.4% (3/68) in the placebo group. The submission stated that the one-sided p-value resulting from the normal approximation test was &lt;0.001, indicating a statistically significant treatment effect in favour of both BOT regimens; BOT 1 mg BID versus placebo (difference: 70.60%; 97.5% CI: 57.56%, 83.61%); BOT 0.5 mg BID versus placebo (difference: 69.1%; 95% CI: 55.89%, 82.34%). </w:t>
      </w:r>
      <w:r w:rsidR="001B0917" w:rsidRPr="00D34648">
        <w:rPr>
          <w:iCs/>
        </w:rPr>
        <w:t>This was reasonable.</w:t>
      </w:r>
      <w:r w:rsidR="001B0917" w:rsidRPr="00D34648">
        <w:t xml:space="preserve"> </w:t>
      </w:r>
      <w:r w:rsidR="001B0917" w:rsidRPr="00D34648">
        <w:rPr>
          <w:iCs/>
        </w:rPr>
        <w:t xml:space="preserve">As noted, </w:t>
      </w:r>
      <w:r w:rsidR="006C08AF" w:rsidRPr="00D34648">
        <w:rPr>
          <w:iCs/>
        </w:rPr>
        <w:t xml:space="preserve">a </w:t>
      </w:r>
      <w:r w:rsidR="001B0917" w:rsidRPr="00D34648">
        <w:rPr>
          <w:iCs/>
        </w:rPr>
        <w:t>statistically significant treatment effect in favour of BOT 0.5 mg was also observed in EOS-2, indicating superiority of this strength against placebo in the maintenance setting (48 weeks).</w:t>
      </w:r>
      <w:r w:rsidR="001B0917">
        <w:rPr>
          <w:i/>
          <w:iCs/>
        </w:rPr>
        <w:t xml:space="preserve">   </w:t>
      </w:r>
    </w:p>
    <w:p w:rsidR="00DD5816" w:rsidRPr="00DD5816" w:rsidRDefault="001B0917" w:rsidP="0028732F">
      <w:pPr>
        <w:pStyle w:val="3-BodyText"/>
        <w:rPr>
          <w:rStyle w:val="CommentReference"/>
          <w:rFonts w:eastAsiaTheme="majorEastAsia" w:cstheme="majorBidi"/>
          <w:bCs/>
          <w:szCs w:val="24"/>
        </w:rPr>
      </w:pPr>
      <w:r>
        <w:t>Results from</w:t>
      </w:r>
      <w:r w:rsidR="006C08AF">
        <w:t xml:space="preserve"> the</w:t>
      </w:r>
      <w:r>
        <w:t xml:space="preserve"> secondary endpoints of histological relapse, clinical relapse, mean change in the peak eos/mm² hpf, clinical remission, deep disease remission, at 48 weeks showed a statistically significant treatment effect in favour of both BOT regimens (0.5 and 1 mg) versus placebo. </w:t>
      </w:r>
    </w:p>
    <w:p w:rsidR="001B0917" w:rsidRPr="00D6730A" w:rsidRDefault="001B0917" w:rsidP="00645185">
      <w:pPr>
        <w:keepNext/>
        <w:keepLines/>
        <w:rPr>
          <w:rStyle w:val="CommentReference"/>
          <w:rFonts w:eastAsiaTheme="majorEastAsia" w:cstheme="majorBidi"/>
          <w:bCs/>
          <w:szCs w:val="24"/>
        </w:rPr>
      </w:pPr>
      <w:r w:rsidRPr="00D6730A">
        <w:rPr>
          <w:rStyle w:val="CommentReference"/>
          <w:rFonts w:eastAsiaTheme="majorEastAsia" w:cstheme="majorBidi"/>
          <w:bCs/>
          <w:szCs w:val="24"/>
        </w:rPr>
        <w:t>Table</w:t>
      </w:r>
      <w:r>
        <w:rPr>
          <w:rStyle w:val="CommentReference"/>
          <w:rFonts w:eastAsiaTheme="majorEastAsia" w:cstheme="majorBidi"/>
          <w:bCs/>
          <w:szCs w:val="24"/>
        </w:rPr>
        <w:t xml:space="preserve"> 6: </w:t>
      </w:r>
      <w:r w:rsidRPr="00D6730A">
        <w:rPr>
          <w:rStyle w:val="CommentReference"/>
          <w:rFonts w:eastAsiaTheme="majorEastAsia" w:cstheme="majorBidi"/>
          <w:bCs/>
          <w:szCs w:val="24"/>
        </w:rPr>
        <w:t>Results for key endpoints in the EOS-2</w:t>
      </w:r>
      <w:r>
        <w:rPr>
          <w:rStyle w:val="CommentReference"/>
          <w:rFonts w:eastAsiaTheme="majorEastAsia" w:cstheme="majorBidi"/>
          <w:bCs/>
          <w:szCs w:val="24"/>
        </w:rPr>
        <w:t xml:space="preserve"> </w:t>
      </w:r>
      <w:r w:rsidRPr="00D6730A">
        <w:rPr>
          <w:rStyle w:val="CommentReference"/>
          <w:rFonts w:eastAsiaTheme="majorEastAsia" w:cstheme="majorBidi"/>
          <w:bCs/>
          <w:szCs w:val="24"/>
        </w:rPr>
        <w:t>maintenance of remission study</w:t>
      </w:r>
    </w:p>
    <w:tbl>
      <w:tblPr>
        <w:tblStyle w:val="TableGrid"/>
        <w:tblW w:w="5028" w:type="pct"/>
        <w:tblLayout w:type="fixed"/>
        <w:tblLook w:val="04A0" w:firstRow="1" w:lastRow="0" w:firstColumn="1" w:lastColumn="0" w:noHBand="0" w:noVBand="1"/>
        <w:tblCaption w:val="Table 6: Results for key endpoints in the EOS-2 maintenance of remission study"/>
      </w:tblPr>
      <w:tblGrid>
        <w:gridCol w:w="1830"/>
        <w:gridCol w:w="718"/>
        <w:gridCol w:w="707"/>
        <w:gridCol w:w="707"/>
        <w:gridCol w:w="996"/>
        <w:gridCol w:w="994"/>
        <w:gridCol w:w="707"/>
        <w:gridCol w:w="850"/>
        <w:gridCol w:w="709"/>
        <w:gridCol w:w="849"/>
      </w:tblGrid>
      <w:tr w:rsidR="00C7699D" w:rsidRPr="008F1A97" w:rsidTr="00C7699D">
        <w:trPr>
          <w:tblHeader/>
        </w:trPr>
        <w:tc>
          <w:tcPr>
            <w:tcW w:w="1009" w:type="pct"/>
            <w:vMerge w:val="restart"/>
            <w:tcMar>
              <w:left w:w="28" w:type="dxa"/>
              <w:right w:w="28" w:type="dxa"/>
            </w:tcMar>
          </w:tcPr>
          <w:p w:rsidR="001730C9" w:rsidRPr="008F1A97" w:rsidRDefault="001730C9" w:rsidP="00645185">
            <w:pPr>
              <w:keepNext/>
              <w:keepLines/>
              <w:widowControl w:val="0"/>
              <w:jc w:val="left"/>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Outcome measure</w:t>
            </w:r>
          </w:p>
        </w:tc>
        <w:tc>
          <w:tcPr>
            <w:tcW w:w="396" w:type="pct"/>
            <w:vMerge w:val="restart"/>
            <w:tcMar>
              <w:left w:w="28" w:type="dxa"/>
              <w:right w:w="28" w:type="dxa"/>
            </w:tcMar>
          </w:tcPr>
          <w:p w:rsidR="001730C9" w:rsidRPr="008F1A97" w:rsidRDefault="001730C9" w:rsidP="00645185">
            <w:pPr>
              <w:keepNext/>
              <w:keepLines/>
              <w:widowControl w:val="0"/>
              <w:jc w:val="center"/>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 xml:space="preserve">BOT </w:t>
            </w:r>
            <w:r w:rsidR="00C7699D">
              <w:rPr>
                <w:rFonts w:ascii="Arial Narrow" w:eastAsia="TimesNewRoman" w:hAnsi="Arial Narrow" w:cs="Times New Roman"/>
                <w:b/>
                <w:bCs/>
                <w:color w:val="000000"/>
                <w:sz w:val="20"/>
                <w:szCs w:val="20"/>
                <w:lang w:val="en-US"/>
              </w:rPr>
              <w:br/>
            </w:r>
            <w:r w:rsidRPr="008F1A97">
              <w:rPr>
                <w:rFonts w:ascii="Arial Narrow" w:eastAsia="TimesNewRoman" w:hAnsi="Arial Narrow" w:cs="Times New Roman"/>
                <w:b/>
                <w:bCs/>
                <w:color w:val="000000"/>
                <w:sz w:val="20"/>
                <w:szCs w:val="20"/>
                <w:lang w:val="en-US"/>
              </w:rPr>
              <w:t xml:space="preserve">1 mg BID </w:t>
            </w:r>
            <w:r w:rsidRPr="008F1A97">
              <w:rPr>
                <w:rFonts w:ascii="Arial Narrow" w:eastAsia="TimesNewRoman" w:hAnsi="Arial Narrow" w:cs="Times New Roman"/>
                <w:b/>
                <w:bCs/>
                <w:color w:val="000000"/>
                <w:sz w:val="20"/>
                <w:szCs w:val="20"/>
                <w:lang w:val="en-US"/>
              </w:rPr>
              <w:br/>
              <w:t>N=68</w:t>
            </w:r>
          </w:p>
        </w:tc>
        <w:tc>
          <w:tcPr>
            <w:tcW w:w="390" w:type="pct"/>
            <w:vMerge w:val="restart"/>
            <w:tcMar>
              <w:left w:w="28" w:type="dxa"/>
              <w:right w:w="28" w:type="dxa"/>
            </w:tcMar>
          </w:tcPr>
          <w:p w:rsidR="001730C9"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BOT</w:t>
            </w:r>
            <w:r w:rsidR="00C7699D">
              <w:rPr>
                <w:rFonts w:ascii="Arial Narrow" w:eastAsia="TimesNewRoman" w:hAnsi="Arial Narrow" w:cs="Times New Roman"/>
                <w:b/>
                <w:bCs/>
                <w:color w:val="000000"/>
                <w:sz w:val="20"/>
                <w:szCs w:val="20"/>
                <w:lang w:val="en-US"/>
              </w:rPr>
              <w:br/>
            </w:r>
            <w:r>
              <w:rPr>
                <w:rFonts w:ascii="Arial Narrow" w:eastAsia="TimesNewRoman" w:hAnsi="Arial Narrow" w:cs="Times New Roman"/>
                <w:b/>
                <w:bCs/>
                <w:color w:val="000000"/>
                <w:sz w:val="20"/>
                <w:szCs w:val="20"/>
                <w:lang w:val="en-US"/>
              </w:rPr>
              <w:t>0.5 mg BID</w:t>
            </w:r>
          </w:p>
          <w:p w:rsidR="001730C9" w:rsidRPr="008F1A97"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N=68</w:t>
            </w:r>
          </w:p>
        </w:tc>
        <w:tc>
          <w:tcPr>
            <w:tcW w:w="390" w:type="pct"/>
            <w:vMerge w:val="restart"/>
            <w:tcMar>
              <w:left w:w="28" w:type="dxa"/>
              <w:right w:w="28" w:type="dxa"/>
            </w:tcMar>
          </w:tcPr>
          <w:p w:rsidR="001730C9" w:rsidRPr="008F1A97"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Placebo</w:t>
            </w:r>
          </w:p>
          <w:p w:rsidR="001730C9" w:rsidRPr="008F1A97" w:rsidRDefault="001730C9" w:rsidP="00645185">
            <w:pPr>
              <w:keepNext/>
              <w:keepLines/>
              <w:widowControl w:val="0"/>
              <w:jc w:val="center"/>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N=68</w:t>
            </w:r>
          </w:p>
        </w:tc>
        <w:tc>
          <w:tcPr>
            <w:tcW w:w="1097" w:type="pct"/>
            <w:gridSpan w:val="2"/>
            <w:tcMar>
              <w:left w:w="28" w:type="dxa"/>
              <w:right w:w="28" w:type="dxa"/>
            </w:tcMar>
          </w:tcPr>
          <w:p w:rsidR="001730C9" w:rsidRPr="008F1A97" w:rsidRDefault="001730C9" w:rsidP="00645185">
            <w:pPr>
              <w:keepNext/>
              <w:keepLines/>
              <w:widowControl w:val="0"/>
              <w:jc w:val="center"/>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Treatment difference</w:t>
            </w:r>
          </w:p>
          <w:p w:rsidR="001730C9" w:rsidRDefault="00B430D2" w:rsidP="00645185">
            <w:pPr>
              <w:keepNext/>
              <w:keepLines/>
              <w:widowControl w:val="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(from placebo)</w:t>
            </w:r>
          </w:p>
        </w:tc>
        <w:tc>
          <w:tcPr>
            <w:tcW w:w="859" w:type="pct"/>
            <w:gridSpan w:val="2"/>
            <w:tcMar>
              <w:left w:w="28" w:type="dxa"/>
              <w:right w:w="28" w:type="dxa"/>
            </w:tcMar>
          </w:tcPr>
          <w:p w:rsidR="001730C9" w:rsidRPr="00C7699D" w:rsidRDefault="001730C9" w:rsidP="00C7699D">
            <w:pPr>
              <w:keepNext/>
              <w:keepLines/>
              <w:widowControl w:val="0"/>
              <w:jc w:val="center"/>
              <w:rPr>
                <w:rFonts w:ascii="Arial Narrow" w:eastAsia="TimesNewRoman" w:hAnsi="Arial Narrow" w:cs="Times New Roman"/>
                <w:b/>
                <w:bCs/>
                <w:color w:val="000000"/>
                <w:sz w:val="20"/>
                <w:szCs w:val="20"/>
                <w:vertAlign w:val="superscript"/>
                <w:lang w:val="en-US"/>
              </w:rPr>
            </w:pPr>
            <w:r>
              <w:rPr>
                <w:rFonts w:ascii="Arial Narrow" w:eastAsia="TimesNewRoman" w:hAnsi="Arial Narrow" w:cs="Times New Roman"/>
                <w:b/>
                <w:bCs/>
                <w:color w:val="000000"/>
                <w:sz w:val="20"/>
                <w:szCs w:val="20"/>
                <w:lang w:val="en-US"/>
              </w:rPr>
              <w:t>RR</w:t>
            </w:r>
            <w:r w:rsidRPr="00314C81">
              <w:rPr>
                <w:rFonts w:ascii="Arial Narrow" w:eastAsia="TimesNewRoman" w:hAnsi="Arial Narrow" w:cs="Times New Roman"/>
                <w:b/>
                <w:bCs/>
                <w:color w:val="000000"/>
                <w:sz w:val="20"/>
                <w:szCs w:val="20"/>
                <w:lang w:val="en-US"/>
              </w:rPr>
              <w:t xml:space="preserve"> </w:t>
            </w:r>
            <w:r w:rsidR="00C7699D">
              <w:rPr>
                <w:rFonts w:ascii="Arial Narrow" w:eastAsia="TimesNewRoman" w:hAnsi="Arial Narrow" w:cs="Times New Roman"/>
                <w:b/>
                <w:bCs/>
                <w:color w:val="000000"/>
                <w:sz w:val="20"/>
                <w:szCs w:val="20"/>
                <w:lang w:val="en-US"/>
              </w:rPr>
              <w:br/>
            </w:r>
            <w:r w:rsidRPr="00314C81">
              <w:rPr>
                <w:rFonts w:ascii="Arial Narrow" w:eastAsia="TimesNewRoman" w:hAnsi="Arial Narrow" w:cs="Times New Roman"/>
                <w:b/>
                <w:bCs/>
                <w:color w:val="000000"/>
                <w:sz w:val="20"/>
                <w:szCs w:val="20"/>
                <w:lang w:val="en-US"/>
              </w:rPr>
              <w:t>(95%CI)</w:t>
            </w:r>
            <w:r w:rsidR="00C7699D">
              <w:rPr>
                <w:rFonts w:ascii="Arial Narrow" w:eastAsia="TimesNewRoman" w:hAnsi="Arial Narrow" w:cs="Times New Roman"/>
                <w:b/>
                <w:bCs/>
                <w:color w:val="000000"/>
                <w:sz w:val="20"/>
                <w:szCs w:val="20"/>
                <w:vertAlign w:val="superscript"/>
                <w:lang w:val="en-US"/>
              </w:rPr>
              <w:t>a</w:t>
            </w:r>
          </w:p>
        </w:tc>
        <w:tc>
          <w:tcPr>
            <w:tcW w:w="860" w:type="pct"/>
            <w:gridSpan w:val="2"/>
            <w:tcMar>
              <w:left w:w="28" w:type="dxa"/>
              <w:right w:w="28" w:type="dxa"/>
            </w:tcMar>
          </w:tcPr>
          <w:p w:rsidR="001730C9" w:rsidRDefault="001730C9" w:rsidP="00645185">
            <w:pPr>
              <w:keepNext/>
              <w:keepLines/>
              <w:widowControl w:val="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RD</w:t>
            </w:r>
            <w:r w:rsidRPr="00314C81">
              <w:rPr>
                <w:rFonts w:ascii="Arial Narrow" w:eastAsia="TimesNewRoman" w:hAnsi="Arial Narrow" w:cs="Times New Roman"/>
                <w:b/>
                <w:bCs/>
                <w:color w:val="000000"/>
                <w:sz w:val="20"/>
                <w:szCs w:val="20"/>
                <w:lang w:val="en-US"/>
              </w:rPr>
              <w:t xml:space="preserve"> </w:t>
            </w:r>
            <w:r w:rsidR="00C7699D">
              <w:rPr>
                <w:rFonts w:ascii="Arial Narrow" w:eastAsia="TimesNewRoman" w:hAnsi="Arial Narrow" w:cs="Times New Roman"/>
                <w:b/>
                <w:bCs/>
                <w:color w:val="000000"/>
                <w:sz w:val="20"/>
                <w:szCs w:val="20"/>
                <w:lang w:val="en-US"/>
              </w:rPr>
              <w:br/>
            </w:r>
            <w:r w:rsidRPr="00314C81">
              <w:rPr>
                <w:rFonts w:ascii="Arial Narrow" w:eastAsia="TimesNewRoman" w:hAnsi="Arial Narrow" w:cs="Times New Roman"/>
                <w:b/>
                <w:bCs/>
                <w:color w:val="000000"/>
                <w:sz w:val="20"/>
                <w:szCs w:val="20"/>
                <w:lang w:val="en-US"/>
              </w:rPr>
              <w:t>(95%CI)</w:t>
            </w:r>
            <w:r>
              <w:rPr>
                <w:rFonts w:ascii="Arial Narrow" w:eastAsia="TimesNewRoman" w:hAnsi="Arial Narrow" w:cs="Times New Roman"/>
                <w:b/>
                <w:bCs/>
                <w:color w:val="000000"/>
                <w:sz w:val="20"/>
                <w:szCs w:val="20"/>
                <w:vertAlign w:val="superscript"/>
                <w:lang w:val="en-US"/>
              </w:rPr>
              <w:t>a</w:t>
            </w:r>
          </w:p>
        </w:tc>
      </w:tr>
      <w:tr w:rsidR="00C7699D" w:rsidRPr="008F1A97" w:rsidTr="00C7699D">
        <w:trPr>
          <w:tblHeader/>
        </w:trPr>
        <w:tc>
          <w:tcPr>
            <w:tcW w:w="1009" w:type="pct"/>
            <w:vMerge/>
            <w:tcMar>
              <w:left w:w="28" w:type="dxa"/>
              <w:right w:w="28" w:type="dxa"/>
            </w:tcMar>
          </w:tcPr>
          <w:p w:rsidR="00282F00" w:rsidRPr="008F1A97" w:rsidRDefault="00282F00" w:rsidP="00645185">
            <w:pPr>
              <w:keepNext/>
              <w:keepLines/>
              <w:widowControl w:val="0"/>
              <w:jc w:val="left"/>
              <w:rPr>
                <w:rFonts w:ascii="Arial Narrow" w:eastAsia="TimesNewRoman" w:hAnsi="Arial Narrow" w:cs="Times New Roman"/>
                <w:b/>
                <w:bCs/>
                <w:color w:val="000000"/>
                <w:sz w:val="20"/>
                <w:szCs w:val="20"/>
                <w:lang w:val="en-US"/>
              </w:rPr>
            </w:pPr>
          </w:p>
        </w:tc>
        <w:tc>
          <w:tcPr>
            <w:tcW w:w="396" w:type="pct"/>
            <w:vMerge/>
            <w:tcMar>
              <w:left w:w="28" w:type="dxa"/>
              <w:right w:w="28" w:type="dxa"/>
            </w:tcMar>
          </w:tcPr>
          <w:p w:rsidR="00282F00" w:rsidRPr="008F1A97" w:rsidRDefault="00282F00" w:rsidP="00645185">
            <w:pPr>
              <w:keepNext/>
              <w:keepLines/>
              <w:widowControl w:val="0"/>
              <w:jc w:val="center"/>
              <w:rPr>
                <w:rFonts w:ascii="Arial Narrow" w:eastAsia="TimesNewRoman" w:hAnsi="Arial Narrow" w:cs="Times New Roman"/>
                <w:b/>
                <w:bCs/>
                <w:color w:val="000000"/>
                <w:sz w:val="20"/>
                <w:szCs w:val="20"/>
                <w:lang w:val="en-US"/>
              </w:rPr>
            </w:pPr>
          </w:p>
        </w:tc>
        <w:tc>
          <w:tcPr>
            <w:tcW w:w="390" w:type="pct"/>
            <w:vMerge/>
            <w:tcMar>
              <w:left w:w="28" w:type="dxa"/>
              <w:right w:w="28" w:type="dxa"/>
            </w:tcMar>
          </w:tcPr>
          <w:p w:rsidR="00282F00" w:rsidRDefault="00282F00" w:rsidP="00645185">
            <w:pPr>
              <w:keepNext/>
              <w:keepLines/>
              <w:widowControl w:val="0"/>
              <w:spacing w:before="20" w:after="20"/>
              <w:jc w:val="center"/>
              <w:rPr>
                <w:rFonts w:ascii="Arial Narrow" w:eastAsia="TimesNewRoman" w:hAnsi="Arial Narrow" w:cs="Times New Roman"/>
                <w:b/>
                <w:bCs/>
                <w:color w:val="000000"/>
                <w:sz w:val="20"/>
                <w:szCs w:val="20"/>
                <w:lang w:val="en-US"/>
              </w:rPr>
            </w:pPr>
          </w:p>
        </w:tc>
        <w:tc>
          <w:tcPr>
            <w:tcW w:w="390" w:type="pct"/>
            <w:vMerge/>
            <w:tcMar>
              <w:left w:w="28" w:type="dxa"/>
              <w:right w:w="28" w:type="dxa"/>
            </w:tcMar>
          </w:tcPr>
          <w:p w:rsidR="00282F00" w:rsidRPr="008F1A97" w:rsidRDefault="00282F00" w:rsidP="00645185">
            <w:pPr>
              <w:keepNext/>
              <w:keepLines/>
              <w:widowControl w:val="0"/>
              <w:spacing w:before="20" w:after="20"/>
              <w:jc w:val="center"/>
              <w:rPr>
                <w:rFonts w:ascii="Arial Narrow" w:eastAsia="TimesNewRoman" w:hAnsi="Arial Narrow" w:cs="Times New Roman"/>
                <w:b/>
                <w:bCs/>
                <w:color w:val="000000"/>
                <w:sz w:val="20"/>
                <w:szCs w:val="20"/>
                <w:lang w:val="en-US"/>
              </w:rPr>
            </w:pPr>
          </w:p>
        </w:tc>
        <w:tc>
          <w:tcPr>
            <w:tcW w:w="549" w:type="pct"/>
            <w:tcMar>
              <w:left w:w="28" w:type="dxa"/>
              <w:right w:w="28" w:type="dxa"/>
            </w:tcMar>
          </w:tcPr>
          <w:p w:rsidR="00282F00" w:rsidRPr="008F1A97" w:rsidRDefault="00282F00" w:rsidP="00645185">
            <w:pPr>
              <w:keepNext/>
              <w:keepLines/>
              <w:widowControl w:val="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BOT 1 mg</w:t>
            </w:r>
            <w:r w:rsidR="00C412CD">
              <w:rPr>
                <w:rFonts w:ascii="Arial Narrow" w:eastAsia="TimesNewRoman" w:hAnsi="Arial Narrow" w:cs="Times New Roman"/>
                <w:b/>
                <w:bCs/>
                <w:color w:val="000000"/>
                <w:sz w:val="20"/>
                <w:szCs w:val="20"/>
                <w:lang w:val="en-US"/>
              </w:rPr>
              <w:t xml:space="preserve"> BID</w:t>
            </w:r>
          </w:p>
        </w:tc>
        <w:tc>
          <w:tcPr>
            <w:tcW w:w="548" w:type="pct"/>
            <w:tcMar>
              <w:left w:w="28" w:type="dxa"/>
              <w:right w:w="28" w:type="dxa"/>
            </w:tcMar>
          </w:tcPr>
          <w:p w:rsidR="00282F00" w:rsidRDefault="00C412CD" w:rsidP="00645185">
            <w:pPr>
              <w:keepNext/>
              <w:keepLines/>
              <w:widowControl w:val="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BOT 0.5 mg BID</w:t>
            </w:r>
          </w:p>
        </w:tc>
        <w:tc>
          <w:tcPr>
            <w:tcW w:w="390" w:type="pct"/>
            <w:tcMar>
              <w:left w:w="28" w:type="dxa"/>
              <w:right w:w="28" w:type="dxa"/>
            </w:tcMar>
          </w:tcPr>
          <w:p w:rsidR="00282F00" w:rsidRDefault="00C412CD" w:rsidP="00645185">
            <w:pPr>
              <w:keepNext/>
              <w:keepLines/>
              <w:widowControl w:val="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 xml:space="preserve">BOT </w:t>
            </w:r>
            <w:r w:rsidR="00C7699D">
              <w:rPr>
                <w:rFonts w:ascii="Arial Narrow" w:eastAsia="TimesNewRoman" w:hAnsi="Arial Narrow" w:cs="Times New Roman"/>
                <w:b/>
                <w:bCs/>
                <w:color w:val="000000"/>
                <w:sz w:val="20"/>
                <w:szCs w:val="20"/>
                <w:lang w:val="en-US"/>
              </w:rPr>
              <w:br/>
            </w:r>
            <w:r>
              <w:rPr>
                <w:rFonts w:ascii="Arial Narrow" w:eastAsia="TimesNewRoman" w:hAnsi="Arial Narrow" w:cs="Times New Roman"/>
                <w:b/>
                <w:bCs/>
                <w:color w:val="000000"/>
                <w:sz w:val="20"/>
                <w:szCs w:val="20"/>
                <w:lang w:val="en-US"/>
              </w:rPr>
              <w:t xml:space="preserve">1 mg </w:t>
            </w:r>
            <w:r w:rsidR="00C7699D">
              <w:rPr>
                <w:rFonts w:ascii="Arial Narrow" w:eastAsia="TimesNewRoman" w:hAnsi="Arial Narrow" w:cs="Times New Roman"/>
                <w:b/>
                <w:bCs/>
                <w:color w:val="000000"/>
                <w:sz w:val="20"/>
                <w:szCs w:val="20"/>
                <w:lang w:val="en-US"/>
              </w:rPr>
              <w:br/>
            </w:r>
            <w:r>
              <w:rPr>
                <w:rFonts w:ascii="Arial Narrow" w:eastAsia="TimesNewRoman" w:hAnsi="Arial Narrow" w:cs="Times New Roman"/>
                <w:b/>
                <w:bCs/>
                <w:color w:val="000000"/>
                <w:sz w:val="20"/>
                <w:szCs w:val="20"/>
                <w:lang w:val="en-US"/>
              </w:rPr>
              <w:t>BID</w:t>
            </w:r>
          </w:p>
        </w:tc>
        <w:tc>
          <w:tcPr>
            <w:tcW w:w="469" w:type="pct"/>
            <w:tcMar>
              <w:left w:w="28" w:type="dxa"/>
              <w:right w:w="28" w:type="dxa"/>
            </w:tcMar>
          </w:tcPr>
          <w:p w:rsidR="00282F00" w:rsidRDefault="00C412CD" w:rsidP="00645185">
            <w:pPr>
              <w:keepNext/>
              <w:keepLines/>
              <w:widowControl w:val="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 xml:space="preserve">BOT </w:t>
            </w:r>
            <w:r w:rsidR="00C7699D">
              <w:rPr>
                <w:rFonts w:ascii="Arial Narrow" w:eastAsia="TimesNewRoman" w:hAnsi="Arial Narrow" w:cs="Times New Roman"/>
                <w:b/>
                <w:bCs/>
                <w:color w:val="000000"/>
                <w:sz w:val="20"/>
                <w:szCs w:val="20"/>
                <w:lang w:val="en-US"/>
              </w:rPr>
              <w:br/>
            </w:r>
            <w:r>
              <w:rPr>
                <w:rFonts w:ascii="Arial Narrow" w:eastAsia="TimesNewRoman" w:hAnsi="Arial Narrow" w:cs="Times New Roman"/>
                <w:b/>
                <w:bCs/>
                <w:color w:val="000000"/>
                <w:sz w:val="20"/>
                <w:szCs w:val="20"/>
                <w:lang w:val="en-US"/>
              </w:rPr>
              <w:t>0.5 mg BID</w:t>
            </w:r>
          </w:p>
        </w:tc>
        <w:tc>
          <w:tcPr>
            <w:tcW w:w="391" w:type="pct"/>
            <w:tcMar>
              <w:left w:w="28" w:type="dxa"/>
              <w:right w:w="28" w:type="dxa"/>
            </w:tcMar>
          </w:tcPr>
          <w:p w:rsidR="00282F00" w:rsidRDefault="00C412CD" w:rsidP="00645185">
            <w:pPr>
              <w:keepNext/>
              <w:keepLines/>
              <w:widowControl w:val="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 xml:space="preserve">BOT </w:t>
            </w:r>
            <w:r w:rsidR="00C7699D">
              <w:rPr>
                <w:rFonts w:ascii="Arial Narrow" w:eastAsia="TimesNewRoman" w:hAnsi="Arial Narrow" w:cs="Times New Roman"/>
                <w:b/>
                <w:bCs/>
                <w:color w:val="000000"/>
                <w:sz w:val="20"/>
                <w:szCs w:val="20"/>
                <w:lang w:val="en-US"/>
              </w:rPr>
              <w:br/>
            </w:r>
            <w:r>
              <w:rPr>
                <w:rFonts w:ascii="Arial Narrow" w:eastAsia="TimesNewRoman" w:hAnsi="Arial Narrow" w:cs="Times New Roman"/>
                <w:b/>
                <w:bCs/>
                <w:color w:val="000000"/>
                <w:sz w:val="20"/>
                <w:szCs w:val="20"/>
                <w:lang w:val="en-US"/>
              </w:rPr>
              <w:t xml:space="preserve">1 mg </w:t>
            </w:r>
            <w:r w:rsidR="00C7699D">
              <w:rPr>
                <w:rFonts w:ascii="Arial Narrow" w:eastAsia="TimesNewRoman" w:hAnsi="Arial Narrow" w:cs="Times New Roman"/>
                <w:b/>
                <w:bCs/>
                <w:color w:val="000000"/>
                <w:sz w:val="20"/>
                <w:szCs w:val="20"/>
                <w:lang w:val="en-US"/>
              </w:rPr>
              <w:br/>
            </w:r>
            <w:r>
              <w:rPr>
                <w:rFonts w:ascii="Arial Narrow" w:eastAsia="TimesNewRoman" w:hAnsi="Arial Narrow" w:cs="Times New Roman"/>
                <w:b/>
                <w:bCs/>
                <w:color w:val="000000"/>
                <w:sz w:val="20"/>
                <w:szCs w:val="20"/>
                <w:lang w:val="en-US"/>
              </w:rPr>
              <w:t>BID</w:t>
            </w:r>
          </w:p>
        </w:tc>
        <w:tc>
          <w:tcPr>
            <w:tcW w:w="469" w:type="pct"/>
            <w:tcMar>
              <w:left w:w="28" w:type="dxa"/>
              <w:right w:w="28" w:type="dxa"/>
            </w:tcMar>
          </w:tcPr>
          <w:p w:rsidR="00282F00" w:rsidRDefault="00C412CD" w:rsidP="00645185">
            <w:pPr>
              <w:keepNext/>
              <w:keepLines/>
              <w:widowControl w:val="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 xml:space="preserve">BOT </w:t>
            </w:r>
            <w:r w:rsidR="00C7699D">
              <w:rPr>
                <w:rFonts w:ascii="Arial Narrow" w:eastAsia="TimesNewRoman" w:hAnsi="Arial Narrow" w:cs="Times New Roman"/>
                <w:b/>
                <w:bCs/>
                <w:color w:val="000000"/>
                <w:sz w:val="20"/>
                <w:szCs w:val="20"/>
                <w:lang w:val="en-US"/>
              </w:rPr>
              <w:br/>
            </w:r>
            <w:r>
              <w:rPr>
                <w:rFonts w:ascii="Arial Narrow" w:eastAsia="TimesNewRoman" w:hAnsi="Arial Narrow" w:cs="Times New Roman"/>
                <w:b/>
                <w:bCs/>
                <w:color w:val="000000"/>
                <w:sz w:val="20"/>
                <w:szCs w:val="20"/>
                <w:lang w:val="en-US"/>
              </w:rPr>
              <w:t>0.5 mg BID</w:t>
            </w:r>
          </w:p>
        </w:tc>
      </w:tr>
      <w:tr w:rsidR="00282F00" w:rsidRPr="008F1A97" w:rsidTr="00C7699D">
        <w:tc>
          <w:tcPr>
            <w:tcW w:w="5000" w:type="pct"/>
            <w:gridSpan w:val="10"/>
            <w:shd w:val="clear" w:color="auto" w:fill="FFFFFF" w:themeFill="background1"/>
            <w:tcMar>
              <w:left w:w="28" w:type="dxa"/>
              <w:right w:w="28" w:type="dxa"/>
            </w:tcMar>
          </w:tcPr>
          <w:p w:rsidR="00282F00" w:rsidRPr="008F1A97" w:rsidRDefault="00282F00" w:rsidP="00645185">
            <w:pPr>
              <w:keepNext/>
              <w:keepLines/>
              <w:widowControl w:val="0"/>
              <w:jc w:val="left"/>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Primary endpoint</w:t>
            </w:r>
          </w:p>
        </w:tc>
      </w:tr>
      <w:tr w:rsidR="00C7699D" w:rsidRPr="008F1A97" w:rsidTr="00C7699D">
        <w:tc>
          <w:tcPr>
            <w:tcW w:w="1009" w:type="pct"/>
            <w:tcMar>
              <w:left w:w="28" w:type="dxa"/>
              <w:right w:w="28" w:type="dxa"/>
            </w:tcMar>
            <w:vAlign w:val="center"/>
          </w:tcPr>
          <w:p w:rsidR="001730C9" w:rsidRPr="008F1A97" w:rsidRDefault="001730C9"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Maintaining clinicohistologic remission at 48 weeks/EOT (FAS-DB): n/N (%</w:t>
            </w:r>
            <w:r>
              <w:rPr>
                <w:rFonts w:ascii="Arial Narrow" w:eastAsia="TimesNewRoman" w:hAnsi="Arial Narrow" w:cs="Times New Roman"/>
                <w:color w:val="000000"/>
                <w:sz w:val="20"/>
                <w:szCs w:val="20"/>
                <w:lang w:val="en-US"/>
              </w:rPr>
              <w:t>)</w:t>
            </w:r>
          </w:p>
        </w:tc>
        <w:tc>
          <w:tcPr>
            <w:tcW w:w="396"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51/68 (75.0%)</w:t>
            </w:r>
          </w:p>
        </w:tc>
        <w:tc>
          <w:tcPr>
            <w:tcW w:w="390"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D1EBC">
              <w:rPr>
                <w:rFonts w:ascii="Arial Narrow" w:eastAsia="TimesNewRoman" w:hAnsi="Arial Narrow" w:cs="Times New Roman"/>
                <w:color w:val="000000"/>
                <w:sz w:val="20"/>
                <w:szCs w:val="20"/>
                <w:lang w:val="en-US"/>
              </w:rPr>
              <w:t>50/68 (73.5%)</w:t>
            </w:r>
          </w:p>
        </w:tc>
        <w:tc>
          <w:tcPr>
            <w:tcW w:w="390"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3/68 (4.4%)</w:t>
            </w:r>
          </w:p>
        </w:tc>
        <w:tc>
          <w:tcPr>
            <w:tcW w:w="549"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70.60%</w:t>
            </w:r>
          </w:p>
          <w:p w:rsidR="00A54CCC"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97.5% CI:</w:t>
            </w:r>
            <w:r w:rsidR="004F12CB">
              <w:rPr>
                <w:rFonts w:ascii="Arial Narrow" w:eastAsia="TimesNewRoman" w:hAnsi="Arial Narrow" w:cs="Times New Roman"/>
                <w:b/>
                <w:bCs/>
                <w:color w:val="000000"/>
                <w:sz w:val="20"/>
                <w:szCs w:val="20"/>
                <w:lang w:val="en-US"/>
              </w:rPr>
              <w:t xml:space="preserve"> </w:t>
            </w:r>
            <w:r w:rsidRPr="005E54B6">
              <w:rPr>
                <w:rFonts w:ascii="Arial Narrow" w:eastAsia="TimesNewRoman" w:hAnsi="Arial Narrow" w:cs="Times New Roman"/>
                <w:b/>
                <w:bCs/>
                <w:color w:val="000000"/>
                <w:sz w:val="20"/>
                <w:szCs w:val="20"/>
                <w:lang w:val="en-US"/>
              </w:rPr>
              <w:t>57.56%, 83.61%</w:t>
            </w: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p&lt;0.0001</w:t>
            </w:r>
          </w:p>
        </w:tc>
        <w:tc>
          <w:tcPr>
            <w:tcW w:w="548" w:type="pct"/>
            <w:tcMar>
              <w:left w:w="28" w:type="dxa"/>
              <w:right w:w="28" w:type="dxa"/>
            </w:tcMar>
            <w:vAlign w:val="center"/>
          </w:tcPr>
          <w:p w:rsidR="00A54CCC" w:rsidRDefault="002F63F7"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2F63F7">
              <w:rPr>
                <w:rFonts w:ascii="Arial Narrow" w:eastAsia="TimesNewRoman" w:hAnsi="Arial Narrow" w:cs="Times New Roman"/>
                <w:b/>
                <w:bCs/>
                <w:color w:val="000000"/>
                <w:sz w:val="20"/>
                <w:szCs w:val="20"/>
                <w:lang w:val="en-US"/>
              </w:rPr>
              <w:t>69.12% (</w:t>
            </w:r>
            <w:r w:rsidR="00C24C54">
              <w:rPr>
                <w:rFonts w:ascii="Arial Narrow" w:eastAsia="TimesNewRoman" w:hAnsi="Arial Narrow" w:cs="Times New Roman"/>
                <w:b/>
                <w:bCs/>
                <w:color w:val="000000"/>
                <w:sz w:val="20"/>
                <w:szCs w:val="20"/>
                <w:lang w:val="en-US"/>
              </w:rPr>
              <w:t>97</w:t>
            </w:r>
            <w:r w:rsidR="00832582">
              <w:rPr>
                <w:rFonts w:ascii="Arial Narrow" w:eastAsia="TimesNewRoman" w:hAnsi="Arial Narrow" w:cs="Times New Roman"/>
                <w:b/>
                <w:bCs/>
                <w:color w:val="000000"/>
                <w:sz w:val="20"/>
                <w:szCs w:val="20"/>
                <w:lang w:val="en-US"/>
              </w:rPr>
              <w:t>.5%</w:t>
            </w:r>
            <w:r w:rsidR="00CA5B72">
              <w:rPr>
                <w:rFonts w:ascii="Arial Narrow" w:eastAsia="TimesNewRoman" w:hAnsi="Arial Narrow" w:cs="Times New Roman"/>
                <w:b/>
                <w:bCs/>
                <w:color w:val="000000"/>
                <w:sz w:val="20"/>
                <w:szCs w:val="20"/>
                <w:lang w:val="en-US"/>
              </w:rPr>
              <w:t xml:space="preserve"> </w:t>
            </w:r>
            <w:r w:rsidR="00782635">
              <w:rPr>
                <w:rFonts w:ascii="Arial Narrow" w:eastAsia="TimesNewRoman" w:hAnsi="Arial Narrow" w:cs="Times New Roman"/>
                <w:b/>
                <w:bCs/>
                <w:color w:val="000000"/>
                <w:sz w:val="20"/>
                <w:szCs w:val="20"/>
                <w:lang w:val="en-US"/>
              </w:rPr>
              <w:t>CI</w:t>
            </w:r>
            <w:r w:rsidR="00BD7AFA">
              <w:rPr>
                <w:rFonts w:ascii="Arial Narrow" w:eastAsia="TimesNewRoman" w:hAnsi="Arial Narrow" w:cs="Times New Roman"/>
                <w:b/>
                <w:bCs/>
                <w:color w:val="000000"/>
                <w:sz w:val="20"/>
                <w:szCs w:val="20"/>
                <w:lang w:val="en-US"/>
              </w:rPr>
              <w:t>:</w:t>
            </w:r>
            <w:r w:rsidR="00C10D52">
              <w:rPr>
                <w:rFonts w:ascii="Arial Narrow" w:eastAsia="TimesNewRoman" w:hAnsi="Arial Narrow" w:cs="Times New Roman"/>
                <w:b/>
                <w:bCs/>
                <w:color w:val="000000"/>
                <w:sz w:val="20"/>
                <w:szCs w:val="20"/>
                <w:lang w:val="en-US"/>
              </w:rPr>
              <w:t xml:space="preserve"> </w:t>
            </w:r>
            <w:r w:rsidRPr="002F63F7">
              <w:rPr>
                <w:rFonts w:ascii="Arial Narrow" w:eastAsia="TimesNewRoman" w:hAnsi="Arial Narrow" w:cs="Times New Roman"/>
                <w:b/>
                <w:bCs/>
                <w:color w:val="000000"/>
                <w:sz w:val="20"/>
                <w:szCs w:val="20"/>
                <w:lang w:val="en-US"/>
              </w:rPr>
              <w:t>55.89%, 82.34%)</w:t>
            </w:r>
            <w:r w:rsidR="0018633C">
              <w:rPr>
                <w:rFonts w:ascii="Arial Narrow" w:eastAsia="TimesNewRoman" w:hAnsi="Arial Narrow" w:cs="Times New Roman"/>
                <w:b/>
                <w:bCs/>
                <w:color w:val="000000"/>
                <w:sz w:val="20"/>
                <w:szCs w:val="20"/>
                <w:lang w:val="en-US"/>
              </w:rPr>
              <w:t>;</w:t>
            </w:r>
          </w:p>
          <w:p w:rsidR="001730C9" w:rsidRPr="005E54B6" w:rsidRDefault="005C7FCA"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p</w:t>
            </w:r>
            <w:r w:rsidRPr="005C7FCA">
              <w:rPr>
                <w:rFonts w:ascii="Arial Narrow" w:eastAsia="TimesNewRoman" w:hAnsi="Arial Narrow" w:cs="Times New Roman"/>
                <w:b/>
                <w:bCs/>
                <w:color w:val="000000"/>
                <w:sz w:val="20"/>
                <w:szCs w:val="20"/>
                <w:lang w:val="en-US"/>
              </w:rPr>
              <w:t>&lt;0.0001</w:t>
            </w:r>
          </w:p>
        </w:tc>
        <w:tc>
          <w:tcPr>
            <w:tcW w:w="390"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17.00</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(5.58, 51.83)</w:t>
            </w:r>
          </w:p>
        </w:tc>
        <w:tc>
          <w:tcPr>
            <w:tcW w:w="469" w:type="pct"/>
            <w:tcMar>
              <w:left w:w="28" w:type="dxa"/>
              <w:right w:w="28" w:type="dxa"/>
            </w:tcMar>
            <w:vAlign w:val="center"/>
          </w:tcPr>
          <w:p w:rsidR="001730C9" w:rsidRPr="005E54B6" w:rsidRDefault="001D6F45"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1D6F45">
              <w:rPr>
                <w:rFonts w:ascii="Arial Narrow" w:eastAsia="TimesNewRoman" w:hAnsi="Arial Narrow" w:cs="Times New Roman"/>
                <w:b/>
                <w:bCs/>
                <w:color w:val="000000"/>
                <w:sz w:val="20"/>
                <w:szCs w:val="20"/>
                <w:lang w:val="en-US"/>
              </w:rPr>
              <w:t xml:space="preserve">16.67 </w:t>
            </w:r>
            <w:r w:rsidR="00C7699D">
              <w:rPr>
                <w:rFonts w:ascii="Arial Narrow" w:eastAsia="TimesNewRoman" w:hAnsi="Arial Narrow" w:cs="Times New Roman"/>
                <w:b/>
                <w:bCs/>
                <w:color w:val="000000"/>
                <w:sz w:val="20"/>
                <w:szCs w:val="20"/>
                <w:lang w:val="en-US"/>
              </w:rPr>
              <w:br/>
            </w:r>
            <w:r w:rsidRPr="001D6F45">
              <w:rPr>
                <w:rFonts w:ascii="Arial Narrow" w:eastAsia="TimesNewRoman" w:hAnsi="Arial Narrow" w:cs="Times New Roman"/>
                <w:b/>
                <w:bCs/>
                <w:color w:val="000000"/>
                <w:sz w:val="20"/>
                <w:szCs w:val="20"/>
                <w:lang w:val="en-US"/>
              </w:rPr>
              <w:t>(5.46, 50.85)</w:t>
            </w:r>
          </w:p>
        </w:tc>
        <w:tc>
          <w:tcPr>
            <w:tcW w:w="391"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0.71</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(0.59, 0.82)</w:t>
            </w:r>
          </w:p>
        </w:tc>
        <w:tc>
          <w:tcPr>
            <w:tcW w:w="469" w:type="pct"/>
            <w:tcMar>
              <w:left w:w="28" w:type="dxa"/>
              <w:right w:w="28" w:type="dxa"/>
            </w:tcMar>
            <w:vAlign w:val="center"/>
          </w:tcPr>
          <w:p w:rsidR="001730C9" w:rsidRPr="005E54B6" w:rsidRDefault="003A1024"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3A1024">
              <w:rPr>
                <w:rFonts w:ascii="Arial Narrow" w:eastAsia="TimesNewRoman" w:hAnsi="Arial Narrow" w:cs="Times New Roman"/>
                <w:b/>
                <w:bCs/>
                <w:color w:val="000000"/>
                <w:sz w:val="20"/>
                <w:szCs w:val="20"/>
                <w:lang w:val="en-US"/>
              </w:rPr>
              <w:t xml:space="preserve">0.69 </w:t>
            </w:r>
            <w:r w:rsidR="00C7699D">
              <w:rPr>
                <w:rFonts w:ascii="Arial Narrow" w:eastAsia="TimesNewRoman" w:hAnsi="Arial Narrow" w:cs="Times New Roman"/>
                <w:b/>
                <w:bCs/>
                <w:color w:val="000000"/>
                <w:sz w:val="20"/>
                <w:szCs w:val="20"/>
                <w:lang w:val="en-US"/>
              </w:rPr>
              <w:br/>
            </w:r>
            <w:r w:rsidRPr="003A1024">
              <w:rPr>
                <w:rFonts w:ascii="Arial Narrow" w:eastAsia="TimesNewRoman" w:hAnsi="Arial Narrow" w:cs="Times New Roman"/>
                <w:b/>
                <w:bCs/>
                <w:color w:val="000000"/>
                <w:sz w:val="20"/>
                <w:szCs w:val="20"/>
                <w:lang w:val="en-US"/>
              </w:rPr>
              <w:t>(0.58, 0.81)</w:t>
            </w:r>
          </w:p>
        </w:tc>
      </w:tr>
      <w:tr w:rsidR="00C64C2D" w:rsidRPr="008F1A97" w:rsidTr="00C7699D">
        <w:tc>
          <w:tcPr>
            <w:tcW w:w="5000" w:type="pct"/>
            <w:gridSpan w:val="10"/>
            <w:shd w:val="clear" w:color="auto" w:fill="FFFFFF" w:themeFill="background1"/>
            <w:tcMar>
              <w:left w:w="28" w:type="dxa"/>
              <w:right w:w="28" w:type="dxa"/>
            </w:tcMar>
          </w:tcPr>
          <w:p w:rsidR="00C64C2D" w:rsidRPr="008F1A97" w:rsidRDefault="00C64C2D" w:rsidP="00645185">
            <w:pPr>
              <w:keepNext/>
              <w:keepLines/>
              <w:widowControl w:val="0"/>
              <w:spacing w:before="20" w:after="20"/>
              <w:jc w:val="left"/>
              <w:rPr>
                <w:rFonts w:ascii="Arial Narrow" w:eastAsia="TimesNewRoman" w:hAnsi="Arial Narrow" w:cs="Times New Roman"/>
                <w:b/>
                <w:bCs/>
                <w:color w:val="000000"/>
                <w:sz w:val="20"/>
                <w:szCs w:val="20"/>
                <w:lang w:val="en-US"/>
              </w:rPr>
            </w:pPr>
            <w:r w:rsidRPr="008F1A97">
              <w:rPr>
                <w:rFonts w:ascii="Arial Narrow" w:eastAsia="TimesNewRoman" w:hAnsi="Arial Narrow" w:cs="Times New Roman"/>
                <w:b/>
                <w:bCs/>
                <w:color w:val="000000"/>
                <w:sz w:val="20"/>
                <w:szCs w:val="20"/>
                <w:lang w:val="en-US"/>
              </w:rPr>
              <w:t>A</w:t>
            </w:r>
            <w:r>
              <w:rPr>
                <w:rFonts w:ascii="Arial Narrow" w:eastAsia="TimesNewRoman" w:hAnsi="Arial Narrow" w:cs="Times New Roman"/>
                <w:b/>
                <w:bCs/>
                <w:color w:val="000000"/>
                <w:sz w:val="20"/>
                <w:szCs w:val="20"/>
                <w:lang w:val="en-US"/>
              </w:rPr>
              <w:t>-</w:t>
            </w:r>
            <w:r w:rsidRPr="008F1A97">
              <w:rPr>
                <w:rFonts w:ascii="Arial Narrow" w:eastAsia="TimesNewRoman" w:hAnsi="Arial Narrow" w:cs="Times New Roman"/>
                <w:b/>
                <w:bCs/>
                <w:color w:val="000000"/>
                <w:sz w:val="20"/>
                <w:szCs w:val="20"/>
                <w:lang w:val="en-US"/>
              </w:rPr>
              <w:t xml:space="preserve">priori ordered key secondary endpoints </w:t>
            </w:r>
          </w:p>
        </w:tc>
      </w:tr>
      <w:tr w:rsidR="00C7699D" w:rsidRPr="008F1A97" w:rsidTr="00C7699D">
        <w:tc>
          <w:tcPr>
            <w:tcW w:w="1009" w:type="pct"/>
            <w:tcMar>
              <w:left w:w="28" w:type="dxa"/>
              <w:right w:w="28" w:type="dxa"/>
            </w:tcMar>
            <w:vAlign w:val="center"/>
          </w:tcPr>
          <w:p w:rsidR="001730C9" w:rsidRPr="008F1A97" w:rsidRDefault="001730C9"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Histological relapse at 48 weeks/EOT (FAS-DB)</w:t>
            </w:r>
          </w:p>
        </w:tc>
        <w:tc>
          <w:tcPr>
            <w:tcW w:w="396"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7/68 (10.3%)</w:t>
            </w:r>
          </w:p>
        </w:tc>
        <w:tc>
          <w:tcPr>
            <w:tcW w:w="390"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6A613A">
              <w:rPr>
                <w:rFonts w:ascii="Arial Narrow" w:eastAsia="TimesNewRoman" w:hAnsi="Arial Narrow" w:cs="Times New Roman"/>
                <w:color w:val="000000"/>
                <w:sz w:val="20"/>
                <w:szCs w:val="20"/>
                <w:lang w:val="en-US"/>
              </w:rPr>
              <w:t>9/68 (13.2%)</w:t>
            </w:r>
          </w:p>
        </w:tc>
        <w:tc>
          <w:tcPr>
            <w:tcW w:w="390" w:type="pct"/>
            <w:tcMar>
              <w:left w:w="28" w:type="dxa"/>
              <w:right w:w="28" w:type="dxa"/>
            </w:tcMar>
            <w:vAlign w:val="center"/>
          </w:tcPr>
          <w:p w:rsidR="001730C9"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 xml:space="preserve">61/68 </w:t>
            </w:r>
          </w:p>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(89.7%)</w:t>
            </w:r>
          </w:p>
        </w:tc>
        <w:tc>
          <w:tcPr>
            <w:tcW w:w="549"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-79.41%</w:t>
            </w:r>
          </w:p>
          <w:p w:rsidR="00C7699D"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 xml:space="preserve">97.5% CI: </w:t>
            </w:r>
            <w:r w:rsidR="00C7699D">
              <w:rPr>
                <w:rFonts w:ascii="Arial Narrow" w:eastAsia="TimesNewRoman" w:hAnsi="Arial Narrow" w:cs="Times New Roman"/>
                <w:b/>
                <w:bCs/>
                <w:color w:val="000000"/>
                <w:sz w:val="20"/>
                <w:szCs w:val="20"/>
                <w:lang w:val="en-US"/>
              </w:rPr>
              <w:br/>
            </w:r>
            <w:r w:rsidRPr="005E54B6">
              <w:rPr>
                <w:rFonts w:ascii="Arial Narrow" w:eastAsia="TimesNewRoman" w:hAnsi="Arial Narrow" w:cs="Times New Roman"/>
                <w:b/>
                <w:bCs/>
                <w:color w:val="000000"/>
                <w:sz w:val="20"/>
                <w:szCs w:val="20"/>
                <w:lang w:val="en-US"/>
              </w:rPr>
              <w:t xml:space="preserve">-91.09%, </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-67.73%</w:t>
            </w: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w:t>
            </w:r>
            <w:r>
              <w:rPr>
                <w:rFonts w:ascii="Arial Narrow" w:eastAsia="TimesNewRoman" w:hAnsi="Arial Narrow" w:cs="Times New Roman"/>
                <w:b/>
                <w:bCs/>
                <w:color w:val="000000"/>
                <w:sz w:val="20"/>
                <w:szCs w:val="20"/>
                <w:lang w:val="en-US"/>
              </w:rPr>
              <w:t xml:space="preserve"> </w:t>
            </w:r>
            <w:r w:rsidRPr="005E54B6">
              <w:rPr>
                <w:rFonts w:ascii="Arial Narrow" w:eastAsia="TimesNewRoman" w:hAnsi="Arial Narrow" w:cs="Times New Roman"/>
                <w:b/>
                <w:bCs/>
                <w:color w:val="000000"/>
                <w:sz w:val="20"/>
                <w:szCs w:val="20"/>
                <w:lang w:val="en-US"/>
              </w:rPr>
              <w:t>p&lt;0.0001</w:t>
            </w:r>
          </w:p>
        </w:tc>
        <w:tc>
          <w:tcPr>
            <w:tcW w:w="548" w:type="pct"/>
            <w:tcMar>
              <w:left w:w="28" w:type="dxa"/>
              <w:right w:w="28" w:type="dxa"/>
            </w:tcMar>
            <w:vAlign w:val="center"/>
          </w:tcPr>
          <w:p w:rsidR="001730C9" w:rsidRDefault="00A05C92"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A05C92">
              <w:rPr>
                <w:rFonts w:ascii="Arial Narrow" w:eastAsia="TimesNewRoman" w:hAnsi="Arial Narrow" w:cs="Times New Roman"/>
                <w:b/>
                <w:bCs/>
                <w:color w:val="000000"/>
                <w:sz w:val="20"/>
                <w:szCs w:val="20"/>
                <w:lang w:val="en-US"/>
              </w:rPr>
              <w:t>76.47% (</w:t>
            </w:r>
            <w:r w:rsidR="00D56BB2">
              <w:rPr>
                <w:rFonts w:ascii="Arial Narrow" w:eastAsia="TimesNewRoman" w:hAnsi="Arial Narrow" w:cs="Times New Roman"/>
                <w:b/>
                <w:bCs/>
                <w:color w:val="000000"/>
                <w:sz w:val="20"/>
                <w:szCs w:val="20"/>
                <w:lang w:val="en-US"/>
              </w:rPr>
              <w:t xml:space="preserve">97.5% CI: </w:t>
            </w:r>
            <w:r w:rsidR="00C7699D">
              <w:rPr>
                <w:rFonts w:ascii="Arial Narrow" w:eastAsia="TimesNewRoman" w:hAnsi="Arial Narrow" w:cs="Times New Roman"/>
                <w:b/>
                <w:bCs/>
                <w:color w:val="000000"/>
                <w:sz w:val="20"/>
                <w:szCs w:val="20"/>
                <w:lang w:val="en-US"/>
              </w:rPr>
              <w:br/>
            </w:r>
            <w:r w:rsidRPr="00A05C92">
              <w:rPr>
                <w:rFonts w:ascii="Arial Narrow" w:eastAsia="TimesNewRoman" w:hAnsi="Arial Narrow" w:cs="Times New Roman"/>
                <w:b/>
                <w:bCs/>
                <w:color w:val="000000"/>
                <w:sz w:val="20"/>
                <w:szCs w:val="20"/>
                <w:lang w:val="en-US"/>
              </w:rPr>
              <w:t xml:space="preserve">-88.84%, </w:t>
            </w:r>
            <w:r w:rsidR="00C7699D">
              <w:rPr>
                <w:rFonts w:ascii="Arial Narrow" w:eastAsia="TimesNewRoman" w:hAnsi="Arial Narrow" w:cs="Times New Roman"/>
                <w:b/>
                <w:bCs/>
                <w:color w:val="000000"/>
                <w:sz w:val="20"/>
                <w:szCs w:val="20"/>
                <w:lang w:val="en-US"/>
              </w:rPr>
              <w:br/>
            </w:r>
            <w:r w:rsidRPr="00A05C92">
              <w:rPr>
                <w:rFonts w:ascii="Arial Narrow" w:eastAsia="TimesNewRoman" w:hAnsi="Arial Narrow" w:cs="Times New Roman"/>
                <w:b/>
                <w:bCs/>
                <w:color w:val="000000"/>
                <w:sz w:val="20"/>
                <w:szCs w:val="20"/>
                <w:lang w:val="en-US"/>
              </w:rPr>
              <w:t>-64.10%)</w:t>
            </w:r>
            <w:r w:rsidR="0099285F">
              <w:rPr>
                <w:rFonts w:ascii="Arial Narrow" w:eastAsia="TimesNewRoman" w:hAnsi="Arial Narrow" w:cs="Times New Roman"/>
                <w:b/>
                <w:bCs/>
                <w:color w:val="000000"/>
                <w:sz w:val="20"/>
                <w:szCs w:val="20"/>
                <w:lang w:val="en-US"/>
              </w:rPr>
              <w:t>;</w:t>
            </w:r>
          </w:p>
          <w:p w:rsidR="0099285F" w:rsidRPr="005E54B6" w:rsidRDefault="0099285F"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p</w:t>
            </w:r>
            <w:r w:rsidR="00A512BF" w:rsidRPr="00A512BF">
              <w:rPr>
                <w:rFonts w:ascii="Arial Narrow" w:eastAsia="TimesNewRoman" w:hAnsi="Arial Narrow" w:cs="Times New Roman"/>
                <w:b/>
                <w:bCs/>
                <w:color w:val="000000"/>
                <w:sz w:val="20"/>
                <w:szCs w:val="20"/>
                <w:lang w:val="en-US"/>
              </w:rPr>
              <w:t>&lt;0.0001</w:t>
            </w:r>
          </w:p>
        </w:tc>
        <w:tc>
          <w:tcPr>
            <w:tcW w:w="390"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0.11</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(0.06, 0.23)</w:t>
            </w:r>
          </w:p>
        </w:tc>
        <w:tc>
          <w:tcPr>
            <w:tcW w:w="469" w:type="pct"/>
            <w:tcMar>
              <w:left w:w="28" w:type="dxa"/>
              <w:right w:w="28" w:type="dxa"/>
            </w:tcMar>
            <w:vAlign w:val="center"/>
          </w:tcPr>
          <w:p w:rsidR="001730C9" w:rsidRPr="005E54B6" w:rsidRDefault="0091082B"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91082B">
              <w:rPr>
                <w:rFonts w:ascii="Arial Narrow" w:eastAsia="TimesNewRoman" w:hAnsi="Arial Narrow" w:cs="Times New Roman"/>
                <w:b/>
                <w:bCs/>
                <w:color w:val="000000"/>
                <w:sz w:val="20"/>
                <w:szCs w:val="20"/>
                <w:lang w:val="en-US"/>
              </w:rPr>
              <w:t xml:space="preserve">0.15 </w:t>
            </w:r>
            <w:r w:rsidR="00C7699D">
              <w:rPr>
                <w:rFonts w:ascii="Arial Narrow" w:eastAsia="TimesNewRoman" w:hAnsi="Arial Narrow" w:cs="Times New Roman"/>
                <w:b/>
                <w:bCs/>
                <w:color w:val="000000"/>
                <w:sz w:val="20"/>
                <w:szCs w:val="20"/>
                <w:lang w:val="en-US"/>
              </w:rPr>
              <w:br/>
            </w:r>
            <w:r w:rsidRPr="0091082B">
              <w:rPr>
                <w:rFonts w:ascii="Arial Narrow" w:eastAsia="TimesNewRoman" w:hAnsi="Arial Narrow" w:cs="Times New Roman"/>
                <w:b/>
                <w:bCs/>
                <w:color w:val="000000"/>
                <w:sz w:val="20"/>
                <w:szCs w:val="20"/>
                <w:lang w:val="en-US"/>
              </w:rPr>
              <w:t>(0.08, 0.27)</w:t>
            </w:r>
          </w:p>
        </w:tc>
        <w:tc>
          <w:tcPr>
            <w:tcW w:w="391"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-0.79</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 xml:space="preserve">(-0.90, </w:t>
            </w:r>
            <w:r w:rsidR="00C7699D">
              <w:rPr>
                <w:rFonts w:ascii="Arial Narrow" w:eastAsia="TimesNewRoman" w:hAnsi="Arial Narrow" w:cs="Times New Roman"/>
                <w:b/>
                <w:bCs/>
                <w:color w:val="000000"/>
                <w:sz w:val="20"/>
                <w:szCs w:val="20"/>
                <w:lang w:val="en-US"/>
              </w:rPr>
              <w:br/>
            </w:r>
            <w:r w:rsidRPr="005E54B6">
              <w:rPr>
                <w:rFonts w:ascii="Arial Narrow" w:eastAsia="TimesNewRoman" w:hAnsi="Arial Narrow" w:cs="Times New Roman"/>
                <w:b/>
                <w:bCs/>
                <w:color w:val="000000"/>
                <w:sz w:val="20"/>
                <w:szCs w:val="20"/>
                <w:lang w:val="en-US"/>
              </w:rPr>
              <w:t>-0.69)</w:t>
            </w:r>
          </w:p>
        </w:tc>
        <w:tc>
          <w:tcPr>
            <w:tcW w:w="469" w:type="pct"/>
            <w:tcMar>
              <w:left w:w="28" w:type="dxa"/>
              <w:right w:w="28" w:type="dxa"/>
            </w:tcMar>
            <w:vAlign w:val="center"/>
          </w:tcPr>
          <w:p w:rsidR="001730C9" w:rsidRPr="005E54B6" w:rsidRDefault="00A35A4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A35A49">
              <w:rPr>
                <w:rFonts w:ascii="Arial Narrow" w:eastAsia="TimesNewRoman" w:hAnsi="Arial Narrow" w:cs="Times New Roman"/>
                <w:b/>
                <w:bCs/>
                <w:color w:val="000000"/>
                <w:sz w:val="20"/>
                <w:szCs w:val="20"/>
                <w:lang w:val="en-US"/>
              </w:rPr>
              <w:t xml:space="preserve">-0.76 </w:t>
            </w:r>
            <w:r w:rsidR="00C7699D">
              <w:rPr>
                <w:rFonts w:ascii="Arial Narrow" w:eastAsia="TimesNewRoman" w:hAnsi="Arial Narrow" w:cs="Times New Roman"/>
                <w:b/>
                <w:bCs/>
                <w:color w:val="000000"/>
                <w:sz w:val="20"/>
                <w:szCs w:val="20"/>
                <w:lang w:val="en-US"/>
              </w:rPr>
              <w:br/>
            </w:r>
            <w:r w:rsidRPr="00A35A49">
              <w:rPr>
                <w:rFonts w:ascii="Arial Narrow" w:eastAsia="TimesNewRoman" w:hAnsi="Arial Narrow" w:cs="Times New Roman"/>
                <w:b/>
                <w:bCs/>
                <w:color w:val="000000"/>
                <w:sz w:val="20"/>
                <w:szCs w:val="20"/>
                <w:lang w:val="en-US"/>
              </w:rPr>
              <w:t xml:space="preserve">(-0.87, </w:t>
            </w:r>
            <w:r w:rsidR="00C7699D">
              <w:rPr>
                <w:rFonts w:ascii="Arial Narrow" w:eastAsia="TimesNewRoman" w:hAnsi="Arial Narrow" w:cs="Times New Roman"/>
                <w:b/>
                <w:bCs/>
                <w:color w:val="000000"/>
                <w:sz w:val="20"/>
                <w:szCs w:val="20"/>
                <w:lang w:val="en-US"/>
              </w:rPr>
              <w:br/>
            </w:r>
            <w:r w:rsidRPr="00A35A49">
              <w:rPr>
                <w:rFonts w:ascii="Arial Narrow" w:eastAsia="TimesNewRoman" w:hAnsi="Arial Narrow" w:cs="Times New Roman"/>
                <w:b/>
                <w:bCs/>
                <w:color w:val="000000"/>
                <w:sz w:val="20"/>
                <w:szCs w:val="20"/>
                <w:lang w:val="en-US"/>
              </w:rPr>
              <w:t>-0.66)</w:t>
            </w:r>
          </w:p>
        </w:tc>
      </w:tr>
      <w:tr w:rsidR="00C7699D" w:rsidRPr="008F1A97" w:rsidTr="00C7699D">
        <w:tc>
          <w:tcPr>
            <w:tcW w:w="1009" w:type="pct"/>
            <w:tcMar>
              <w:left w:w="28" w:type="dxa"/>
              <w:right w:w="28" w:type="dxa"/>
            </w:tcMar>
            <w:vAlign w:val="center"/>
          </w:tcPr>
          <w:p w:rsidR="001730C9" w:rsidRPr="008F1A97" w:rsidRDefault="001730C9"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Change in the peak eos/mm² hpf from baseline to week 48/EOT (FAS-DB): Mean (SD)</w:t>
            </w:r>
          </w:p>
        </w:tc>
        <w:tc>
          <w:tcPr>
            <w:tcW w:w="396"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 xml:space="preserve">21 </w:t>
            </w:r>
            <w:r w:rsidRPr="008F1A97">
              <w:rPr>
                <w:rFonts w:ascii="Arial Narrow" w:eastAsia="TimesNewRoman" w:hAnsi="Arial Narrow" w:cs="Times New Roman"/>
                <w:color w:val="000000"/>
                <w:sz w:val="20"/>
                <w:szCs w:val="20"/>
                <w:lang w:val="en-US"/>
              </w:rPr>
              <w:br/>
            </w:r>
            <w:r>
              <w:rPr>
                <w:rFonts w:ascii="Arial Narrow" w:eastAsia="TimesNewRoman" w:hAnsi="Arial Narrow" w:cs="Times New Roman"/>
                <w:color w:val="000000"/>
                <w:sz w:val="20"/>
                <w:szCs w:val="20"/>
                <w:lang w:val="en-US"/>
              </w:rPr>
              <w:t>(</w:t>
            </w:r>
            <w:r w:rsidRPr="008F1A97">
              <w:rPr>
                <w:rFonts w:ascii="Arial Narrow" w:eastAsia="TimesNewRoman" w:hAnsi="Arial Narrow" w:cs="Times New Roman"/>
                <w:color w:val="000000"/>
                <w:sz w:val="20"/>
                <w:szCs w:val="20"/>
                <w:lang w:val="en-US"/>
              </w:rPr>
              <w:t>63.9) [n=65]</w:t>
            </w:r>
          </w:p>
        </w:tc>
        <w:tc>
          <w:tcPr>
            <w:tcW w:w="390"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Pr>
                <w:rFonts w:ascii="Arial Narrow" w:eastAsia="TimesNewRoman" w:hAnsi="Arial Narrow" w:cs="Times New Roman"/>
                <w:color w:val="000000"/>
                <w:sz w:val="20"/>
                <w:szCs w:val="20"/>
                <w:lang w:val="en-US"/>
              </w:rPr>
              <w:t>38</w:t>
            </w:r>
            <w:r w:rsidRPr="008F1A97">
              <w:rPr>
                <w:rFonts w:ascii="Arial Narrow" w:eastAsia="TimesNewRoman" w:hAnsi="Arial Narrow" w:cs="Times New Roman"/>
                <w:color w:val="000000"/>
                <w:sz w:val="20"/>
                <w:szCs w:val="20"/>
                <w:lang w:val="en-US"/>
              </w:rPr>
              <w:t xml:space="preserve"> </w:t>
            </w:r>
            <w:r w:rsidRPr="008F1A97">
              <w:rPr>
                <w:rFonts w:ascii="Arial Narrow" w:eastAsia="TimesNewRoman" w:hAnsi="Arial Narrow" w:cs="Times New Roman"/>
                <w:color w:val="000000"/>
                <w:sz w:val="20"/>
                <w:szCs w:val="20"/>
                <w:lang w:val="en-US"/>
              </w:rPr>
              <w:br/>
            </w:r>
            <w:r>
              <w:rPr>
                <w:rFonts w:ascii="Arial Narrow" w:eastAsia="TimesNewRoman" w:hAnsi="Arial Narrow" w:cs="Times New Roman"/>
                <w:color w:val="000000"/>
                <w:sz w:val="20"/>
                <w:szCs w:val="20"/>
                <w:lang w:val="en-US"/>
              </w:rPr>
              <w:t>(112.5</w:t>
            </w:r>
            <w:r w:rsidRPr="008F1A97">
              <w:rPr>
                <w:rFonts w:ascii="Arial Narrow" w:eastAsia="TimesNewRoman" w:hAnsi="Arial Narrow" w:cs="Times New Roman"/>
                <w:color w:val="000000"/>
                <w:sz w:val="20"/>
                <w:szCs w:val="20"/>
                <w:lang w:val="en-US"/>
              </w:rPr>
              <w:t>) [n=6</w:t>
            </w:r>
            <w:r>
              <w:rPr>
                <w:rFonts w:ascii="Arial Narrow" w:eastAsia="TimesNewRoman" w:hAnsi="Arial Narrow" w:cs="Times New Roman"/>
                <w:color w:val="000000"/>
                <w:sz w:val="20"/>
                <w:szCs w:val="20"/>
                <w:lang w:val="en-US"/>
              </w:rPr>
              <w:t>6</w:t>
            </w:r>
            <w:r w:rsidRPr="008F1A97">
              <w:rPr>
                <w:rFonts w:ascii="Arial Narrow" w:eastAsia="TimesNewRoman" w:hAnsi="Arial Narrow" w:cs="Times New Roman"/>
                <w:color w:val="000000"/>
                <w:sz w:val="20"/>
                <w:szCs w:val="20"/>
                <w:lang w:val="en-US"/>
              </w:rPr>
              <w:t>]</w:t>
            </w:r>
          </w:p>
        </w:tc>
        <w:tc>
          <w:tcPr>
            <w:tcW w:w="390" w:type="pct"/>
            <w:tcMar>
              <w:left w:w="28" w:type="dxa"/>
              <w:right w:w="28" w:type="dxa"/>
            </w:tcMar>
            <w:vAlign w:val="center"/>
          </w:tcPr>
          <w:p w:rsidR="001730C9"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 xml:space="preserve">262 </w:t>
            </w:r>
          </w:p>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(216.</w:t>
            </w:r>
            <w:r>
              <w:rPr>
                <w:rFonts w:ascii="Arial Narrow" w:eastAsia="TimesNewRoman" w:hAnsi="Arial Narrow" w:cs="Times New Roman"/>
                <w:color w:val="000000"/>
                <w:sz w:val="20"/>
                <w:szCs w:val="20"/>
                <w:lang w:val="en-US"/>
              </w:rPr>
              <w:t>7</w:t>
            </w:r>
            <w:r w:rsidRPr="00B759B3">
              <w:rPr>
                <w:rFonts w:ascii="Arial Narrow" w:eastAsia="TimesNewRoman" w:hAnsi="Arial Narrow" w:cs="Times New Roman"/>
                <w:color w:val="000000"/>
                <w:sz w:val="20"/>
                <w:szCs w:val="20"/>
                <w:vertAlign w:val="superscript"/>
                <w:lang w:val="en-US"/>
              </w:rPr>
              <w:t>^</w:t>
            </w:r>
            <w:r w:rsidRPr="008F1A97">
              <w:rPr>
                <w:rFonts w:ascii="Arial Narrow" w:eastAsia="TimesNewRoman" w:hAnsi="Arial Narrow" w:cs="Times New Roman"/>
                <w:color w:val="000000"/>
                <w:sz w:val="20"/>
                <w:szCs w:val="20"/>
                <w:lang w:val="en-US"/>
              </w:rPr>
              <w:t>)</w:t>
            </w:r>
          </w:p>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[n=</w:t>
            </w:r>
            <w:r>
              <w:rPr>
                <w:rFonts w:ascii="Arial Narrow" w:eastAsia="TimesNewRoman" w:hAnsi="Arial Narrow" w:cs="Times New Roman"/>
                <w:color w:val="000000"/>
                <w:sz w:val="20"/>
                <w:szCs w:val="20"/>
                <w:lang w:val="en-US"/>
              </w:rPr>
              <w:t>6</w:t>
            </w:r>
            <w:r w:rsidRPr="008F1A97">
              <w:rPr>
                <w:rFonts w:ascii="Arial Narrow" w:eastAsia="TimesNewRoman" w:hAnsi="Arial Narrow" w:cs="Times New Roman"/>
                <w:color w:val="000000"/>
                <w:sz w:val="20"/>
                <w:szCs w:val="20"/>
                <w:lang w:val="en-US"/>
              </w:rPr>
              <w:t>5</w:t>
            </w:r>
            <w:r w:rsidRPr="00B759B3">
              <w:rPr>
                <w:rFonts w:ascii="Arial Narrow" w:eastAsia="TimesNewRoman" w:hAnsi="Arial Narrow" w:cs="Times New Roman"/>
                <w:color w:val="000000"/>
                <w:sz w:val="20"/>
                <w:szCs w:val="20"/>
                <w:vertAlign w:val="superscript"/>
                <w:lang w:val="en-US"/>
              </w:rPr>
              <w:t>^</w:t>
            </w:r>
            <w:r w:rsidRPr="008F1A97">
              <w:rPr>
                <w:rFonts w:ascii="Arial Narrow" w:eastAsia="TimesNewRoman" w:hAnsi="Arial Narrow" w:cs="Times New Roman"/>
                <w:color w:val="000000"/>
                <w:sz w:val="20"/>
                <w:szCs w:val="20"/>
                <w:lang w:val="en-US"/>
              </w:rPr>
              <w:t>]</w:t>
            </w:r>
          </w:p>
        </w:tc>
        <w:tc>
          <w:tcPr>
            <w:tcW w:w="549"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-241.0</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95% CI:</w:t>
            </w:r>
            <w:r>
              <w:rPr>
                <w:rFonts w:ascii="Arial Narrow" w:eastAsia="TimesNewRoman" w:hAnsi="Arial Narrow" w:cs="Times New Roman"/>
                <w:b/>
                <w:bCs/>
                <w:color w:val="000000"/>
                <w:sz w:val="20"/>
                <w:szCs w:val="20"/>
                <w:lang w:val="en-US"/>
              </w:rPr>
              <w:t xml:space="preserve"> </w:t>
            </w:r>
            <w:r w:rsidR="00C7699D">
              <w:rPr>
                <w:rFonts w:ascii="Arial Narrow" w:eastAsia="TimesNewRoman" w:hAnsi="Arial Narrow" w:cs="Times New Roman"/>
                <w:b/>
                <w:bCs/>
                <w:color w:val="000000"/>
                <w:sz w:val="20"/>
                <w:szCs w:val="20"/>
                <w:lang w:val="en-US"/>
              </w:rPr>
              <w:br/>
            </w:r>
            <w:r w:rsidRPr="005E54B6">
              <w:rPr>
                <w:rFonts w:ascii="Arial Narrow" w:eastAsia="TimesNewRoman" w:hAnsi="Arial Narrow" w:cs="Times New Roman"/>
                <w:b/>
                <w:bCs/>
                <w:color w:val="000000"/>
                <w:sz w:val="20"/>
                <w:szCs w:val="20"/>
                <w:lang w:val="en-US"/>
              </w:rPr>
              <w:t xml:space="preserve">-295.84, </w:t>
            </w:r>
            <w:r w:rsidR="00C7699D">
              <w:rPr>
                <w:rFonts w:ascii="Arial Narrow" w:eastAsia="TimesNewRoman" w:hAnsi="Arial Narrow" w:cs="Times New Roman"/>
                <w:b/>
                <w:bCs/>
                <w:color w:val="000000"/>
                <w:sz w:val="20"/>
                <w:szCs w:val="20"/>
                <w:lang w:val="en-US"/>
              </w:rPr>
              <w:br/>
            </w:r>
            <w:r w:rsidRPr="005E54B6">
              <w:rPr>
                <w:rFonts w:ascii="Arial Narrow" w:eastAsia="TimesNewRoman" w:hAnsi="Arial Narrow" w:cs="Times New Roman"/>
                <w:b/>
                <w:bCs/>
                <w:color w:val="000000"/>
                <w:sz w:val="20"/>
                <w:szCs w:val="20"/>
                <w:lang w:val="en-US"/>
              </w:rPr>
              <w:t>-186.16</w:t>
            </w: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w:t>
            </w:r>
            <w:r>
              <w:rPr>
                <w:rFonts w:ascii="Arial Narrow" w:eastAsia="TimesNewRoman" w:hAnsi="Arial Narrow" w:cs="Times New Roman"/>
                <w:b/>
                <w:bCs/>
                <w:color w:val="000000"/>
                <w:sz w:val="20"/>
                <w:szCs w:val="20"/>
                <w:lang w:val="en-US"/>
              </w:rPr>
              <w:t xml:space="preserve"> p</w:t>
            </w:r>
            <w:r w:rsidRPr="005E54B6">
              <w:rPr>
                <w:rFonts w:ascii="Arial Narrow" w:eastAsia="TimesNewRoman" w:hAnsi="Arial Narrow" w:cs="Times New Roman"/>
                <w:b/>
                <w:bCs/>
                <w:color w:val="000000"/>
                <w:sz w:val="20"/>
                <w:szCs w:val="20"/>
                <w:lang w:val="en-US"/>
              </w:rPr>
              <w:t>&lt;0.0001</w:t>
            </w:r>
          </w:p>
        </w:tc>
        <w:tc>
          <w:tcPr>
            <w:tcW w:w="548" w:type="pct"/>
            <w:tcMar>
              <w:left w:w="28" w:type="dxa"/>
              <w:right w:w="28" w:type="dxa"/>
            </w:tcMar>
            <w:vAlign w:val="center"/>
          </w:tcPr>
          <w:p w:rsidR="00FC4CAE" w:rsidRDefault="003428C8"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3428C8">
              <w:rPr>
                <w:rFonts w:ascii="Arial Narrow" w:eastAsia="TimesNewRoman" w:hAnsi="Arial Narrow" w:cs="Times New Roman"/>
                <w:color w:val="000000"/>
                <w:sz w:val="20"/>
                <w:szCs w:val="20"/>
                <w:lang w:val="en-US"/>
              </w:rPr>
              <w:t>-</w:t>
            </w:r>
            <w:r w:rsidRPr="00FC4CAE">
              <w:rPr>
                <w:rFonts w:ascii="Arial Narrow" w:eastAsia="TimesNewRoman" w:hAnsi="Arial Narrow" w:cs="Times New Roman"/>
                <w:b/>
                <w:bCs/>
                <w:color w:val="000000"/>
                <w:sz w:val="20"/>
                <w:szCs w:val="20"/>
                <w:lang w:val="en-US"/>
              </w:rPr>
              <w:t xml:space="preserve">224.0 </w:t>
            </w:r>
          </w:p>
          <w:p w:rsidR="001730C9" w:rsidRPr="00FC4CAE" w:rsidRDefault="003428C8"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FC4CAE">
              <w:rPr>
                <w:rFonts w:ascii="Arial Narrow" w:eastAsia="TimesNewRoman" w:hAnsi="Arial Narrow" w:cs="Times New Roman"/>
                <w:b/>
                <w:bCs/>
                <w:color w:val="000000"/>
                <w:sz w:val="20"/>
                <w:szCs w:val="20"/>
                <w:lang w:val="en-US"/>
              </w:rPr>
              <w:t>(</w:t>
            </w:r>
            <w:r w:rsidR="00A06017" w:rsidRPr="00FC4CAE">
              <w:rPr>
                <w:rFonts w:ascii="Arial Narrow" w:eastAsia="TimesNewRoman" w:hAnsi="Arial Narrow" w:cs="Times New Roman"/>
                <w:b/>
                <w:bCs/>
                <w:color w:val="000000"/>
                <w:sz w:val="20"/>
                <w:szCs w:val="20"/>
                <w:lang w:val="en-US"/>
              </w:rPr>
              <w:t>9</w:t>
            </w:r>
            <w:r w:rsidR="00B5611D" w:rsidRPr="00FC4CAE">
              <w:rPr>
                <w:rFonts w:ascii="Arial Narrow" w:eastAsia="TimesNewRoman" w:hAnsi="Arial Narrow" w:cs="Times New Roman"/>
                <w:b/>
                <w:bCs/>
                <w:color w:val="000000"/>
                <w:sz w:val="20"/>
                <w:szCs w:val="20"/>
                <w:lang w:val="en-US"/>
              </w:rPr>
              <w:t xml:space="preserve">5% CI: </w:t>
            </w:r>
            <w:r w:rsidR="00C7699D">
              <w:rPr>
                <w:rFonts w:ascii="Arial Narrow" w:eastAsia="TimesNewRoman" w:hAnsi="Arial Narrow" w:cs="Times New Roman"/>
                <w:b/>
                <w:bCs/>
                <w:color w:val="000000"/>
                <w:sz w:val="20"/>
                <w:szCs w:val="20"/>
                <w:lang w:val="en-US"/>
              </w:rPr>
              <w:br/>
            </w:r>
            <w:r w:rsidRPr="00FC4CAE">
              <w:rPr>
                <w:rFonts w:ascii="Arial Narrow" w:eastAsia="TimesNewRoman" w:hAnsi="Arial Narrow" w:cs="Times New Roman"/>
                <w:b/>
                <w:bCs/>
                <w:color w:val="000000"/>
                <w:sz w:val="20"/>
                <w:szCs w:val="20"/>
                <w:lang w:val="en-US"/>
              </w:rPr>
              <w:t xml:space="preserve">-283.17, </w:t>
            </w:r>
            <w:r w:rsidR="00C7699D">
              <w:rPr>
                <w:rFonts w:ascii="Arial Narrow" w:eastAsia="TimesNewRoman" w:hAnsi="Arial Narrow" w:cs="Times New Roman"/>
                <w:b/>
                <w:bCs/>
                <w:color w:val="000000"/>
                <w:sz w:val="20"/>
                <w:szCs w:val="20"/>
                <w:lang w:val="en-US"/>
              </w:rPr>
              <w:br/>
            </w:r>
            <w:r w:rsidRPr="00FC4CAE">
              <w:rPr>
                <w:rFonts w:ascii="Arial Narrow" w:eastAsia="TimesNewRoman" w:hAnsi="Arial Narrow" w:cs="Times New Roman"/>
                <w:b/>
                <w:bCs/>
                <w:color w:val="000000"/>
                <w:sz w:val="20"/>
                <w:szCs w:val="20"/>
                <w:lang w:val="en-US"/>
              </w:rPr>
              <w:t>-164.83);</w:t>
            </w:r>
          </w:p>
          <w:p w:rsidR="003428C8" w:rsidRPr="005E54B6" w:rsidRDefault="00DC101F" w:rsidP="00645185">
            <w:pPr>
              <w:keepNext/>
              <w:keepLines/>
              <w:widowControl w:val="0"/>
              <w:spacing w:before="20" w:after="20"/>
              <w:jc w:val="center"/>
              <w:rPr>
                <w:rFonts w:ascii="Arial Narrow" w:eastAsia="TimesNewRoman" w:hAnsi="Arial Narrow" w:cs="Times New Roman"/>
                <w:color w:val="000000"/>
                <w:sz w:val="20"/>
                <w:szCs w:val="20"/>
                <w:lang w:val="en-US"/>
              </w:rPr>
            </w:pPr>
            <w:r w:rsidRPr="00FC4CAE">
              <w:rPr>
                <w:rFonts w:ascii="Arial Narrow" w:eastAsia="TimesNewRoman" w:hAnsi="Arial Narrow" w:cs="Times New Roman"/>
                <w:b/>
                <w:bCs/>
                <w:color w:val="000000"/>
                <w:sz w:val="20"/>
                <w:szCs w:val="20"/>
                <w:lang w:val="en-US"/>
              </w:rPr>
              <w:t>&lt;0.0001</w:t>
            </w:r>
          </w:p>
        </w:tc>
        <w:tc>
          <w:tcPr>
            <w:tcW w:w="390" w:type="pct"/>
            <w:tcMar>
              <w:left w:w="28" w:type="dxa"/>
              <w:right w:w="28" w:type="dxa"/>
            </w:tcMar>
            <w:vAlign w:val="center"/>
          </w:tcPr>
          <w:p w:rsidR="001730C9" w:rsidRPr="00321710" w:rsidRDefault="00321710" w:rsidP="00645185">
            <w:pPr>
              <w:keepNext/>
              <w:keepLines/>
              <w:widowControl w:val="0"/>
              <w:spacing w:before="20" w:after="20"/>
              <w:jc w:val="center"/>
              <w:rPr>
                <w:rFonts w:ascii="Arial Narrow" w:eastAsia="TimesNewRoman" w:hAnsi="Arial Narrow" w:cs="Times New Roman"/>
                <w:color w:val="000000"/>
                <w:sz w:val="20"/>
                <w:szCs w:val="20"/>
                <w:lang w:val="en-US"/>
              </w:rPr>
            </w:pPr>
            <w:r w:rsidRPr="00321710">
              <w:rPr>
                <w:rFonts w:ascii="Arial Narrow" w:eastAsia="TimesNewRoman" w:hAnsi="Arial Narrow" w:cs="Times New Roman"/>
                <w:color w:val="000000"/>
                <w:sz w:val="20"/>
                <w:szCs w:val="20"/>
                <w:lang w:val="en-US"/>
              </w:rPr>
              <w:t>NR</w:t>
            </w:r>
          </w:p>
        </w:tc>
        <w:tc>
          <w:tcPr>
            <w:tcW w:w="469" w:type="pct"/>
            <w:tcMar>
              <w:left w:w="28" w:type="dxa"/>
              <w:right w:w="28" w:type="dxa"/>
            </w:tcMar>
            <w:vAlign w:val="center"/>
          </w:tcPr>
          <w:p w:rsidR="001730C9" w:rsidRPr="005E54B6" w:rsidRDefault="00321710" w:rsidP="00645185">
            <w:pPr>
              <w:keepNext/>
              <w:keepLines/>
              <w:widowControl w:val="0"/>
              <w:spacing w:before="20" w:after="20"/>
              <w:jc w:val="center"/>
              <w:rPr>
                <w:rFonts w:ascii="Arial Narrow" w:eastAsia="TimesNewRoman" w:hAnsi="Arial Narrow" w:cs="Times New Roman"/>
                <w:color w:val="000000"/>
                <w:sz w:val="20"/>
                <w:szCs w:val="20"/>
                <w:lang w:val="en-US"/>
              </w:rPr>
            </w:pPr>
            <w:r w:rsidRPr="00321710">
              <w:rPr>
                <w:rFonts w:ascii="Arial Narrow" w:eastAsia="TimesNewRoman" w:hAnsi="Arial Narrow" w:cs="Times New Roman"/>
                <w:color w:val="000000"/>
                <w:sz w:val="20"/>
                <w:szCs w:val="20"/>
                <w:lang w:val="en-US"/>
              </w:rPr>
              <w:t>NR</w:t>
            </w:r>
          </w:p>
        </w:tc>
        <w:tc>
          <w:tcPr>
            <w:tcW w:w="391" w:type="pct"/>
            <w:tcMar>
              <w:left w:w="28" w:type="dxa"/>
              <w:right w:w="28" w:type="dxa"/>
            </w:tcMar>
            <w:vAlign w:val="center"/>
          </w:tcPr>
          <w:p w:rsidR="001730C9" w:rsidRPr="005E54B6" w:rsidRDefault="00321710" w:rsidP="00645185">
            <w:pPr>
              <w:keepNext/>
              <w:keepLines/>
              <w:widowControl w:val="0"/>
              <w:spacing w:before="20" w:after="20"/>
              <w:jc w:val="center"/>
              <w:rPr>
                <w:rFonts w:ascii="Arial Narrow" w:eastAsia="TimesNewRoman" w:hAnsi="Arial Narrow" w:cs="Times New Roman"/>
                <w:color w:val="000000"/>
                <w:sz w:val="20"/>
                <w:szCs w:val="20"/>
                <w:lang w:val="en-US"/>
              </w:rPr>
            </w:pPr>
            <w:r w:rsidRPr="00321710">
              <w:rPr>
                <w:rFonts w:ascii="Arial Narrow" w:eastAsia="TimesNewRoman" w:hAnsi="Arial Narrow" w:cs="Times New Roman"/>
                <w:color w:val="000000"/>
                <w:sz w:val="20"/>
                <w:szCs w:val="20"/>
                <w:lang w:val="en-US"/>
              </w:rPr>
              <w:t>NR</w:t>
            </w:r>
          </w:p>
        </w:tc>
        <w:tc>
          <w:tcPr>
            <w:tcW w:w="469" w:type="pct"/>
            <w:tcMar>
              <w:left w:w="28" w:type="dxa"/>
              <w:right w:w="28" w:type="dxa"/>
            </w:tcMar>
            <w:vAlign w:val="center"/>
          </w:tcPr>
          <w:p w:rsidR="001730C9" w:rsidRPr="005E54B6" w:rsidRDefault="00321710" w:rsidP="00645185">
            <w:pPr>
              <w:keepNext/>
              <w:keepLines/>
              <w:widowControl w:val="0"/>
              <w:spacing w:before="20" w:after="20"/>
              <w:jc w:val="center"/>
              <w:rPr>
                <w:rFonts w:ascii="Arial Narrow" w:eastAsia="TimesNewRoman" w:hAnsi="Arial Narrow" w:cs="Times New Roman"/>
                <w:color w:val="000000"/>
                <w:sz w:val="20"/>
                <w:szCs w:val="20"/>
                <w:lang w:val="en-US"/>
              </w:rPr>
            </w:pPr>
            <w:r w:rsidRPr="00321710">
              <w:rPr>
                <w:rFonts w:ascii="Arial Narrow" w:eastAsia="TimesNewRoman" w:hAnsi="Arial Narrow" w:cs="Times New Roman"/>
                <w:color w:val="000000"/>
                <w:sz w:val="20"/>
                <w:szCs w:val="20"/>
                <w:lang w:val="en-US"/>
              </w:rPr>
              <w:t>NR</w:t>
            </w:r>
          </w:p>
        </w:tc>
      </w:tr>
      <w:tr w:rsidR="00C7699D" w:rsidRPr="008F1A97" w:rsidTr="00C7699D">
        <w:tc>
          <w:tcPr>
            <w:tcW w:w="1009" w:type="pct"/>
            <w:tcMar>
              <w:left w:w="28" w:type="dxa"/>
              <w:right w:w="28" w:type="dxa"/>
            </w:tcMar>
            <w:vAlign w:val="center"/>
          </w:tcPr>
          <w:p w:rsidR="001730C9" w:rsidRPr="008F1A97" w:rsidRDefault="001730C9"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Clinical relapse, food impaction which needed endoscopic intervention, or endoscopic dilation at 48 weeks/EOT (FAS-DB)</w:t>
            </w:r>
          </w:p>
        </w:tc>
        <w:tc>
          <w:tcPr>
            <w:tcW w:w="396"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5/68 (7.4%)</w:t>
            </w:r>
          </w:p>
        </w:tc>
        <w:tc>
          <w:tcPr>
            <w:tcW w:w="390"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0A5608">
              <w:rPr>
                <w:rFonts w:ascii="Arial Narrow" w:eastAsia="TimesNewRoman" w:hAnsi="Arial Narrow" w:cs="Times New Roman"/>
                <w:color w:val="000000"/>
                <w:sz w:val="20"/>
                <w:szCs w:val="20"/>
                <w:lang w:val="en-US"/>
              </w:rPr>
              <w:t>7/68 (10.3%)</w:t>
            </w:r>
          </w:p>
        </w:tc>
        <w:tc>
          <w:tcPr>
            <w:tcW w:w="390" w:type="pct"/>
            <w:tcMar>
              <w:left w:w="28" w:type="dxa"/>
              <w:right w:w="28" w:type="dxa"/>
            </w:tcMar>
            <w:vAlign w:val="center"/>
          </w:tcPr>
          <w:p w:rsidR="001730C9"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 xml:space="preserve">41/68 </w:t>
            </w:r>
          </w:p>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(60.3%)</w:t>
            </w:r>
          </w:p>
        </w:tc>
        <w:tc>
          <w:tcPr>
            <w:tcW w:w="549"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-52.94%</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97.5%CI:</w:t>
            </w:r>
            <w:r w:rsidR="00C7699D">
              <w:rPr>
                <w:rFonts w:ascii="Arial Narrow" w:eastAsia="TimesNewRoman" w:hAnsi="Arial Narrow" w:cs="Times New Roman"/>
                <w:b/>
                <w:bCs/>
                <w:color w:val="000000"/>
                <w:sz w:val="20"/>
                <w:szCs w:val="20"/>
                <w:lang w:val="en-US"/>
              </w:rPr>
              <w:br/>
            </w:r>
            <w:r w:rsidRPr="005E54B6">
              <w:rPr>
                <w:rFonts w:ascii="Arial Narrow" w:eastAsia="TimesNewRoman" w:hAnsi="Arial Narrow" w:cs="Times New Roman"/>
                <w:b/>
                <w:bCs/>
                <w:color w:val="000000"/>
                <w:sz w:val="20"/>
                <w:szCs w:val="20"/>
                <w:lang w:val="en-US"/>
              </w:rPr>
              <w:t xml:space="preserve">-68.01%, </w:t>
            </w:r>
            <w:r w:rsidR="00C7699D">
              <w:rPr>
                <w:rFonts w:ascii="Arial Narrow" w:eastAsia="TimesNewRoman" w:hAnsi="Arial Narrow" w:cs="Times New Roman"/>
                <w:b/>
                <w:bCs/>
                <w:color w:val="000000"/>
                <w:sz w:val="20"/>
                <w:szCs w:val="20"/>
                <w:lang w:val="en-US"/>
              </w:rPr>
              <w:br/>
            </w:r>
            <w:r w:rsidRPr="005E54B6">
              <w:rPr>
                <w:rFonts w:ascii="Arial Narrow" w:eastAsia="TimesNewRoman" w:hAnsi="Arial Narrow" w:cs="Times New Roman"/>
                <w:b/>
                <w:bCs/>
                <w:color w:val="000000"/>
                <w:sz w:val="20"/>
                <w:szCs w:val="20"/>
                <w:lang w:val="en-US"/>
              </w:rPr>
              <w:t>-37.87%</w:t>
            </w: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 p&lt;0.0001</w:t>
            </w:r>
          </w:p>
        </w:tc>
        <w:tc>
          <w:tcPr>
            <w:tcW w:w="548" w:type="pct"/>
            <w:tcMar>
              <w:left w:w="28" w:type="dxa"/>
              <w:right w:w="28" w:type="dxa"/>
            </w:tcMar>
            <w:vAlign w:val="center"/>
          </w:tcPr>
          <w:p w:rsidR="001730C9" w:rsidRDefault="009F763D" w:rsidP="00645185">
            <w:pPr>
              <w:pStyle w:val="TableText0"/>
              <w:keepLines/>
              <w:widowControl w:val="0"/>
              <w:jc w:val="center"/>
              <w:rPr>
                <w:rFonts w:eastAsia="TimesNewRoman" w:cs="Times New Roman"/>
                <w:b/>
                <w:color w:val="000000"/>
                <w:szCs w:val="20"/>
                <w:lang w:val="en-US"/>
              </w:rPr>
            </w:pPr>
            <w:r w:rsidRPr="009F763D">
              <w:rPr>
                <w:rFonts w:eastAsia="TimesNewRoman" w:cs="Times New Roman"/>
                <w:b/>
                <w:color w:val="000000"/>
                <w:szCs w:val="20"/>
                <w:lang w:val="en-US"/>
              </w:rPr>
              <w:t>-50.0%</w:t>
            </w:r>
          </w:p>
          <w:p w:rsidR="009608C5" w:rsidRDefault="0029084B" w:rsidP="00645185">
            <w:pPr>
              <w:pStyle w:val="TableText0"/>
              <w:keepLines/>
              <w:widowControl w:val="0"/>
              <w:jc w:val="center"/>
              <w:rPr>
                <w:rFonts w:eastAsia="TimesNewRoman" w:cs="Times New Roman"/>
                <w:b/>
                <w:color w:val="000000"/>
                <w:szCs w:val="20"/>
                <w:vertAlign w:val="superscript"/>
                <w:lang w:val="en-US"/>
              </w:rPr>
            </w:pPr>
            <w:r>
              <w:rPr>
                <w:rFonts w:eastAsia="TimesNewRoman" w:cs="Times New Roman"/>
                <w:b/>
                <w:color w:val="000000"/>
                <w:szCs w:val="20"/>
                <w:lang w:val="en-US"/>
              </w:rPr>
              <w:t xml:space="preserve">(97.5% CI: </w:t>
            </w:r>
            <w:r w:rsidR="00C7699D">
              <w:rPr>
                <w:rFonts w:eastAsia="TimesNewRoman" w:cs="Times New Roman"/>
                <w:b/>
                <w:color w:val="000000"/>
                <w:szCs w:val="20"/>
                <w:lang w:val="en-US"/>
              </w:rPr>
              <w:br/>
            </w:r>
            <w:r>
              <w:rPr>
                <w:rFonts w:eastAsia="TimesNewRoman" w:cs="Times New Roman"/>
                <w:b/>
                <w:color w:val="000000"/>
                <w:szCs w:val="20"/>
                <w:lang w:val="en-US"/>
              </w:rPr>
              <w:t>-65.</w:t>
            </w:r>
            <w:r w:rsidR="006D0FE3">
              <w:rPr>
                <w:rFonts w:eastAsia="TimesNewRoman" w:cs="Times New Roman"/>
                <w:b/>
                <w:color w:val="000000"/>
                <w:szCs w:val="20"/>
                <w:lang w:val="en-US"/>
              </w:rPr>
              <w:t xml:space="preserve">66%, </w:t>
            </w:r>
            <w:r w:rsidR="00C7699D">
              <w:rPr>
                <w:rFonts w:eastAsia="TimesNewRoman" w:cs="Times New Roman"/>
                <w:b/>
                <w:color w:val="000000"/>
                <w:szCs w:val="20"/>
                <w:lang w:val="en-US"/>
              </w:rPr>
              <w:br/>
            </w:r>
            <w:r w:rsidR="006D0FE3">
              <w:rPr>
                <w:rFonts w:eastAsia="TimesNewRoman" w:cs="Times New Roman"/>
                <w:b/>
                <w:color w:val="000000"/>
                <w:szCs w:val="20"/>
                <w:lang w:val="en-US"/>
              </w:rPr>
              <w:t>-34.34%)</w:t>
            </w:r>
            <w:r w:rsidR="00EC57B3" w:rsidRPr="00B25B0F">
              <w:rPr>
                <w:rFonts w:eastAsia="TimesNewRoman" w:cs="Times New Roman"/>
                <w:b/>
                <w:color w:val="000000"/>
                <w:szCs w:val="20"/>
                <w:vertAlign w:val="superscript"/>
                <w:lang w:val="en-US"/>
              </w:rPr>
              <w:t>*</w:t>
            </w:r>
          </w:p>
          <w:p w:rsidR="000F1A21" w:rsidRPr="000F1A21" w:rsidRDefault="000F1A21" w:rsidP="00645185">
            <w:pPr>
              <w:pStyle w:val="TableText0"/>
              <w:keepLines/>
              <w:widowControl w:val="0"/>
              <w:jc w:val="center"/>
              <w:rPr>
                <w:rFonts w:eastAsia="TimesNewRoman" w:cs="Times New Roman"/>
                <w:b/>
                <w:color w:val="000000"/>
                <w:szCs w:val="20"/>
                <w:lang w:val="en-US"/>
              </w:rPr>
            </w:pPr>
            <w:r w:rsidRPr="005E54B6">
              <w:rPr>
                <w:rFonts w:eastAsia="TimesNewRoman" w:cs="Times New Roman"/>
                <w:b/>
                <w:color w:val="000000"/>
                <w:szCs w:val="20"/>
                <w:lang w:val="en-US"/>
              </w:rPr>
              <w:t>p&lt;0.0001</w:t>
            </w:r>
          </w:p>
        </w:tc>
        <w:tc>
          <w:tcPr>
            <w:tcW w:w="390" w:type="pct"/>
            <w:tcMar>
              <w:left w:w="28" w:type="dxa"/>
              <w:right w:w="28" w:type="dxa"/>
            </w:tcMar>
            <w:vAlign w:val="center"/>
          </w:tcPr>
          <w:p w:rsidR="001730C9" w:rsidRPr="005E54B6" w:rsidRDefault="001730C9" w:rsidP="00645185">
            <w:pPr>
              <w:pStyle w:val="TableText0"/>
              <w:keepLines/>
              <w:widowControl w:val="0"/>
              <w:jc w:val="center"/>
              <w:rPr>
                <w:rFonts w:eastAsia="TimesNewRoman" w:cs="Times New Roman"/>
                <w:b/>
                <w:color w:val="000000"/>
                <w:szCs w:val="20"/>
                <w:lang w:val="en-US"/>
              </w:rPr>
            </w:pPr>
            <w:r w:rsidRPr="005E54B6">
              <w:rPr>
                <w:rFonts w:eastAsia="TimesNewRoman" w:cs="Times New Roman"/>
                <w:b/>
                <w:color w:val="000000"/>
                <w:szCs w:val="20"/>
                <w:lang w:val="en-US"/>
              </w:rPr>
              <w:t>0.12</w:t>
            </w:r>
          </w:p>
          <w:p w:rsidR="00404C9B"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(0.05, 0.29)</w:t>
            </w:r>
          </w:p>
        </w:tc>
        <w:tc>
          <w:tcPr>
            <w:tcW w:w="469" w:type="pct"/>
            <w:tcMar>
              <w:left w:w="28" w:type="dxa"/>
              <w:right w:w="28" w:type="dxa"/>
            </w:tcMar>
            <w:vAlign w:val="center"/>
          </w:tcPr>
          <w:p w:rsidR="006A0EB5" w:rsidRPr="006A0EB5" w:rsidRDefault="006A0EB5" w:rsidP="00645185">
            <w:pPr>
              <w:pStyle w:val="TableText0"/>
              <w:keepLines/>
              <w:widowControl w:val="0"/>
              <w:jc w:val="center"/>
              <w:rPr>
                <w:rFonts w:eastAsia="TimesNewRoman" w:cs="Times New Roman"/>
                <w:b/>
                <w:color w:val="000000"/>
                <w:szCs w:val="20"/>
                <w:lang w:val="en-US"/>
              </w:rPr>
            </w:pPr>
            <w:r w:rsidRPr="006A0EB5">
              <w:rPr>
                <w:rFonts w:eastAsia="TimesNewRoman" w:cs="Times New Roman"/>
                <w:b/>
                <w:color w:val="000000"/>
                <w:szCs w:val="20"/>
                <w:lang w:val="en-US"/>
              </w:rPr>
              <w:t>0.17</w:t>
            </w:r>
          </w:p>
          <w:p w:rsidR="001730C9" w:rsidRPr="005E54B6" w:rsidRDefault="006A0EB5" w:rsidP="00645185">
            <w:pPr>
              <w:pStyle w:val="TableText0"/>
              <w:keepLines/>
              <w:widowControl w:val="0"/>
              <w:jc w:val="center"/>
              <w:rPr>
                <w:rFonts w:eastAsia="TimesNewRoman" w:cs="Times New Roman"/>
                <w:b/>
                <w:color w:val="000000"/>
                <w:szCs w:val="20"/>
                <w:lang w:val="en-US"/>
              </w:rPr>
            </w:pPr>
            <w:r w:rsidRPr="006A0EB5">
              <w:rPr>
                <w:rFonts w:eastAsia="TimesNewRoman" w:cs="Times New Roman"/>
                <w:b/>
                <w:color w:val="000000"/>
                <w:szCs w:val="20"/>
                <w:lang w:val="en-US"/>
              </w:rPr>
              <w:t>(0.08, 0.35)</w:t>
            </w:r>
          </w:p>
        </w:tc>
        <w:tc>
          <w:tcPr>
            <w:tcW w:w="391" w:type="pct"/>
            <w:tcMar>
              <w:left w:w="28" w:type="dxa"/>
              <w:right w:w="28" w:type="dxa"/>
            </w:tcMar>
            <w:vAlign w:val="center"/>
          </w:tcPr>
          <w:p w:rsidR="001730C9" w:rsidRPr="005E54B6" w:rsidRDefault="001730C9" w:rsidP="00645185">
            <w:pPr>
              <w:pStyle w:val="TableText0"/>
              <w:keepLines/>
              <w:widowControl w:val="0"/>
              <w:jc w:val="center"/>
              <w:rPr>
                <w:rFonts w:eastAsia="TimesNewRoman" w:cs="Times New Roman"/>
                <w:b/>
                <w:color w:val="000000"/>
                <w:szCs w:val="20"/>
                <w:lang w:val="en-US"/>
              </w:rPr>
            </w:pPr>
            <w:r w:rsidRPr="005E54B6">
              <w:rPr>
                <w:rFonts w:eastAsia="TimesNewRoman" w:cs="Times New Roman"/>
                <w:b/>
                <w:color w:val="000000"/>
                <w:szCs w:val="20"/>
                <w:lang w:val="en-US"/>
              </w:rPr>
              <w:t>-0.53</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 xml:space="preserve">(-0.66, </w:t>
            </w:r>
            <w:r w:rsidR="00C7699D">
              <w:rPr>
                <w:rFonts w:ascii="Arial Narrow" w:eastAsia="TimesNewRoman" w:hAnsi="Arial Narrow" w:cs="Times New Roman"/>
                <w:b/>
                <w:bCs/>
                <w:color w:val="000000"/>
                <w:sz w:val="20"/>
                <w:szCs w:val="20"/>
                <w:lang w:val="en-US"/>
              </w:rPr>
              <w:br/>
            </w:r>
            <w:r w:rsidRPr="005E54B6">
              <w:rPr>
                <w:rFonts w:ascii="Arial Narrow" w:eastAsia="TimesNewRoman" w:hAnsi="Arial Narrow" w:cs="Times New Roman"/>
                <w:b/>
                <w:bCs/>
                <w:color w:val="000000"/>
                <w:sz w:val="20"/>
                <w:szCs w:val="20"/>
                <w:lang w:val="en-US"/>
              </w:rPr>
              <w:t>-0.40)</w:t>
            </w:r>
          </w:p>
        </w:tc>
        <w:tc>
          <w:tcPr>
            <w:tcW w:w="469" w:type="pct"/>
            <w:tcMar>
              <w:left w:w="28" w:type="dxa"/>
              <w:right w:w="28" w:type="dxa"/>
            </w:tcMar>
            <w:vAlign w:val="center"/>
          </w:tcPr>
          <w:p w:rsidR="00CD01D1" w:rsidRPr="00CD01D1" w:rsidRDefault="00CD01D1" w:rsidP="00645185">
            <w:pPr>
              <w:pStyle w:val="TableText0"/>
              <w:keepLines/>
              <w:widowControl w:val="0"/>
              <w:jc w:val="center"/>
              <w:rPr>
                <w:rFonts w:eastAsia="TimesNewRoman" w:cs="Times New Roman"/>
                <w:b/>
                <w:color w:val="000000"/>
                <w:szCs w:val="20"/>
                <w:lang w:val="en-US"/>
              </w:rPr>
            </w:pPr>
            <w:r w:rsidRPr="00CD01D1">
              <w:rPr>
                <w:rFonts w:eastAsia="TimesNewRoman" w:cs="Times New Roman"/>
                <w:b/>
                <w:color w:val="000000"/>
                <w:szCs w:val="20"/>
                <w:lang w:val="en-US"/>
              </w:rPr>
              <w:t>-0.50</w:t>
            </w:r>
          </w:p>
          <w:p w:rsidR="001730C9" w:rsidRPr="005E54B6" w:rsidRDefault="00CD01D1" w:rsidP="00645185">
            <w:pPr>
              <w:pStyle w:val="TableText0"/>
              <w:keepLines/>
              <w:widowControl w:val="0"/>
              <w:jc w:val="center"/>
              <w:rPr>
                <w:rFonts w:eastAsia="TimesNewRoman" w:cs="Times New Roman"/>
                <w:b/>
                <w:color w:val="000000"/>
                <w:szCs w:val="20"/>
                <w:lang w:val="en-US"/>
              </w:rPr>
            </w:pPr>
            <w:r w:rsidRPr="00CD01D1">
              <w:rPr>
                <w:rFonts w:eastAsia="TimesNewRoman" w:cs="Times New Roman"/>
                <w:b/>
                <w:color w:val="000000"/>
                <w:szCs w:val="20"/>
                <w:lang w:val="en-US"/>
              </w:rPr>
              <w:t xml:space="preserve">(-0.64, </w:t>
            </w:r>
            <w:r w:rsidR="00C7699D">
              <w:rPr>
                <w:rFonts w:eastAsia="TimesNewRoman" w:cs="Times New Roman"/>
                <w:b/>
                <w:color w:val="000000"/>
                <w:szCs w:val="20"/>
                <w:lang w:val="en-US"/>
              </w:rPr>
              <w:br/>
            </w:r>
            <w:r w:rsidRPr="00CD01D1">
              <w:rPr>
                <w:rFonts w:eastAsia="TimesNewRoman" w:cs="Times New Roman"/>
                <w:b/>
                <w:color w:val="000000"/>
                <w:szCs w:val="20"/>
                <w:lang w:val="en-US"/>
              </w:rPr>
              <w:t>-0.36)</w:t>
            </w:r>
          </w:p>
        </w:tc>
      </w:tr>
      <w:tr w:rsidR="00C7699D" w:rsidRPr="008F1A97" w:rsidTr="00C7699D">
        <w:tc>
          <w:tcPr>
            <w:tcW w:w="1009" w:type="pct"/>
            <w:tcMar>
              <w:left w:w="28" w:type="dxa"/>
              <w:right w:w="28" w:type="dxa"/>
            </w:tcMar>
            <w:vAlign w:val="center"/>
          </w:tcPr>
          <w:p w:rsidR="001730C9" w:rsidRPr="008F1A97" w:rsidRDefault="001730C9"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Clinical remission defined as total weekly score of EEsAI-PRO score of ≤20 at 48 weeks/EOT: n/N (%)</w:t>
            </w:r>
          </w:p>
        </w:tc>
        <w:tc>
          <w:tcPr>
            <w:tcW w:w="396"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50/68 (73.5%)</w:t>
            </w:r>
          </w:p>
        </w:tc>
        <w:tc>
          <w:tcPr>
            <w:tcW w:w="390"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566957">
              <w:rPr>
                <w:rFonts w:ascii="Arial Narrow" w:eastAsia="TimesNewRoman" w:hAnsi="Arial Narrow" w:cs="Times New Roman"/>
                <w:color w:val="000000"/>
                <w:sz w:val="20"/>
                <w:szCs w:val="20"/>
                <w:lang w:val="en-US"/>
              </w:rPr>
              <w:t>49/68 (72.1%)</w:t>
            </w:r>
          </w:p>
        </w:tc>
        <w:tc>
          <w:tcPr>
            <w:tcW w:w="390" w:type="pct"/>
            <w:tcMar>
              <w:left w:w="28" w:type="dxa"/>
              <w:right w:w="28" w:type="dxa"/>
            </w:tcMar>
            <w:vAlign w:val="center"/>
          </w:tcPr>
          <w:p w:rsidR="001730C9"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 xml:space="preserve">14/68 </w:t>
            </w:r>
          </w:p>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(20.6%)</w:t>
            </w:r>
          </w:p>
        </w:tc>
        <w:tc>
          <w:tcPr>
            <w:tcW w:w="549"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52.9%</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97.5% CI: 36.7%, 69.2%</w:t>
            </w: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w:t>
            </w:r>
            <w:r>
              <w:rPr>
                <w:rFonts w:ascii="Arial Narrow" w:eastAsia="TimesNewRoman" w:hAnsi="Arial Narrow" w:cs="Times New Roman"/>
                <w:b/>
                <w:bCs/>
                <w:color w:val="000000"/>
                <w:sz w:val="20"/>
                <w:szCs w:val="20"/>
                <w:lang w:val="en-US"/>
              </w:rPr>
              <w:t xml:space="preserve"> p</w:t>
            </w:r>
            <w:r w:rsidRPr="005E54B6">
              <w:rPr>
                <w:rFonts w:ascii="Arial Narrow" w:eastAsia="TimesNewRoman" w:hAnsi="Arial Narrow" w:cs="Times New Roman"/>
                <w:b/>
                <w:bCs/>
                <w:color w:val="000000"/>
                <w:sz w:val="20"/>
                <w:szCs w:val="20"/>
                <w:lang w:val="en-US"/>
              </w:rPr>
              <w:t>&lt;0.0001</w:t>
            </w:r>
          </w:p>
        </w:tc>
        <w:tc>
          <w:tcPr>
            <w:tcW w:w="548" w:type="pct"/>
            <w:tcMar>
              <w:left w:w="28" w:type="dxa"/>
              <w:right w:w="28" w:type="dxa"/>
            </w:tcMar>
            <w:vAlign w:val="center"/>
          </w:tcPr>
          <w:p w:rsidR="001730C9" w:rsidRDefault="004B680E"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4B680E">
              <w:rPr>
                <w:rFonts w:ascii="Arial Narrow" w:eastAsia="TimesNewRoman" w:hAnsi="Arial Narrow" w:cs="Times New Roman"/>
                <w:b/>
                <w:bCs/>
                <w:color w:val="000000"/>
                <w:sz w:val="20"/>
                <w:szCs w:val="20"/>
                <w:lang w:val="en-US"/>
              </w:rPr>
              <w:t>51.5% (</w:t>
            </w:r>
            <w:r w:rsidR="00A36B50">
              <w:rPr>
                <w:rFonts w:ascii="Arial Narrow" w:eastAsia="TimesNewRoman" w:hAnsi="Arial Narrow" w:cs="Times New Roman"/>
                <w:b/>
                <w:bCs/>
                <w:color w:val="000000"/>
                <w:sz w:val="20"/>
                <w:szCs w:val="20"/>
                <w:lang w:val="en-US"/>
              </w:rPr>
              <w:t>97.5% CI</w:t>
            </w:r>
            <w:r w:rsidR="00404C9B">
              <w:rPr>
                <w:rFonts w:ascii="Arial Narrow" w:eastAsia="TimesNewRoman" w:hAnsi="Arial Narrow" w:cs="Times New Roman"/>
                <w:b/>
                <w:bCs/>
                <w:color w:val="000000"/>
                <w:sz w:val="20"/>
                <w:szCs w:val="20"/>
                <w:lang w:val="en-US"/>
              </w:rPr>
              <w:t xml:space="preserve">: </w:t>
            </w:r>
            <w:r w:rsidRPr="004B680E">
              <w:rPr>
                <w:rFonts w:ascii="Arial Narrow" w:eastAsia="TimesNewRoman" w:hAnsi="Arial Narrow" w:cs="Times New Roman"/>
                <w:b/>
                <w:bCs/>
                <w:color w:val="000000"/>
                <w:sz w:val="20"/>
                <w:szCs w:val="20"/>
                <w:lang w:val="en-US"/>
              </w:rPr>
              <w:t>35.1</w:t>
            </w:r>
            <w:r w:rsidR="00380C4E">
              <w:rPr>
                <w:rFonts w:ascii="Arial Narrow" w:eastAsia="TimesNewRoman" w:hAnsi="Arial Narrow" w:cs="Times New Roman"/>
                <w:b/>
                <w:bCs/>
                <w:color w:val="000000"/>
                <w:sz w:val="20"/>
                <w:szCs w:val="20"/>
                <w:lang w:val="en-US"/>
              </w:rPr>
              <w:t>%</w:t>
            </w:r>
            <w:r w:rsidRPr="004B680E">
              <w:rPr>
                <w:rFonts w:ascii="Arial Narrow" w:eastAsia="TimesNewRoman" w:hAnsi="Arial Narrow" w:cs="Times New Roman"/>
                <w:b/>
                <w:bCs/>
                <w:color w:val="000000"/>
                <w:sz w:val="20"/>
                <w:szCs w:val="20"/>
                <w:lang w:val="en-US"/>
              </w:rPr>
              <w:t>, 67.9</w:t>
            </w:r>
            <w:r w:rsidR="00380C4E">
              <w:rPr>
                <w:rFonts w:ascii="Arial Narrow" w:eastAsia="TimesNewRoman" w:hAnsi="Arial Narrow" w:cs="Times New Roman"/>
                <w:b/>
                <w:bCs/>
                <w:color w:val="000000"/>
                <w:sz w:val="20"/>
                <w:szCs w:val="20"/>
                <w:lang w:val="en-US"/>
              </w:rPr>
              <w:t>%</w:t>
            </w:r>
            <w:r w:rsidRPr="004B680E">
              <w:rPr>
                <w:rFonts w:ascii="Arial Narrow" w:eastAsia="TimesNewRoman" w:hAnsi="Arial Narrow" w:cs="Times New Roman"/>
                <w:b/>
                <w:bCs/>
                <w:color w:val="000000"/>
                <w:sz w:val="20"/>
                <w:szCs w:val="20"/>
                <w:lang w:val="en-US"/>
              </w:rPr>
              <w:t>)</w:t>
            </w:r>
            <w:r w:rsidR="00465D9C">
              <w:rPr>
                <w:rFonts w:ascii="Arial Narrow" w:eastAsia="TimesNewRoman" w:hAnsi="Arial Narrow" w:cs="Times New Roman"/>
                <w:b/>
                <w:bCs/>
                <w:color w:val="000000"/>
                <w:sz w:val="20"/>
                <w:szCs w:val="20"/>
                <w:lang w:val="en-US"/>
              </w:rPr>
              <w:t>;</w:t>
            </w:r>
          </w:p>
          <w:p w:rsidR="00465D9C" w:rsidRPr="005E54B6" w:rsidRDefault="00465D9C" w:rsidP="00645185">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p</w:t>
            </w:r>
            <w:r w:rsidRPr="005E54B6">
              <w:rPr>
                <w:rFonts w:ascii="Arial Narrow" w:eastAsia="TimesNewRoman" w:hAnsi="Arial Narrow" w:cs="Times New Roman"/>
                <w:b/>
                <w:bCs/>
                <w:color w:val="000000"/>
                <w:sz w:val="20"/>
                <w:szCs w:val="20"/>
                <w:lang w:val="en-US"/>
              </w:rPr>
              <w:t>&lt;0.0001</w:t>
            </w:r>
          </w:p>
        </w:tc>
        <w:tc>
          <w:tcPr>
            <w:tcW w:w="390"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3.57</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(2.19, 5.82)</w:t>
            </w:r>
          </w:p>
        </w:tc>
        <w:tc>
          <w:tcPr>
            <w:tcW w:w="469" w:type="pct"/>
            <w:tcMar>
              <w:left w:w="28" w:type="dxa"/>
              <w:right w:w="28" w:type="dxa"/>
            </w:tcMar>
            <w:vAlign w:val="center"/>
          </w:tcPr>
          <w:p w:rsidR="001730C9" w:rsidRPr="005E54B6" w:rsidRDefault="00D2413F"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D2413F">
              <w:rPr>
                <w:rFonts w:ascii="Arial Narrow" w:eastAsia="TimesNewRoman" w:hAnsi="Arial Narrow" w:cs="Times New Roman"/>
                <w:b/>
                <w:bCs/>
                <w:color w:val="000000"/>
                <w:sz w:val="20"/>
                <w:szCs w:val="20"/>
                <w:lang w:val="en-US"/>
              </w:rPr>
              <w:t xml:space="preserve">3.50 </w:t>
            </w:r>
            <w:r w:rsidR="00C7699D">
              <w:rPr>
                <w:rFonts w:ascii="Arial Narrow" w:eastAsia="TimesNewRoman" w:hAnsi="Arial Narrow" w:cs="Times New Roman"/>
                <w:b/>
                <w:bCs/>
                <w:color w:val="000000"/>
                <w:sz w:val="20"/>
                <w:szCs w:val="20"/>
                <w:lang w:val="en-US"/>
              </w:rPr>
              <w:br/>
            </w:r>
            <w:r w:rsidRPr="00D2413F">
              <w:rPr>
                <w:rFonts w:ascii="Arial Narrow" w:eastAsia="TimesNewRoman" w:hAnsi="Arial Narrow" w:cs="Times New Roman"/>
                <w:b/>
                <w:bCs/>
                <w:color w:val="000000"/>
                <w:sz w:val="20"/>
                <w:szCs w:val="20"/>
                <w:lang w:val="en-US"/>
              </w:rPr>
              <w:t>(2.14, 5.71)</w:t>
            </w:r>
          </w:p>
        </w:tc>
        <w:tc>
          <w:tcPr>
            <w:tcW w:w="391"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0.53</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(0.39, 0.67)</w:t>
            </w:r>
          </w:p>
        </w:tc>
        <w:tc>
          <w:tcPr>
            <w:tcW w:w="469" w:type="pct"/>
            <w:tcMar>
              <w:left w:w="28" w:type="dxa"/>
              <w:right w:w="28" w:type="dxa"/>
            </w:tcMar>
            <w:vAlign w:val="center"/>
          </w:tcPr>
          <w:p w:rsidR="001730C9" w:rsidRPr="005E54B6" w:rsidRDefault="00BC51DB"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BC51DB">
              <w:rPr>
                <w:rFonts w:ascii="Arial Narrow" w:eastAsia="TimesNewRoman" w:hAnsi="Arial Narrow" w:cs="Times New Roman"/>
                <w:b/>
                <w:bCs/>
                <w:color w:val="000000"/>
                <w:sz w:val="20"/>
                <w:szCs w:val="20"/>
                <w:lang w:val="en-US"/>
              </w:rPr>
              <w:t xml:space="preserve">0.51 </w:t>
            </w:r>
            <w:r w:rsidR="00C7699D">
              <w:rPr>
                <w:rFonts w:ascii="Arial Narrow" w:eastAsia="TimesNewRoman" w:hAnsi="Arial Narrow" w:cs="Times New Roman"/>
                <w:b/>
                <w:bCs/>
                <w:color w:val="000000"/>
                <w:sz w:val="20"/>
                <w:szCs w:val="20"/>
                <w:lang w:val="en-US"/>
              </w:rPr>
              <w:br/>
            </w:r>
            <w:r w:rsidRPr="00BC51DB">
              <w:rPr>
                <w:rFonts w:ascii="Arial Narrow" w:eastAsia="TimesNewRoman" w:hAnsi="Arial Narrow" w:cs="Times New Roman"/>
                <w:b/>
                <w:bCs/>
                <w:color w:val="000000"/>
                <w:sz w:val="20"/>
                <w:szCs w:val="20"/>
                <w:lang w:val="en-US"/>
              </w:rPr>
              <w:t>(0.37, 0.66)</w:t>
            </w:r>
          </w:p>
        </w:tc>
      </w:tr>
      <w:tr w:rsidR="00C7699D" w:rsidRPr="008F1A97" w:rsidTr="00C7699D">
        <w:tc>
          <w:tcPr>
            <w:tcW w:w="1009" w:type="pct"/>
            <w:tcMar>
              <w:left w:w="28" w:type="dxa"/>
              <w:right w:w="28" w:type="dxa"/>
            </w:tcMar>
            <w:vAlign w:val="center"/>
          </w:tcPr>
          <w:p w:rsidR="001730C9" w:rsidRPr="008F1A97" w:rsidRDefault="001730C9" w:rsidP="00645185">
            <w:pPr>
              <w:keepNext/>
              <w:keepLines/>
              <w:widowControl w:val="0"/>
              <w:spacing w:before="20" w:after="20"/>
              <w:jc w:val="left"/>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Deep disease remission at 48 weeks/EOT: n/N (%)</w:t>
            </w:r>
          </w:p>
        </w:tc>
        <w:tc>
          <w:tcPr>
            <w:tcW w:w="396"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36/68 (52.9%)</w:t>
            </w:r>
          </w:p>
        </w:tc>
        <w:tc>
          <w:tcPr>
            <w:tcW w:w="390"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E0346">
              <w:rPr>
                <w:rFonts w:ascii="Arial Narrow" w:eastAsia="TimesNewRoman" w:hAnsi="Arial Narrow" w:cs="Times New Roman"/>
                <w:color w:val="000000"/>
                <w:sz w:val="20"/>
                <w:szCs w:val="20"/>
                <w:lang w:val="en-US"/>
              </w:rPr>
              <w:t>27/68 (39.7%)</w:t>
            </w:r>
          </w:p>
        </w:tc>
        <w:tc>
          <w:tcPr>
            <w:tcW w:w="390" w:type="pct"/>
            <w:tcMar>
              <w:left w:w="28" w:type="dxa"/>
              <w:right w:w="28" w:type="dxa"/>
            </w:tcMar>
            <w:vAlign w:val="center"/>
          </w:tcPr>
          <w:p w:rsidR="001730C9" w:rsidRPr="008F1A97" w:rsidRDefault="001730C9" w:rsidP="00645185">
            <w:pPr>
              <w:keepNext/>
              <w:keepLines/>
              <w:widowControl w:val="0"/>
              <w:spacing w:before="20" w:after="20"/>
              <w:jc w:val="center"/>
              <w:rPr>
                <w:rFonts w:ascii="Arial Narrow" w:eastAsia="TimesNewRoman" w:hAnsi="Arial Narrow" w:cs="Times New Roman"/>
                <w:color w:val="000000"/>
                <w:sz w:val="20"/>
                <w:szCs w:val="20"/>
                <w:lang w:val="en-US"/>
              </w:rPr>
            </w:pPr>
            <w:r w:rsidRPr="008F1A97">
              <w:rPr>
                <w:rFonts w:ascii="Arial Narrow" w:eastAsia="TimesNewRoman" w:hAnsi="Arial Narrow" w:cs="Times New Roman"/>
                <w:color w:val="000000"/>
                <w:sz w:val="20"/>
                <w:szCs w:val="20"/>
                <w:lang w:val="en-US"/>
              </w:rPr>
              <w:t xml:space="preserve">0/68 </w:t>
            </w:r>
            <w:r w:rsidRPr="008F1A97">
              <w:rPr>
                <w:rFonts w:ascii="Arial Narrow" w:eastAsia="TimesNewRoman" w:hAnsi="Arial Narrow" w:cs="Times New Roman"/>
                <w:color w:val="000000"/>
                <w:sz w:val="20"/>
                <w:szCs w:val="20"/>
                <w:lang w:val="en-US"/>
              </w:rPr>
              <w:br/>
              <w:t>(0%)</w:t>
            </w:r>
          </w:p>
        </w:tc>
        <w:tc>
          <w:tcPr>
            <w:tcW w:w="549" w:type="pct"/>
            <w:tcMar>
              <w:left w:w="28" w:type="dxa"/>
              <w:right w:w="28" w:type="dxa"/>
            </w:tcMar>
            <w:vAlign w:val="center"/>
          </w:tcPr>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52.9%</w:t>
            </w:r>
          </w:p>
          <w:p w:rsidR="001730C9" w:rsidRPr="005E54B6" w:rsidRDefault="001730C9" w:rsidP="00C7699D">
            <w:pPr>
              <w:keepNext/>
              <w:keepLines/>
              <w:widowControl w:val="0"/>
              <w:spacing w:before="20" w:after="20"/>
              <w:jc w:val="center"/>
              <w:rPr>
                <w:rFonts w:ascii="Arial Narrow" w:eastAsia="TimesNewRoman" w:hAnsi="Arial Narrow" w:cs="Times New Roman"/>
                <w:b/>
                <w:bCs/>
                <w:color w:val="000000"/>
                <w:sz w:val="20"/>
                <w:szCs w:val="20"/>
                <w:lang w:val="en-US"/>
              </w:rPr>
            </w:pP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 xml:space="preserve">97.5% </w:t>
            </w:r>
            <w:r w:rsidR="00C7699D">
              <w:rPr>
                <w:rFonts w:ascii="Arial Narrow" w:eastAsia="TimesNewRoman" w:hAnsi="Arial Narrow" w:cs="Times New Roman"/>
                <w:b/>
                <w:bCs/>
                <w:color w:val="000000"/>
                <w:sz w:val="20"/>
                <w:szCs w:val="20"/>
                <w:lang w:val="en-US"/>
              </w:rPr>
              <w:t>C</w:t>
            </w:r>
            <w:r w:rsidRPr="005E54B6">
              <w:rPr>
                <w:rFonts w:ascii="Arial Narrow" w:eastAsia="TimesNewRoman" w:hAnsi="Arial Narrow" w:cs="Times New Roman"/>
                <w:b/>
                <w:bCs/>
                <w:color w:val="000000"/>
                <w:sz w:val="20"/>
                <w:szCs w:val="20"/>
                <w:lang w:val="en-US"/>
              </w:rPr>
              <w:t>I:</w:t>
            </w:r>
            <w:r w:rsidR="00C7699D">
              <w:rPr>
                <w:rFonts w:ascii="Arial Narrow" w:eastAsia="TimesNewRoman" w:hAnsi="Arial Narrow" w:cs="Times New Roman"/>
                <w:b/>
                <w:bCs/>
                <w:color w:val="000000"/>
                <w:sz w:val="20"/>
                <w:szCs w:val="20"/>
                <w:lang w:val="en-US"/>
              </w:rPr>
              <w:t xml:space="preserve"> </w:t>
            </w:r>
            <w:r w:rsidRPr="005E54B6">
              <w:rPr>
                <w:rFonts w:ascii="Arial Narrow" w:eastAsia="TimesNewRoman" w:hAnsi="Arial Narrow" w:cs="Times New Roman"/>
                <w:b/>
                <w:bCs/>
                <w:color w:val="000000"/>
                <w:sz w:val="20"/>
                <w:szCs w:val="20"/>
                <w:lang w:val="en-US"/>
              </w:rPr>
              <w:t>39.4%, 66.5%</w:t>
            </w:r>
            <w:r>
              <w:rPr>
                <w:rFonts w:ascii="Arial Narrow" w:eastAsia="TimesNewRoman" w:hAnsi="Arial Narrow" w:cs="Times New Roman"/>
                <w:b/>
                <w:bCs/>
                <w:color w:val="000000"/>
                <w:sz w:val="20"/>
                <w:szCs w:val="20"/>
                <w:lang w:val="en-US"/>
              </w:rPr>
              <w:t>)</w:t>
            </w:r>
            <w:r w:rsidRPr="005E54B6">
              <w:rPr>
                <w:rFonts w:ascii="Arial Narrow" w:eastAsia="TimesNewRoman" w:hAnsi="Arial Narrow" w:cs="Times New Roman"/>
                <w:b/>
                <w:bCs/>
                <w:color w:val="000000"/>
                <w:sz w:val="20"/>
                <w:szCs w:val="20"/>
                <w:lang w:val="en-US"/>
              </w:rPr>
              <w:t>;</w:t>
            </w:r>
            <w:r>
              <w:rPr>
                <w:rFonts w:ascii="Arial Narrow" w:eastAsia="TimesNewRoman" w:hAnsi="Arial Narrow" w:cs="Times New Roman"/>
                <w:b/>
                <w:bCs/>
                <w:color w:val="000000"/>
                <w:sz w:val="20"/>
                <w:szCs w:val="20"/>
                <w:lang w:val="en-US"/>
              </w:rPr>
              <w:t xml:space="preserve"> p</w:t>
            </w:r>
            <w:r w:rsidRPr="005E54B6">
              <w:rPr>
                <w:rFonts w:ascii="Arial Narrow" w:eastAsia="TimesNewRoman" w:hAnsi="Arial Narrow" w:cs="Times New Roman"/>
                <w:b/>
                <w:bCs/>
                <w:color w:val="000000"/>
                <w:sz w:val="20"/>
                <w:szCs w:val="20"/>
                <w:lang w:val="en-US"/>
              </w:rPr>
              <w:t>&lt;0.0001</w:t>
            </w:r>
          </w:p>
        </w:tc>
        <w:tc>
          <w:tcPr>
            <w:tcW w:w="548" w:type="pct"/>
            <w:tcMar>
              <w:left w:w="28" w:type="dxa"/>
              <w:right w:w="28" w:type="dxa"/>
            </w:tcMar>
            <w:vAlign w:val="center"/>
          </w:tcPr>
          <w:p w:rsidR="009865EE" w:rsidRPr="009865EE" w:rsidRDefault="009865EE" w:rsidP="00645185">
            <w:pPr>
              <w:pStyle w:val="TableText0"/>
              <w:keepLines/>
              <w:jc w:val="center"/>
              <w:rPr>
                <w:rFonts w:eastAsia="TimesNewRoman" w:cs="Times New Roman"/>
                <w:b/>
                <w:color w:val="000000"/>
                <w:szCs w:val="20"/>
                <w:lang w:val="en-US"/>
              </w:rPr>
            </w:pPr>
            <w:r w:rsidRPr="009865EE">
              <w:rPr>
                <w:rFonts w:eastAsia="TimesNewRoman" w:cs="Times New Roman"/>
                <w:b/>
                <w:color w:val="000000"/>
                <w:szCs w:val="20"/>
                <w:lang w:val="en-US"/>
              </w:rPr>
              <w:t>39.7%</w:t>
            </w:r>
          </w:p>
          <w:p w:rsidR="001730C9" w:rsidRDefault="009865EE" w:rsidP="00645185">
            <w:pPr>
              <w:pStyle w:val="TableText0"/>
              <w:keepLines/>
              <w:jc w:val="center"/>
              <w:rPr>
                <w:rFonts w:eastAsia="TimesNewRoman" w:cs="Times New Roman"/>
                <w:b/>
                <w:color w:val="000000"/>
                <w:szCs w:val="20"/>
                <w:lang w:val="en-US"/>
              </w:rPr>
            </w:pPr>
            <w:r w:rsidRPr="009865EE">
              <w:rPr>
                <w:rFonts w:eastAsia="TimesNewRoman" w:cs="Times New Roman"/>
                <w:b/>
                <w:color w:val="000000"/>
                <w:szCs w:val="20"/>
                <w:lang w:val="en-US"/>
              </w:rPr>
              <w:t>(</w:t>
            </w:r>
            <w:r w:rsidR="0084073A">
              <w:rPr>
                <w:rFonts w:eastAsia="TimesNewRoman" w:cs="Times New Roman"/>
                <w:b/>
                <w:color w:val="000000"/>
                <w:szCs w:val="20"/>
                <w:lang w:val="en-US"/>
              </w:rPr>
              <w:t xml:space="preserve">97.5% CI: </w:t>
            </w:r>
            <w:r w:rsidRPr="009865EE">
              <w:rPr>
                <w:rFonts w:eastAsia="TimesNewRoman" w:cs="Times New Roman"/>
                <w:b/>
                <w:color w:val="000000"/>
                <w:szCs w:val="20"/>
                <w:lang w:val="en-US"/>
              </w:rPr>
              <w:t>26.4%, 53.0%)</w:t>
            </w:r>
            <w:r w:rsidR="004B49A3">
              <w:rPr>
                <w:rFonts w:eastAsia="TimesNewRoman" w:cs="Times New Roman"/>
                <w:b/>
                <w:color w:val="000000"/>
                <w:szCs w:val="20"/>
                <w:lang w:val="en-US"/>
              </w:rPr>
              <w:t>;</w:t>
            </w:r>
          </w:p>
          <w:p w:rsidR="004B49A3" w:rsidRPr="005E54B6" w:rsidRDefault="002C1959" w:rsidP="00645185">
            <w:pPr>
              <w:pStyle w:val="TableText0"/>
              <w:keepLines/>
              <w:jc w:val="center"/>
              <w:rPr>
                <w:rFonts w:eastAsia="TimesNewRoman" w:cs="Times New Roman"/>
                <w:b/>
                <w:color w:val="000000"/>
                <w:szCs w:val="20"/>
                <w:lang w:val="en-US"/>
              </w:rPr>
            </w:pPr>
            <w:r>
              <w:rPr>
                <w:rFonts w:eastAsia="TimesNewRoman" w:cs="Times New Roman"/>
                <w:b/>
                <w:color w:val="000000"/>
                <w:szCs w:val="20"/>
                <w:lang w:val="en-US"/>
              </w:rPr>
              <w:t>p</w:t>
            </w:r>
            <w:r w:rsidRPr="005E54B6">
              <w:rPr>
                <w:rFonts w:eastAsia="TimesNewRoman" w:cs="Times New Roman"/>
                <w:b/>
                <w:color w:val="000000"/>
                <w:szCs w:val="20"/>
                <w:lang w:val="en-US"/>
              </w:rPr>
              <w:t>&lt;0.0001</w:t>
            </w:r>
          </w:p>
        </w:tc>
        <w:tc>
          <w:tcPr>
            <w:tcW w:w="390" w:type="pct"/>
            <w:tcMar>
              <w:left w:w="28" w:type="dxa"/>
              <w:right w:w="28" w:type="dxa"/>
            </w:tcMar>
            <w:vAlign w:val="center"/>
          </w:tcPr>
          <w:p w:rsidR="001730C9" w:rsidRPr="005E54B6" w:rsidRDefault="001730C9" w:rsidP="00645185">
            <w:pPr>
              <w:pStyle w:val="TableText0"/>
              <w:keepLines/>
              <w:jc w:val="center"/>
              <w:rPr>
                <w:rFonts w:eastAsia="TimesNewRoman" w:cs="Times New Roman"/>
                <w:b/>
                <w:color w:val="000000"/>
                <w:szCs w:val="20"/>
                <w:lang w:val="en-US"/>
              </w:rPr>
            </w:pPr>
            <w:r w:rsidRPr="005E54B6">
              <w:rPr>
                <w:rFonts w:eastAsia="TimesNewRoman" w:cs="Times New Roman"/>
                <w:b/>
                <w:color w:val="000000"/>
                <w:szCs w:val="20"/>
                <w:lang w:val="en-US"/>
              </w:rPr>
              <w:t>73.00</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(4.57, 1165.80)</w:t>
            </w:r>
          </w:p>
        </w:tc>
        <w:tc>
          <w:tcPr>
            <w:tcW w:w="469" w:type="pct"/>
            <w:tcMar>
              <w:left w:w="28" w:type="dxa"/>
              <w:right w:w="28" w:type="dxa"/>
            </w:tcMar>
            <w:vAlign w:val="center"/>
          </w:tcPr>
          <w:p w:rsidR="00E94034" w:rsidRPr="00E94034" w:rsidRDefault="00E94034" w:rsidP="00645185">
            <w:pPr>
              <w:pStyle w:val="TableText0"/>
              <w:keepLines/>
              <w:jc w:val="center"/>
              <w:rPr>
                <w:rFonts w:eastAsia="TimesNewRoman" w:cs="Times New Roman"/>
                <w:b/>
                <w:color w:val="000000"/>
                <w:szCs w:val="20"/>
                <w:lang w:val="en-US"/>
              </w:rPr>
            </w:pPr>
            <w:r w:rsidRPr="00E94034">
              <w:rPr>
                <w:rFonts w:eastAsia="TimesNewRoman" w:cs="Times New Roman"/>
                <w:b/>
                <w:color w:val="000000"/>
                <w:szCs w:val="20"/>
                <w:lang w:val="en-US"/>
              </w:rPr>
              <w:t xml:space="preserve">55.00 </w:t>
            </w:r>
          </w:p>
          <w:p w:rsidR="001730C9" w:rsidRPr="005E54B6" w:rsidRDefault="00E94034" w:rsidP="00645185">
            <w:pPr>
              <w:pStyle w:val="TableText0"/>
              <w:keepLines/>
              <w:jc w:val="center"/>
              <w:rPr>
                <w:rFonts w:eastAsia="TimesNewRoman" w:cs="Times New Roman"/>
                <w:b/>
                <w:color w:val="000000"/>
                <w:szCs w:val="20"/>
                <w:lang w:val="en-US"/>
              </w:rPr>
            </w:pPr>
            <w:r>
              <w:rPr>
                <w:rFonts w:eastAsia="TimesNewRoman" w:cs="Times New Roman"/>
                <w:b/>
                <w:color w:val="000000"/>
                <w:szCs w:val="20"/>
                <w:lang w:val="en-US"/>
              </w:rPr>
              <w:t>(</w:t>
            </w:r>
            <w:r w:rsidRPr="00E94034">
              <w:rPr>
                <w:rFonts w:eastAsia="TimesNewRoman" w:cs="Times New Roman"/>
                <w:b/>
                <w:color w:val="000000"/>
                <w:szCs w:val="20"/>
                <w:lang w:val="en-US"/>
              </w:rPr>
              <w:t>3.42, 883.82</w:t>
            </w:r>
            <w:r>
              <w:rPr>
                <w:rFonts w:eastAsia="TimesNewRoman" w:cs="Times New Roman"/>
                <w:b/>
                <w:color w:val="000000"/>
                <w:szCs w:val="20"/>
                <w:lang w:val="en-US"/>
              </w:rPr>
              <w:t>)</w:t>
            </w:r>
          </w:p>
        </w:tc>
        <w:tc>
          <w:tcPr>
            <w:tcW w:w="391" w:type="pct"/>
            <w:tcMar>
              <w:left w:w="28" w:type="dxa"/>
              <w:right w:w="28" w:type="dxa"/>
            </w:tcMar>
            <w:vAlign w:val="center"/>
          </w:tcPr>
          <w:p w:rsidR="001730C9" w:rsidRPr="005E54B6" w:rsidRDefault="001730C9" w:rsidP="00645185">
            <w:pPr>
              <w:pStyle w:val="TableText0"/>
              <w:keepLines/>
              <w:jc w:val="center"/>
              <w:rPr>
                <w:rFonts w:eastAsia="TimesNewRoman" w:cs="Times New Roman"/>
                <w:b/>
                <w:color w:val="000000"/>
                <w:szCs w:val="20"/>
                <w:lang w:val="en-US"/>
              </w:rPr>
            </w:pPr>
            <w:r w:rsidRPr="005E54B6">
              <w:rPr>
                <w:rFonts w:eastAsia="TimesNewRoman" w:cs="Times New Roman"/>
                <w:b/>
                <w:color w:val="000000"/>
                <w:szCs w:val="20"/>
                <w:lang w:val="en-US"/>
              </w:rPr>
              <w:t>0.53</w:t>
            </w:r>
          </w:p>
          <w:p w:rsidR="001730C9" w:rsidRPr="005E54B6" w:rsidRDefault="001730C9" w:rsidP="00645185">
            <w:pPr>
              <w:keepNext/>
              <w:keepLines/>
              <w:widowControl w:val="0"/>
              <w:spacing w:before="20" w:after="20"/>
              <w:jc w:val="center"/>
              <w:rPr>
                <w:rFonts w:ascii="Arial Narrow" w:eastAsia="TimesNewRoman" w:hAnsi="Arial Narrow" w:cs="Times New Roman"/>
                <w:b/>
                <w:bCs/>
                <w:color w:val="000000"/>
                <w:sz w:val="20"/>
                <w:szCs w:val="20"/>
                <w:lang w:val="en-US"/>
              </w:rPr>
            </w:pPr>
            <w:r w:rsidRPr="005E54B6">
              <w:rPr>
                <w:rFonts w:ascii="Arial Narrow" w:eastAsia="TimesNewRoman" w:hAnsi="Arial Narrow" w:cs="Times New Roman"/>
                <w:b/>
                <w:bCs/>
                <w:color w:val="000000"/>
                <w:sz w:val="20"/>
                <w:szCs w:val="20"/>
                <w:lang w:val="en-US"/>
              </w:rPr>
              <w:t>(0.41, 0.65)</w:t>
            </w:r>
          </w:p>
        </w:tc>
        <w:tc>
          <w:tcPr>
            <w:tcW w:w="469" w:type="pct"/>
            <w:tcMar>
              <w:left w:w="28" w:type="dxa"/>
              <w:right w:w="28" w:type="dxa"/>
            </w:tcMar>
            <w:vAlign w:val="center"/>
          </w:tcPr>
          <w:p w:rsidR="00A36515" w:rsidRPr="00A36515" w:rsidRDefault="00A36515" w:rsidP="00645185">
            <w:pPr>
              <w:pStyle w:val="TableText0"/>
              <w:keepLines/>
              <w:jc w:val="center"/>
              <w:rPr>
                <w:rFonts w:eastAsia="TimesNewRoman" w:cs="Times New Roman"/>
                <w:b/>
                <w:color w:val="000000"/>
                <w:szCs w:val="20"/>
                <w:lang w:val="en-US"/>
              </w:rPr>
            </w:pPr>
            <w:r w:rsidRPr="00A36515">
              <w:rPr>
                <w:rFonts w:eastAsia="TimesNewRoman" w:cs="Times New Roman"/>
                <w:b/>
                <w:color w:val="000000"/>
                <w:szCs w:val="20"/>
                <w:lang w:val="en-US"/>
              </w:rPr>
              <w:t xml:space="preserve">0.40 </w:t>
            </w:r>
          </w:p>
          <w:p w:rsidR="001730C9" w:rsidRPr="005E54B6" w:rsidRDefault="00A36515" w:rsidP="00645185">
            <w:pPr>
              <w:pStyle w:val="TableText0"/>
              <w:keepLines/>
              <w:jc w:val="center"/>
              <w:rPr>
                <w:rFonts w:eastAsia="TimesNewRoman" w:cs="Times New Roman"/>
                <w:b/>
                <w:color w:val="000000"/>
                <w:szCs w:val="20"/>
                <w:lang w:val="en-US"/>
              </w:rPr>
            </w:pPr>
            <w:r>
              <w:rPr>
                <w:rFonts w:eastAsia="TimesNewRoman" w:cs="Times New Roman"/>
                <w:b/>
                <w:color w:val="000000"/>
                <w:szCs w:val="20"/>
                <w:lang w:val="en-US"/>
              </w:rPr>
              <w:t>(</w:t>
            </w:r>
            <w:r w:rsidRPr="00A36515">
              <w:rPr>
                <w:rFonts w:eastAsia="TimesNewRoman" w:cs="Times New Roman"/>
                <w:b/>
                <w:color w:val="000000"/>
                <w:szCs w:val="20"/>
                <w:lang w:val="en-US"/>
              </w:rPr>
              <w:t>0.28, 0.51</w:t>
            </w:r>
            <w:r>
              <w:rPr>
                <w:rFonts w:eastAsia="TimesNewRoman" w:cs="Times New Roman"/>
                <w:b/>
                <w:color w:val="000000"/>
                <w:szCs w:val="20"/>
                <w:lang w:val="en-US"/>
              </w:rPr>
              <w:t>)</w:t>
            </w:r>
          </w:p>
        </w:tc>
      </w:tr>
    </w:tbl>
    <w:p w:rsidR="001B0917" w:rsidRDefault="001B0917" w:rsidP="00645185">
      <w:pPr>
        <w:pStyle w:val="Default"/>
        <w:keepNext/>
        <w:keepLines/>
        <w:jc w:val="both"/>
        <w:rPr>
          <w:rFonts w:ascii="Arial Narrow" w:eastAsia="Calibri" w:hAnsi="Arial Narrow" w:cs="Arial"/>
          <w:snapToGrid w:val="0"/>
          <w:color w:val="auto"/>
          <w:sz w:val="18"/>
          <w:szCs w:val="22"/>
          <w:lang w:val="en-AU" w:eastAsia="en-AU"/>
        </w:rPr>
      </w:pPr>
      <w:r>
        <w:rPr>
          <w:rFonts w:ascii="Arial Narrow" w:eastAsia="Calibri" w:hAnsi="Arial Narrow" w:cs="Arial"/>
          <w:snapToGrid w:val="0"/>
          <w:color w:val="auto"/>
          <w:sz w:val="18"/>
          <w:szCs w:val="22"/>
          <w:lang w:val="en-AU" w:eastAsia="en-AU"/>
        </w:rPr>
        <w:t xml:space="preserve">Source: Table 2-2, p51, </w:t>
      </w:r>
      <w:r w:rsidR="00376CDD">
        <w:rPr>
          <w:rFonts w:ascii="Arial Narrow" w:eastAsia="Calibri" w:hAnsi="Arial Narrow" w:cs="Arial"/>
          <w:snapToGrid w:val="0"/>
          <w:color w:val="auto"/>
          <w:sz w:val="18"/>
          <w:szCs w:val="22"/>
          <w:lang w:val="en-AU" w:eastAsia="en-AU"/>
        </w:rPr>
        <w:t xml:space="preserve">Table 2-27, p117, </w:t>
      </w:r>
      <w:r>
        <w:rPr>
          <w:rFonts w:ascii="Arial Narrow" w:eastAsia="Calibri" w:hAnsi="Arial Narrow" w:cs="Arial"/>
          <w:snapToGrid w:val="0"/>
          <w:color w:val="auto"/>
          <w:sz w:val="18"/>
          <w:szCs w:val="22"/>
          <w:lang w:val="en-AU" w:eastAsia="en-AU"/>
        </w:rPr>
        <w:t>Table 2-28, p119,</w:t>
      </w:r>
      <w:r w:rsidR="000D28EE">
        <w:rPr>
          <w:rFonts w:ascii="Arial Narrow" w:eastAsia="Calibri" w:hAnsi="Arial Narrow" w:cs="Arial"/>
          <w:snapToGrid w:val="0"/>
          <w:color w:val="auto"/>
          <w:sz w:val="18"/>
          <w:szCs w:val="22"/>
          <w:lang w:val="en-AU" w:eastAsia="en-AU"/>
        </w:rPr>
        <w:t xml:space="preserve"> </w:t>
      </w:r>
      <w:r w:rsidR="007C692A">
        <w:rPr>
          <w:rFonts w:ascii="Arial Narrow" w:eastAsia="Calibri" w:hAnsi="Arial Narrow" w:cs="Arial"/>
          <w:snapToGrid w:val="0"/>
          <w:color w:val="auto"/>
          <w:sz w:val="18"/>
          <w:szCs w:val="22"/>
          <w:lang w:val="en-AU" w:eastAsia="en-AU"/>
        </w:rPr>
        <w:t>Table 2-29, p121,</w:t>
      </w:r>
      <w:r>
        <w:rPr>
          <w:rFonts w:ascii="Arial Narrow" w:eastAsia="Calibri" w:hAnsi="Arial Narrow" w:cs="Arial"/>
          <w:snapToGrid w:val="0"/>
          <w:color w:val="auto"/>
          <w:sz w:val="18"/>
          <w:szCs w:val="22"/>
          <w:lang w:val="en-AU" w:eastAsia="en-AU"/>
        </w:rPr>
        <w:t xml:space="preserve"> Table 2-30, p122, Table 2-31, p124, Table 2-32, p125 of the submission. </w:t>
      </w:r>
    </w:p>
    <w:p w:rsidR="001B0917" w:rsidRDefault="001B0917" w:rsidP="00645185">
      <w:pPr>
        <w:pStyle w:val="Default"/>
        <w:keepNext/>
        <w:keepLines/>
        <w:jc w:val="both"/>
        <w:rPr>
          <w:rFonts w:ascii="Arial Narrow" w:eastAsia="Calibri" w:hAnsi="Arial Narrow" w:cs="Arial"/>
          <w:snapToGrid w:val="0"/>
          <w:color w:val="auto"/>
          <w:sz w:val="18"/>
          <w:szCs w:val="22"/>
          <w:lang w:val="en-AU" w:eastAsia="en-AU"/>
        </w:rPr>
      </w:pPr>
      <w:r w:rsidRPr="00A70C52">
        <w:rPr>
          <w:rFonts w:ascii="Arial Narrow" w:eastAsia="Calibri" w:hAnsi="Arial Narrow" w:cs="Arial"/>
          <w:snapToGrid w:val="0"/>
          <w:color w:val="auto"/>
          <w:sz w:val="18"/>
          <w:szCs w:val="22"/>
          <w:lang w:val="en-AU" w:eastAsia="en-AU"/>
        </w:rPr>
        <w:t>Abbreviations: BID</w:t>
      </w:r>
      <w:r>
        <w:rPr>
          <w:rFonts w:ascii="Arial Narrow" w:eastAsia="Calibri" w:hAnsi="Arial Narrow" w:cs="Arial"/>
          <w:snapToGrid w:val="0"/>
          <w:color w:val="auto"/>
          <w:sz w:val="18"/>
          <w:szCs w:val="22"/>
          <w:lang w:val="en-AU" w:eastAsia="en-AU"/>
        </w:rPr>
        <w:t xml:space="preserve"> = </w:t>
      </w:r>
      <w:r w:rsidRPr="00A70C52">
        <w:rPr>
          <w:rFonts w:ascii="Arial Narrow" w:eastAsia="Calibri" w:hAnsi="Arial Narrow" w:cs="Arial"/>
          <w:snapToGrid w:val="0"/>
          <w:color w:val="auto"/>
          <w:sz w:val="18"/>
          <w:szCs w:val="22"/>
          <w:lang w:val="en-AU" w:eastAsia="en-AU"/>
        </w:rPr>
        <w:t>twice daily; BOT</w:t>
      </w:r>
      <w:r>
        <w:rPr>
          <w:rFonts w:ascii="Arial Narrow" w:eastAsia="Calibri" w:hAnsi="Arial Narrow" w:cs="Arial"/>
          <w:snapToGrid w:val="0"/>
          <w:color w:val="auto"/>
          <w:sz w:val="18"/>
          <w:szCs w:val="22"/>
          <w:lang w:val="en-AU" w:eastAsia="en-AU"/>
        </w:rPr>
        <w:t xml:space="preserve"> = </w:t>
      </w:r>
      <w:r w:rsidRPr="00A70C52">
        <w:rPr>
          <w:rFonts w:ascii="Arial Narrow" w:eastAsia="Calibri" w:hAnsi="Arial Narrow" w:cs="Arial"/>
          <w:snapToGrid w:val="0"/>
          <w:color w:val="auto"/>
          <w:sz w:val="18"/>
          <w:szCs w:val="22"/>
          <w:lang w:val="en-AU" w:eastAsia="en-AU"/>
        </w:rPr>
        <w:t>budesonide orally disintegrating tablets; CI</w:t>
      </w:r>
      <w:r>
        <w:rPr>
          <w:rFonts w:ascii="Arial Narrow" w:eastAsia="Calibri" w:hAnsi="Arial Narrow" w:cs="Arial"/>
          <w:snapToGrid w:val="0"/>
          <w:color w:val="auto"/>
          <w:sz w:val="18"/>
          <w:szCs w:val="22"/>
          <w:lang w:val="en-AU" w:eastAsia="en-AU"/>
        </w:rPr>
        <w:t xml:space="preserve"> = </w:t>
      </w:r>
      <w:r w:rsidRPr="00A70C52">
        <w:rPr>
          <w:rFonts w:ascii="Arial Narrow" w:eastAsia="Calibri" w:hAnsi="Arial Narrow" w:cs="Arial"/>
          <w:snapToGrid w:val="0"/>
          <w:color w:val="auto"/>
          <w:sz w:val="18"/>
          <w:szCs w:val="22"/>
          <w:lang w:val="en-AU" w:eastAsia="en-AU"/>
        </w:rPr>
        <w:t>confidence interval; DB</w:t>
      </w:r>
      <w:r>
        <w:rPr>
          <w:rFonts w:ascii="Arial Narrow" w:eastAsia="Calibri" w:hAnsi="Arial Narrow" w:cs="Arial"/>
          <w:snapToGrid w:val="0"/>
          <w:color w:val="auto"/>
          <w:sz w:val="18"/>
          <w:szCs w:val="22"/>
          <w:lang w:val="en-AU" w:eastAsia="en-AU"/>
        </w:rPr>
        <w:t xml:space="preserve"> = </w:t>
      </w:r>
      <w:r w:rsidRPr="00A70C52">
        <w:rPr>
          <w:rFonts w:ascii="Arial Narrow" w:eastAsia="Calibri" w:hAnsi="Arial Narrow" w:cs="Arial"/>
          <w:snapToGrid w:val="0"/>
          <w:color w:val="auto"/>
          <w:sz w:val="18"/>
          <w:szCs w:val="22"/>
          <w:lang w:val="en-AU" w:eastAsia="en-AU"/>
        </w:rPr>
        <w:t>double-blind treatment phase; EEsAI-PRO</w:t>
      </w:r>
      <w:r>
        <w:rPr>
          <w:rFonts w:ascii="Arial Narrow" w:eastAsia="Calibri" w:hAnsi="Arial Narrow" w:cs="Arial"/>
          <w:snapToGrid w:val="0"/>
          <w:color w:val="auto"/>
          <w:sz w:val="18"/>
          <w:szCs w:val="22"/>
          <w:lang w:val="en-AU" w:eastAsia="en-AU"/>
        </w:rPr>
        <w:t xml:space="preserve"> = e</w:t>
      </w:r>
      <w:r w:rsidRPr="00A70C52">
        <w:rPr>
          <w:rFonts w:ascii="Arial Narrow" w:eastAsia="Calibri" w:hAnsi="Arial Narrow" w:cs="Arial"/>
          <w:snapToGrid w:val="0"/>
          <w:color w:val="auto"/>
          <w:sz w:val="18"/>
          <w:szCs w:val="22"/>
          <w:lang w:val="en-AU" w:eastAsia="en-AU"/>
        </w:rPr>
        <w:t xml:space="preserve">osinophilic </w:t>
      </w:r>
      <w:r>
        <w:rPr>
          <w:rFonts w:ascii="Arial Narrow" w:eastAsia="Calibri" w:hAnsi="Arial Narrow" w:cs="Arial"/>
          <w:snapToGrid w:val="0"/>
          <w:color w:val="auto"/>
          <w:sz w:val="18"/>
          <w:szCs w:val="22"/>
          <w:lang w:val="en-AU" w:eastAsia="en-AU"/>
        </w:rPr>
        <w:t>oe</w:t>
      </w:r>
      <w:r w:rsidRPr="00A70C52">
        <w:rPr>
          <w:rFonts w:ascii="Arial Narrow" w:eastAsia="Calibri" w:hAnsi="Arial Narrow" w:cs="Arial"/>
          <w:snapToGrid w:val="0"/>
          <w:color w:val="auto"/>
          <w:sz w:val="18"/>
          <w:szCs w:val="22"/>
          <w:lang w:val="en-AU" w:eastAsia="en-AU"/>
        </w:rPr>
        <w:t xml:space="preserve">sophagitis </w:t>
      </w:r>
      <w:r>
        <w:rPr>
          <w:rFonts w:ascii="Arial Narrow" w:eastAsia="Calibri" w:hAnsi="Arial Narrow" w:cs="Arial"/>
          <w:snapToGrid w:val="0"/>
          <w:color w:val="auto"/>
          <w:sz w:val="18"/>
          <w:szCs w:val="22"/>
          <w:lang w:val="en-AU" w:eastAsia="en-AU"/>
        </w:rPr>
        <w:t>a</w:t>
      </w:r>
      <w:r w:rsidRPr="00A70C52">
        <w:rPr>
          <w:rFonts w:ascii="Arial Narrow" w:eastAsia="Calibri" w:hAnsi="Arial Narrow" w:cs="Arial"/>
          <w:snapToGrid w:val="0"/>
          <w:color w:val="auto"/>
          <w:sz w:val="18"/>
          <w:szCs w:val="22"/>
          <w:lang w:val="en-AU" w:eastAsia="en-AU"/>
        </w:rPr>
        <w:t xml:space="preserve">ctivity </w:t>
      </w:r>
      <w:r>
        <w:rPr>
          <w:rFonts w:ascii="Arial Narrow" w:eastAsia="Calibri" w:hAnsi="Arial Narrow" w:cs="Arial"/>
          <w:snapToGrid w:val="0"/>
          <w:color w:val="auto"/>
          <w:sz w:val="18"/>
          <w:szCs w:val="22"/>
          <w:lang w:val="en-AU" w:eastAsia="en-AU"/>
        </w:rPr>
        <w:t>i</w:t>
      </w:r>
      <w:r w:rsidRPr="00A70C52">
        <w:rPr>
          <w:rFonts w:ascii="Arial Narrow" w:eastAsia="Calibri" w:hAnsi="Arial Narrow" w:cs="Arial"/>
          <w:snapToGrid w:val="0"/>
          <w:color w:val="auto"/>
          <w:sz w:val="18"/>
          <w:szCs w:val="22"/>
          <w:lang w:val="en-AU" w:eastAsia="en-AU"/>
        </w:rPr>
        <w:t>ndex</w:t>
      </w:r>
      <w:r>
        <w:rPr>
          <w:rFonts w:ascii="Arial Narrow" w:eastAsia="Calibri" w:hAnsi="Arial Narrow" w:cs="Arial"/>
          <w:snapToGrid w:val="0"/>
          <w:color w:val="auto"/>
          <w:sz w:val="18"/>
          <w:szCs w:val="22"/>
          <w:lang w:val="en-AU" w:eastAsia="en-AU"/>
        </w:rPr>
        <w:t xml:space="preserve">- </w:t>
      </w:r>
      <w:r w:rsidRPr="00236C81">
        <w:rPr>
          <w:rFonts w:ascii="Arial Narrow" w:eastAsia="Calibri" w:hAnsi="Arial Narrow" w:cs="Arial"/>
          <w:snapToGrid w:val="0"/>
          <w:color w:val="auto"/>
          <w:sz w:val="18"/>
          <w:szCs w:val="22"/>
          <w:lang w:val="en-AU" w:eastAsia="en-AU"/>
        </w:rPr>
        <w:t>patient reported outcome</w:t>
      </w:r>
      <w:r w:rsidRPr="00A70C52">
        <w:rPr>
          <w:rFonts w:ascii="Arial Narrow" w:eastAsia="Calibri" w:hAnsi="Arial Narrow" w:cs="Arial"/>
          <w:snapToGrid w:val="0"/>
          <w:color w:val="auto"/>
          <w:sz w:val="18"/>
          <w:szCs w:val="22"/>
          <w:lang w:val="en-AU" w:eastAsia="en-AU"/>
        </w:rPr>
        <w:t>; eos</w:t>
      </w:r>
      <w:r>
        <w:rPr>
          <w:rFonts w:ascii="Arial Narrow" w:eastAsia="Calibri" w:hAnsi="Arial Narrow" w:cs="Arial"/>
          <w:snapToGrid w:val="0"/>
          <w:color w:val="auto"/>
          <w:sz w:val="18"/>
          <w:szCs w:val="22"/>
          <w:lang w:val="en-AU" w:eastAsia="en-AU"/>
        </w:rPr>
        <w:t xml:space="preserve"> = </w:t>
      </w:r>
      <w:r w:rsidRPr="00A70C52">
        <w:rPr>
          <w:rFonts w:ascii="Arial Narrow" w:eastAsia="Calibri" w:hAnsi="Arial Narrow" w:cs="Arial"/>
          <w:snapToGrid w:val="0"/>
          <w:color w:val="auto"/>
          <w:sz w:val="18"/>
          <w:szCs w:val="22"/>
          <w:lang w:val="en-AU" w:eastAsia="en-AU"/>
        </w:rPr>
        <w:t>eosinophils; EOT</w:t>
      </w:r>
      <w:r>
        <w:rPr>
          <w:rFonts w:ascii="Arial Narrow" w:eastAsia="Calibri" w:hAnsi="Arial Narrow" w:cs="Arial"/>
          <w:snapToGrid w:val="0"/>
          <w:color w:val="auto"/>
          <w:sz w:val="18"/>
          <w:szCs w:val="22"/>
          <w:lang w:val="en-AU" w:eastAsia="en-AU"/>
        </w:rPr>
        <w:t xml:space="preserve"> = </w:t>
      </w:r>
      <w:r w:rsidRPr="00A70C52">
        <w:rPr>
          <w:rFonts w:ascii="Arial Narrow" w:eastAsia="Calibri" w:hAnsi="Arial Narrow" w:cs="Arial"/>
          <w:snapToGrid w:val="0"/>
          <w:color w:val="auto"/>
          <w:sz w:val="18"/>
          <w:szCs w:val="22"/>
          <w:lang w:val="en-AU" w:eastAsia="en-AU"/>
        </w:rPr>
        <w:t>end of treatment; FAS</w:t>
      </w:r>
      <w:r>
        <w:rPr>
          <w:rFonts w:ascii="Arial Narrow" w:eastAsia="Calibri" w:hAnsi="Arial Narrow" w:cs="Arial"/>
          <w:snapToGrid w:val="0"/>
          <w:color w:val="auto"/>
          <w:sz w:val="18"/>
          <w:szCs w:val="22"/>
          <w:lang w:val="en-AU" w:eastAsia="en-AU"/>
        </w:rPr>
        <w:t xml:space="preserve"> = </w:t>
      </w:r>
      <w:r w:rsidRPr="00A70C52">
        <w:rPr>
          <w:rFonts w:ascii="Arial Narrow" w:eastAsia="Calibri" w:hAnsi="Arial Narrow" w:cs="Arial"/>
          <w:snapToGrid w:val="0"/>
          <w:color w:val="auto"/>
          <w:sz w:val="18"/>
          <w:szCs w:val="22"/>
          <w:lang w:val="en-AU" w:eastAsia="en-AU"/>
        </w:rPr>
        <w:t>full analysis set; hpf</w:t>
      </w:r>
      <w:r>
        <w:rPr>
          <w:rFonts w:ascii="Arial Narrow" w:eastAsia="Calibri" w:hAnsi="Arial Narrow" w:cs="Arial"/>
          <w:snapToGrid w:val="0"/>
          <w:color w:val="auto"/>
          <w:sz w:val="18"/>
          <w:szCs w:val="22"/>
          <w:lang w:val="en-AU" w:eastAsia="en-AU"/>
        </w:rPr>
        <w:t xml:space="preserve"> = </w:t>
      </w:r>
      <w:r w:rsidRPr="00A70C52">
        <w:rPr>
          <w:rFonts w:ascii="Arial Narrow" w:eastAsia="Calibri" w:hAnsi="Arial Narrow" w:cs="Arial"/>
          <w:snapToGrid w:val="0"/>
          <w:color w:val="auto"/>
          <w:sz w:val="18"/>
          <w:szCs w:val="22"/>
          <w:lang w:val="en-AU" w:eastAsia="en-AU"/>
        </w:rPr>
        <w:t>high power field</w:t>
      </w:r>
      <w:r>
        <w:rPr>
          <w:rFonts w:ascii="Arial Narrow" w:eastAsia="Calibri" w:hAnsi="Arial Narrow" w:cs="Arial"/>
          <w:snapToGrid w:val="0"/>
          <w:color w:val="auto"/>
          <w:sz w:val="18"/>
          <w:szCs w:val="22"/>
          <w:lang w:val="en-AU" w:eastAsia="en-AU"/>
        </w:rPr>
        <w:t>; N</w:t>
      </w:r>
      <w:r w:rsidR="00321710">
        <w:rPr>
          <w:rFonts w:ascii="Arial Narrow" w:eastAsia="Calibri" w:hAnsi="Arial Narrow" w:cs="Arial"/>
          <w:snapToGrid w:val="0"/>
          <w:color w:val="auto"/>
          <w:sz w:val="18"/>
          <w:szCs w:val="22"/>
          <w:lang w:val="en-AU" w:eastAsia="en-AU"/>
        </w:rPr>
        <w:t>R</w:t>
      </w:r>
      <w:r>
        <w:rPr>
          <w:rFonts w:ascii="Arial Narrow" w:eastAsia="Calibri" w:hAnsi="Arial Narrow" w:cs="Arial"/>
          <w:snapToGrid w:val="0"/>
          <w:color w:val="auto"/>
          <w:sz w:val="18"/>
          <w:szCs w:val="22"/>
          <w:lang w:val="en-AU" w:eastAsia="en-AU"/>
        </w:rPr>
        <w:t xml:space="preserve"> = not </w:t>
      </w:r>
      <w:r w:rsidR="00321710">
        <w:rPr>
          <w:rFonts w:ascii="Arial Narrow" w:eastAsia="Calibri" w:hAnsi="Arial Narrow" w:cs="Arial"/>
          <w:snapToGrid w:val="0"/>
          <w:color w:val="auto"/>
          <w:sz w:val="18"/>
          <w:szCs w:val="22"/>
          <w:lang w:val="en-AU" w:eastAsia="en-AU"/>
        </w:rPr>
        <w:t>reported</w:t>
      </w:r>
      <w:r w:rsidR="00BE1AE0">
        <w:rPr>
          <w:rFonts w:ascii="Arial Narrow" w:eastAsia="Calibri" w:hAnsi="Arial Narrow" w:cs="Arial"/>
          <w:snapToGrid w:val="0"/>
          <w:color w:val="auto"/>
          <w:sz w:val="18"/>
          <w:szCs w:val="22"/>
          <w:lang w:val="en-AU" w:eastAsia="en-AU"/>
        </w:rPr>
        <w:t>; RD = risk difference; RR = relative risk</w:t>
      </w:r>
      <w:r>
        <w:rPr>
          <w:rFonts w:ascii="Arial Narrow" w:eastAsia="Calibri" w:hAnsi="Arial Narrow" w:cs="Arial"/>
          <w:snapToGrid w:val="0"/>
          <w:color w:val="auto"/>
          <w:sz w:val="18"/>
          <w:szCs w:val="22"/>
          <w:lang w:val="en-AU" w:eastAsia="en-AU"/>
        </w:rPr>
        <w:t xml:space="preserve">. </w:t>
      </w:r>
    </w:p>
    <w:p w:rsidR="001B0917" w:rsidRDefault="001B0917" w:rsidP="00645185">
      <w:pPr>
        <w:pStyle w:val="Default"/>
        <w:keepNext/>
        <w:keepLines/>
        <w:jc w:val="both"/>
        <w:rPr>
          <w:rFonts w:ascii="Arial Narrow" w:eastAsia="Calibri" w:hAnsi="Arial Narrow" w:cs="Arial"/>
          <w:snapToGrid w:val="0"/>
          <w:color w:val="auto"/>
          <w:sz w:val="18"/>
          <w:szCs w:val="22"/>
          <w:lang w:val="en-AU" w:eastAsia="en-AU"/>
        </w:rPr>
      </w:pPr>
      <w:r>
        <w:rPr>
          <w:rFonts w:ascii="Arial Narrow" w:eastAsia="Calibri" w:hAnsi="Arial Narrow" w:cs="Arial"/>
          <w:snapToGrid w:val="0"/>
          <w:color w:val="auto"/>
          <w:sz w:val="18"/>
          <w:szCs w:val="22"/>
          <w:lang w:val="en-AU" w:eastAsia="en-AU"/>
        </w:rPr>
        <w:t xml:space="preserve">Notes: </w:t>
      </w:r>
      <w:r w:rsidR="009E3DFE" w:rsidRPr="003A1191">
        <w:rPr>
          <w:rFonts w:ascii="Arial Narrow" w:eastAsia="Calibri" w:hAnsi="Arial Narrow" w:cs="Arial"/>
          <w:snapToGrid w:val="0"/>
          <w:color w:val="auto"/>
          <w:sz w:val="18"/>
          <w:szCs w:val="22"/>
          <w:vertAlign w:val="superscript"/>
          <w:lang w:val="en-AU" w:eastAsia="en-AU"/>
        </w:rPr>
        <w:t>^</w:t>
      </w:r>
      <w:r w:rsidR="009E3DFE">
        <w:rPr>
          <w:rFonts w:ascii="Arial Narrow" w:eastAsia="Calibri" w:hAnsi="Arial Narrow" w:cs="Arial"/>
          <w:snapToGrid w:val="0"/>
          <w:color w:val="auto"/>
          <w:sz w:val="18"/>
          <w:szCs w:val="22"/>
          <w:lang w:val="en-AU" w:eastAsia="en-AU"/>
        </w:rPr>
        <w:t xml:space="preserve">Typographical error identified and corrected during evaluation (corrections were obtained from EOS-2 CSR, p678). </w:t>
      </w:r>
      <w:r w:rsidR="00EC57B3" w:rsidRPr="00B25B0F">
        <w:rPr>
          <w:rFonts w:ascii="Arial Narrow" w:eastAsia="Calibri" w:hAnsi="Arial Narrow" w:cs="Arial"/>
          <w:snapToGrid w:val="0"/>
          <w:color w:val="auto"/>
          <w:sz w:val="18"/>
          <w:szCs w:val="22"/>
          <w:vertAlign w:val="superscript"/>
          <w:lang w:val="en-AU" w:eastAsia="en-AU"/>
        </w:rPr>
        <w:t>*</w:t>
      </w:r>
      <w:r w:rsidR="00CB2139">
        <w:rPr>
          <w:rFonts w:ascii="Arial Narrow" w:eastAsia="Calibri" w:hAnsi="Arial Narrow" w:cs="Arial"/>
          <w:snapToGrid w:val="0"/>
          <w:color w:val="auto"/>
          <w:sz w:val="18"/>
          <w:szCs w:val="22"/>
          <w:lang w:val="en-AU" w:eastAsia="en-AU"/>
        </w:rPr>
        <w:t xml:space="preserve">Confidence interval </w:t>
      </w:r>
      <w:r w:rsidR="009334A4">
        <w:rPr>
          <w:rFonts w:ascii="Arial Narrow" w:eastAsia="Calibri" w:hAnsi="Arial Narrow" w:cs="Arial"/>
          <w:snapToGrid w:val="0"/>
          <w:color w:val="auto"/>
          <w:sz w:val="18"/>
          <w:szCs w:val="22"/>
          <w:lang w:val="en-AU" w:eastAsia="en-AU"/>
        </w:rPr>
        <w:t>values</w:t>
      </w:r>
      <w:r w:rsidR="00CB2139">
        <w:rPr>
          <w:rFonts w:ascii="Arial Narrow" w:eastAsia="Calibri" w:hAnsi="Arial Narrow" w:cs="Arial"/>
          <w:snapToGrid w:val="0"/>
          <w:color w:val="auto"/>
          <w:sz w:val="18"/>
          <w:szCs w:val="22"/>
          <w:lang w:val="en-AU" w:eastAsia="en-AU"/>
        </w:rPr>
        <w:t xml:space="preserve"> obtained from </w:t>
      </w:r>
      <w:r w:rsidR="009334A4">
        <w:rPr>
          <w:rFonts w:ascii="Arial Narrow" w:eastAsia="Calibri" w:hAnsi="Arial Narrow" w:cs="Arial"/>
          <w:snapToGrid w:val="0"/>
          <w:color w:val="auto"/>
          <w:sz w:val="18"/>
          <w:szCs w:val="22"/>
          <w:lang w:val="en-AU" w:eastAsia="en-AU"/>
        </w:rPr>
        <w:t>EOS-2 CRS, p</w:t>
      </w:r>
      <w:r w:rsidR="000F1A21">
        <w:rPr>
          <w:rFonts w:ascii="Arial Narrow" w:eastAsia="Calibri" w:hAnsi="Arial Narrow" w:cs="Arial"/>
          <w:snapToGrid w:val="0"/>
          <w:color w:val="auto"/>
          <w:sz w:val="18"/>
          <w:szCs w:val="22"/>
          <w:lang w:val="en-AU" w:eastAsia="en-AU"/>
        </w:rPr>
        <w:t>p</w:t>
      </w:r>
      <w:r w:rsidR="009334A4">
        <w:rPr>
          <w:rFonts w:ascii="Arial Narrow" w:eastAsia="Calibri" w:hAnsi="Arial Narrow" w:cs="Arial"/>
          <w:snapToGrid w:val="0"/>
          <w:color w:val="auto"/>
          <w:sz w:val="18"/>
          <w:szCs w:val="22"/>
          <w:lang w:val="en-AU" w:eastAsia="en-AU"/>
        </w:rPr>
        <w:t>614</w:t>
      </w:r>
      <w:r w:rsidR="00710018">
        <w:rPr>
          <w:rFonts w:ascii="Arial Narrow" w:eastAsia="Calibri" w:hAnsi="Arial Narrow" w:cs="Arial"/>
          <w:snapToGrid w:val="0"/>
          <w:color w:val="auto"/>
          <w:sz w:val="18"/>
          <w:szCs w:val="22"/>
          <w:lang w:val="en-AU" w:eastAsia="en-AU"/>
        </w:rPr>
        <w:t>-615</w:t>
      </w:r>
      <w:r w:rsidR="008E5C31">
        <w:rPr>
          <w:rFonts w:ascii="Arial Narrow" w:eastAsia="Calibri" w:hAnsi="Arial Narrow" w:cs="Arial"/>
          <w:snapToGrid w:val="0"/>
          <w:color w:val="auto"/>
          <w:sz w:val="18"/>
          <w:szCs w:val="22"/>
          <w:lang w:val="en-AU" w:eastAsia="en-AU"/>
        </w:rPr>
        <w:t xml:space="preserve"> (th</w:t>
      </w:r>
      <w:r w:rsidR="00DB4BAD">
        <w:rPr>
          <w:rFonts w:ascii="Arial Narrow" w:eastAsia="Calibri" w:hAnsi="Arial Narrow" w:cs="Arial"/>
          <w:snapToGrid w:val="0"/>
          <w:color w:val="auto"/>
          <w:sz w:val="18"/>
          <w:szCs w:val="22"/>
          <w:lang w:val="en-AU" w:eastAsia="en-AU"/>
        </w:rPr>
        <w:t xml:space="preserve">ese values </w:t>
      </w:r>
      <w:r w:rsidR="00B25B0F">
        <w:rPr>
          <w:rFonts w:ascii="Arial Narrow" w:eastAsia="Calibri" w:hAnsi="Arial Narrow" w:cs="Arial"/>
          <w:snapToGrid w:val="0"/>
          <w:color w:val="auto"/>
          <w:sz w:val="18"/>
          <w:szCs w:val="22"/>
          <w:lang w:val="en-AU" w:eastAsia="en-AU"/>
        </w:rPr>
        <w:t xml:space="preserve">were </w:t>
      </w:r>
      <w:r w:rsidR="008E5C31">
        <w:rPr>
          <w:rFonts w:ascii="Arial Narrow" w:eastAsia="Calibri" w:hAnsi="Arial Narrow" w:cs="Arial"/>
          <w:snapToGrid w:val="0"/>
          <w:color w:val="auto"/>
          <w:sz w:val="18"/>
          <w:szCs w:val="22"/>
          <w:lang w:val="en-AU" w:eastAsia="en-AU"/>
        </w:rPr>
        <w:t xml:space="preserve">presented in the submission as “not reported”). </w:t>
      </w:r>
      <w:r w:rsidRPr="00A05386">
        <w:rPr>
          <w:rFonts w:ascii="Arial Narrow" w:eastAsia="Calibri" w:hAnsi="Arial Narrow" w:cs="Arial"/>
          <w:b/>
          <w:bCs/>
          <w:snapToGrid w:val="0"/>
          <w:color w:val="auto"/>
          <w:sz w:val="18"/>
          <w:szCs w:val="22"/>
          <w:lang w:val="en-AU" w:eastAsia="en-AU"/>
        </w:rPr>
        <w:t>Bold</w:t>
      </w:r>
      <w:r w:rsidRPr="00A05386">
        <w:rPr>
          <w:rFonts w:ascii="Arial Narrow" w:eastAsia="Calibri" w:hAnsi="Arial Narrow" w:cs="Arial"/>
          <w:snapToGrid w:val="0"/>
          <w:color w:val="auto"/>
          <w:sz w:val="18"/>
          <w:szCs w:val="22"/>
          <w:lang w:val="en-AU" w:eastAsia="en-AU"/>
        </w:rPr>
        <w:t xml:space="preserve"> indicates statistically significant results</w:t>
      </w:r>
      <w:r>
        <w:rPr>
          <w:rFonts w:ascii="Arial Narrow" w:eastAsia="Calibri" w:hAnsi="Arial Narrow" w:cs="Arial"/>
          <w:snapToGrid w:val="0"/>
          <w:color w:val="auto"/>
          <w:sz w:val="18"/>
          <w:szCs w:val="22"/>
          <w:lang w:val="en-AU" w:eastAsia="en-AU"/>
        </w:rPr>
        <w:t>.</w:t>
      </w:r>
    </w:p>
    <w:p w:rsidR="001B0917" w:rsidRDefault="001B0917" w:rsidP="00645185">
      <w:pPr>
        <w:pStyle w:val="Default"/>
        <w:keepNext/>
        <w:keepLines/>
        <w:jc w:val="both"/>
        <w:rPr>
          <w:rFonts w:ascii="Arial Narrow" w:eastAsia="Calibri" w:hAnsi="Arial Narrow" w:cs="Arial"/>
          <w:snapToGrid w:val="0"/>
          <w:color w:val="auto"/>
          <w:sz w:val="18"/>
          <w:szCs w:val="22"/>
          <w:lang w:val="en-AU" w:eastAsia="en-AU"/>
        </w:rPr>
      </w:pPr>
      <w:r>
        <w:rPr>
          <w:rFonts w:ascii="Arial Narrow" w:eastAsia="Calibri" w:hAnsi="Arial Narrow" w:cs="Arial"/>
          <w:snapToGrid w:val="0"/>
          <w:color w:val="auto"/>
          <w:sz w:val="18"/>
          <w:szCs w:val="22"/>
          <w:lang w:val="en-AU" w:eastAsia="en-AU"/>
        </w:rPr>
        <w:t xml:space="preserve">a. </w:t>
      </w:r>
      <w:r w:rsidRPr="00B361BC">
        <w:rPr>
          <w:rFonts w:ascii="Arial Narrow" w:eastAsia="Calibri" w:hAnsi="Arial Narrow" w:cs="Arial"/>
          <w:snapToGrid w:val="0"/>
          <w:color w:val="auto"/>
          <w:sz w:val="18"/>
          <w:szCs w:val="22"/>
          <w:lang w:val="en-AU" w:eastAsia="en-AU"/>
        </w:rPr>
        <w:t>Calculated post-hoc for the submission using Review Manager 5.4.</w:t>
      </w:r>
    </w:p>
    <w:p w:rsidR="001B0917" w:rsidRDefault="001B0917" w:rsidP="001B0917">
      <w:pPr>
        <w:pStyle w:val="Default"/>
        <w:jc w:val="both"/>
        <w:rPr>
          <w:rFonts w:ascii="Arial Narrow" w:eastAsia="Calibri" w:hAnsi="Arial Narrow" w:cs="Arial"/>
          <w:snapToGrid w:val="0"/>
          <w:color w:val="auto"/>
          <w:sz w:val="18"/>
          <w:szCs w:val="22"/>
          <w:lang w:val="en-AU" w:eastAsia="en-AU"/>
        </w:rPr>
      </w:pPr>
    </w:p>
    <w:p w:rsidR="00682800" w:rsidRDefault="00682800" w:rsidP="00682800">
      <w:pPr>
        <w:pStyle w:val="3-BodyText"/>
      </w:pPr>
      <w:r>
        <w:t xml:space="preserve">The overall EoE-QoL-A score and the scores of each of the six domains decreased, indicating deterioration of QoL from baseline to end of treatment. In contrast, the overall EoE-QoL-A score and scores of each of the six domains improved in the two BOT groups. The differences between absolute changes from the baseline revealed statistically significant differences in favour of both BOT versus placebo. </w:t>
      </w:r>
    </w:p>
    <w:p w:rsidR="00682800" w:rsidRDefault="00682800" w:rsidP="001B0917">
      <w:pPr>
        <w:pStyle w:val="Default"/>
        <w:jc w:val="both"/>
        <w:rPr>
          <w:rFonts w:ascii="Arial Narrow" w:eastAsia="Calibri" w:hAnsi="Arial Narrow" w:cs="Arial"/>
          <w:snapToGrid w:val="0"/>
          <w:color w:val="auto"/>
          <w:sz w:val="18"/>
          <w:szCs w:val="22"/>
          <w:lang w:val="en-AU" w:eastAsia="en-AU"/>
        </w:rPr>
      </w:pPr>
    </w:p>
    <w:p w:rsidR="001B0917" w:rsidRPr="0054101F" w:rsidRDefault="001B0917" w:rsidP="001B0917">
      <w:pPr>
        <w:pStyle w:val="Default"/>
        <w:jc w:val="both"/>
        <w:rPr>
          <w:rStyle w:val="CommentReference"/>
          <w:rFonts w:eastAsiaTheme="majorEastAsia" w:cstheme="majorBidi"/>
          <w:bCs/>
          <w:szCs w:val="24"/>
        </w:rPr>
      </w:pPr>
      <w:r w:rsidRPr="0054101F">
        <w:rPr>
          <w:rStyle w:val="CommentReference"/>
          <w:rFonts w:eastAsiaTheme="majorEastAsia" w:cstheme="majorBidi"/>
          <w:bCs/>
          <w:szCs w:val="24"/>
        </w:rPr>
        <w:t>Table 7:</w:t>
      </w:r>
      <w:r>
        <w:rPr>
          <w:rStyle w:val="CommentReference"/>
          <w:rFonts w:eastAsiaTheme="majorEastAsia" w:cstheme="majorBidi"/>
          <w:bCs/>
          <w:szCs w:val="24"/>
        </w:rPr>
        <w:t xml:space="preserve"> Change</w:t>
      </w:r>
      <w:r w:rsidRPr="0054101F">
        <w:rPr>
          <w:rStyle w:val="CommentReference"/>
          <w:rFonts w:eastAsiaTheme="majorEastAsia" w:cstheme="majorBidi"/>
          <w:bCs/>
          <w:szCs w:val="24"/>
          <w:lang w:val="en-AU" w:eastAsia="en-AU"/>
        </w:rPr>
        <w:t xml:space="preserve"> from </w:t>
      </w:r>
      <w:r w:rsidRPr="0054101F">
        <w:rPr>
          <w:rStyle w:val="CommentReference"/>
          <w:rFonts w:eastAsiaTheme="majorEastAsia" w:cstheme="majorBidi"/>
          <w:szCs w:val="24"/>
          <w:lang w:val="en-AU" w:eastAsia="en-AU"/>
        </w:rPr>
        <w:t>b</w:t>
      </w:r>
      <w:r w:rsidRPr="0054101F">
        <w:rPr>
          <w:rStyle w:val="CommentReference"/>
          <w:rFonts w:eastAsiaTheme="majorEastAsia" w:cstheme="majorBidi"/>
          <w:bCs/>
          <w:szCs w:val="24"/>
          <w:lang w:val="en-AU" w:eastAsia="en-AU"/>
        </w:rPr>
        <w:t>aseline in the Adult Eosinophilic Esophagitis Quality of Life (EoE-QoL-A) Questionnaire</w:t>
      </w:r>
    </w:p>
    <w:tbl>
      <w:tblPr>
        <w:tblW w:w="5264" w:type="pct"/>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553"/>
        <w:gridCol w:w="570"/>
        <w:gridCol w:w="1840"/>
        <w:gridCol w:w="482"/>
        <w:gridCol w:w="2071"/>
        <w:gridCol w:w="1984"/>
        <w:gridCol w:w="993"/>
      </w:tblGrid>
      <w:tr w:rsidR="001B0917" w:rsidRPr="001A4DFF" w:rsidTr="00DA5F85">
        <w:tc>
          <w:tcPr>
            <w:tcW w:w="818" w:type="pct"/>
            <w:tcBorders>
              <w:top w:val="single" w:sz="4" w:space="0" w:color="auto"/>
              <w:left w:val="single" w:sz="4" w:space="0" w:color="auto"/>
              <w:bottom w:val="single" w:sz="4" w:space="0" w:color="auto"/>
            </w:tcBorders>
          </w:tcPr>
          <w:p w:rsidR="001B0917" w:rsidRPr="00811874" w:rsidRDefault="001B0917" w:rsidP="00DA5F85">
            <w:pPr>
              <w:pStyle w:val="In-tableHeading"/>
              <w:keepNext w:val="0"/>
              <w:widowControl w:val="0"/>
              <w:jc w:val="both"/>
            </w:pPr>
            <w:r w:rsidRPr="00811874">
              <w:t>Treatment arm</w:t>
            </w:r>
          </w:p>
        </w:tc>
        <w:tc>
          <w:tcPr>
            <w:tcW w:w="1269" w:type="pct"/>
            <w:gridSpan w:val="2"/>
            <w:tcBorders>
              <w:top w:val="single" w:sz="4" w:space="0" w:color="auto"/>
              <w:left w:val="single" w:sz="4" w:space="0" w:color="auto"/>
              <w:bottom w:val="single" w:sz="4" w:space="0" w:color="auto"/>
            </w:tcBorders>
          </w:tcPr>
          <w:p w:rsidR="001B0917" w:rsidRPr="00811874" w:rsidRDefault="001B0917" w:rsidP="00F8361C">
            <w:pPr>
              <w:pStyle w:val="In-tableHeading"/>
              <w:keepNext w:val="0"/>
              <w:widowControl w:val="0"/>
              <w:jc w:val="center"/>
            </w:pPr>
            <w:r w:rsidRPr="00811874">
              <w:t>Intervention</w:t>
            </w:r>
          </w:p>
        </w:tc>
        <w:tc>
          <w:tcPr>
            <w:tcW w:w="1345" w:type="pct"/>
            <w:gridSpan w:val="2"/>
            <w:tcBorders>
              <w:top w:val="single" w:sz="4" w:space="0" w:color="auto"/>
              <w:left w:val="single" w:sz="4" w:space="0" w:color="auto"/>
              <w:bottom w:val="single" w:sz="4" w:space="0" w:color="auto"/>
            </w:tcBorders>
          </w:tcPr>
          <w:p w:rsidR="001B0917" w:rsidRPr="00811874" w:rsidRDefault="001B0917" w:rsidP="00F8361C">
            <w:pPr>
              <w:pStyle w:val="In-tableHeading"/>
              <w:keepNext w:val="0"/>
              <w:widowControl w:val="0"/>
              <w:jc w:val="center"/>
            </w:pPr>
            <w:r w:rsidRPr="00811874">
              <w:t>Placebo</w:t>
            </w:r>
          </w:p>
        </w:tc>
        <w:tc>
          <w:tcPr>
            <w:tcW w:w="1045" w:type="pct"/>
            <w:tcBorders>
              <w:top w:val="single" w:sz="4" w:space="0" w:color="auto"/>
              <w:left w:val="single" w:sz="4" w:space="0" w:color="auto"/>
              <w:bottom w:val="single" w:sz="4" w:space="0" w:color="auto"/>
            </w:tcBorders>
          </w:tcPr>
          <w:p w:rsidR="001B0917" w:rsidRPr="00811874" w:rsidRDefault="001B0917" w:rsidP="00F8361C">
            <w:pPr>
              <w:pStyle w:val="In-tableHeading"/>
              <w:keepNext w:val="0"/>
              <w:widowControl w:val="0"/>
              <w:jc w:val="center"/>
            </w:pPr>
            <w:r w:rsidRPr="00811874">
              <w:t>MD (95% CI</w:t>
            </w:r>
            <w:r>
              <w:t>)</w:t>
            </w:r>
          </w:p>
        </w:tc>
        <w:tc>
          <w:tcPr>
            <w:tcW w:w="523" w:type="pct"/>
            <w:tcBorders>
              <w:top w:val="single" w:sz="4" w:space="0" w:color="auto"/>
              <w:left w:val="single" w:sz="4" w:space="0" w:color="auto"/>
              <w:bottom w:val="single" w:sz="4" w:space="0" w:color="auto"/>
              <w:right w:val="single" w:sz="4" w:space="0" w:color="auto"/>
            </w:tcBorders>
          </w:tcPr>
          <w:p w:rsidR="001B0917" w:rsidRPr="00811874" w:rsidRDefault="001B0917" w:rsidP="00F8361C">
            <w:pPr>
              <w:pStyle w:val="In-tableHeading"/>
              <w:keepNext w:val="0"/>
              <w:widowControl w:val="0"/>
              <w:jc w:val="center"/>
            </w:pPr>
            <w:r w:rsidRPr="00811874">
              <w:t>p-value</w:t>
            </w:r>
            <w:r>
              <w:rPr>
                <w:vertAlign w:val="superscript"/>
              </w:rPr>
              <w:t>a</w:t>
            </w:r>
          </w:p>
        </w:tc>
      </w:tr>
      <w:tr w:rsidR="001B0917" w:rsidRPr="002F4149" w:rsidTr="00DA5F85">
        <w:tc>
          <w:tcPr>
            <w:tcW w:w="818" w:type="pct"/>
            <w:tcBorders>
              <w:top w:val="single" w:sz="4" w:space="0" w:color="auto"/>
              <w:left w:val="single" w:sz="4" w:space="0" w:color="auto"/>
              <w:bottom w:val="single" w:sz="4" w:space="0" w:color="auto"/>
            </w:tcBorders>
          </w:tcPr>
          <w:p w:rsidR="001B0917" w:rsidRPr="00811874" w:rsidRDefault="001B0917" w:rsidP="00DA5F85">
            <w:pPr>
              <w:pStyle w:val="In-tableHeading"/>
              <w:keepNext w:val="0"/>
              <w:widowControl w:val="0"/>
              <w:jc w:val="both"/>
            </w:pPr>
          </w:p>
        </w:tc>
        <w:tc>
          <w:tcPr>
            <w:tcW w:w="300" w:type="pct"/>
            <w:tcBorders>
              <w:top w:val="single" w:sz="4" w:space="0" w:color="auto"/>
              <w:bottom w:val="single" w:sz="4" w:space="0" w:color="auto"/>
            </w:tcBorders>
          </w:tcPr>
          <w:p w:rsidR="001B0917" w:rsidRPr="00811874" w:rsidRDefault="001B0917" w:rsidP="00F8361C">
            <w:pPr>
              <w:pStyle w:val="In-tableHeading"/>
              <w:keepNext w:val="0"/>
              <w:widowControl w:val="0"/>
              <w:jc w:val="center"/>
            </w:pPr>
            <w:r w:rsidRPr="00811874">
              <w:t>N</w:t>
            </w:r>
          </w:p>
        </w:tc>
        <w:tc>
          <w:tcPr>
            <w:tcW w:w="969" w:type="pct"/>
            <w:tcBorders>
              <w:top w:val="single" w:sz="4" w:space="0" w:color="auto"/>
              <w:bottom w:val="single" w:sz="4" w:space="0" w:color="auto"/>
            </w:tcBorders>
          </w:tcPr>
          <w:p w:rsidR="001B0917" w:rsidRPr="00811874" w:rsidRDefault="001B0917" w:rsidP="00F8361C">
            <w:pPr>
              <w:pStyle w:val="In-tableHeading"/>
              <w:keepNext w:val="0"/>
              <w:widowControl w:val="0"/>
              <w:jc w:val="center"/>
            </w:pPr>
            <w:r w:rsidRPr="00811874">
              <w:t>Mean change (SD)</w:t>
            </w:r>
          </w:p>
        </w:tc>
        <w:tc>
          <w:tcPr>
            <w:tcW w:w="254" w:type="pct"/>
            <w:tcBorders>
              <w:top w:val="single" w:sz="4" w:space="0" w:color="auto"/>
              <w:bottom w:val="single" w:sz="4" w:space="0" w:color="auto"/>
            </w:tcBorders>
          </w:tcPr>
          <w:p w:rsidR="001B0917" w:rsidRPr="00811874" w:rsidRDefault="001B0917" w:rsidP="00F8361C">
            <w:pPr>
              <w:pStyle w:val="In-tableHeading"/>
              <w:keepNext w:val="0"/>
              <w:widowControl w:val="0"/>
              <w:jc w:val="center"/>
            </w:pPr>
            <w:r w:rsidRPr="00811874">
              <w:t>N</w:t>
            </w:r>
          </w:p>
        </w:tc>
        <w:tc>
          <w:tcPr>
            <w:tcW w:w="1091" w:type="pct"/>
            <w:tcBorders>
              <w:top w:val="single" w:sz="4" w:space="0" w:color="auto"/>
              <w:bottom w:val="single" w:sz="4" w:space="0" w:color="auto"/>
            </w:tcBorders>
          </w:tcPr>
          <w:p w:rsidR="001B0917" w:rsidRPr="00811874" w:rsidRDefault="001B0917" w:rsidP="00F8361C">
            <w:pPr>
              <w:pStyle w:val="In-tableHeading"/>
              <w:keepNext w:val="0"/>
              <w:widowControl w:val="0"/>
              <w:jc w:val="center"/>
            </w:pPr>
            <w:r w:rsidRPr="00811874">
              <w:t>Mean change (SD)</w:t>
            </w:r>
          </w:p>
        </w:tc>
        <w:tc>
          <w:tcPr>
            <w:tcW w:w="1045" w:type="pct"/>
            <w:tcBorders>
              <w:top w:val="single" w:sz="4" w:space="0" w:color="auto"/>
              <w:bottom w:val="single" w:sz="4" w:space="0" w:color="auto"/>
            </w:tcBorders>
          </w:tcPr>
          <w:p w:rsidR="001B0917" w:rsidRPr="00811874" w:rsidRDefault="001B0917" w:rsidP="00F8361C">
            <w:pPr>
              <w:pStyle w:val="In-tableHeading"/>
              <w:keepNext w:val="0"/>
              <w:widowControl w:val="0"/>
              <w:jc w:val="center"/>
            </w:pPr>
          </w:p>
        </w:tc>
        <w:tc>
          <w:tcPr>
            <w:tcW w:w="523" w:type="pct"/>
            <w:tcBorders>
              <w:top w:val="single" w:sz="4" w:space="0" w:color="auto"/>
              <w:bottom w:val="single" w:sz="4" w:space="0" w:color="auto"/>
              <w:right w:val="single" w:sz="4" w:space="0" w:color="auto"/>
            </w:tcBorders>
          </w:tcPr>
          <w:p w:rsidR="001B0917" w:rsidRPr="00811874" w:rsidRDefault="001B0917" w:rsidP="00F8361C">
            <w:pPr>
              <w:pStyle w:val="In-tableHeading"/>
              <w:keepNext w:val="0"/>
              <w:widowControl w:val="0"/>
              <w:jc w:val="center"/>
            </w:pPr>
          </w:p>
        </w:tc>
      </w:tr>
      <w:tr w:rsidR="001B0917" w:rsidRPr="00F20115" w:rsidTr="00DA5F85">
        <w:tc>
          <w:tcPr>
            <w:tcW w:w="5000" w:type="pct"/>
            <w:gridSpan w:val="7"/>
            <w:tcBorders>
              <w:top w:val="single" w:sz="4" w:space="0" w:color="auto"/>
              <w:left w:val="single" w:sz="4" w:space="0" w:color="auto"/>
              <w:bottom w:val="single" w:sz="4" w:space="0" w:color="auto"/>
              <w:right w:val="single" w:sz="4" w:space="0" w:color="auto"/>
            </w:tcBorders>
          </w:tcPr>
          <w:p w:rsidR="001B0917" w:rsidRPr="00811874" w:rsidRDefault="001B0917" w:rsidP="00DA5F85">
            <w:pPr>
              <w:widowControl w:val="0"/>
              <w:spacing w:before="20" w:after="20"/>
              <w:jc w:val="left"/>
              <w:rPr>
                <w:rFonts w:ascii="Arial Narrow" w:eastAsiaTheme="majorEastAsia" w:hAnsi="Arial Narrow" w:cstheme="majorBidi"/>
                <w:b/>
                <w:sz w:val="20"/>
              </w:rPr>
            </w:pPr>
            <w:r w:rsidRPr="00811874">
              <w:rPr>
                <w:rFonts w:ascii="Arial Narrow" w:eastAsiaTheme="majorEastAsia" w:hAnsi="Arial Narrow" w:cstheme="majorBidi"/>
                <w:b/>
                <w:sz w:val="20"/>
              </w:rPr>
              <w:t>Change from Baseline to EOT in the EoE-QoL-A</w:t>
            </w:r>
            <w:r>
              <w:rPr>
                <w:rFonts w:ascii="Arial Narrow" w:eastAsiaTheme="majorEastAsia" w:hAnsi="Arial Narrow" w:cstheme="majorBidi"/>
                <w:b/>
                <w:sz w:val="20"/>
              </w:rPr>
              <w:t xml:space="preserve"> </w:t>
            </w:r>
            <w:r w:rsidRPr="00811874">
              <w:rPr>
                <w:rFonts w:ascii="Arial Narrow" w:eastAsiaTheme="majorEastAsia" w:hAnsi="Arial Narrow" w:cstheme="majorBidi"/>
                <w:b/>
                <w:sz w:val="20"/>
              </w:rPr>
              <w:t>Questionnaire (week 48/EOT; FAS-DB treatment phase)</w:t>
            </w:r>
          </w:p>
        </w:tc>
      </w:tr>
      <w:tr w:rsidR="001B0917" w:rsidRPr="00F20115" w:rsidTr="00DA5F85">
        <w:tc>
          <w:tcPr>
            <w:tcW w:w="5000" w:type="pct"/>
            <w:gridSpan w:val="7"/>
            <w:tcBorders>
              <w:top w:val="single" w:sz="4" w:space="0" w:color="auto"/>
              <w:left w:val="single" w:sz="4" w:space="0" w:color="auto"/>
              <w:bottom w:val="single" w:sz="4" w:space="0" w:color="auto"/>
              <w:right w:val="single" w:sz="4" w:space="0" w:color="auto"/>
            </w:tcBorders>
          </w:tcPr>
          <w:p w:rsidR="001B0917" w:rsidRPr="00B669CD" w:rsidRDefault="001B0917" w:rsidP="00DA5F85">
            <w:pPr>
              <w:widowControl w:val="0"/>
              <w:spacing w:before="20" w:after="20"/>
              <w:jc w:val="left"/>
              <w:rPr>
                <w:rFonts w:ascii="Arial Narrow" w:eastAsiaTheme="majorEastAsia" w:hAnsi="Arial Narrow" w:cstheme="majorBidi"/>
                <w:bCs/>
                <w:sz w:val="20"/>
              </w:rPr>
            </w:pPr>
            <w:r w:rsidRPr="00B669CD">
              <w:rPr>
                <w:rFonts w:ascii="Arial Narrow" w:eastAsiaTheme="majorEastAsia" w:hAnsi="Arial Narrow" w:cstheme="majorBidi"/>
                <w:bCs/>
                <w:sz w:val="20"/>
              </w:rPr>
              <w:t>30 items</w:t>
            </w:r>
          </w:p>
        </w:tc>
      </w:tr>
      <w:tr w:rsidR="001B0917" w:rsidRPr="00F20115" w:rsidTr="00DA5F85">
        <w:tc>
          <w:tcPr>
            <w:tcW w:w="818" w:type="pct"/>
            <w:tcBorders>
              <w:top w:val="single" w:sz="4" w:space="0" w:color="auto"/>
              <w:left w:val="single" w:sz="4" w:space="0" w:color="auto"/>
              <w:bottom w:val="single" w:sz="4" w:space="0" w:color="auto"/>
            </w:tcBorders>
          </w:tcPr>
          <w:p w:rsidR="001B0917" w:rsidRPr="00B669CD" w:rsidRDefault="001B0917" w:rsidP="00DA5F85">
            <w:pPr>
              <w:widowControl w:val="0"/>
              <w:spacing w:before="20" w:after="20"/>
              <w:jc w:val="left"/>
              <w:rPr>
                <w:rFonts w:ascii="Arial Narrow" w:eastAsiaTheme="majorEastAsia" w:hAnsi="Arial Narrow" w:cstheme="majorBidi"/>
                <w:bCs/>
                <w:sz w:val="20"/>
              </w:rPr>
            </w:pPr>
            <w:r w:rsidRPr="00B669CD">
              <w:rPr>
                <w:rFonts w:ascii="Arial Narrow" w:eastAsiaTheme="majorEastAsia" w:hAnsi="Arial Narrow" w:cstheme="majorBidi"/>
                <w:bCs/>
                <w:sz w:val="20"/>
              </w:rPr>
              <w:t>BOT 1 mg BID</w:t>
            </w:r>
          </w:p>
        </w:tc>
        <w:tc>
          <w:tcPr>
            <w:tcW w:w="300" w:type="pct"/>
            <w:tcBorders>
              <w:top w:val="single" w:sz="4" w:space="0" w:color="auto"/>
              <w:bottom w:val="single" w:sz="4" w:space="0" w:color="auto"/>
            </w:tcBorders>
          </w:tcPr>
          <w:p w:rsidR="001B0917" w:rsidRPr="00B669CD" w:rsidRDefault="001B0917" w:rsidP="00DA5F85">
            <w:pPr>
              <w:widowControl w:val="0"/>
              <w:spacing w:before="20" w:after="20"/>
              <w:jc w:val="center"/>
              <w:rPr>
                <w:rFonts w:ascii="Arial Narrow" w:eastAsiaTheme="majorEastAsia" w:hAnsi="Arial Narrow" w:cstheme="majorBidi"/>
                <w:bCs/>
                <w:sz w:val="20"/>
              </w:rPr>
            </w:pPr>
            <w:r w:rsidRPr="00B669CD">
              <w:rPr>
                <w:rFonts w:ascii="Arial Narrow" w:eastAsiaTheme="majorEastAsia" w:hAnsi="Arial Narrow" w:cstheme="majorBidi"/>
                <w:bCs/>
                <w:sz w:val="20"/>
              </w:rPr>
              <w:t>63</w:t>
            </w:r>
          </w:p>
        </w:tc>
        <w:tc>
          <w:tcPr>
            <w:tcW w:w="969" w:type="pct"/>
            <w:tcBorders>
              <w:top w:val="single" w:sz="4" w:space="0" w:color="auto"/>
              <w:bottom w:val="single" w:sz="4" w:space="0" w:color="auto"/>
            </w:tcBorders>
          </w:tcPr>
          <w:p w:rsidR="001B0917" w:rsidRPr="00B669CD" w:rsidRDefault="001B0917" w:rsidP="00DA5F85">
            <w:pPr>
              <w:widowControl w:val="0"/>
              <w:spacing w:before="20" w:after="20"/>
              <w:jc w:val="center"/>
              <w:rPr>
                <w:rFonts w:ascii="Arial Narrow" w:eastAsiaTheme="majorEastAsia" w:hAnsi="Arial Narrow" w:cstheme="majorBidi"/>
                <w:bCs/>
                <w:sz w:val="20"/>
              </w:rPr>
            </w:pPr>
            <w:r w:rsidRPr="00B669CD">
              <w:rPr>
                <w:rFonts w:ascii="Arial Narrow" w:eastAsiaTheme="majorEastAsia" w:hAnsi="Arial Narrow" w:cstheme="majorBidi"/>
                <w:bCs/>
                <w:sz w:val="20"/>
              </w:rPr>
              <w:t>0.26 (0.50)</w:t>
            </w:r>
          </w:p>
        </w:tc>
        <w:tc>
          <w:tcPr>
            <w:tcW w:w="254" w:type="pct"/>
            <w:tcBorders>
              <w:top w:val="single" w:sz="4" w:space="0" w:color="auto"/>
              <w:bottom w:val="single" w:sz="4" w:space="0" w:color="auto"/>
            </w:tcBorders>
          </w:tcPr>
          <w:p w:rsidR="001B0917" w:rsidRPr="00B669CD" w:rsidRDefault="001B0917" w:rsidP="00DA5F85">
            <w:pPr>
              <w:widowControl w:val="0"/>
              <w:spacing w:before="20" w:after="20"/>
              <w:jc w:val="center"/>
              <w:rPr>
                <w:rFonts w:ascii="Arial Narrow" w:eastAsiaTheme="majorEastAsia" w:hAnsi="Arial Narrow" w:cstheme="majorBidi"/>
                <w:bCs/>
                <w:sz w:val="20"/>
              </w:rPr>
            </w:pPr>
            <w:r w:rsidRPr="00B669CD">
              <w:rPr>
                <w:rFonts w:ascii="Arial Narrow" w:eastAsiaTheme="majorEastAsia" w:hAnsi="Arial Narrow" w:cstheme="majorBidi"/>
                <w:bCs/>
                <w:sz w:val="20"/>
              </w:rPr>
              <w:t>61</w:t>
            </w:r>
          </w:p>
        </w:tc>
        <w:tc>
          <w:tcPr>
            <w:tcW w:w="1091" w:type="pct"/>
            <w:tcBorders>
              <w:top w:val="single" w:sz="4" w:space="0" w:color="auto"/>
              <w:bottom w:val="single" w:sz="4" w:space="0" w:color="auto"/>
            </w:tcBorders>
          </w:tcPr>
          <w:p w:rsidR="001B0917" w:rsidRPr="00B669CD" w:rsidRDefault="001B0917" w:rsidP="00DA5F85">
            <w:pPr>
              <w:widowControl w:val="0"/>
              <w:spacing w:before="20" w:after="20"/>
              <w:jc w:val="center"/>
              <w:rPr>
                <w:rFonts w:ascii="Arial Narrow" w:eastAsiaTheme="majorEastAsia" w:hAnsi="Arial Narrow" w:cstheme="majorBidi"/>
                <w:bCs/>
                <w:sz w:val="20"/>
              </w:rPr>
            </w:pPr>
            <w:r w:rsidRPr="00B669CD">
              <w:rPr>
                <w:rFonts w:ascii="Arial Narrow" w:eastAsiaTheme="majorEastAsia" w:hAnsi="Arial Narrow" w:cstheme="majorBidi"/>
                <w:bCs/>
                <w:sz w:val="20"/>
              </w:rPr>
              <w:t>-0.24 (0.62)</w:t>
            </w:r>
          </w:p>
        </w:tc>
        <w:tc>
          <w:tcPr>
            <w:tcW w:w="1045" w:type="pct"/>
            <w:tcBorders>
              <w:top w:val="single" w:sz="4" w:space="0" w:color="auto"/>
              <w:bottom w:val="single" w:sz="4" w:space="0" w:color="auto"/>
            </w:tcBorders>
          </w:tcPr>
          <w:p w:rsidR="001B0917" w:rsidRPr="00F8361C" w:rsidRDefault="001B0917" w:rsidP="00DA5F85">
            <w:pPr>
              <w:widowControl w:val="0"/>
              <w:spacing w:before="20" w:after="20"/>
              <w:jc w:val="center"/>
              <w:rPr>
                <w:rFonts w:ascii="Arial Narrow" w:eastAsiaTheme="majorEastAsia" w:hAnsi="Arial Narrow" w:cstheme="majorBidi"/>
                <w:b/>
                <w:sz w:val="20"/>
              </w:rPr>
            </w:pPr>
            <w:r w:rsidRPr="00F8361C">
              <w:rPr>
                <w:rFonts w:ascii="Arial Narrow" w:eastAsiaTheme="majorEastAsia" w:hAnsi="Arial Narrow" w:cstheme="majorBidi"/>
                <w:b/>
                <w:sz w:val="20"/>
              </w:rPr>
              <w:t>0.50 (0.30, 0.70)</w:t>
            </w:r>
          </w:p>
        </w:tc>
        <w:tc>
          <w:tcPr>
            <w:tcW w:w="523" w:type="pct"/>
            <w:tcBorders>
              <w:top w:val="single" w:sz="4" w:space="0" w:color="auto"/>
              <w:bottom w:val="single" w:sz="4" w:space="0" w:color="auto"/>
              <w:right w:val="single" w:sz="4" w:space="0" w:color="auto"/>
            </w:tcBorders>
          </w:tcPr>
          <w:p w:rsidR="001B0917" w:rsidRPr="00F8361C" w:rsidRDefault="001B0917" w:rsidP="00DA5F85">
            <w:pPr>
              <w:widowControl w:val="0"/>
              <w:spacing w:before="20" w:after="20"/>
              <w:jc w:val="center"/>
              <w:rPr>
                <w:rFonts w:ascii="Arial Narrow" w:eastAsiaTheme="majorEastAsia" w:hAnsi="Arial Narrow" w:cstheme="majorBidi"/>
                <w:b/>
                <w:sz w:val="20"/>
              </w:rPr>
            </w:pPr>
            <w:r w:rsidRPr="00F8361C">
              <w:rPr>
                <w:rFonts w:ascii="Arial Narrow" w:eastAsiaTheme="majorEastAsia" w:hAnsi="Arial Narrow" w:cstheme="majorBidi"/>
                <w:b/>
                <w:sz w:val="20"/>
              </w:rPr>
              <w:t>&lt;0.0001</w:t>
            </w:r>
            <w:r w:rsidRPr="00F8361C">
              <w:rPr>
                <w:rFonts w:ascii="Arial Narrow" w:eastAsiaTheme="majorEastAsia" w:hAnsi="Arial Narrow" w:cstheme="majorBidi"/>
                <w:b/>
                <w:sz w:val="20"/>
                <w:vertAlign w:val="superscript"/>
              </w:rPr>
              <w:t>b</w:t>
            </w:r>
          </w:p>
        </w:tc>
      </w:tr>
      <w:tr w:rsidR="0069523C" w:rsidRPr="00F20115" w:rsidTr="00DA5F85">
        <w:tc>
          <w:tcPr>
            <w:tcW w:w="818" w:type="pct"/>
            <w:tcBorders>
              <w:top w:val="single" w:sz="4" w:space="0" w:color="auto"/>
              <w:left w:val="single" w:sz="4" w:space="0" w:color="auto"/>
              <w:bottom w:val="single" w:sz="4" w:space="0" w:color="auto"/>
            </w:tcBorders>
          </w:tcPr>
          <w:p w:rsidR="0069523C" w:rsidRPr="00B669CD" w:rsidRDefault="0069523C" w:rsidP="0069523C">
            <w:pPr>
              <w:widowControl w:val="0"/>
              <w:spacing w:before="20" w:after="20"/>
              <w:jc w:val="left"/>
              <w:rPr>
                <w:rFonts w:ascii="Arial Narrow" w:eastAsiaTheme="majorEastAsia" w:hAnsi="Arial Narrow" w:cstheme="majorBidi"/>
                <w:bCs/>
                <w:sz w:val="20"/>
              </w:rPr>
            </w:pPr>
            <w:r w:rsidRPr="00F3770F">
              <w:rPr>
                <w:rFonts w:ascii="Arial Narrow" w:eastAsiaTheme="majorEastAsia" w:hAnsi="Arial Narrow" w:cstheme="majorBidi"/>
                <w:bCs/>
                <w:sz w:val="20"/>
              </w:rPr>
              <w:t>BOT 0.5 mg BID</w:t>
            </w:r>
          </w:p>
        </w:tc>
        <w:tc>
          <w:tcPr>
            <w:tcW w:w="300" w:type="pct"/>
            <w:tcBorders>
              <w:top w:val="single" w:sz="4" w:space="0" w:color="auto"/>
              <w:bottom w:val="single" w:sz="4" w:space="0" w:color="auto"/>
            </w:tcBorders>
          </w:tcPr>
          <w:p w:rsidR="0069523C" w:rsidRPr="00B669CD" w:rsidRDefault="0069523C" w:rsidP="0069523C">
            <w:pPr>
              <w:widowControl w:val="0"/>
              <w:spacing w:before="20" w:after="20"/>
              <w:jc w:val="center"/>
              <w:rPr>
                <w:rFonts w:ascii="Arial Narrow" w:eastAsiaTheme="majorEastAsia" w:hAnsi="Arial Narrow" w:cstheme="majorBidi"/>
                <w:bCs/>
                <w:sz w:val="20"/>
              </w:rPr>
            </w:pPr>
            <w:r w:rsidRPr="00F3770F">
              <w:rPr>
                <w:rFonts w:ascii="Arial Narrow" w:eastAsiaTheme="majorEastAsia" w:hAnsi="Arial Narrow" w:cstheme="majorBidi"/>
                <w:bCs/>
                <w:sz w:val="20"/>
              </w:rPr>
              <w:t>62</w:t>
            </w:r>
          </w:p>
        </w:tc>
        <w:tc>
          <w:tcPr>
            <w:tcW w:w="969" w:type="pct"/>
            <w:tcBorders>
              <w:top w:val="single" w:sz="4" w:space="0" w:color="auto"/>
              <w:bottom w:val="single" w:sz="4" w:space="0" w:color="auto"/>
            </w:tcBorders>
          </w:tcPr>
          <w:p w:rsidR="0069523C" w:rsidRPr="00B669CD" w:rsidRDefault="0069523C" w:rsidP="0069523C">
            <w:pPr>
              <w:widowControl w:val="0"/>
              <w:spacing w:before="20" w:after="20"/>
              <w:jc w:val="center"/>
              <w:rPr>
                <w:rFonts w:ascii="Arial Narrow" w:eastAsiaTheme="majorEastAsia" w:hAnsi="Arial Narrow" w:cstheme="majorBidi"/>
                <w:bCs/>
                <w:sz w:val="20"/>
              </w:rPr>
            </w:pPr>
            <w:r w:rsidRPr="00F3770F">
              <w:rPr>
                <w:rFonts w:ascii="Arial Narrow" w:eastAsiaTheme="majorEastAsia" w:hAnsi="Arial Narrow" w:cstheme="majorBidi"/>
                <w:bCs/>
                <w:sz w:val="20"/>
              </w:rPr>
              <w:t>0.23 (0.44)</w:t>
            </w:r>
          </w:p>
        </w:tc>
        <w:tc>
          <w:tcPr>
            <w:tcW w:w="254" w:type="pct"/>
            <w:tcBorders>
              <w:top w:val="single" w:sz="4" w:space="0" w:color="auto"/>
              <w:bottom w:val="single" w:sz="4" w:space="0" w:color="auto"/>
            </w:tcBorders>
          </w:tcPr>
          <w:p w:rsidR="0069523C" w:rsidRPr="00B669CD" w:rsidRDefault="0069523C" w:rsidP="0069523C">
            <w:pPr>
              <w:widowControl w:val="0"/>
              <w:spacing w:before="20" w:after="20"/>
              <w:jc w:val="center"/>
              <w:rPr>
                <w:rFonts w:ascii="Arial Narrow" w:eastAsiaTheme="majorEastAsia" w:hAnsi="Arial Narrow" w:cstheme="majorBidi"/>
                <w:bCs/>
                <w:sz w:val="20"/>
              </w:rPr>
            </w:pPr>
            <w:r w:rsidRPr="00F3770F">
              <w:rPr>
                <w:rFonts w:ascii="Arial Narrow" w:eastAsiaTheme="majorEastAsia" w:hAnsi="Arial Narrow" w:cstheme="majorBidi"/>
                <w:bCs/>
                <w:sz w:val="20"/>
              </w:rPr>
              <w:t>61</w:t>
            </w:r>
          </w:p>
        </w:tc>
        <w:tc>
          <w:tcPr>
            <w:tcW w:w="1091" w:type="pct"/>
            <w:tcBorders>
              <w:top w:val="single" w:sz="4" w:space="0" w:color="auto"/>
              <w:bottom w:val="single" w:sz="4" w:space="0" w:color="auto"/>
            </w:tcBorders>
          </w:tcPr>
          <w:p w:rsidR="0069523C" w:rsidRPr="00B669CD" w:rsidRDefault="00C7699D" w:rsidP="0069523C">
            <w:pPr>
              <w:widowControl w:val="0"/>
              <w:spacing w:before="20" w:after="20"/>
              <w:jc w:val="center"/>
              <w:rPr>
                <w:rFonts w:ascii="Arial Narrow" w:eastAsiaTheme="majorEastAsia" w:hAnsi="Arial Narrow" w:cstheme="majorBidi"/>
                <w:bCs/>
                <w:sz w:val="20"/>
              </w:rPr>
            </w:pPr>
            <w:r>
              <w:rPr>
                <w:rFonts w:ascii="Arial Narrow" w:eastAsiaTheme="majorEastAsia" w:hAnsi="Arial Narrow" w:cstheme="majorBidi"/>
                <w:bCs/>
                <w:sz w:val="20"/>
              </w:rPr>
              <w:t>-</w:t>
            </w:r>
          </w:p>
        </w:tc>
        <w:tc>
          <w:tcPr>
            <w:tcW w:w="1045" w:type="pct"/>
            <w:tcBorders>
              <w:top w:val="single" w:sz="4" w:space="0" w:color="auto"/>
              <w:bottom w:val="single" w:sz="4" w:space="0" w:color="auto"/>
            </w:tcBorders>
          </w:tcPr>
          <w:p w:rsidR="0069523C" w:rsidRPr="009E2F2C" w:rsidRDefault="0069523C" w:rsidP="0069523C">
            <w:pPr>
              <w:widowControl w:val="0"/>
              <w:spacing w:before="20" w:after="20"/>
              <w:jc w:val="center"/>
              <w:rPr>
                <w:rFonts w:ascii="Arial Narrow" w:eastAsiaTheme="majorEastAsia" w:hAnsi="Arial Narrow" w:cstheme="majorBidi"/>
                <w:b/>
                <w:sz w:val="20"/>
              </w:rPr>
            </w:pPr>
            <w:r w:rsidRPr="009E2F2C">
              <w:rPr>
                <w:rFonts w:ascii="Arial Narrow" w:eastAsiaTheme="majorEastAsia" w:hAnsi="Arial Narrow" w:cstheme="majorBidi"/>
                <w:b/>
                <w:sz w:val="20"/>
              </w:rPr>
              <w:t>0.46 (0.27, 0.65)</w:t>
            </w:r>
          </w:p>
        </w:tc>
        <w:tc>
          <w:tcPr>
            <w:tcW w:w="523" w:type="pct"/>
            <w:tcBorders>
              <w:top w:val="single" w:sz="4" w:space="0" w:color="auto"/>
              <w:bottom w:val="single" w:sz="4" w:space="0" w:color="auto"/>
              <w:right w:val="single" w:sz="4" w:space="0" w:color="auto"/>
            </w:tcBorders>
          </w:tcPr>
          <w:p w:rsidR="0069523C" w:rsidRPr="009E2F2C" w:rsidRDefault="0069523C" w:rsidP="0069523C">
            <w:pPr>
              <w:widowControl w:val="0"/>
              <w:spacing w:before="20" w:after="20"/>
              <w:jc w:val="center"/>
              <w:rPr>
                <w:rFonts w:ascii="Arial Narrow" w:eastAsiaTheme="majorEastAsia" w:hAnsi="Arial Narrow" w:cstheme="majorBidi"/>
                <w:b/>
                <w:sz w:val="20"/>
              </w:rPr>
            </w:pPr>
            <w:r w:rsidRPr="009E2F2C">
              <w:rPr>
                <w:rFonts w:ascii="Arial Narrow" w:eastAsiaTheme="majorEastAsia" w:hAnsi="Arial Narrow" w:cstheme="majorBidi"/>
                <w:b/>
                <w:sz w:val="20"/>
              </w:rPr>
              <w:t>&lt;0.0001</w:t>
            </w:r>
          </w:p>
        </w:tc>
      </w:tr>
      <w:tr w:rsidR="001B0917" w:rsidRPr="00F20115" w:rsidTr="00DA5F85">
        <w:tc>
          <w:tcPr>
            <w:tcW w:w="5000" w:type="pct"/>
            <w:gridSpan w:val="7"/>
            <w:tcBorders>
              <w:top w:val="single" w:sz="4" w:space="0" w:color="auto"/>
              <w:left w:val="single" w:sz="4" w:space="0" w:color="auto"/>
              <w:bottom w:val="single" w:sz="4" w:space="0" w:color="auto"/>
              <w:right w:val="single" w:sz="4" w:space="0" w:color="auto"/>
            </w:tcBorders>
          </w:tcPr>
          <w:p w:rsidR="001B0917" w:rsidRPr="00B669CD" w:rsidRDefault="001B0917" w:rsidP="00DA5F85">
            <w:pPr>
              <w:widowControl w:val="0"/>
              <w:spacing w:before="20" w:after="20"/>
              <w:jc w:val="left"/>
              <w:rPr>
                <w:rFonts w:ascii="Arial Narrow" w:eastAsiaTheme="majorEastAsia" w:hAnsi="Arial Narrow" w:cstheme="majorBidi"/>
                <w:bCs/>
                <w:sz w:val="20"/>
              </w:rPr>
            </w:pPr>
            <w:r w:rsidRPr="00B669CD">
              <w:rPr>
                <w:rFonts w:ascii="Arial Narrow" w:eastAsiaTheme="majorEastAsia" w:hAnsi="Arial Narrow" w:cstheme="majorBidi"/>
                <w:bCs/>
                <w:sz w:val="20"/>
              </w:rPr>
              <w:t>24 items</w:t>
            </w:r>
          </w:p>
        </w:tc>
      </w:tr>
      <w:tr w:rsidR="001B0917" w:rsidRPr="00F20115" w:rsidTr="00DA5F85">
        <w:tc>
          <w:tcPr>
            <w:tcW w:w="818" w:type="pct"/>
            <w:tcBorders>
              <w:top w:val="single" w:sz="4" w:space="0" w:color="auto"/>
              <w:left w:val="single" w:sz="4" w:space="0" w:color="auto"/>
              <w:bottom w:val="single" w:sz="4" w:space="0" w:color="auto"/>
            </w:tcBorders>
          </w:tcPr>
          <w:p w:rsidR="001B0917" w:rsidRPr="00B669CD" w:rsidRDefault="001B0917" w:rsidP="00DA5F85">
            <w:pPr>
              <w:widowControl w:val="0"/>
              <w:spacing w:before="20" w:after="20"/>
              <w:jc w:val="left"/>
              <w:rPr>
                <w:rFonts w:ascii="Arial Narrow" w:eastAsiaTheme="majorEastAsia" w:hAnsi="Arial Narrow" w:cstheme="majorBidi"/>
                <w:bCs/>
                <w:sz w:val="20"/>
              </w:rPr>
            </w:pPr>
            <w:r w:rsidRPr="00B669CD">
              <w:rPr>
                <w:rFonts w:ascii="Arial Narrow" w:eastAsiaTheme="majorEastAsia" w:hAnsi="Arial Narrow" w:cstheme="majorBidi"/>
                <w:bCs/>
                <w:sz w:val="20"/>
              </w:rPr>
              <w:t>BOT 1 mg BID</w:t>
            </w:r>
          </w:p>
        </w:tc>
        <w:tc>
          <w:tcPr>
            <w:tcW w:w="300" w:type="pct"/>
            <w:tcBorders>
              <w:top w:val="single" w:sz="4" w:space="0" w:color="auto"/>
              <w:bottom w:val="single" w:sz="4" w:space="0" w:color="auto"/>
            </w:tcBorders>
          </w:tcPr>
          <w:p w:rsidR="001B0917" w:rsidRPr="00B669CD" w:rsidRDefault="001B0917" w:rsidP="00DA5F85">
            <w:pPr>
              <w:widowControl w:val="0"/>
              <w:spacing w:before="20" w:after="20"/>
              <w:jc w:val="center"/>
              <w:rPr>
                <w:rFonts w:ascii="Arial Narrow" w:eastAsiaTheme="majorEastAsia" w:hAnsi="Arial Narrow" w:cstheme="majorBidi"/>
                <w:bCs/>
                <w:sz w:val="20"/>
              </w:rPr>
            </w:pPr>
            <w:r w:rsidRPr="00B669CD">
              <w:rPr>
                <w:rFonts w:ascii="Arial Narrow" w:eastAsiaTheme="majorEastAsia" w:hAnsi="Arial Narrow" w:cstheme="majorBidi"/>
                <w:bCs/>
                <w:sz w:val="20"/>
              </w:rPr>
              <w:t>63</w:t>
            </w:r>
          </w:p>
        </w:tc>
        <w:tc>
          <w:tcPr>
            <w:tcW w:w="969" w:type="pct"/>
            <w:tcBorders>
              <w:top w:val="single" w:sz="4" w:space="0" w:color="auto"/>
              <w:bottom w:val="single" w:sz="4" w:space="0" w:color="auto"/>
            </w:tcBorders>
          </w:tcPr>
          <w:p w:rsidR="001B0917" w:rsidRPr="00B669CD" w:rsidRDefault="001B0917" w:rsidP="00DA5F85">
            <w:pPr>
              <w:widowControl w:val="0"/>
              <w:spacing w:before="20" w:after="20"/>
              <w:jc w:val="center"/>
              <w:rPr>
                <w:rFonts w:ascii="Arial Narrow" w:eastAsiaTheme="majorEastAsia" w:hAnsi="Arial Narrow" w:cstheme="majorBidi"/>
                <w:bCs/>
                <w:sz w:val="20"/>
              </w:rPr>
            </w:pPr>
            <w:r w:rsidRPr="00B669CD">
              <w:rPr>
                <w:rFonts w:ascii="Arial Narrow" w:eastAsiaTheme="majorEastAsia" w:hAnsi="Arial Narrow" w:cstheme="majorBidi"/>
                <w:bCs/>
                <w:sz w:val="20"/>
              </w:rPr>
              <w:t>0.26 (0.51)</w:t>
            </w:r>
          </w:p>
        </w:tc>
        <w:tc>
          <w:tcPr>
            <w:tcW w:w="254" w:type="pct"/>
            <w:tcBorders>
              <w:top w:val="single" w:sz="4" w:space="0" w:color="auto"/>
              <w:bottom w:val="single" w:sz="4" w:space="0" w:color="auto"/>
            </w:tcBorders>
          </w:tcPr>
          <w:p w:rsidR="001B0917" w:rsidRPr="00B669CD" w:rsidRDefault="001B0917" w:rsidP="00DA5F85">
            <w:pPr>
              <w:widowControl w:val="0"/>
              <w:spacing w:before="20" w:after="20"/>
              <w:jc w:val="center"/>
              <w:rPr>
                <w:rFonts w:ascii="Arial Narrow" w:eastAsiaTheme="majorEastAsia" w:hAnsi="Arial Narrow" w:cstheme="majorBidi"/>
                <w:bCs/>
                <w:sz w:val="20"/>
              </w:rPr>
            </w:pPr>
            <w:r w:rsidRPr="00B669CD">
              <w:rPr>
                <w:rFonts w:ascii="Arial Narrow" w:eastAsiaTheme="majorEastAsia" w:hAnsi="Arial Narrow" w:cstheme="majorBidi"/>
                <w:bCs/>
                <w:sz w:val="20"/>
              </w:rPr>
              <w:t>61</w:t>
            </w:r>
          </w:p>
        </w:tc>
        <w:tc>
          <w:tcPr>
            <w:tcW w:w="1091" w:type="pct"/>
            <w:tcBorders>
              <w:top w:val="single" w:sz="4" w:space="0" w:color="auto"/>
              <w:bottom w:val="single" w:sz="4" w:space="0" w:color="auto"/>
            </w:tcBorders>
          </w:tcPr>
          <w:p w:rsidR="001B0917" w:rsidRPr="00B669CD" w:rsidRDefault="001B0917" w:rsidP="00DA5F85">
            <w:pPr>
              <w:widowControl w:val="0"/>
              <w:spacing w:before="20" w:after="20"/>
              <w:jc w:val="center"/>
              <w:rPr>
                <w:rFonts w:ascii="Arial Narrow" w:eastAsiaTheme="majorEastAsia" w:hAnsi="Arial Narrow" w:cstheme="majorBidi"/>
                <w:bCs/>
                <w:sz w:val="20"/>
              </w:rPr>
            </w:pPr>
            <w:r w:rsidRPr="00B669CD">
              <w:rPr>
                <w:rFonts w:ascii="Arial Narrow" w:eastAsiaTheme="majorEastAsia" w:hAnsi="Arial Narrow" w:cstheme="majorBidi"/>
                <w:bCs/>
                <w:sz w:val="20"/>
              </w:rPr>
              <w:t>-0.26 (0.62)</w:t>
            </w:r>
          </w:p>
        </w:tc>
        <w:tc>
          <w:tcPr>
            <w:tcW w:w="1045" w:type="pct"/>
            <w:tcBorders>
              <w:top w:val="single" w:sz="4" w:space="0" w:color="auto"/>
              <w:bottom w:val="single" w:sz="4" w:space="0" w:color="auto"/>
            </w:tcBorders>
          </w:tcPr>
          <w:p w:rsidR="001B0917" w:rsidRPr="00F8361C" w:rsidRDefault="001B0917" w:rsidP="00DA5F85">
            <w:pPr>
              <w:widowControl w:val="0"/>
              <w:spacing w:before="20" w:after="20"/>
              <w:jc w:val="center"/>
              <w:rPr>
                <w:rFonts w:ascii="Arial Narrow" w:eastAsiaTheme="majorEastAsia" w:hAnsi="Arial Narrow" w:cstheme="majorBidi"/>
                <w:b/>
                <w:sz w:val="20"/>
              </w:rPr>
            </w:pPr>
            <w:r w:rsidRPr="00F8361C">
              <w:rPr>
                <w:rFonts w:ascii="Arial Narrow" w:eastAsiaTheme="majorEastAsia" w:hAnsi="Arial Narrow" w:cstheme="majorBidi"/>
                <w:b/>
                <w:sz w:val="20"/>
              </w:rPr>
              <w:t>0.52 (0.32, 0.72)</w:t>
            </w:r>
          </w:p>
        </w:tc>
        <w:tc>
          <w:tcPr>
            <w:tcW w:w="523" w:type="pct"/>
            <w:tcBorders>
              <w:top w:val="single" w:sz="4" w:space="0" w:color="auto"/>
              <w:bottom w:val="single" w:sz="4" w:space="0" w:color="auto"/>
              <w:right w:val="single" w:sz="4" w:space="0" w:color="auto"/>
            </w:tcBorders>
          </w:tcPr>
          <w:p w:rsidR="001B0917" w:rsidRPr="00F8361C" w:rsidRDefault="001B0917" w:rsidP="00DA5F85">
            <w:pPr>
              <w:widowControl w:val="0"/>
              <w:spacing w:before="20" w:after="20"/>
              <w:jc w:val="center"/>
              <w:rPr>
                <w:rFonts w:ascii="Arial Narrow" w:eastAsiaTheme="majorEastAsia" w:hAnsi="Arial Narrow" w:cstheme="majorBidi"/>
                <w:b/>
                <w:sz w:val="20"/>
              </w:rPr>
            </w:pPr>
            <w:r w:rsidRPr="00F8361C">
              <w:rPr>
                <w:rFonts w:ascii="Arial Narrow" w:eastAsiaTheme="majorEastAsia" w:hAnsi="Arial Narrow" w:cstheme="majorBidi"/>
                <w:b/>
                <w:sz w:val="20"/>
              </w:rPr>
              <w:t>&lt;0.0001</w:t>
            </w:r>
            <w:r w:rsidRPr="00F8361C">
              <w:rPr>
                <w:rFonts w:ascii="Arial Narrow" w:eastAsiaTheme="majorEastAsia" w:hAnsi="Arial Narrow" w:cstheme="majorBidi"/>
                <w:b/>
                <w:sz w:val="20"/>
                <w:vertAlign w:val="superscript"/>
              </w:rPr>
              <w:t>b</w:t>
            </w:r>
          </w:p>
        </w:tc>
      </w:tr>
      <w:tr w:rsidR="00F3770F" w:rsidRPr="00F20115" w:rsidTr="00DA5F85">
        <w:tc>
          <w:tcPr>
            <w:tcW w:w="818" w:type="pct"/>
            <w:tcBorders>
              <w:top w:val="single" w:sz="4" w:space="0" w:color="auto"/>
              <w:left w:val="single" w:sz="4" w:space="0" w:color="auto"/>
              <w:bottom w:val="single" w:sz="4" w:space="0" w:color="auto"/>
            </w:tcBorders>
          </w:tcPr>
          <w:p w:rsidR="00F3770F" w:rsidRPr="00B669CD" w:rsidRDefault="00F3770F" w:rsidP="00F3770F">
            <w:pPr>
              <w:widowControl w:val="0"/>
              <w:spacing w:before="20" w:after="20"/>
              <w:jc w:val="left"/>
              <w:rPr>
                <w:rFonts w:ascii="Arial Narrow" w:eastAsiaTheme="majorEastAsia" w:hAnsi="Arial Narrow" w:cstheme="majorBidi"/>
                <w:bCs/>
                <w:sz w:val="20"/>
              </w:rPr>
            </w:pPr>
            <w:r w:rsidRPr="00F3770F">
              <w:rPr>
                <w:rFonts w:ascii="Arial Narrow" w:eastAsiaTheme="majorEastAsia" w:hAnsi="Arial Narrow" w:cstheme="majorBidi"/>
                <w:bCs/>
                <w:sz w:val="20"/>
              </w:rPr>
              <w:t>BOT 0.5 mg BID</w:t>
            </w:r>
          </w:p>
        </w:tc>
        <w:tc>
          <w:tcPr>
            <w:tcW w:w="300" w:type="pct"/>
            <w:tcBorders>
              <w:top w:val="single" w:sz="4" w:space="0" w:color="auto"/>
              <w:bottom w:val="single" w:sz="4" w:space="0" w:color="auto"/>
            </w:tcBorders>
          </w:tcPr>
          <w:p w:rsidR="00F3770F" w:rsidRPr="00B669CD" w:rsidRDefault="00F3770F" w:rsidP="00F3770F">
            <w:pPr>
              <w:widowControl w:val="0"/>
              <w:spacing w:before="20" w:after="20"/>
              <w:jc w:val="center"/>
              <w:rPr>
                <w:rFonts w:ascii="Arial Narrow" w:eastAsiaTheme="majorEastAsia" w:hAnsi="Arial Narrow" w:cstheme="majorBidi"/>
                <w:bCs/>
                <w:sz w:val="20"/>
              </w:rPr>
            </w:pPr>
            <w:r w:rsidRPr="00F3770F">
              <w:rPr>
                <w:rFonts w:ascii="Arial Narrow" w:eastAsiaTheme="majorEastAsia" w:hAnsi="Arial Narrow" w:cstheme="majorBidi"/>
                <w:bCs/>
                <w:sz w:val="20"/>
              </w:rPr>
              <w:t>62</w:t>
            </w:r>
          </w:p>
        </w:tc>
        <w:tc>
          <w:tcPr>
            <w:tcW w:w="969" w:type="pct"/>
            <w:tcBorders>
              <w:top w:val="single" w:sz="4" w:space="0" w:color="auto"/>
              <w:bottom w:val="single" w:sz="4" w:space="0" w:color="auto"/>
            </w:tcBorders>
          </w:tcPr>
          <w:p w:rsidR="00F3770F" w:rsidRPr="00B669CD" w:rsidRDefault="00F3770F" w:rsidP="00F3770F">
            <w:pPr>
              <w:widowControl w:val="0"/>
              <w:spacing w:before="20" w:after="20"/>
              <w:jc w:val="center"/>
              <w:rPr>
                <w:rFonts w:ascii="Arial Narrow" w:eastAsiaTheme="majorEastAsia" w:hAnsi="Arial Narrow" w:cstheme="majorBidi"/>
                <w:bCs/>
                <w:sz w:val="20"/>
              </w:rPr>
            </w:pPr>
            <w:r w:rsidRPr="00F3770F">
              <w:rPr>
                <w:rFonts w:ascii="Arial Narrow" w:eastAsiaTheme="majorEastAsia" w:hAnsi="Arial Narrow" w:cstheme="majorBidi"/>
                <w:bCs/>
                <w:sz w:val="20"/>
              </w:rPr>
              <w:t>0.23 (0.45)</w:t>
            </w:r>
          </w:p>
        </w:tc>
        <w:tc>
          <w:tcPr>
            <w:tcW w:w="254" w:type="pct"/>
            <w:tcBorders>
              <w:top w:val="single" w:sz="4" w:space="0" w:color="auto"/>
              <w:bottom w:val="single" w:sz="4" w:space="0" w:color="auto"/>
            </w:tcBorders>
          </w:tcPr>
          <w:p w:rsidR="00F3770F" w:rsidRPr="00B669CD" w:rsidRDefault="00F3770F" w:rsidP="00F3770F">
            <w:pPr>
              <w:widowControl w:val="0"/>
              <w:spacing w:before="20" w:after="20"/>
              <w:jc w:val="center"/>
              <w:rPr>
                <w:rFonts w:ascii="Arial Narrow" w:eastAsiaTheme="majorEastAsia" w:hAnsi="Arial Narrow" w:cstheme="majorBidi"/>
                <w:bCs/>
                <w:sz w:val="20"/>
              </w:rPr>
            </w:pPr>
            <w:r w:rsidRPr="00F3770F">
              <w:rPr>
                <w:rFonts w:ascii="Arial Narrow" w:eastAsiaTheme="majorEastAsia" w:hAnsi="Arial Narrow" w:cstheme="majorBidi"/>
                <w:bCs/>
                <w:sz w:val="20"/>
              </w:rPr>
              <w:t>61</w:t>
            </w:r>
          </w:p>
        </w:tc>
        <w:tc>
          <w:tcPr>
            <w:tcW w:w="1091" w:type="pct"/>
            <w:tcBorders>
              <w:top w:val="single" w:sz="4" w:space="0" w:color="auto"/>
              <w:bottom w:val="single" w:sz="4" w:space="0" w:color="auto"/>
            </w:tcBorders>
          </w:tcPr>
          <w:p w:rsidR="00F3770F" w:rsidRPr="00B669CD" w:rsidRDefault="00C7699D" w:rsidP="00F3770F">
            <w:pPr>
              <w:widowControl w:val="0"/>
              <w:spacing w:before="20" w:after="20"/>
              <w:jc w:val="center"/>
              <w:rPr>
                <w:rFonts w:ascii="Arial Narrow" w:eastAsiaTheme="majorEastAsia" w:hAnsi="Arial Narrow" w:cstheme="majorBidi"/>
                <w:bCs/>
                <w:sz w:val="20"/>
              </w:rPr>
            </w:pPr>
            <w:r>
              <w:rPr>
                <w:rFonts w:ascii="Arial Narrow" w:eastAsiaTheme="majorEastAsia" w:hAnsi="Arial Narrow" w:cstheme="majorBidi"/>
                <w:bCs/>
                <w:sz w:val="20"/>
              </w:rPr>
              <w:t>-</w:t>
            </w:r>
          </w:p>
        </w:tc>
        <w:tc>
          <w:tcPr>
            <w:tcW w:w="1045" w:type="pct"/>
            <w:tcBorders>
              <w:top w:val="single" w:sz="4" w:space="0" w:color="auto"/>
              <w:bottom w:val="single" w:sz="4" w:space="0" w:color="auto"/>
            </w:tcBorders>
          </w:tcPr>
          <w:p w:rsidR="00F3770F" w:rsidRPr="009E2F2C" w:rsidRDefault="00F3770F" w:rsidP="00F3770F">
            <w:pPr>
              <w:widowControl w:val="0"/>
              <w:spacing w:before="20" w:after="20"/>
              <w:jc w:val="center"/>
              <w:rPr>
                <w:rFonts w:ascii="Arial Narrow" w:eastAsiaTheme="majorEastAsia" w:hAnsi="Arial Narrow" w:cstheme="majorBidi"/>
                <w:b/>
                <w:sz w:val="20"/>
              </w:rPr>
            </w:pPr>
            <w:r w:rsidRPr="009E2F2C">
              <w:rPr>
                <w:rFonts w:ascii="Arial Narrow" w:eastAsiaTheme="majorEastAsia" w:hAnsi="Arial Narrow" w:cstheme="majorBidi"/>
                <w:b/>
                <w:sz w:val="20"/>
              </w:rPr>
              <w:t>0.49 (0.30, 0.68)</w:t>
            </w:r>
          </w:p>
        </w:tc>
        <w:tc>
          <w:tcPr>
            <w:tcW w:w="523" w:type="pct"/>
            <w:tcBorders>
              <w:top w:val="single" w:sz="4" w:space="0" w:color="auto"/>
              <w:bottom w:val="single" w:sz="4" w:space="0" w:color="auto"/>
              <w:right w:val="single" w:sz="4" w:space="0" w:color="auto"/>
            </w:tcBorders>
          </w:tcPr>
          <w:p w:rsidR="00F3770F" w:rsidRPr="009E2F2C" w:rsidRDefault="00F3770F" w:rsidP="00F3770F">
            <w:pPr>
              <w:widowControl w:val="0"/>
              <w:spacing w:before="20" w:after="20"/>
              <w:jc w:val="center"/>
              <w:rPr>
                <w:rFonts w:ascii="Arial Narrow" w:eastAsiaTheme="majorEastAsia" w:hAnsi="Arial Narrow" w:cstheme="majorBidi"/>
                <w:b/>
                <w:sz w:val="20"/>
              </w:rPr>
            </w:pPr>
            <w:r w:rsidRPr="009E2F2C">
              <w:rPr>
                <w:rFonts w:ascii="Arial Narrow" w:eastAsiaTheme="majorEastAsia" w:hAnsi="Arial Narrow" w:cstheme="majorBidi"/>
                <w:b/>
                <w:sz w:val="20"/>
              </w:rPr>
              <w:t>&lt;0.0001</w:t>
            </w:r>
            <w:r w:rsidR="001269F8" w:rsidRPr="009E2F2C">
              <w:rPr>
                <w:rFonts w:ascii="Arial Narrow" w:eastAsiaTheme="majorEastAsia" w:hAnsi="Arial Narrow" w:cstheme="majorBidi"/>
                <w:b/>
                <w:sz w:val="20"/>
                <w:vertAlign w:val="superscript"/>
              </w:rPr>
              <w:t>b</w:t>
            </w:r>
          </w:p>
        </w:tc>
      </w:tr>
    </w:tbl>
    <w:p w:rsidR="001B0917" w:rsidRPr="0054101F" w:rsidRDefault="001B0917" w:rsidP="001B0917">
      <w:pPr>
        <w:pStyle w:val="Default"/>
        <w:jc w:val="both"/>
        <w:rPr>
          <w:rFonts w:ascii="Arial Narrow" w:eastAsia="Calibri" w:hAnsi="Arial Narrow" w:cs="Arial"/>
          <w:snapToGrid w:val="0"/>
          <w:color w:val="auto"/>
          <w:sz w:val="18"/>
          <w:szCs w:val="22"/>
          <w:lang w:val="en-AU" w:eastAsia="en-AU"/>
        </w:rPr>
      </w:pPr>
      <w:r w:rsidRPr="0054101F">
        <w:rPr>
          <w:rFonts w:ascii="Arial Narrow" w:eastAsia="Calibri" w:hAnsi="Arial Narrow" w:cs="Arial"/>
          <w:snapToGrid w:val="0"/>
          <w:color w:val="auto"/>
          <w:sz w:val="18"/>
          <w:szCs w:val="22"/>
          <w:lang w:val="en-AU" w:eastAsia="en-AU"/>
        </w:rPr>
        <w:t>Source:</w:t>
      </w:r>
      <w:r>
        <w:rPr>
          <w:rFonts w:ascii="Arial Narrow" w:eastAsia="Calibri" w:hAnsi="Arial Narrow" w:cs="Arial"/>
          <w:snapToGrid w:val="0"/>
          <w:color w:val="auto"/>
          <w:sz w:val="18"/>
          <w:szCs w:val="22"/>
          <w:lang w:val="en-AU" w:eastAsia="en-AU"/>
        </w:rPr>
        <w:t xml:space="preserve"> </w:t>
      </w:r>
      <w:r w:rsidRPr="0054101F">
        <w:rPr>
          <w:rFonts w:ascii="Arial Narrow" w:eastAsia="Calibri" w:hAnsi="Arial Narrow" w:cs="Arial"/>
          <w:snapToGrid w:val="0"/>
          <w:color w:val="auto"/>
          <w:sz w:val="18"/>
          <w:szCs w:val="22"/>
          <w:lang w:val="en-AU" w:eastAsia="en-AU"/>
        </w:rPr>
        <w:t>Table 2-35</w:t>
      </w:r>
      <w:r>
        <w:rPr>
          <w:rFonts w:ascii="Arial Narrow" w:eastAsia="Calibri" w:hAnsi="Arial Narrow" w:cs="Arial"/>
          <w:snapToGrid w:val="0"/>
          <w:color w:val="auto"/>
          <w:sz w:val="18"/>
          <w:szCs w:val="22"/>
          <w:lang w:val="en-AU" w:eastAsia="en-AU"/>
        </w:rPr>
        <w:t>, p130</w:t>
      </w:r>
      <w:r w:rsidRPr="0054101F">
        <w:rPr>
          <w:rFonts w:ascii="Arial Narrow" w:eastAsia="Calibri" w:hAnsi="Arial Narrow" w:cs="Arial"/>
          <w:snapToGrid w:val="0"/>
          <w:color w:val="auto"/>
          <w:sz w:val="18"/>
          <w:szCs w:val="22"/>
          <w:lang w:val="en-AU" w:eastAsia="en-AU"/>
        </w:rPr>
        <w:t xml:space="preserve"> of the submission.</w:t>
      </w:r>
    </w:p>
    <w:p w:rsidR="001B0917" w:rsidRPr="0054101F" w:rsidRDefault="001B0917" w:rsidP="001B0917">
      <w:pPr>
        <w:pStyle w:val="Default"/>
        <w:jc w:val="both"/>
        <w:rPr>
          <w:rFonts w:ascii="Arial Narrow" w:eastAsia="Calibri" w:hAnsi="Arial Narrow" w:cs="Arial"/>
          <w:snapToGrid w:val="0"/>
          <w:color w:val="auto"/>
          <w:sz w:val="18"/>
          <w:szCs w:val="22"/>
          <w:lang w:val="en-AU" w:eastAsia="en-AU"/>
        </w:rPr>
      </w:pPr>
      <w:r w:rsidRPr="0054101F">
        <w:rPr>
          <w:rFonts w:ascii="Arial Narrow" w:eastAsia="Calibri" w:hAnsi="Arial Narrow" w:cs="Arial"/>
          <w:snapToGrid w:val="0"/>
          <w:color w:val="auto"/>
          <w:sz w:val="18"/>
          <w:szCs w:val="22"/>
          <w:lang w:val="en-AU" w:eastAsia="en-AU"/>
        </w:rPr>
        <w:t>Abbreviations: BID = twice daily; BOT = budesonide orally disintegrating tablet; CI = confidence interval; DB = double-blind; EOT = end of treatment; EoE-QoL-A = Adult Eosinophilic Esophagitis Quality of Life; FAS = full analysis set; LOCF = last observation carried forward; MD = mean difference; NR = not reported; PBO = placebo; SD = standard deviation; SHS = Short Health Survey.</w:t>
      </w:r>
    </w:p>
    <w:p w:rsidR="00F8361C" w:rsidRDefault="00F8361C" w:rsidP="00F8361C">
      <w:pPr>
        <w:pStyle w:val="Default"/>
        <w:jc w:val="both"/>
        <w:rPr>
          <w:rFonts w:ascii="Arial Narrow" w:eastAsia="Calibri" w:hAnsi="Arial Narrow" w:cs="Arial"/>
          <w:snapToGrid w:val="0"/>
          <w:color w:val="auto"/>
          <w:sz w:val="18"/>
          <w:szCs w:val="22"/>
          <w:lang w:val="en-AU" w:eastAsia="en-AU"/>
        </w:rPr>
      </w:pPr>
      <w:r>
        <w:rPr>
          <w:rFonts w:ascii="Arial Narrow" w:eastAsia="Calibri" w:hAnsi="Arial Narrow" w:cs="Arial"/>
          <w:snapToGrid w:val="0"/>
          <w:color w:val="auto"/>
          <w:sz w:val="18"/>
          <w:szCs w:val="22"/>
          <w:lang w:val="en-AU" w:eastAsia="en-AU"/>
        </w:rPr>
        <w:t xml:space="preserve">Notes: </w:t>
      </w:r>
      <w:r w:rsidRPr="00A05386">
        <w:rPr>
          <w:rFonts w:ascii="Arial Narrow" w:eastAsia="Calibri" w:hAnsi="Arial Narrow" w:cs="Arial"/>
          <w:b/>
          <w:bCs/>
          <w:snapToGrid w:val="0"/>
          <w:color w:val="auto"/>
          <w:sz w:val="18"/>
          <w:szCs w:val="22"/>
          <w:lang w:val="en-AU" w:eastAsia="en-AU"/>
        </w:rPr>
        <w:t>Bold</w:t>
      </w:r>
      <w:r w:rsidRPr="00A05386">
        <w:rPr>
          <w:rFonts w:ascii="Arial Narrow" w:eastAsia="Calibri" w:hAnsi="Arial Narrow" w:cs="Arial"/>
          <w:snapToGrid w:val="0"/>
          <w:color w:val="auto"/>
          <w:sz w:val="18"/>
          <w:szCs w:val="22"/>
          <w:lang w:val="en-AU" w:eastAsia="en-AU"/>
        </w:rPr>
        <w:t xml:space="preserve"> indicates statistically significant results</w:t>
      </w:r>
      <w:r>
        <w:rPr>
          <w:rFonts w:ascii="Arial Narrow" w:eastAsia="Calibri" w:hAnsi="Arial Narrow" w:cs="Arial"/>
          <w:snapToGrid w:val="0"/>
          <w:color w:val="auto"/>
          <w:sz w:val="18"/>
          <w:szCs w:val="22"/>
          <w:lang w:val="en-AU" w:eastAsia="en-AU"/>
        </w:rPr>
        <w:t>.</w:t>
      </w:r>
    </w:p>
    <w:p w:rsidR="001B0917" w:rsidRPr="0054101F" w:rsidRDefault="001B0917" w:rsidP="001B0917">
      <w:pPr>
        <w:pStyle w:val="Default"/>
        <w:jc w:val="both"/>
        <w:rPr>
          <w:rFonts w:ascii="Arial Narrow" w:eastAsia="Calibri" w:hAnsi="Arial Narrow" w:cs="Arial"/>
          <w:snapToGrid w:val="0"/>
          <w:color w:val="auto"/>
          <w:sz w:val="18"/>
          <w:szCs w:val="22"/>
          <w:lang w:val="en-AU" w:eastAsia="en-AU"/>
        </w:rPr>
      </w:pPr>
      <w:r>
        <w:rPr>
          <w:rFonts w:ascii="Arial Narrow" w:eastAsia="Calibri" w:hAnsi="Arial Narrow" w:cs="Arial"/>
          <w:snapToGrid w:val="0"/>
          <w:color w:val="auto"/>
          <w:sz w:val="18"/>
          <w:szCs w:val="22"/>
          <w:lang w:val="en-AU" w:eastAsia="en-AU"/>
        </w:rPr>
        <w:t>a</w:t>
      </w:r>
      <w:r w:rsidRPr="0054101F">
        <w:rPr>
          <w:rFonts w:ascii="Arial Narrow" w:eastAsia="Calibri" w:hAnsi="Arial Narrow" w:cs="Arial"/>
          <w:snapToGrid w:val="0"/>
          <w:color w:val="auto"/>
          <w:sz w:val="18"/>
          <w:szCs w:val="22"/>
          <w:lang w:val="en-AU" w:eastAsia="en-AU"/>
        </w:rPr>
        <w:t>. one-sided normal approximation test.</w:t>
      </w:r>
    </w:p>
    <w:p w:rsidR="001B0917" w:rsidRDefault="001B0917" w:rsidP="001B0917">
      <w:pPr>
        <w:pStyle w:val="Default"/>
        <w:jc w:val="both"/>
        <w:rPr>
          <w:rFonts w:ascii="Arial Narrow" w:eastAsia="Calibri" w:hAnsi="Arial Narrow" w:cs="Arial"/>
          <w:snapToGrid w:val="0"/>
          <w:color w:val="auto"/>
          <w:sz w:val="18"/>
          <w:szCs w:val="22"/>
          <w:lang w:val="en-AU" w:eastAsia="en-AU"/>
        </w:rPr>
      </w:pPr>
      <w:r>
        <w:rPr>
          <w:rFonts w:ascii="Arial Narrow" w:eastAsia="Calibri" w:hAnsi="Arial Narrow" w:cs="Arial"/>
          <w:snapToGrid w:val="0"/>
          <w:color w:val="auto"/>
          <w:sz w:val="18"/>
          <w:szCs w:val="22"/>
          <w:lang w:val="en-AU" w:eastAsia="en-AU"/>
        </w:rPr>
        <w:t>b</w:t>
      </w:r>
      <w:r w:rsidRPr="0054101F">
        <w:rPr>
          <w:rFonts w:ascii="Arial Narrow" w:eastAsia="Calibri" w:hAnsi="Arial Narrow" w:cs="Arial"/>
          <w:snapToGrid w:val="0"/>
          <w:color w:val="auto"/>
          <w:sz w:val="18"/>
          <w:szCs w:val="22"/>
          <w:lang w:val="en-AU" w:eastAsia="en-AU"/>
        </w:rPr>
        <w:t>. One-sided p-value from Fisher’s exact test.</w:t>
      </w:r>
    </w:p>
    <w:p w:rsidR="001B0917" w:rsidRPr="0054101F" w:rsidRDefault="001B0917" w:rsidP="001B0917">
      <w:pPr>
        <w:pStyle w:val="Default"/>
        <w:jc w:val="both"/>
        <w:rPr>
          <w:rFonts w:ascii="Arial Narrow" w:eastAsia="Calibri" w:hAnsi="Arial Narrow" w:cs="Arial"/>
          <w:snapToGrid w:val="0"/>
          <w:color w:val="auto"/>
          <w:sz w:val="18"/>
          <w:szCs w:val="22"/>
          <w:lang w:val="en-AU" w:eastAsia="en-AU"/>
        </w:rPr>
      </w:pPr>
      <w:r>
        <w:rPr>
          <w:rFonts w:ascii="Arial Narrow" w:eastAsia="Calibri" w:hAnsi="Arial Narrow" w:cs="Arial"/>
          <w:snapToGrid w:val="0"/>
          <w:color w:val="auto"/>
          <w:sz w:val="18"/>
          <w:szCs w:val="22"/>
          <w:lang w:val="en-AU" w:eastAsia="en-AU"/>
        </w:rPr>
        <w:t>c</w:t>
      </w:r>
      <w:r w:rsidRPr="0054101F">
        <w:rPr>
          <w:rFonts w:ascii="Arial Narrow" w:eastAsia="Calibri" w:hAnsi="Arial Narrow" w:cs="Arial"/>
          <w:snapToGrid w:val="0"/>
          <w:color w:val="auto"/>
          <w:sz w:val="18"/>
          <w:szCs w:val="22"/>
          <w:lang w:val="en-AU" w:eastAsia="en-AU"/>
        </w:rPr>
        <w:t>. Calculated post-hoc for the submission using Review Manager 5.4.</w:t>
      </w:r>
    </w:p>
    <w:p w:rsidR="001B0917" w:rsidRPr="00C9624D" w:rsidRDefault="001B0917" w:rsidP="001B0917">
      <w:pPr>
        <w:pStyle w:val="4-SubsectionHeading"/>
      </w:pPr>
      <w:bookmarkStart w:id="14" w:name="_Toc22897642"/>
      <w:bookmarkStart w:id="15" w:name="_Toc62047622"/>
      <w:r w:rsidRPr="00C9624D">
        <w:t>Comparative harms</w:t>
      </w:r>
      <w:bookmarkEnd w:id="14"/>
      <w:bookmarkEnd w:id="15"/>
    </w:p>
    <w:p w:rsidR="001B0917" w:rsidRPr="00236C81" w:rsidRDefault="001B0917" w:rsidP="001B0917">
      <w:pPr>
        <w:pStyle w:val="3-BodyText"/>
        <w:numPr>
          <w:ilvl w:val="0"/>
          <w:numId w:val="0"/>
        </w:numPr>
        <w:ind w:left="720" w:hanging="720"/>
        <w:rPr>
          <w:u w:val="single"/>
        </w:rPr>
      </w:pPr>
      <w:r w:rsidRPr="00236C81">
        <w:rPr>
          <w:u w:val="single"/>
        </w:rPr>
        <w:t>EOS-1 (induction of remission)</w:t>
      </w:r>
    </w:p>
    <w:p w:rsidR="001B0917" w:rsidRPr="00D34648" w:rsidRDefault="00BE1AE0" w:rsidP="00BE1AE0">
      <w:pPr>
        <w:pStyle w:val="3-BodyText"/>
        <w:rPr>
          <w:iCs/>
        </w:rPr>
      </w:pPr>
      <w:r>
        <w:t>The s</w:t>
      </w:r>
      <w:r w:rsidR="001B0917" w:rsidRPr="00606CE2">
        <w:t xml:space="preserve">ummary of key adverse events </w:t>
      </w:r>
      <w:r w:rsidR="001B0917">
        <w:t xml:space="preserve">(AE) data </w:t>
      </w:r>
      <w:r w:rsidR="001B0917" w:rsidRPr="00606CE2">
        <w:t xml:space="preserve">for BOT from EOS-1 is presented in Table </w:t>
      </w:r>
      <w:r w:rsidR="001B0917">
        <w:t xml:space="preserve">8. </w:t>
      </w:r>
      <w:r w:rsidR="001B0917" w:rsidRPr="00606CE2">
        <w:t xml:space="preserve">The submission noted that there were no SAEs, AEs leading to discontinuation, or deaths reported during the study. The submission stated that overall, the frequency of TEAEs was low in both treatment groups </w:t>
      </w:r>
      <w:r>
        <w:t xml:space="preserve">but was higher for BOT noting </w:t>
      </w:r>
      <w:r w:rsidR="001B0917" w:rsidRPr="00606CE2">
        <w:t xml:space="preserve">the vast majority of AEs were of mild or moderate severity. </w:t>
      </w:r>
      <w:r w:rsidRPr="00D34648">
        <w:rPr>
          <w:iCs/>
        </w:rPr>
        <w:t>This seems reasonable and was consistent with the clinical claim of BOT inferiority in terms of safety compared to placebo.</w:t>
      </w:r>
    </w:p>
    <w:p w:rsidR="001B0917" w:rsidRDefault="00E577BC" w:rsidP="001B0917">
      <w:pPr>
        <w:pStyle w:val="3-BodyText"/>
        <w:rPr>
          <w:i/>
          <w:iCs/>
        </w:rPr>
      </w:pPr>
      <w:r>
        <w:t>T</w:t>
      </w:r>
      <w:r w:rsidR="001B0917" w:rsidRPr="00606CE2">
        <w:t>he most frequently reported TEAE during the 6</w:t>
      </w:r>
      <w:r w:rsidR="00490748">
        <w:t>-</w:t>
      </w:r>
      <w:r w:rsidR="001B0917" w:rsidRPr="00606CE2">
        <w:t>week DB phase was suspected local fungal infection, documented in 14/59 (23.7%) of patients</w:t>
      </w:r>
      <w:r w:rsidR="001B0917">
        <w:t xml:space="preserve"> receiving BOT 1 mg </w:t>
      </w:r>
      <w:r w:rsidR="00BE1AE0">
        <w:t>(none for placebo).</w:t>
      </w:r>
      <w:r w:rsidR="001B0917" w:rsidRPr="00606CE2">
        <w:t xml:space="preserve"> </w:t>
      </w:r>
      <w:r w:rsidR="001B0917" w:rsidRPr="00CA383B">
        <w:t>The difference between the treatment groups was statistically significant in terms of the risk difference; RD = 0.24 (95% CI: 0.12, 0.35)</w:t>
      </w:r>
      <w:r w:rsidR="001B0917" w:rsidRPr="00606CE2">
        <w:t xml:space="preserve">. </w:t>
      </w:r>
    </w:p>
    <w:p w:rsidR="001B0917" w:rsidRPr="00606B4B" w:rsidRDefault="001B0917" w:rsidP="001B0917">
      <w:pPr>
        <w:pStyle w:val="TableFigureHeading"/>
        <w:rPr>
          <w:rStyle w:val="CommentReference"/>
          <w:b/>
          <w:szCs w:val="24"/>
        </w:rPr>
      </w:pPr>
      <w:r w:rsidRPr="00606B4B">
        <w:rPr>
          <w:rStyle w:val="CommentReference"/>
          <w:b/>
          <w:szCs w:val="24"/>
        </w:rPr>
        <w:t>Table 8: Summary of key adverse events</w:t>
      </w:r>
      <w:r w:rsidRPr="00606B4B">
        <w:rPr>
          <w:rStyle w:val="CommentReference"/>
          <w:b/>
          <w:szCs w:val="24"/>
          <w:vertAlign w:val="superscript"/>
        </w:rPr>
        <w:t>a</w:t>
      </w:r>
      <w:r w:rsidRPr="00606B4B">
        <w:rPr>
          <w:rStyle w:val="CommentReference"/>
          <w:b/>
          <w:szCs w:val="24"/>
        </w:rPr>
        <w:t xml:space="preserve"> in EOS-1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36"/>
        <w:gridCol w:w="1123"/>
        <w:gridCol w:w="736"/>
        <w:gridCol w:w="1130"/>
        <w:gridCol w:w="1685"/>
        <w:gridCol w:w="1825"/>
      </w:tblGrid>
      <w:tr w:rsidR="001B0917" w:rsidRPr="00080909" w:rsidTr="00DB54EF">
        <w:trPr>
          <w:tblHeader/>
        </w:trPr>
        <w:tc>
          <w:tcPr>
            <w:tcW w:w="1980" w:type="dxa"/>
            <w:vMerge w:val="restart"/>
            <w:vAlign w:val="center"/>
          </w:tcPr>
          <w:p w:rsidR="001B0917" w:rsidRPr="00080909" w:rsidRDefault="001B0917" w:rsidP="00DA5F85">
            <w:pPr>
              <w:pStyle w:val="In-tableHeading"/>
            </w:pPr>
            <w:r>
              <w:t>Trial ID</w:t>
            </w:r>
          </w:p>
        </w:tc>
        <w:tc>
          <w:tcPr>
            <w:tcW w:w="1834" w:type="dxa"/>
            <w:gridSpan w:val="2"/>
            <w:vAlign w:val="center"/>
          </w:tcPr>
          <w:p w:rsidR="001B0917" w:rsidRDefault="001B0917" w:rsidP="00DA5F85">
            <w:pPr>
              <w:pStyle w:val="In-tableHeading"/>
              <w:jc w:val="center"/>
            </w:pPr>
            <w:r>
              <w:t xml:space="preserve">BOT 1 mg BID </w:t>
            </w:r>
          </w:p>
          <w:p w:rsidR="001B0917" w:rsidRDefault="001B0917" w:rsidP="00DA5F85">
            <w:pPr>
              <w:pStyle w:val="In-tableHeading"/>
              <w:jc w:val="center"/>
            </w:pPr>
            <w:r>
              <w:t>n =</w:t>
            </w:r>
            <w:r w:rsidR="00DB54EF">
              <w:t xml:space="preserve"> </w:t>
            </w:r>
            <w:r>
              <w:t>59</w:t>
            </w:r>
          </w:p>
        </w:tc>
        <w:tc>
          <w:tcPr>
            <w:tcW w:w="1868" w:type="dxa"/>
            <w:gridSpan w:val="2"/>
            <w:vAlign w:val="center"/>
          </w:tcPr>
          <w:p w:rsidR="001B0917" w:rsidRDefault="001B0917" w:rsidP="00DA5F85">
            <w:pPr>
              <w:pStyle w:val="In-tableHeading"/>
              <w:jc w:val="center"/>
            </w:pPr>
            <w:r>
              <w:t xml:space="preserve">Placebo </w:t>
            </w:r>
          </w:p>
          <w:p w:rsidR="001B0917" w:rsidRDefault="001B0917" w:rsidP="00DA5F85">
            <w:pPr>
              <w:pStyle w:val="In-tableHeading"/>
              <w:jc w:val="center"/>
            </w:pPr>
            <w:r>
              <w:t>n =</w:t>
            </w:r>
            <w:r w:rsidR="00DB54EF">
              <w:t xml:space="preserve"> </w:t>
            </w:r>
            <w:r>
              <w:t>29</w:t>
            </w:r>
          </w:p>
        </w:tc>
        <w:tc>
          <w:tcPr>
            <w:tcW w:w="3527" w:type="dxa"/>
            <w:gridSpan w:val="2"/>
            <w:vAlign w:val="center"/>
          </w:tcPr>
          <w:p w:rsidR="001B0917" w:rsidRDefault="001B0917" w:rsidP="00DA5F85">
            <w:pPr>
              <w:pStyle w:val="In-tableHeading"/>
              <w:jc w:val="center"/>
            </w:pPr>
            <w:r>
              <w:t xml:space="preserve">Post-hoc analyses of treatment difference </w:t>
            </w:r>
            <w:r w:rsidR="00C7699D">
              <w:br/>
            </w:r>
            <w:r>
              <w:t>(BOT vs. PBO)</w:t>
            </w:r>
          </w:p>
          <w:p w:rsidR="001B0917" w:rsidRPr="00BC20F4" w:rsidRDefault="001B0917" w:rsidP="00DA5F85">
            <w:pPr>
              <w:pStyle w:val="In-tableHeading"/>
              <w:jc w:val="center"/>
              <w:rPr>
                <w:b w:val="0"/>
                <w:bCs/>
              </w:rPr>
            </w:pPr>
            <w:r w:rsidRPr="00BC20F4">
              <w:rPr>
                <w:b w:val="0"/>
                <w:bCs/>
              </w:rPr>
              <w:t>RR &lt;1 or RD &lt; 0 favours BOT</w:t>
            </w:r>
          </w:p>
        </w:tc>
      </w:tr>
      <w:tr w:rsidR="001B0917" w:rsidRPr="00080909" w:rsidTr="00DB54EF">
        <w:trPr>
          <w:tblHeader/>
        </w:trPr>
        <w:tc>
          <w:tcPr>
            <w:tcW w:w="1980" w:type="dxa"/>
            <w:vMerge/>
            <w:vAlign w:val="center"/>
          </w:tcPr>
          <w:p w:rsidR="001B0917" w:rsidRDefault="001B0917" w:rsidP="00DA5F85">
            <w:pPr>
              <w:pStyle w:val="In-tableHeading"/>
            </w:pPr>
          </w:p>
        </w:tc>
        <w:tc>
          <w:tcPr>
            <w:tcW w:w="709" w:type="dxa"/>
            <w:vAlign w:val="center"/>
          </w:tcPr>
          <w:p w:rsidR="001B0917" w:rsidRDefault="001B0917" w:rsidP="00DA5F85">
            <w:pPr>
              <w:pStyle w:val="In-tableHeading"/>
              <w:jc w:val="center"/>
            </w:pPr>
            <w:r w:rsidRPr="00B97BC5">
              <w:t>No. of events</w:t>
            </w:r>
          </w:p>
        </w:tc>
        <w:tc>
          <w:tcPr>
            <w:tcW w:w="1125" w:type="dxa"/>
            <w:vAlign w:val="center"/>
          </w:tcPr>
          <w:p w:rsidR="001B0917" w:rsidRDefault="001B0917" w:rsidP="00DA5F85">
            <w:pPr>
              <w:pStyle w:val="In-tableHeading"/>
              <w:jc w:val="center"/>
            </w:pPr>
            <w:r w:rsidRPr="00CA628F">
              <w:t xml:space="preserve">No. of </w:t>
            </w:r>
            <w:r>
              <w:t xml:space="preserve">patients </w:t>
            </w:r>
            <w:r w:rsidR="00DB54EF">
              <w:br/>
            </w:r>
            <w:r w:rsidRPr="00CA628F">
              <w:t>n/N (%)</w:t>
            </w:r>
          </w:p>
        </w:tc>
        <w:tc>
          <w:tcPr>
            <w:tcW w:w="736" w:type="dxa"/>
            <w:vAlign w:val="center"/>
          </w:tcPr>
          <w:p w:rsidR="001B0917" w:rsidRDefault="001B0917" w:rsidP="00DA5F85">
            <w:pPr>
              <w:pStyle w:val="In-tableHeading"/>
              <w:jc w:val="center"/>
            </w:pPr>
            <w:r w:rsidRPr="00B97BC5">
              <w:t>No. of events</w:t>
            </w:r>
          </w:p>
        </w:tc>
        <w:tc>
          <w:tcPr>
            <w:tcW w:w="1132" w:type="dxa"/>
            <w:vAlign w:val="center"/>
          </w:tcPr>
          <w:p w:rsidR="001B0917" w:rsidRDefault="001B0917" w:rsidP="00DA5F85">
            <w:pPr>
              <w:pStyle w:val="In-tableHeading"/>
              <w:jc w:val="center"/>
            </w:pPr>
            <w:r w:rsidRPr="00CA628F">
              <w:t xml:space="preserve">No. of </w:t>
            </w:r>
            <w:r w:rsidRPr="001C1BB0">
              <w:t>patients</w:t>
            </w:r>
            <w:r>
              <w:t xml:space="preserve"> </w:t>
            </w:r>
            <w:r w:rsidR="00DB54EF">
              <w:br/>
            </w:r>
            <w:r w:rsidRPr="00CA628F">
              <w:t>n/N (%)</w:t>
            </w:r>
          </w:p>
        </w:tc>
        <w:tc>
          <w:tcPr>
            <w:tcW w:w="1693" w:type="dxa"/>
            <w:vAlign w:val="center"/>
          </w:tcPr>
          <w:p w:rsidR="001B0917" w:rsidRDefault="001B0917" w:rsidP="00DA5F85">
            <w:pPr>
              <w:pStyle w:val="In-tableHeading"/>
              <w:jc w:val="center"/>
            </w:pPr>
            <w:r>
              <w:t>RR (95% CI)</w:t>
            </w:r>
            <w:r w:rsidRPr="00CF658B">
              <w:rPr>
                <w:vertAlign w:val="superscript"/>
              </w:rPr>
              <w:t>b</w:t>
            </w:r>
          </w:p>
        </w:tc>
        <w:tc>
          <w:tcPr>
            <w:tcW w:w="1834" w:type="dxa"/>
            <w:vAlign w:val="center"/>
          </w:tcPr>
          <w:p w:rsidR="001B0917" w:rsidRPr="00335E21" w:rsidRDefault="001B0917" w:rsidP="00DA5F85">
            <w:pPr>
              <w:pStyle w:val="In-tableHeading"/>
              <w:jc w:val="center"/>
            </w:pPr>
            <w:r w:rsidRPr="00335E21">
              <w:t>R</w:t>
            </w:r>
            <w:r>
              <w:t xml:space="preserve">D </w:t>
            </w:r>
            <w:r w:rsidRPr="00335E21">
              <w:t>(95% CI)</w:t>
            </w:r>
            <w:r w:rsidRPr="00CF658B">
              <w:rPr>
                <w:vertAlign w:val="superscript"/>
              </w:rPr>
              <w:t>b</w:t>
            </w:r>
          </w:p>
        </w:tc>
      </w:tr>
      <w:tr w:rsidR="001B0917" w:rsidTr="00DA5F85">
        <w:tc>
          <w:tcPr>
            <w:tcW w:w="9209" w:type="dxa"/>
            <w:gridSpan w:val="7"/>
          </w:tcPr>
          <w:p w:rsidR="001B0917" w:rsidRDefault="001B0917" w:rsidP="00DA5F85">
            <w:pPr>
              <w:pStyle w:val="TableText0"/>
            </w:pPr>
            <w:r>
              <w:t>EOS-1</w:t>
            </w:r>
          </w:p>
        </w:tc>
      </w:tr>
      <w:tr w:rsidR="001B0917" w:rsidTr="00DB54EF">
        <w:tc>
          <w:tcPr>
            <w:tcW w:w="1980" w:type="dxa"/>
            <w:tcBorders>
              <w:bottom w:val="single" w:sz="4" w:space="0" w:color="auto"/>
            </w:tcBorders>
            <w:vAlign w:val="center"/>
          </w:tcPr>
          <w:p w:rsidR="001B0917" w:rsidRDefault="001B0917" w:rsidP="00DA5F85">
            <w:pPr>
              <w:pStyle w:val="TableText0"/>
            </w:pPr>
            <w:r w:rsidRPr="00CA4D01">
              <w:t>Any TEAE</w:t>
            </w:r>
          </w:p>
        </w:tc>
        <w:tc>
          <w:tcPr>
            <w:tcW w:w="709" w:type="dxa"/>
            <w:tcBorders>
              <w:bottom w:val="single" w:sz="4" w:space="0" w:color="auto"/>
            </w:tcBorders>
            <w:vAlign w:val="center"/>
          </w:tcPr>
          <w:p w:rsidR="001B0917" w:rsidRDefault="001B0917" w:rsidP="00DA5F85">
            <w:pPr>
              <w:pStyle w:val="TableText0"/>
              <w:jc w:val="center"/>
            </w:pPr>
            <w:r>
              <w:t>62</w:t>
            </w:r>
          </w:p>
        </w:tc>
        <w:tc>
          <w:tcPr>
            <w:tcW w:w="1125" w:type="dxa"/>
            <w:tcBorders>
              <w:bottom w:val="single" w:sz="4" w:space="0" w:color="auto"/>
            </w:tcBorders>
            <w:vAlign w:val="center"/>
          </w:tcPr>
          <w:p w:rsidR="001B0917" w:rsidRPr="00B1011F" w:rsidRDefault="001B0917" w:rsidP="00DA5F85">
            <w:pPr>
              <w:pStyle w:val="TableText0"/>
              <w:jc w:val="center"/>
            </w:pPr>
            <w:r w:rsidRPr="005D61F1">
              <w:t>37/59 (62.7)</w:t>
            </w:r>
          </w:p>
        </w:tc>
        <w:tc>
          <w:tcPr>
            <w:tcW w:w="736" w:type="dxa"/>
            <w:tcBorders>
              <w:bottom w:val="single" w:sz="4" w:space="0" w:color="auto"/>
            </w:tcBorders>
            <w:vAlign w:val="center"/>
          </w:tcPr>
          <w:p w:rsidR="001B0917" w:rsidRDefault="001B0917" w:rsidP="00DA5F85">
            <w:pPr>
              <w:pStyle w:val="TableText0"/>
              <w:jc w:val="center"/>
            </w:pPr>
            <w:r w:rsidRPr="005D61F1">
              <w:t>19</w:t>
            </w:r>
          </w:p>
        </w:tc>
        <w:tc>
          <w:tcPr>
            <w:tcW w:w="1132" w:type="dxa"/>
            <w:tcBorders>
              <w:bottom w:val="single" w:sz="4" w:space="0" w:color="auto"/>
            </w:tcBorders>
            <w:vAlign w:val="center"/>
          </w:tcPr>
          <w:p w:rsidR="001B0917" w:rsidRPr="00B1011F" w:rsidRDefault="001B0917" w:rsidP="00DA5F85">
            <w:pPr>
              <w:pStyle w:val="TableText0"/>
              <w:jc w:val="center"/>
            </w:pPr>
            <w:r w:rsidRPr="0009365E">
              <w:t>12/29</w:t>
            </w:r>
            <w:r>
              <w:t xml:space="preserve"> </w:t>
            </w:r>
            <w:r w:rsidRPr="0009365E">
              <w:t>(41.4)</w:t>
            </w:r>
          </w:p>
        </w:tc>
        <w:tc>
          <w:tcPr>
            <w:tcW w:w="1693" w:type="dxa"/>
            <w:tcBorders>
              <w:bottom w:val="single" w:sz="4" w:space="0" w:color="auto"/>
            </w:tcBorders>
            <w:vAlign w:val="center"/>
          </w:tcPr>
          <w:p w:rsidR="001B0917" w:rsidRPr="00B61C9F" w:rsidRDefault="001B0917" w:rsidP="00C7699D">
            <w:pPr>
              <w:pStyle w:val="TableText0"/>
              <w:jc w:val="center"/>
            </w:pPr>
            <w:r w:rsidRPr="00B61C9F">
              <w:t>1.52</w:t>
            </w:r>
            <w:r w:rsidR="00C7699D">
              <w:t xml:space="preserve"> </w:t>
            </w:r>
            <w:r w:rsidRPr="00B61C9F">
              <w:t>(0.94, 2.44)</w:t>
            </w:r>
          </w:p>
        </w:tc>
        <w:tc>
          <w:tcPr>
            <w:tcW w:w="1834" w:type="dxa"/>
            <w:tcBorders>
              <w:bottom w:val="single" w:sz="4" w:space="0" w:color="auto"/>
            </w:tcBorders>
            <w:vAlign w:val="center"/>
          </w:tcPr>
          <w:p w:rsidR="001B0917" w:rsidRPr="00B61C9F" w:rsidRDefault="001B0917" w:rsidP="00C7699D">
            <w:pPr>
              <w:pStyle w:val="TableText0"/>
              <w:jc w:val="center"/>
            </w:pPr>
            <w:r w:rsidRPr="00B61C9F">
              <w:t>0.21</w:t>
            </w:r>
            <w:r w:rsidR="00C7699D">
              <w:t xml:space="preserve"> </w:t>
            </w:r>
            <w:r w:rsidRPr="00B61C9F">
              <w:t>(-0.00, 0.43)</w:t>
            </w:r>
          </w:p>
        </w:tc>
      </w:tr>
      <w:tr w:rsidR="001B0917" w:rsidTr="00DB54EF">
        <w:tc>
          <w:tcPr>
            <w:tcW w:w="1980" w:type="dxa"/>
            <w:tcBorders>
              <w:bottom w:val="nil"/>
            </w:tcBorders>
            <w:vAlign w:val="center"/>
          </w:tcPr>
          <w:p w:rsidR="001B0917" w:rsidRDefault="001B0917" w:rsidP="00DA5F85">
            <w:pPr>
              <w:pStyle w:val="TableText0"/>
            </w:pPr>
            <w:r w:rsidRPr="00CA4D01">
              <w:t>Severe AE</w:t>
            </w:r>
          </w:p>
        </w:tc>
        <w:tc>
          <w:tcPr>
            <w:tcW w:w="709" w:type="dxa"/>
            <w:tcBorders>
              <w:bottom w:val="nil"/>
            </w:tcBorders>
            <w:vAlign w:val="center"/>
          </w:tcPr>
          <w:p w:rsidR="001B0917" w:rsidRDefault="001B0917" w:rsidP="00DA5F85">
            <w:pPr>
              <w:pStyle w:val="TableText0"/>
              <w:jc w:val="center"/>
            </w:pPr>
            <w:r>
              <w:t>0</w:t>
            </w:r>
          </w:p>
        </w:tc>
        <w:tc>
          <w:tcPr>
            <w:tcW w:w="1125" w:type="dxa"/>
            <w:tcBorders>
              <w:bottom w:val="nil"/>
            </w:tcBorders>
            <w:vAlign w:val="center"/>
          </w:tcPr>
          <w:p w:rsidR="001B0917" w:rsidRPr="00B1011F" w:rsidRDefault="001B0917" w:rsidP="00DA5F85">
            <w:pPr>
              <w:pStyle w:val="TableText0"/>
              <w:jc w:val="center"/>
            </w:pPr>
            <w:r>
              <w:t>0</w:t>
            </w:r>
          </w:p>
        </w:tc>
        <w:tc>
          <w:tcPr>
            <w:tcW w:w="736" w:type="dxa"/>
            <w:tcBorders>
              <w:bottom w:val="nil"/>
            </w:tcBorders>
            <w:vAlign w:val="center"/>
          </w:tcPr>
          <w:p w:rsidR="001B0917" w:rsidRDefault="001B0917" w:rsidP="00DA5F85">
            <w:pPr>
              <w:pStyle w:val="TableText0"/>
              <w:jc w:val="center"/>
            </w:pPr>
          </w:p>
        </w:tc>
        <w:tc>
          <w:tcPr>
            <w:tcW w:w="1132" w:type="dxa"/>
            <w:tcBorders>
              <w:bottom w:val="nil"/>
            </w:tcBorders>
            <w:vAlign w:val="center"/>
          </w:tcPr>
          <w:p w:rsidR="001B0917" w:rsidRPr="00B1011F" w:rsidRDefault="001B0917" w:rsidP="00DA5F85">
            <w:pPr>
              <w:pStyle w:val="TableText0"/>
              <w:jc w:val="center"/>
            </w:pPr>
            <w:r w:rsidRPr="001A41AC">
              <w:t>1</w:t>
            </w:r>
            <w:r>
              <w:t>/29 (3.4)</w:t>
            </w:r>
          </w:p>
        </w:tc>
        <w:tc>
          <w:tcPr>
            <w:tcW w:w="1693" w:type="dxa"/>
            <w:tcBorders>
              <w:bottom w:val="single" w:sz="4" w:space="0" w:color="auto"/>
            </w:tcBorders>
            <w:vAlign w:val="center"/>
          </w:tcPr>
          <w:p w:rsidR="001B0917" w:rsidRPr="00B61C9F" w:rsidRDefault="001B0917" w:rsidP="00C7699D">
            <w:pPr>
              <w:pStyle w:val="TableText0"/>
              <w:jc w:val="center"/>
            </w:pPr>
            <w:r w:rsidRPr="00B61C9F">
              <w:t>0.17</w:t>
            </w:r>
            <w:r w:rsidR="00C7699D">
              <w:t xml:space="preserve"> </w:t>
            </w:r>
            <w:r w:rsidRPr="00B61C9F">
              <w:t>(0.01, 3.97)</w:t>
            </w:r>
          </w:p>
        </w:tc>
        <w:tc>
          <w:tcPr>
            <w:tcW w:w="1834" w:type="dxa"/>
            <w:tcBorders>
              <w:bottom w:val="single" w:sz="4" w:space="0" w:color="auto"/>
            </w:tcBorders>
            <w:vAlign w:val="center"/>
          </w:tcPr>
          <w:p w:rsidR="001B0917" w:rsidRPr="00B61C9F" w:rsidRDefault="001B0917" w:rsidP="00C7699D">
            <w:pPr>
              <w:pStyle w:val="TableText0"/>
              <w:jc w:val="center"/>
            </w:pPr>
            <w:r w:rsidRPr="00B61C9F">
              <w:t>-0.03</w:t>
            </w:r>
            <w:r w:rsidR="00C7699D">
              <w:t xml:space="preserve"> </w:t>
            </w:r>
            <w:r w:rsidRPr="00B61C9F">
              <w:t>(-0.12, 0.05)</w:t>
            </w:r>
          </w:p>
        </w:tc>
      </w:tr>
      <w:tr w:rsidR="001B0917" w:rsidTr="00DB54EF">
        <w:tc>
          <w:tcPr>
            <w:tcW w:w="1980" w:type="dxa"/>
            <w:tcBorders>
              <w:top w:val="nil"/>
            </w:tcBorders>
            <w:vAlign w:val="center"/>
          </w:tcPr>
          <w:p w:rsidR="001B0917" w:rsidRPr="0066490E" w:rsidRDefault="001B0917" w:rsidP="00DA5F85">
            <w:pPr>
              <w:pStyle w:val="TableText0"/>
            </w:pPr>
            <w:r w:rsidRPr="0066490E">
              <w:t>Oesophageal food impaction</w:t>
            </w:r>
          </w:p>
        </w:tc>
        <w:tc>
          <w:tcPr>
            <w:tcW w:w="709" w:type="dxa"/>
            <w:tcBorders>
              <w:top w:val="nil"/>
            </w:tcBorders>
            <w:vAlign w:val="center"/>
          </w:tcPr>
          <w:p w:rsidR="001B0917" w:rsidRDefault="001B0917" w:rsidP="00DA5F85">
            <w:pPr>
              <w:pStyle w:val="TableText0"/>
              <w:jc w:val="center"/>
            </w:pPr>
            <w:r>
              <w:t>0</w:t>
            </w:r>
          </w:p>
        </w:tc>
        <w:tc>
          <w:tcPr>
            <w:tcW w:w="1125" w:type="dxa"/>
            <w:tcBorders>
              <w:top w:val="nil"/>
            </w:tcBorders>
            <w:vAlign w:val="center"/>
          </w:tcPr>
          <w:p w:rsidR="001B0917" w:rsidRPr="00B1011F" w:rsidRDefault="001B0917" w:rsidP="00DA5F85">
            <w:pPr>
              <w:pStyle w:val="TableText0"/>
              <w:jc w:val="center"/>
            </w:pPr>
            <w:r>
              <w:t>0</w:t>
            </w:r>
          </w:p>
        </w:tc>
        <w:tc>
          <w:tcPr>
            <w:tcW w:w="736" w:type="dxa"/>
            <w:tcBorders>
              <w:top w:val="nil"/>
            </w:tcBorders>
            <w:vAlign w:val="center"/>
          </w:tcPr>
          <w:p w:rsidR="001B0917" w:rsidRDefault="001B0917" w:rsidP="00DA5F85">
            <w:pPr>
              <w:pStyle w:val="TableText0"/>
              <w:jc w:val="center"/>
            </w:pPr>
            <w:r>
              <w:t>1</w:t>
            </w:r>
          </w:p>
        </w:tc>
        <w:tc>
          <w:tcPr>
            <w:tcW w:w="1132" w:type="dxa"/>
            <w:tcBorders>
              <w:top w:val="nil"/>
            </w:tcBorders>
            <w:vAlign w:val="center"/>
          </w:tcPr>
          <w:p w:rsidR="001B0917" w:rsidRPr="00B1011F" w:rsidRDefault="001B0917" w:rsidP="00DA5F85">
            <w:pPr>
              <w:pStyle w:val="TableText0"/>
              <w:jc w:val="center"/>
            </w:pPr>
            <w:r>
              <w:t>1/29 (3.4)</w:t>
            </w:r>
          </w:p>
        </w:tc>
        <w:tc>
          <w:tcPr>
            <w:tcW w:w="1693" w:type="dxa"/>
            <w:tcBorders>
              <w:top w:val="single" w:sz="4" w:space="0" w:color="auto"/>
            </w:tcBorders>
            <w:vAlign w:val="center"/>
          </w:tcPr>
          <w:p w:rsidR="001B0917" w:rsidRPr="00B61C9F" w:rsidRDefault="001B0917" w:rsidP="00C7699D">
            <w:pPr>
              <w:pStyle w:val="TableText0"/>
              <w:jc w:val="center"/>
            </w:pPr>
            <w:r w:rsidRPr="00B61C9F">
              <w:t>0.17</w:t>
            </w:r>
            <w:r w:rsidR="00C7699D">
              <w:t xml:space="preserve"> </w:t>
            </w:r>
            <w:r w:rsidRPr="00B61C9F">
              <w:t>(0.01, 3.97)</w:t>
            </w:r>
          </w:p>
        </w:tc>
        <w:tc>
          <w:tcPr>
            <w:tcW w:w="1834" w:type="dxa"/>
            <w:tcBorders>
              <w:top w:val="single" w:sz="4" w:space="0" w:color="auto"/>
            </w:tcBorders>
            <w:vAlign w:val="center"/>
          </w:tcPr>
          <w:p w:rsidR="001B0917" w:rsidRPr="00B61C9F" w:rsidRDefault="001B0917" w:rsidP="00C7699D">
            <w:pPr>
              <w:pStyle w:val="TableText0"/>
              <w:jc w:val="center"/>
            </w:pPr>
            <w:r w:rsidRPr="00B61C9F">
              <w:t>-0.03</w:t>
            </w:r>
            <w:r w:rsidR="00C7699D">
              <w:t xml:space="preserve"> </w:t>
            </w:r>
            <w:r w:rsidRPr="00B61C9F">
              <w:t>(-0.12, 0.05)</w:t>
            </w:r>
          </w:p>
        </w:tc>
      </w:tr>
      <w:tr w:rsidR="001B0917" w:rsidTr="00DB54EF">
        <w:tc>
          <w:tcPr>
            <w:tcW w:w="1980" w:type="dxa"/>
            <w:vAlign w:val="center"/>
          </w:tcPr>
          <w:p w:rsidR="001B0917" w:rsidRDefault="001B0917" w:rsidP="00DA5F85">
            <w:pPr>
              <w:pStyle w:val="TableText0"/>
            </w:pPr>
            <w:r w:rsidRPr="00CA4D01">
              <w:t>Study drug related TEAE</w:t>
            </w:r>
          </w:p>
        </w:tc>
        <w:tc>
          <w:tcPr>
            <w:tcW w:w="709" w:type="dxa"/>
            <w:vAlign w:val="center"/>
          </w:tcPr>
          <w:p w:rsidR="001B0917" w:rsidRPr="00B1011F" w:rsidRDefault="001B0917" w:rsidP="00DA5F85">
            <w:pPr>
              <w:pStyle w:val="TableText0"/>
              <w:jc w:val="center"/>
            </w:pPr>
            <w:r>
              <w:t>27</w:t>
            </w:r>
          </w:p>
        </w:tc>
        <w:tc>
          <w:tcPr>
            <w:tcW w:w="1125" w:type="dxa"/>
            <w:vAlign w:val="center"/>
          </w:tcPr>
          <w:p w:rsidR="001B0917" w:rsidRPr="00B1011F" w:rsidRDefault="001B0917" w:rsidP="00DA5F85">
            <w:pPr>
              <w:pStyle w:val="TableText0"/>
              <w:jc w:val="center"/>
            </w:pPr>
            <w:r w:rsidRPr="0009365E">
              <w:t>23/59 (39.0)</w:t>
            </w:r>
          </w:p>
        </w:tc>
        <w:tc>
          <w:tcPr>
            <w:tcW w:w="736" w:type="dxa"/>
            <w:vAlign w:val="center"/>
          </w:tcPr>
          <w:p w:rsidR="001B0917" w:rsidRPr="00B1011F" w:rsidRDefault="001B0917" w:rsidP="00DA5F85">
            <w:pPr>
              <w:pStyle w:val="TableText0"/>
              <w:jc w:val="center"/>
            </w:pPr>
            <w:r>
              <w:t>1</w:t>
            </w:r>
          </w:p>
        </w:tc>
        <w:tc>
          <w:tcPr>
            <w:tcW w:w="1132" w:type="dxa"/>
            <w:vAlign w:val="center"/>
          </w:tcPr>
          <w:p w:rsidR="001B0917" w:rsidRPr="00B1011F" w:rsidRDefault="001B0917" w:rsidP="00DA5F85">
            <w:pPr>
              <w:pStyle w:val="TableText0"/>
              <w:jc w:val="center"/>
            </w:pPr>
            <w:r w:rsidRPr="0009365E">
              <w:t>1/29 (3.4)</w:t>
            </w:r>
          </w:p>
        </w:tc>
        <w:tc>
          <w:tcPr>
            <w:tcW w:w="1693" w:type="dxa"/>
            <w:vAlign w:val="center"/>
          </w:tcPr>
          <w:p w:rsidR="001B0917" w:rsidRPr="0008094E" w:rsidRDefault="001B0917" w:rsidP="00C7699D">
            <w:pPr>
              <w:pStyle w:val="TableText0"/>
              <w:jc w:val="center"/>
              <w:rPr>
                <w:b/>
                <w:bCs w:val="0"/>
              </w:rPr>
            </w:pPr>
            <w:r w:rsidRPr="0008094E">
              <w:rPr>
                <w:b/>
                <w:bCs w:val="0"/>
              </w:rPr>
              <w:t>11.31</w:t>
            </w:r>
            <w:r w:rsidR="00C7699D">
              <w:rPr>
                <w:b/>
                <w:bCs w:val="0"/>
              </w:rPr>
              <w:t xml:space="preserve"> </w:t>
            </w:r>
            <w:r w:rsidRPr="0008094E">
              <w:rPr>
                <w:b/>
                <w:bCs w:val="0"/>
              </w:rPr>
              <w:t>(1.60, 79.63)</w:t>
            </w:r>
          </w:p>
        </w:tc>
        <w:tc>
          <w:tcPr>
            <w:tcW w:w="1834" w:type="dxa"/>
            <w:vAlign w:val="center"/>
          </w:tcPr>
          <w:p w:rsidR="001B0917" w:rsidRPr="0008094E" w:rsidRDefault="001B0917" w:rsidP="00C7699D">
            <w:pPr>
              <w:pStyle w:val="TableText0"/>
              <w:jc w:val="center"/>
              <w:rPr>
                <w:b/>
                <w:bCs w:val="0"/>
              </w:rPr>
            </w:pPr>
            <w:r w:rsidRPr="0008094E">
              <w:rPr>
                <w:b/>
                <w:bCs w:val="0"/>
              </w:rPr>
              <w:t>0.36</w:t>
            </w:r>
            <w:r w:rsidR="00C7699D">
              <w:rPr>
                <w:b/>
                <w:bCs w:val="0"/>
              </w:rPr>
              <w:t xml:space="preserve"> </w:t>
            </w:r>
            <w:r w:rsidRPr="0008094E">
              <w:rPr>
                <w:b/>
                <w:bCs w:val="0"/>
              </w:rPr>
              <w:t>(0.21, 0.50)</w:t>
            </w:r>
          </w:p>
        </w:tc>
      </w:tr>
      <w:tr w:rsidR="001B0917" w:rsidTr="00DB54EF">
        <w:tc>
          <w:tcPr>
            <w:tcW w:w="1980" w:type="dxa"/>
            <w:vAlign w:val="center"/>
          </w:tcPr>
          <w:p w:rsidR="001B0917" w:rsidRDefault="001B0917" w:rsidP="00DA5F85">
            <w:pPr>
              <w:pStyle w:val="TableText0"/>
            </w:pPr>
            <w:r w:rsidRPr="00CA4D01">
              <w:t>Serious AE</w:t>
            </w:r>
          </w:p>
        </w:tc>
        <w:tc>
          <w:tcPr>
            <w:tcW w:w="709" w:type="dxa"/>
            <w:vAlign w:val="center"/>
          </w:tcPr>
          <w:p w:rsidR="001B0917" w:rsidRPr="00B1011F" w:rsidRDefault="001B0917" w:rsidP="00DA5F85">
            <w:pPr>
              <w:pStyle w:val="TableText0"/>
              <w:jc w:val="center"/>
            </w:pPr>
            <w:r w:rsidRPr="0009365E">
              <w:t>0</w:t>
            </w:r>
          </w:p>
        </w:tc>
        <w:tc>
          <w:tcPr>
            <w:tcW w:w="1125" w:type="dxa"/>
            <w:vAlign w:val="center"/>
          </w:tcPr>
          <w:p w:rsidR="001B0917" w:rsidRPr="00B1011F" w:rsidRDefault="001B0917" w:rsidP="00DA5F85">
            <w:pPr>
              <w:pStyle w:val="TableText0"/>
              <w:jc w:val="center"/>
            </w:pPr>
            <w:r w:rsidRPr="0009365E">
              <w:t>0</w:t>
            </w:r>
          </w:p>
        </w:tc>
        <w:tc>
          <w:tcPr>
            <w:tcW w:w="736" w:type="dxa"/>
            <w:vAlign w:val="center"/>
          </w:tcPr>
          <w:p w:rsidR="001B0917" w:rsidRPr="00B1011F" w:rsidRDefault="001B0917" w:rsidP="00DA5F85">
            <w:pPr>
              <w:pStyle w:val="TableText0"/>
              <w:jc w:val="center"/>
            </w:pPr>
            <w:r w:rsidRPr="0009365E">
              <w:t>0</w:t>
            </w:r>
          </w:p>
        </w:tc>
        <w:tc>
          <w:tcPr>
            <w:tcW w:w="1132" w:type="dxa"/>
            <w:vAlign w:val="center"/>
          </w:tcPr>
          <w:p w:rsidR="001B0917" w:rsidRPr="00B1011F" w:rsidRDefault="001B0917" w:rsidP="00DA5F85">
            <w:pPr>
              <w:pStyle w:val="TableText0"/>
              <w:jc w:val="center"/>
            </w:pPr>
            <w:r w:rsidRPr="0009365E">
              <w:t>0</w:t>
            </w:r>
          </w:p>
        </w:tc>
        <w:tc>
          <w:tcPr>
            <w:tcW w:w="1693" w:type="dxa"/>
            <w:vAlign w:val="center"/>
          </w:tcPr>
          <w:p w:rsidR="001B0917" w:rsidRPr="00B1011F" w:rsidRDefault="001B0917" w:rsidP="00DA5F85">
            <w:pPr>
              <w:pStyle w:val="TableText0"/>
              <w:jc w:val="center"/>
            </w:pPr>
            <w:r w:rsidRPr="0009365E">
              <w:t>NA</w:t>
            </w:r>
          </w:p>
        </w:tc>
        <w:tc>
          <w:tcPr>
            <w:tcW w:w="1834" w:type="dxa"/>
            <w:vAlign w:val="center"/>
          </w:tcPr>
          <w:p w:rsidR="001B0917" w:rsidRPr="00B1011F" w:rsidRDefault="001B0917" w:rsidP="00C7699D">
            <w:pPr>
              <w:pStyle w:val="TableText0"/>
              <w:jc w:val="center"/>
            </w:pPr>
            <w:r w:rsidRPr="0009365E">
              <w:t>0.00</w:t>
            </w:r>
            <w:r w:rsidR="00C7699D">
              <w:t xml:space="preserve"> </w:t>
            </w:r>
            <w:r>
              <w:t>(</w:t>
            </w:r>
            <w:r w:rsidRPr="0009365E">
              <w:t>-0.05, 0.05</w:t>
            </w:r>
            <w:r>
              <w:t>)</w:t>
            </w:r>
          </w:p>
        </w:tc>
      </w:tr>
      <w:tr w:rsidR="001B0917" w:rsidTr="00DB54EF">
        <w:tc>
          <w:tcPr>
            <w:tcW w:w="1980" w:type="dxa"/>
            <w:vAlign w:val="center"/>
          </w:tcPr>
          <w:p w:rsidR="001B0917" w:rsidRDefault="001B0917" w:rsidP="00DA5F85">
            <w:pPr>
              <w:pStyle w:val="TableText0"/>
            </w:pPr>
            <w:r w:rsidRPr="00CA4D01">
              <w:t>TEAE leading to withdrawal from study</w:t>
            </w:r>
          </w:p>
        </w:tc>
        <w:tc>
          <w:tcPr>
            <w:tcW w:w="709" w:type="dxa"/>
            <w:vAlign w:val="center"/>
          </w:tcPr>
          <w:p w:rsidR="001B0917" w:rsidRPr="00B1011F" w:rsidRDefault="001B0917" w:rsidP="00DA5F85">
            <w:pPr>
              <w:pStyle w:val="TableText0"/>
              <w:jc w:val="center"/>
            </w:pPr>
            <w:r w:rsidRPr="0009365E">
              <w:t>0</w:t>
            </w:r>
          </w:p>
        </w:tc>
        <w:tc>
          <w:tcPr>
            <w:tcW w:w="1125" w:type="dxa"/>
            <w:vAlign w:val="center"/>
          </w:tcPr>
          <w:p w:rsidR="001B0917" w:rsidRPr="00B1011F" w:rsidRDefault="001B0917" w:rsidP="00DA5F85">
            <w:pPr>
              <w:pStyle w:val="TableText0"/>
              <w:jc w:val="center"/>
            </w:pPr>
            <w:r w:rsidRPr="0009365E">
              <w:t>0</w:t>
            </w:r>
          </w:p>
        </w:tc>
        <w:tc>
          <w:tcPr>
            <w:tcW w:w="736" w:type="dxa"/>
            <w:vAlign w:val="center"/>
          </w:tcPr>
          <w:p w:rsidR="001B0917" w:rsidRPr="00B1011F" w:rsidRDefault="001B0917" w:rsidP="00DA5F85">
            <w:pPr>
              <w:pStyle w:val="TableText0"/>
              <w:jc w:val="center"/>
            </w:pPr>
            <w:r w:rsidRPr="0009365E">
              <w:t>1</w:t>
            </w:r>
          </w:p>
        </w:tc>
        <w:tc>
          <w:tcPr>
            <w:tcW w:w="1132" w:type="dxa"/>
            <w:vAlign w:val="center"/>
          </w:tcPr>
          <w:p w:rsidR="001B0917" w:rsidRPr="00B1011F" w:rsidRDefault="001B0917" w:rsidP="00DA5F85">
            <w:pPr>
              <w:pStyle w:val="TableText0"/>
              <w:jc w:val="center"/>
            </w:pPr>
            <w:r w:rsidRPr="0009365E">
              <w:t>1/29 (3.4)</w:t>
            </w:r>
          </w:p>
        </w:tc>
        <w:tc>
          <w:tcPr>
            <w:tcW w:w="1693" w:type="dxa"/>
            <w:vAlign w:val="center"/>
          </w:tcPr>
          <w:p w:rsidR="001B0917" w:rsidRPr="00B1011F" w:rsidRDefault="001B0917" w:rsidP="00C7699D">
            <w:pPr>
              <w:pStyle w:val="TableText0"/>
              <w:jc w:val="center"/>
            </w:pPr>
            <w:r w:rsidRPr="0009365E">
              <w:t>0.17</w:t>
            </w:r>
            <w:r w:rsidR="00C7699D">
              <w:t xml:space="preserve"> </w:t>
            </w:r>
            <w:r>
              <w:t>(</w:t>
            </w:r>
            <w:r w:rsidRPr="0009365E">
              <w:t>0.01, 3.97</w:t>
            </w:r>
            <w:r>
              <w:t>)</w:t>
            </w:r>
          </w:p>
        </w:tc>
        <w:tc>
          <w:tcPr>
            <w:tcW w:w="1834" w:type="dxa"/>
            <w:vAlign w:val="center"/>
          </w:tcPr>
          <w:p w:rsidR="001B0917" w:rsidRPr="00B1011F" w:rsidRDefault="001B0917" w:rsidP="00C7699D">
            <w:pPr>
              <w:pStyle w:val="TableText0"/>
              <w:jc w:val="center"/>
            </w:pPr>
            <w:r w:rsidRPr="0009365E">
              <w:t>-0.03</w:t>
            </w:r>
            <w:r w:rsidR="00C7699D">
              <w:t xml:space="preserve"> </w:t>
            </w:r>
            <w:r>
              <w:t>(</w:t>
            </w:r>
            <w:r w:rsidRPr="0009365E">
              <w:t>-0.12, 0.05</w:t>
            </w:r>
            <w:r>
              <w:t>)</w:t>
            </w:r>
          </w:p>
        </w:tc>
      </w:tr>
    </w:tbl>
    <w:p w:rsidR="001B0917" w:rsidRPr="00606CE2" w:rsidRDefault="001B0917" w:rsidP="001B0917">
      <w:pPr>
        <w:pStyle w:val="Default"/>
        <w:jc w:val="both"/>
        <w:rPr>
          <w:rFonts w:ascii="Arial Narrow" w:eastAsia="Calibri" w:hAnsi="Arial Narrow" w:cs="Arial"/>
          <w:snapToGrid w:val="0"/>
          <w:color w:val="auto"/>
          <w:sz w:val="18"/>
          <w:szCs w:val="22"/>
          <w:lang w:val="en-AU" w:eastAsia="en-AU"/>
        </w:rPr>
      </w:pPr>
      <w:r w:rsidRPr="00606CE2">
        <w:rPr>
          <w:rFonts w:ascii="Arial Narrow" w:eastAsia="Calibri" w:hAnsi="Arial Narrow" w:cs="Arial"/>
          <w:snapToGrid w:val="0"/>
          <w:color w:val="auto"/>
          <w:sz w:val="18"/>
          <w:szCs w:val="22"/>
          <w:lang w:val="en-AU" w:eastAsia="en-AU"/>
        </w:rPr>
        <w:t>Source: Table 2-36, p132 of the submission.</w:t>
      </w:r>
    </w:p>
    <w:p w:rsidR="001B0917" w:rsidRPr="00606CE2" w:rsidRDefault="001B0917" w:rsidP="001B0917">
      <w:pPr>
        <w:pStyle w:val="Default"/>
        <w:jc w:val="both"/>
        <w:rPr>
          <w:rFonts w:ascii="Arial Narrow" w:eastAsia="Calibri" w:hAnsi="Arial Narrow" w:cs="Arial"/>
          <w:snapToGrid w:val="0"/>
          <w:color w:val="auto"/>
          <w:sz w:val="18"/>
          <w:szCs w:val="22"/>
          <w:lang w:val="en-AU" w:eastAsia="en-AU"/>
        </w:rPr>
      </w:pPr>
      <w:r w:rsidRPr="00606CE2">
        <w:rPr>
          <w:rFonts w:ascii="Arial Narrow" w:eastAsia="Calibri" w:hAnsi="Arial Narrow" w:cs="Arial"/>
          <w:snapToGrid w:val="0"/>
          <w:color w:val="auto"/>
          <w:sz w:val="18"/>
          <w:szCs w:val="22"/>
          <w:lang w:val="en-AU" w:eastAsia="en-AU"/>
        </w:rPr>
        <w:t>Abbreviations: AE = adverse event; BID = twice daily; BOT = budesonide orally disintegrating tablet; CI = confidence interval; DB = double-blind; NA = not applicable; n = number of participants reporting data; N = total participants in group; PBO = placebo; RD = risk difference; RR = relative risk.</w:t>
      </w:r>
    </w:p>
    <w:p w:rsidR="0008094E" w:rsidRDefault="001B0917" w:rsidP="001B0917">
      <w:pPr>
        <w:pStyle w:val="Default"/>
        <w:jc w:val="both"/>
        <w:rPr>
          <w:rFonts w:ascii="Arial Narrow" w:eastAsia="Calibri" w:hAnsi="Arial Narrow" w:cs="Arial"/>
          <w:snapToGrid w:val="0"/>
          <w:color w:val="auto"/>
          <w:sz w:val="18"/>
          <w:szCs w:val="22"/>
          <w:lang w:val="en-AU" w:eastAsia="en-AU"/>
        </w:rPr>
      </w:pPr>
      <w:r w:rsidRPr="00606CE2">
        <w:rPr>
          <w:rFonts w:ascii="Arial Narrow" w:eastAsia="Calibri" w:hAnsi="Arial Narrow" w:cs="Arial"/>
          <w:snapToGrid w:val="0"/>
          <w:color w:val="auto"/>
          <w:sz w:val="18"/>
          <w:szCs w:val="22"/>
          <w:lang w:val="en-AU" w:eastAsia="en-AU"/>
        </w:rPr>
        <w:t xml:space="preserve">Notes: </w:t>
      </w:r>
      <w:r w:rsidR="0008094E" w:rsidRPr="00606B4B">
        <w:rPr>
          <w:rFonts w:ascii="Arial Narrow" w:eastAsia="Calibri" w:hAnsi="Arial Narrow" w:cs="Arial"/>
          <w:b/>
          <w:bCs/>
          <w:snapToGrid w:val="0"/>
          <w:color w:val="auto"/>
          <w:sz w:val="18"/>
          <w:szCs w:val="22"/>
          <w:lang w:val="en-AU" w:eastAsia="en-AU"/>
        </w:rPr>
        <w:t>Bold</w:t>
      </w:r>
      <w:r w:rsidR="0008094E" w:rsidRPr="00606B4B">
        <w:rPr>
          <w:rFonts w:ascii="Arial Narrow" w:eastAsia="Calibri" w:hAnsi="Arial Narrow" w:cs="Arial"/>
          <w:snapToGrid w:val="0"/>
          <w:color w:val="auto"/>
          <w:sz w:val="18"/>
          <w:szCs w:val="22"/>
          <w:lang w:val="en-AU" w:eastAsia="en-AU"/>
        </w:rPr>
        <w:t xml:space="preserve"> indicates statistically significant results.</w:t>
      </w:r>
      <w:r w:rsidR="0008094E">
        <w:rPr>
          <w:rFonts w:ascii="Arial Narrow" w:eastAsia="Calibri" w:hAnsi="Arial Narrow" w:cs="Arial"/>
          <w:snapToGrid w:val="0"/>
          <w:color w:val="auto"/>
          <w:sz w:val="18"/>
          <w:szCs w:val="22"/>
          <w:lang w:val="en-AU" w:eastAsia="en-AU"/>
        </w:rPr>
        <w:t xml:space="preserve"> </w:t>
      </w:r>
    </w:p>
    <w:p w:rsidR="001B0917" w:rsidRPr="00606CE2" w:rsidRDefault="001B0917" w:rsidP="001B0917">
      <w:pPr>
        <w:pStyle w:val="Default"/>
        <w:jc w:val="both"/>
        <w:rPr>
          <w:rFonts w:ascii="Arial Narrow" w:eastAsia="Calibri" w:hAnsi="Arial Narrow" w:cs="Arial"/>
          <w:snapToGrid w:val="0"/>
          <w:color w:val="auto"/>
          <w:sz w:val="18"/>
          <w:szCs w:val="22"/>
          <w:lang w:val="en-AU" w:eastAsia="en-AU"/>
        </w:rPr>
      </w:pPr>
      <w:r w:rsidRPr="00606CE2">
        <w:rPr>
          <w:rFonts w:ascii="Arial Narrow" w:eastAsia="Calibri" w:hAnsi="Arial Narrow" w:cs="Arial"/>
          <w:snapToGrid w:val="0"/>
          <w:color w:val="auto"/>
          <w:sz w:val="18"/>
          <w:szCs w:val="22"/>
          <w:lang w:val="en-AU" w:eastAsia="en-AU"/>
        </w:rPr>
        <w:t>a. Definitions:</w:t>
      </w:r>
      <w:r w:rsidR="00490748">
        <w:rPr>
          <w:rFonts w:ascii="Arial Narrow" w:eastAsia="Calibri" w:hAnsi="Arial Narrow" w:cs="Arial"/>
          <w:snapToGrid w:val="0"/>
          <w:color w:val="auto"/>
          <w:sz w:val="18"/>
          <w:szCs w:val="22"/>
          <w:lang w:val="en-AU" w:eastAsia="en-AU"/>
        </w:rPr>
        <w:t xml:space="preserve"> </w:t>
      </w:r>
      <w:r w:rsidRPr="00606CE2">
        <w:rPr>
          <w:rFonts w:ascii="Arial Narrow" w:eastAsia="Calibri" w:hAnsi="Arial Narrow" w:cs="Arial"/>
          <w:snapToGrid w:val="0"/>
          <w:color w:val="auto"/>
          <w:sz w:val="18"/>
          <w:szCs w:val="22"/>
          <w:lang w:val="en-AU" w:eastAsia="en-AU"/>
        </w:rPr>
        <w:t xml:space="preserve">Treatment emergent AE defined as any event with an onset occurring after first administration of </w:t>
      </w:r>
      <w:r>
        <w:rPr>
          <w:rFonts w:ascii="Arial Narrow" w:eastAsia="Calibri" w:hAnsi="Arial Narrow" w:cs="Arial"/>
          <w:snapToGrid w:val="0"/>
          <w:color w:val="auto"/>
          <w:sz w:val="18"/>
          <w:szCs w:val="22"/>
          <w:lang w:val="en-AU" w:eastAsia="en-AU"/>
        </w:rPr>
        <w:t>the intervention</w:t>
      </w:r>
      <w:r w:rsidRPr="00606CE2">
        <w:rPr>
          <w:rFonts w:ascii="Arial Narrow" w:eastAsia="Calibri" w:hAnsi="Arial Narrow" w:cs="Arial"/>
          <w:snapToGrid w:val="0"/>
          <w:color w:val="auto"/>
          <w:sz w:val="18"/>
          <w:szCs w:val="22"/>
          <w:lang w:val="en-AU" w:eastAsia="en-AU"/>
        </w:rPr>
        <w:t xml:space="preserve"> or, if pre-existing, worsening after first administration of </w:t>
      </w:r>
      <w:r>
        <w:rPr>
          <w:rFonts w:ascii="Arial Narrow" w:eastAsia="Calibri" w:hAnsi="Arial Narrow" w:cs="Arial"/>
          <w:snapToGrid w:val="0"/>
          <w:color w:val="auto"/>
          <w:sz w:val="18"/>
          <w:szCs w:val="22"/>
          <w:lang w:val="en-AU" w:eastAsia="en-AU"/>
        </w:rPr>
        <w:t>the intervention</w:t>
      </w:r>
      <w:r w:rsidRPr="00606CE2">
        <w:rPr>
          <w:rFonts w:ascii="Arial Narrow" w:eastAsia="Calibri" w:hAnsi="Arial Narrow" w:cs="Arial"/>
          <w:snapToGrid w:val="0"/>
          <w:color w:val="auto"/>
          <w:sz w:val="18"/>
          <w:szCs w:val="22"/>
          <w:lang w:val="en-AU" w:eastAsia="en-AU"/>
        </w:rPr>
        <w:t xml:space="preserve">, and occurring within the period of treatment with the </w:t>
      </w:r>
      <w:r>
        <w:rPr>
          <w:rFonts w:ascii="Arial Narrow" w:eastAsia="Calibri" w:hAnsi="Arial Narrow" w:cs="Arial"/>
          <w:snapToGrid w:val="0"/>
          <w:color w:val="auto"/>
          <w:sz w:val="18"/>
          <w:szCs w:val="22"/>
          <w:lang w:val="en-AU" w:eastAsia="en-AU"/>
        </w:rPr>
        <w:t>intervention</w:t>
      </w:r>
      <w:r w:rsidRPr="00606CE2">
        <w:rPr>
          <w:rFonts w:ascii="Arial Narrow" w:eastAsia="Calibri" w:hAnsi="Arial Narrow" w:cs="Arial"/>
          <w:snapToGrid w:val="0"/>
          <w:color w:val="auto"/>
          <w:sz w:val="18"/>
          <w:szCs w:val="22"/>
          <w:lang w:val="en-AU" w:eastAsia="en-AU"/>
        </w:rPr>
        <w:t>.</w:t>
      </w:r>
    </w:p>
    <w:p w:rsidR="001B0917" w:rsidRPr="00606CE2" w:rsidRDefault="001B0917" w:rsidP="001B0917">
      <w:pPr>
        <w:pStyle w:val="Default"/>
        <w:jc w:val="both"/>
        <w:rPr>
          <w:rFonts w:ascii="Arial Narrow" w:eastAsia="Calibri" w:hAnsi="Arial Narrow" w:cs="Arial"/>
          <w:snapToGrid w:val="0"/>
          <w:color w:val="auto"/>
          <w:sz w:val="18"/>
          <w:szCs w:val="22"/>
          <w:lang w:val="en-AU" w:eastAsia="en-AU"/>
        </w:rPr>
      </w:pPr>
      <w:r w:rsidRPr="00606CE2">
        <w:rPr>
          <w:rFonts w:ascii="Arial Narrow" w:eastAsia="Calibri" w:hAnsi="Arial Narrow" w:cs="Arial"/>
          <w:snapToGrid w:val="0"/>
          <w:color w:val="auto"/>
          <w:sz w:val="18"/>
          <w:szCs w:val="22"/>
          <w:lang w:val="en-AU" w:eastAsia="en-AU"/>
        </w:rPr>
        <w:t>A study drug related TEAE was defined as an AE that was certainly, probably/likely, or possibly caused by the administration of IMP according to the assessment of the investigator.</w:t>
      </w:r>
    </w:p>
    <w:p w:rsidR="001B0917" w:rsidRPr="00606CE2" w:rsidRDefault="001B0917" w:rsidP="001B0917">
      <w:pPr>
        <w:pStyle w:val="Default"/>
        <w:jc w:val="both"/>
        <w:rPr>
          <w:rFonts w:ascii="Arial Narrow" w:eastAsia="Calibri" w:hAnsi="Arial Narrow" w:cs="Arial"/>
          <w:snapToGrid w:val="0"/>
          <w:color w:val="auto"/>
          <w:sz w:val="18"/>
          <w:szCs w:val="22"/>
          <w:lang w:val="en-AU" w:eastAsia="en-AU"/>
        </w:rPr>
      </w:pPr>
      <w:r w:rsidRPr="00606CE2">
        <w:rPr>
          <w:rFonts w:ascii="Arial Narrow" w:eastAsia="Calibri" w:hAnsi="Arial Narrow" w:cs="Arial"/>
          <w:snapToGrid w:val="0"/>
          <w:color w:val="auto"/>
          <w:sz w:val="18"/>
          <w:szCs w:val="22"/>
          <w:lang w:val="en-AU" w:eastAsia="en-AU"/>
        </w:rPr>
        <w:t>Serious AE defined as any untoward medical occurrence that at any dose: results in death, is life threatening, required inpatient hospitalisation or prolongation of existing hospitalisation, results in persistent or significant disability/incapacity or is a congenital anomaly/birth defect.</w:t>
      </w:r>
    </w:p>
    <w:p w:rsidR="001B0917" w:rsidRDefault="001B0917" w:rsidP="001B0917">
      <w:pPr>
        <w:pStyle w:val="Default"/>
        <w:jc w:val="both"/>
        <w:rPr>
          <w:rFonts w:ascii="Arial Narrow" w:eastAsia="Calibri" w:hAnsi="Arial Narrow" w:cs="Arial"/>
          <w:snapToGrid w:val="0"/>
          <w:color w:val="auto"/>
          <w:sz w:val="18"/>
          <w:szCs w:val="22"/>
          <w:lang w:val="en-AU" w:eastAsia="en-AU"/>
        </w:rPr>
      </w:pPr>
      <w:r w:rsidRPr="00606CE2">
        <w:rPr>
          <w:rFonts w:ascii="Arial Narrow" w:eastAsia="Calibri" w:hAnsi="Arial Narrow" w:cs="Arial"/>
          <w:snapToGrid w:val="0"/>
          <w:color w:val="auto"/>
          <w:sz w:val="18"/>
          <w:szCs w:val="22"/>
          <w:lang w:val="en-AU" w:eastAsia="en-AU"/>
        </w:rPr>
        <w:t>b. Calculated post-hoc for the submission using Review Manager 5.4.</w:t>
      </w:r>
    </w:p>
    <w:p w:rsidR="001B0917" w:rsidRDefault="001B0917" w:rsidP="001B0917">
      <w:pPr>
        <w:pStyle w:val="Default"/>
        <w:jc w:val="both"/>
        <w:rPr>
          <w:rFonts w:ascii="Arial Narrow" w:eastAsia="Calibri" w:hAnsi="Arial Narrow" w:cs="Arial"/>
          <w:snapToGrid w:val="0"/>
          <w:color w:val="auto"/>
          <w:sz w:val="18"/>
          <w:szCs w:val="22"/>
          <w:lang w:val="en-AU" w:eastAsia="en-AU"/>
        </w:rPr>
      </w:pPr>
    </w:p>
    <w:p w:rsidR="001B0917" w:rsidRDefault="001B0917" w:rsidP="001B0917">
      <w:pPr>
        <w:pStyle w:val="3-BodyText"/>
        <w:numPr>
          <w:ilvl w:val="0"/>
          <w:numId w:val="0"/>
        </w:numPr>
        <w:ind w:left="720" w:hanging="720"/>
        <w:rPr>
          <w:u w:val="single"/>
        </w:rPr>
      </w:pPr>
      <w:r w:rsidRPr="00445B67">
        <w:rPr>
          <w:u w:val="single"/>
        </w:rPr>
        <w:t>EOS-</w:t>
      </w:r>
      <w:r>
        <w:rPr>
          <w:u w:val="single"/>
        </w:rPr>
        <w:t>2</w:t>
      </w:r>
      <w:r w:rsidRPr="00445B67">
        <w:rPr>
          <w:u w:val="single"/>
        </w:rPr>
        <w:t xml:space="preserve"> (</w:t>
      </w:r>
      <w:r>
        <w:rPr>
          <w:u w:val="single"/>
        </w:rPr>
        <w:t>maintenance</w:t>
      </w:r>
      <w:r w:rsidRPr="00445B67">
        <w:rPr>
          <w:u w:val="single"/>
        </w:rPr>
        <w:t xml:space="preserve"> of remission)</w:t>
      </w:r>
    </w:p>
    <w:p w:rsidR="001B0917" w:rsidRDefault="00490748" w:rsidP="001B0917">
      <w:pPr>
        <w:pStyle w:val="3-BodyText"/>
      </w:pPr>
      <w:r>
        <w:t>A s</w:t>
      </w:r>
      <w:r w:rsidR="001B0917" w:rsidRPr="00445B67">
        <w:t xml:space="preserve">ummary of the key AE data for BOT from EOS-2 is presented in Table </w:t>
      </w:r>
      <w:r w:rsidR="001B0917">
        <w:t>9</w:t>
      </w:r>
      <w:r w:rsidR="001B0917" w:rsidRPr="00445B67">
        <w:t xml:space="preserve">. </w:t>
      </w:r>
    </w:p>
    <w:p w:rsidR="001B0917" w:rsidRPr="00D34648" w:rsidRDefault="00792B1C" w:rsidP="001B0917">
      <w:pPr>
        <w:pStyle w:val="3-BodyText"/>
        <w:rPr>
          <w:iCs/>
        </w:rPr>
      </w:pPr>
      <w:r w:rsidRPr="00792B1C">
        <w:t xml:space="preserve">There were 34 </w:t>
      </w:r>
      <w:r w:rsidR="0028732F">
        <w:t xml:space="preserve">events of </w:t>
      </w:r>
      <w:r>
        <w:t>s</w:t>
      </w:r>
      <w:r w:rsidRPr="002B5797">
        <w:t>tudy drug related TEAE</w:t>
      </w:r>
      <w:r w:rsidRPr="00792B1C">
        <w:t xml:space="preserve"> reported in a total of 22 </w:t>
      </w:r>
      <w:r w:rsidR="00837263">
        <w:t>patients</w:t>
      </w:r>
      <w:r w:rsidRPr="00792B1C">
        <w:t xml:space="preserve"> (32.4%) in </w:t>
      </w:r>
      <w:r w:rsidR="00CA610F">
        <w:t xml:space="preserve">both </w:t>
      </w:r>
      <w:r w:rsidRPr="00792B1C">
        <w:t>BOT group</w:t>
      </w:r>
      <w:r w:rsidR="00837263">
        <w:t>s</w:t>
      </w:r>
      <w:r w:rsidR="00835A4F">
        <w:t xml:space="preserve"> (0.5 mg and </w:t>
      </w:r>
      <w:r w:rsidR="00835A4F" w:rsidRPr="00792B1C">
        <w:t>1 mg</w:t>
      </w:r>
      <w:r w:rsidR="00835A4F">
        <w:t>)</w:t>
      </w:r>
      <w:r w:rsidR="00837263">
        <w:t xml:space="preserve"> </w:t>
      </w:r>
      <w:r w:rsidRPr="00792B1C">
        <w:t xml:space="preserve">versus 3 </w:t>
      </w:r>
      <w:r w:rsidR="00837263">
        <w:t>events</w:t>
      </w:r>
      <w:r w:rsidRPr="00792B1C">
        <w:t xml:space="preserve"> in a total of three </w:t>
      </w:r>
      <w:r w:rsidR="008B575B">
        <w:t>patients</w:t>
      </w:r>
      <w:r w:rsidRPr="00792B1C">
        <w:t xml:space="preserve"> (4.4%) in the placebo group.</w:t>
      </w:r>
      <w:r>
        <w:t xml:space="preserve"> </w:t>
      </w:r>
      <w:r w:rsidR="001B0917">
        <w:t>T</w:t>
      </w:r>
      <w:r w:rsidR="001B0917" w:rsidRPr="00C14CA9">
        <w:t xml:space="preserve">he submission stated that there were no SAEs reported in the placebo group, 1 (1.5%) in the BOT 1 mg BID group and 4 (4.4%) in the BOT 0.5 mg BID group. In post-hoc analyses, the difference in frequency of </w:t>
      </w:r>
      <w:r w:rsidR="0046585A">
        <w:t>s</w:t>
      </w:r>
      <w:r w:rsidR="002B5797" w:rsidRPr="002B5797">
        <w:t>tudy drug related TEAE</w:t>
      </w:r>
      <w:r w:rsidR="001B0917" w:rsidRPr="00C14CA9">
        <w:t xml:space="preserve"> </w:t>
      </w:r>
      <w:r w:rsidR="001B0917" w:rsidRPr="00026AA6">
        <w:t xml:space="preserve">between BOT treatment group and the placebo group was statistically significant in </w:t>
      </w:r>
      <w:r w:rsidR="0048144B">
        <w:t xml:space="preserve">favour of placebo. </w:t>
      </w:r>
      <w:r w:rsidR="001B0917" w:rsidRPr="00D34648">
        <w:rPr>
          <w:iCs/>
        </w:rPr>
        <w:t xml:space="preserve">The safety profile of BOT was consistent with the clinical claim that BOT is inferior to placebo in terms of safety after 48 weeks. </w:t>
      </w:r>
      <w:r w:rsidR="00BE1AE0" w:rsidRPr="00D34648">
        <w:rPr>
          <w:iCs/>
        </w:rPr>
        <w:t>S</w:t>
      </w:r>
      <w:r w:rsidR="001B0917" w:rsidRPr="00D34648">
        <w:rPr>
          <w:iCs/>
        </w:rPr>
        <w:t>afety of BOT beyond 12 weeks (induction) has not been assessed by the TGA.</w:t>
      </w:r>
    </w:p>
    <w:p w:rsidR="001B0917" w:rsidRPr="00D34648" w:rsidRDefault="001B0917" w:rsidP="001B0917">
      <w:pPr>
        <w:pStyle w:val="3-BodyText"/>
        <w:rPr>
          <w:iCs/>
        </w:rPr>
      </w:pPr>
      <w:r w:rsidRPr="00AA64F7">
        <w:t>The submission stated that there was</w:t>
      </w:r>
      <w:r w:rsidRPr="00AA64F7" w:rsidDel="00ED41D1">
        <w:t xml:space="preserve"> </w:t>
      </w:r>
      <w:r w:rsidRPr="00AA64F7">
        <w:t>a higher incidence of TEAEs leading to discontinuation in the placebo group (60.3%) and this was</w:t>
      </w:r>
      <w:r w:rsidRPr="00AA64F7" w:rsidDel="00ED41D1">
        <w:t xml:space="preserve"> </w:t>
      </w:r>
      <w:r w:rsidRPr="00AA64F7">
        <w:t>statistically significant versus both the BOT 1 mg BID group (11.8%) and the BOT 0.5 mg BID group (10.3%). The major reason for discontinuation was ‘condition aggravated’</w:t>
      </w:r>
      <w:r w:rsidR="008B115D">
        <w:t xml:space="preserve">, occurring </w:t>
      </w:r>
      <w:r w:rsidRPr="00AA64F7">
        <w:t xml:space="preserve">in 60.3% of the placebo group, versus 7.4% and 10.3% in the BOT 1 mg BID and the BOT 0.5 mg groups, respectively. </w:t>
      </w:r>
      <w:r w:rsidRPr="00D34648">
        <w:rPr>
          <w:iCs/>
        </w:rPr>
        <w:t xml:space="preserve">This is consistent with the natural history of the disease when </w:t>
      </w:r>
      <w:r w:rsidR="008B115D" w:rsidRPr="00D34648">
        <w:rPr>
          <w:iCs/>
        </w:rPr>
        <w:t xml:space="preserve">left </w:t>
      </w:r>
      <w:r w:rsidRPr="00D34648">
        <w:rPr>
          <w:iCs/>
        </w:rPr>
        <w:t xml:space="preserve">untreated. </w:t>
      </w:r>
    </w:p>
    <w:p w:rsidR="001B0917" w:rsidRPr="00C14CA9" w:rsidRDefault="001B0917" w:rsidP="001B0917">
      <w:pPr>
        <w:pStyle w:val="TableFigureHeading"/>
        <w:rPr>
          <w:rStyle w:val="CommentReference"/>
          <w:b/>
          <w:szCs w:val="24"/>
        </w:rPr>
      </w:pPr>
      <w:r w:rsidRPr="00C14CA9">
        <w:rPr>
          <w:rStyle w:val="CommentReference"/>
          <w:b/>
          <w:szCs w:val="24"/>
        </w:rPr>
        <w:t>Table 9: Summary of key adverse events</w:t>
      </w:r>
      <w:r w:rsidRPr="00D80479">
        <w:rPr>
          <w:rStyle w:val="CommentReference"/>
          <w:b/>
          <w:szCs w:val="24"/>
          <w:vertAlign w:val="superscript"/>
        </w:rPr>
        <w:t>a</w:t>
      </w:r>
      <w:r w:rsidRPr="00C14CA9">
        <w:rPr>
          <w:rStyle w:val="CommentReference"/>
          <w:b/>
          <w:szCs w:val="24"/>
        </w:rPr>
        <w:t xml:space="preserve"> in EOS-2</w:t>
      </w:r>
    </w:p>
    <w:tbl>
      <w:tblPr>
        <w:tblStyle w:val="TableGrid"/>
        <w:tblW w:w="5185" w:type="pct"/>
        <w:tblLayout w:type="fixed"/>
        <w:tblLook w:val="04A0" w:firstRow="1" w:lastRow="0" w:firstColumn="1" w:lastColumn="0" w:noHBand="0" w:noVBand="1"/>
        <w:tblCaption w:val="Table 9: Summary of key adverse eventsa in EOS-2"/>
      </w:tblPr>
      <w:tblGrid>
        <w:gridCol w:w="989"/>
        <w:gridCol w:w="574"/>
        <w:gridCol w:w="705"/>
        <w:gridCol w:w="567"/>
        <w:gridCol w:w="709"/>
        <w:gridCol w:w="567"/>
        <w:gridCol w:w="709"/>
        <w:gridCol w:w="1130"/>
        <w:gridCol w:w="1135"/>
        <w:gridCol w:w="1135"/>
        <w:gridCol w:w="1131"/>
      </w:tblGrid>
      <w:tr w:rsidR="001B0917" w:rsidRPr="0099536D" w:rsidTr="00DB54EF">
        <w:trPr>
          <w:trHeight w:val="247"/>
          <w:tblHeader/>
        </w:trPr>
        <w:tc>
          <w:tcPr>
            <w:tcW w:w="529" w:type="pct"/>
            <w:vMerge w:val="restart"/>
            <w:tcMar>
              <w:left w:w="28" w:type="dxa"/>
              <w:right w:w="28" w:type="dxa"/>
            </w:tcMar>
            <w:vAlign w:val="center"/>
          </w:tcPr>
          <w:p w:rsidR="001B0917" w:rsidRPr="00D36609" w:rsidRDefault="001B0917" w:rsidP="00DA5F85">
            <w:pPr>
              <w:pStyle w:val="In-tableHeading"/>
            </w:pPr>
            <w:r>
              <w:t>Trial ID</w:t>
            </w:r>
          </w:p>
        </w:tc>
        <w:tc>
          <w:tcPr>
            <w:tcW w:w="684" w:type="pct"/>
            <w:gridSpan w:val="2"/>
            <w:tcMar>
              <w:left w:w="28" w:type="dxa"/>
              <w:right w:w="28" w:type="dxa"/>
            </w:tcMar>
            <w:vAlign w:val="center"/>
          </w:tcPr>
          <w:p w:rsidR="001B0917" w:rsidRPr="00D36609" w:rsidRDefault="001B0917" w:rsidP="00DA5F85">
            <w:pPr>
              <w:pStyle w:val="In-tableHeading"/>
              <w:jc w:val="center"/>
            </w:pPr>
            <w:r w:rsidRPr="00D36609">
              <w:t>BOT 0.5 mg BID</w:t>
            </w:r>
          </w:p>
          <w:p w:rsidR="001B0917" w:rsidRPr="00D36609" w:rsidRDefault="00DB54EF" w:rsidP="00DA5F85">
            <w:pPr>
              <w:pStyle w:val="In-tableHeading"/>
              <w:jc w:val="center"/>
            </w:pPr>
            <w:r>
              <w:t xml:space="preserve">n </w:t>
            </w:r>
            <w:r w:rsidR="001B0917" w:rsidRPr="00D36609">
              <w:t>=</w:t>
            </w:r>
            <w:r>
              <w:t xml:space="preserve"> </w:t>
            </w:r>
            <w:r w:rsidR="001B0917" w:rsidRPr="00D36609">
              <w:t>68</w:t>
            </w:r>
          </w:p>
        </w:tc>
        <w:tc>
          <w:tcPr>
            <w:tcW w:w="682" w:type="pct"/>
            <w:gridSpan w:val="2"/>
            <w:tcMar>
              <w:left w:w="28" w:type="dxa"/>
              <w:right w:w="28" w:type="dxa"/>
            </w:tcMar>
            <w:vAlign w:val="center"/>
          </w:tcPr>
          <w:p w:rsidR="001B0917" w:rsidRPr="00D36609" w:rsidRDefault="001B0917" w:rsidP="00DA5F85">
            <w:pPr>
              <w:pStyle w:val="In-tableHeading"/>
              <w:jc w:val="center"/>
            </w:pPr>
            <w:r w:rsidRPr="00D36609">
              <w:t xml:space="preserve">BOT 1 mg </w:t>
            </w:r>
            <w:r w:rsidR="00DB54EF">
              <w:br/>
            </w:r>
            <w:r w:rsidRPr="00D36609">
              <w:t xml:space="preserve">BID </w:t>
            </w:r>
            <w:r w:rsidRPr="00D36609">
              <w:br/>
              <w:t>n</w:t>
            </w:r>
            <w:r w:rsidR="00DB54EF">
              <w:t xml:space="preserve"> </w:t>
            </w:r>
            <w:r w:rsidRPr="00D36609">
              <w:t>=</w:t>
            </w:r>
            <w:r w:rsidR="00DB54EF">
              <w:t xml:space="preserve"> </w:t>
            </w:r>
            <w:r w:rsidRPr="00D36609">
              <w:t>68</w:t>
            </w:r>
          </w:p>
        </w:tc>
        <w:tc>
          <w:tcPr>
            <w:tcW w:w="682" w:type="pct"/>
            <w:gridSpan w:val="2"/>
            <w:tcMar>
              <w:left w:w="28" w:type="dxa"/>
              <w:right w:w="28" w:type="dxa"/>
            </w:tcMar>
            <w:vAlign w:val="center"/>
          </w:tcPr>
          <w:p w:rsidR="001B0917" w:rsidRPr="00D36609" w:rsidRDefault="001B0917" w:rsidP="00DA5F85">
            <w:pPr>
              <w:pStyle w:val="In-tableHeading"/>
              <w:jc w:val="center"/>
            </w:pPr>
            <w:r w:rsidRPr="00D36609">
              <w:t xml:space="preserve">Placebo </w:t>
            </w:r>
            <w:r w:rsidRPr="00D36609">
              <w:br/>
              <w:t>n</w:t>
            </w:r>
            <w:r w:rsidR="00DB54EF">
              <w:t xml:space="preserve"> </w:t>
            </w:r>
            <w:r w:rsidRPr="00D36609">
              <w:t>=</w:t>
            </w:r>
            <w:r w:rsidR="00DB54EF">
              <w:t xml:space="preserve"> </w:t>
            </w:r>
            <w:r w:rsidRPr="00D36609">
              <w:t>68</w:t>
            </w:r>
          </w:p>
        </w:tc>
        <w:tc>
          <w:tcPr>
            <w:tcW w:w="2423" w:type="pct"/>
            <w:gridSpan w:val="4"/>
            <w:tcMar>
              <w:left w:w="28" w:type="dxa"/>
              <w:right w:w="28" w:type="dxa"/>
            </w:tcMar>
          </w:tcPr>
          <w:p w:rsidR="001B0917" w:rsidRDefault="001B0917" w:rsidP="00DA5F85">
            <w:pPr>
              <w:pStyle w:val="In-tableHeading"/>
              <w:jc w:val="center"/>
              <w:rPr>
                <w:vertAlign w:val="superscript"/>
              </w:rPr>
            </w:pPr>
            <w:r>
              <w:t>Post-hoc analyses of treatment difference</w:t>
            </w:r>
          </w:p>
          <w:p w:rsidR="001B0917" w:rsidRDefault="001B0917" w:rsidP="00DA5F85">
            <w:pPr>
              <w:pStyle w:val="In-tableHeading"/>
              <w:jc w:val="center"/>
            </w:pPr>
            <w:r>
              <w:t>(BOT vs. PBO)</w:t>
            </w:r>
          </w:p>
          <w:p w:rsidR="001B0917" w:rsidRDefault="001B0917" w:rsidP="00DA5F85">
            <w:pPr>
              <w:pStyle w:val="In-tableHeading"/>
              <w:jc w:val="center"/>
            </w:pPr>
            <w:r>
              <w:t>RR &lt;</w:t>
            </w:r>
            <w:r w:rsidR="00DB54EF">
              <w:t xml:space="preserve"> </w:t>
            </w:r>
            <w:r>
              <w:t>1 or RD &lt; 0 favours BOT</w:t>
            </w:r>
          </w:p>
        </w:tc>
      </w:tr>
      <w:tr w:rsidR="00DB54EF" w:rsidRPr="00E16A14" w:rsidTr="00DB54EF">
        <w:trPr>
          <w:tblHeader/>
        </w:trPr>
        <w:tc>
          <w:tcPr>
            <w:tcW w:w="529" w:type="pct"/>
            <w:vMerge/>
            <w:tcMar>
              <w:left w:w="28" w:type="dxa"/>
              <w:right w:w="28" w:type="dxa"/>
            </w:tcMar>
            <w:vAlign w:val="center"/>
          </w:tcPr>
          <w:p w:rsidR="001B0917" w:rsidRPr="00D36609" w:rsidRDefault="001B0917" w:rsidP="00DA5F85">
            <w:pPr>
              <w:pStyle w:val="In-tableHeading"/>
              <w:jc w:val="center"/>
            </w:pPr>
          </w:p>
        </w:tc>
        <w:tc>
          <w:tcPr>
            <w:tcW w:w="307" w:type="pct"/>
            <w:vMerge w:val="restart"/>
            <w:tcMar>
              <w:left w:w="28" w:type="dxa"/>
              <w:right w:w="28" w:type="dxa"/>
            </w:tcMar>
            <w:vAlign w:val="center"/>
          </w:tcPr>
          <w:p w:rsidR="001B0917" w:rsidRPr="008A0A39" w:rsidRDefault="00DB54EF" w:rsidP="00DB54EF">
            <w:pPr>
              <w:pStyle w:val="In-tableHeading"/>
              <w:jc w:val="center"/>
              <w:rPr>
                <w:sz w:val="18"/>
                <w:szCs w:val="18"/>
              </w:rPr>
            </w:pPr>
            <w:r>
              <w:rPr>
                <w:sz w:val="18"/>
                <w:szCs w:val="18"/>
              </w:rPr>
              <w:t>No. of e</w:t>
            </w:r>
            <w:r w:rsidR="001B0917" w:rsidRPr="008A0A39">
              <w:rPr>
                <w:sz w:val="18"/>
                <w:szCs w:val="18"/>
              </w:rPr>
              <w:t>vents</w:t>
            </w:r>
          </w:p>
        </w:tc>
        <w:tc>
          <w:tcPr>
            <w:tcW w:w="377" w:type="pct"/>
            <w:vMerge w:val="restart"/>
            <w:tcMar>
              <w:left w:w="28" w:type="dxa"/>
              <w:right w:w="28" w:type="dxa"/>
            </w:tcMar>
            <w:vAlign w:val="center"/>
          </w:tcPr>
          <w:p w:rsidR="001B0917" w:rsidRPr="00D36609" w:rsidRDefault="001B0917" w:rsidP="00DA5F85">
            <w:pPr>
              <w:pStyle w:val="In-tableHeading"/>
              <w:jc w:val="center"/>
            </w:pPr>
            <w:r w:rsidRPr="00D36609">
              <w:t xml:space="preserve">No. of </w:t>
            </w:r>
            <w:r>
              <w:t>patients</w:t>
            </w:r>
            <w:r w:rsidRPr="00D36609">
              <w:t xml:space="preserve"> n/N (%)</w:t>
            </w:r>
          </w:p>
        </w:tc>
        <w:tc>
          <w:tcPr>
            <w:tcW w:w="303" w:type="pct"/>
            <w:vMerge w:val="restart"/>
            <w:tcMar>
              <w:left w:w="28" w:type="dxa"/>
              <w:right w:w="28" w:type="dxa"/>
            </w:tcMar>
            <w:vAlign w:val="center"/>
          </w:tcPr>
          <w:p w:rsidR="001B0917" w:rsidRPr="00D36609" w:rsidRDefault="001B0917" w:rsidP="00DA5F85">
            <w:pPr>
              <w:pStyle w:val="In-tableHeading"/>
              <w:jc w:val="center"/>
            </w:pPr>
            <w:r w:rsidRPr="00D36609">
              <w:t xml:space="preserve">No. of </w:t>
            </w:r>
            <w:r w:rsidRPr="008A0A39">
              <w:rPr>
                <w:sz w:val="18"/>
              </w:rPr>
              <w:t>events</w:t>
            </w:r>
          </w:p>
        </w:tc>
        <w:tc>
          <w:tcPr>
            <w:tcW w:w="379" w:type="pct"/>
            <w:vMerge w:val="restart"/>
            <w:tcMar>
              <w:left w:w="28" w:type="dxa"/>
              <w:right w:w="28" w:type="dxa"/>
            </w:tcMar>
            <w:vAlign w:val="center"/>
          </w:tcPr>
          <w:p w:rsidR="001B0917" w:rsidRPr="00D36609" w:rsidRDefault="001B0917" w:rsidP="00DA5F85">
            <w:pPr>
              <w:pStyle w:val="In-tableHeading"/>
              <w:jc w:val="center"/>
            </w:pPr>
            <w:r w:rsidRPr="00D36609">
              <w:t xml:space="preserve">No. of </w:t>
            </w:r>
            <w:r>
              <w:t>patients</w:t>
            </w:r>
            <w:r w:rsidRPr="00D36609">
              <w:t xml:space="preserve"> </w:t>
            </w:r>
            <w:r w:rsidR="00DB54EF">
              <w:br/>
            </w:r>
            <w:r w:rsidRPr="00D36609">
              <w:t>n/N (%)</w:t>
            </w:r>
          </w:p>
        </w:tc>
        <w:tc>
          <w:tcPr>
            <w:tcW w:w="303" w:type="pct"/>
            <w:vMerge w:val="restart"/>
            <w:tcMar>
              <w:left w:w="28" w:type="dxa"/>
              <w:right w:w="28" w:type="dxa"/>
            </w:tcMar>
            <w:vAlign w:val="center"/>
          </w:tcPr>
          <w:p w:rsidR="001B0917" w:rsidRPr="00D36609" w:rsidRDefault="001B0917" w:rsidP="00DA5F85">
            <w:pPr>
              <w:pStyle w:val="In-tableHeading"/>
              <w:jc w:val="center"/>
            </w:pPr>
            <w:r w:rsidRPr="00D36609">
              <w:t xml:space="preserve">No. of </w:t>
            </w:r>
            <w:r w:rsidRPr="008A0A39">
              <w:rPr>
                <w:sz w:val="18"/>
              </w:rPr>
              <w:t>events</w:t>
            </w:r>
          </w:p>
        </w:tc>
        <w:tc>
          <w:tcPr>
            <w:tcW w:w="379" w:type="pct"/>
            <w:vMerge w:val="restart"/>
            <w:tcMar>
              <w:left w:w="28" w:type="dxa"/>
              <w:right w:w="28" w:type="dxa"/>
            </w:tcMar>
            <w:vAlign w:val="center"/>
          </w:tcPr>
          <w:p w:rsidR="001B0917" w:rsidRPr="00D36609" w:rsidRDefault="001B0917" w:rsidP="00DA5F85">
            <w:pPr>
              <w:pStyle w:val="In-tableHeading"/>
              <w:jc w:val="center"/>
            </w:pPr>
            <w:r w:rsidRPr="00D36609">
              <w:t xml:space="preserve">No. of </w:t>
            </w:r>
            <w:r>
              <w:t>patients</w:t>
            </w:r>
            <w:r w:rsidRPr="00D36609">
              <w:t xml:space="preserve"> n/N (%)</w:t>
            </w:r>
          </w:p>
        </w:tc>
        <w:tc>
          <w:tcPr>
            <w:tcW w:w="1211" w:type="pct"/>
            <w:gridSpan w:val="2"/>
            <w:tcMar>
              <w:left w:w="28" w:type="dxa"/>
              <w:right w:w="28" w:type="dxa"/>
            </w:tcMar>
          </w:tcPr>
          <w:p w:rsidR="001B0917" w:rsidRDefault="001B0917" w:rsidP="00DA5F85">
            <w:pPr>
              <w:pStyle w:val="TableText0"/>
              <w:jc w:val="center"/>
              <w:rPr>
                <w:b/>
              </w:rPr>
            </w:pPr>
            <w:r w:rsidRPr="00E16A14">
              <w:rPr>
                <w:b/>
              </w:rPr>
              <w:t>Relative risk</w:t>
            </w:r>
          </w:p>
          <w:p w:rsidR="001B0917" w:rsidRPr="00E16A14" w:rsidRDefault="001B0917" w:rsidP="00DA5F85">
            <w:pPr>
              <w:pStyle w:val="In-tableHeading"/>
              <w:jc w:val="center"/>
            </w:pPr>
            <w:r w:rsidRPr="00E16A14">
              <w:t xml:space="preserve"> (95%</w:t>
            </w:r>
            <w:r w:rsidR="00DB54EF">
              <w:t xml:space="preserve"> </w:t>
            </w:r>
            <w:r w:rsidRPr="00EB61C3">
              <w:t>CI)</w:t>
            </w:r>
            <w:r w:rsidRPr="00EB61C3">
              <w:rPr>
                <w:vertAlign w:val="superscript"/>
              </w:rPr>
              <w:t>b</w:t>
            </w:r>
          </w:p>
        </w:tc>
        <w:tc>
          <w:tcPr>
            <w:tcW w:w="1213" w:type="pct"/>
            <w:gridSpan w:val="2"/>
            <w:tcMar>
              <w:left w:w="28" w:type="dxa"/>
              <w:right w:w="28" w:type="dxa"/>
            </w:tcMar>
          </w:tcPr>
          <w:p w:rsidR="001B0917" w:rsidRPr="00E16A14" w:rsidRDefault="001B0917" w:rsidP="00DA5F85">
            <w:pPr>
              <w:pStyle w:val="In-tableHeading"/>
              <w:jc w:val="center"/>
            </w:pPr>
            <w:r w:rsidRPr="00E16A14">
              <w:t xml:space="preserve">Risk difference </w:t>
            </w:r>
            <w:r w:rsidR="00DB54EF">
              <w:br/>
            </w:r>
            <w:r w:rsidRPr="00E16A14">
              <w:t>(95%</w:t>
            </w:r>
            <w:r w:rsidR="00DB54EF">
              <w:t xml:space="preserve"> </w:t>
            </w:r>
            <w:r w:rsidRPr="00E16A14">
              <w:t>CI</w:t>
            </w:r>
            <w:r w:rsidRPr="00EB61C3">
              <w:t>)</w:t>
            </w:r>
            <w:r w:rsidRPr="00EB61C3">
              <w:rPr>
                <w:vertAlign w:val="superscript"/>
              </w:rPr>
              <w:t>b</w:t>
            </w:r>
          </w:p>
        </w:tc>
      </w:tr>
      <w:tr w:rsidR="00DB54EF" w:rsidRPr="00E16A14" w:rsidTr="00DB54EF">
        <w:tc>
          <w:tcPr>
            <w:tcW w:w="529" w:type="pct"/>
            <w:vMerge/>
            <w:shd w:val="clear" w:color="auto" w:fill="FFFFFF" w:themeFill="background1"/>
            <w:tcMar>
              <w:left w:w="28" w:type="dxa"/>
              <w:right w:w="28" w:type="dxa"/>
            </w:tcMar>
            <w:vAlign w:val="center"/>
          </w:tcPr>
          <w:p w:rsidR="001B0917" w:rsidRDefault="001B0917" w:rsidP="00DA5F85">
            <w:pPr>
              <w:pStyle w:val="TableText0"/>
            </w:pPr>
          </w:p>
        </w:tc>
        <w:tc>
          <w:tcPr>
            <w:tcW w:w="307" w:type="pct"/>
            <w:vMerge/>
            <w:shd w:val="clear" w:color="auto" w:fill="FFFFFF" w:themeFill="background1"/>
            <w:tcMar>
              <w:left w:w="28" w:type="dxa"/>
              <w:right w:w="28" w:type="dxa"/>
            </w:tcMar>
            <w:vAlign w:val="center"/>
          </w:tcPr>
          <w:p w:rsidR="001B0917" w:rsidRDefault="001B0917" w:rsidP="00DA5F85">
            <w:pPr>
              <w:pStyle w:val="TableText0"/>
            </w:pPr>
          </w:p>
        </w:tc>
        <w:tc>
          <w:tcPr>
            <w:tcW w:w="377" w:type="pct"/>
            <w:vMerge/>
            <w:shd w:val="clear" w:color="auto" w:fill="FFFFFF" w:themeFill="background1"/>
            <w:tcMar>
              <w:left w:w="28" w:type="dxa"/>
              <w:right w:w="28" w:type="dxa"/>
            </w:tcMar>
            <w:vAlign w:val="center"/>
          </w:tcPr>
          <w:p w:rsidR="001B0917" w:rsidRDefault="001B0917" w:rsidP="00DA5F85">
            <w:pPr>
              <w:pStyle w:val="TableText0"/>
            </w:pPr>
          </w:p>
        </w:tc>
        <w:tc>
          <w:tcPr>
            <w:tcW w:w="303" w:type="pct"/>
            <w:vMerge/>
            <w:shd w:val="clear" w:color="auto" w:fill="FFFFFF" w:themeFill="background1"/>
            <w:tcMar>
              <w:left w:w="28" w:type="dxa"/>
              <w:right w:w="28" w:type="dxa"/>
            </w:tcMar>
            <w:vAlign w:val="center"/>
          </w:tcPr>
          <w:p w:rsidR="001B0917" w:rsidRDefault="001B0917" w:rsidP="00DA5F85">
            <w:pPr>
              <w:pStyle w:val="TableText0"/>
            </w:pPr>
          </w:p>
        </w:tc>
        <w:tc>
          <w:tcPr>
            <w:tcW w:w="379" w:type="pct"/>
            <w:vMerge/>
            <w:shd w:val="clear" w:color="auto" w:fill="FFFFFF" w:themeFill="background1"/>
            <w:tcMar>
              <w:left w:w="28" w:type="dxa"/>
              <w:right w:w="28" w:type="dxa"/>
            </w:tcMar>
            <w:vAlign w:val="center"/>
          </w:tcPr>
          <w:p w:rsidR="001B0917" w:rsidRDefault="001B0917" w:rsidP="00DA5F85">
            <w:pPr>
              <w:pStyle w:val="TableText0"/>
            </w:pPr>
          </w:p>
        </w:tc>
        <w:tc>
          <w:tcPr>
            <w:tcW w:w="303" w:type="pct"/>
            <w:vMerge/>
            <w:shd w:val="clear" w:color="auto" w:fill="FFFFFF" w:themeFill="background1"/>
            <w:tcMar>
              <w:left w:w="28" w:type="dxa"/>
              <w:right w:w="28" w:type="dxa"/>
            </w:tcMar>
            <w:vAlign w:val="center"/>
          </w:tcPr>
          <w:p w:rsidR="001B0917" w:rsidRDefault="001B0917" w:rsidP="00DA5F85">
            <w:pPr>
              <w:pStyle w:val="TableText0"/>
            </w:pPr>
          </w:p>
        </w:tc>
        <w:tc>
          <w:tcPr>
            <w:tcW w:w="379" w:type="pct"/>
            <w:vMerge/>
            <w:shd w:val="clear" w:color="auto" w:fill="FFFFFF" w:themeFill="background1"/>
            <w:tcMar>
              <w:left w:w="28" w:type="dxa"/>
              <w:right w:w="28" w:type="dxa"/>
            </w:tcMar>
            <w:vAlign w:val="center"/>
          </w:tcPr>
          <w:p w:rsidR="001B0917" w:rsidRDefault="001B0917" w:rsidP="00DA5F85">
            <w:pPr>
              <w:pStyle w:val="TableText0"/>
            </w:pPr>
          </w:p>
        </w:tc>
        <w:tc>
          <w:tcPr>
            <w:tcW w:w="604" w:type="pct"/>
            <w:shd w:val="clear" w:color="auto" w:fill="FFFFFF" w:themeFill="background1"/>
            <w:tcMar>
              <w:left w:w="28" w:type="dxa"/>
              <w:right w:w="28" w:type="dxa"/>
            </w:tcMar>
          </w:tcPr>
          <w:p w:rsidR="001B0917" w:rsidRPr="0094662B" w:rsidRDefault="001B0917" w:rsidP="008B115D">
            <w:pPr>
              <w:pStyle w:val="TableText0"/>
              <w:jc w:val="center"/>
              <w:rPr>
                <w:rFonts w:cs="Times New Roman"/>
                <w:b/>
                <w:bCs w:val="0"/>
                <w:lang w:val="en-US"/>
              </w:rPr>
            </w:pPr>
            <w:r w:rsidRPr="0094662B">
              <w:rPr>
                <w:rFonts w:cs="Times New Roman"/>
                <w:b/>
                <w:bCs w:val="0"/>
                <w:lang w:val="en-US"/>
              </w:rPr>
              <w:t xml:space="preserve">BOT </w:t>
            </w:r>
            <w:r w:rsidR="00DB54EF">
              <w:rPr>
                <w:rFonts w:cs="Times New Roman"/>
                <w:b/>
                <w:bCs w:val="0"/>
                <w:lang w:val="en-US"/>
              </w:rPr>
              <w:br/>
            </w:r>
            <w:r w:rsidRPr="0094662B">
              <w:rPr>
                <w:rFonts w:cs="Times New Roman"/>
                <w:b/>
                <w:bCs w:val="0"/>
                <w:lang w:val="en-US"/>
              </w:rPr>
              <w:t>0.5 mg</w:t>
            </w:r>
          </w:p>
        </w:tc>
        <w:tc>
          <w:tcPr>
            <w:tcW w:w="607" w:type="pct"/>
            <w:shd w:val="clear" w:color="auto" w:fill="FFFFFF" w:themeFill="background1"/>
            <w:tcMar>
              <w:left w:w="28" w:type="dxa"/>
              <w:right w:w="28" w:type="dxa"/>
            </w:tcMar>
          </w:tcPr>
          <w:p w:rsidR="001B0917" w:rsidRPr="0094662B" w:rsidRDefault="001B0917" w:rsidP="008B115D">
            <w:pPr>
              <w:pStyle w:val="TableText0"/>
              <w:jc w:val="center"/>
              <w:rPr>
                <w:rFonts w:cs="Times New Roman"/>
                <w:b/>
                <w:bCs w:val="0"/>
                <w:lang w:val="en-US"/>
              </w:rPr>
            </w:pPr>
            <w:r w:rsidRPr="0094662B">
              <w:rPr>
                <w:rFonts w:cs="Times New Roman"/>
                <w:b/>
                <w:bCs w:val="0"/>
                <w:lang w:val="en-US"/>
              </w:rPr>
              <w:t xml:space="preserve">BOT </w:t>
            </w:r>
            <w:r w:rsidR="00DB54EF">
              <w:rPr>
                <w:rFonts w:cs="Times New Roman"/>
                <w:b/>
                <w:bCs w:val="0"/>
                <w:lang w:val="en-US"/>
              </w:rPr>
              <w:br/>
            </w:r>
            <w:r w:rsidRPr="0094662B">
              <w:rPr>
                <w:rFonts w:cs="Times New Roman"/>
                <w:b/>
                <w:bCs w:val="0"/>
                <w:lang w:val="en-US"/>
              </w:rPr>
              <w:t>1 mg</w:t>
            </w:r>
          </w:p>
        </w:tc>
        <w:tc>
          <w:tcPr>
            <w:tcW w:w="607" w:type="pct"/>
            <w:shd w:val="clear" w:color="auto" w:fill="FFFFFF" w:themeFill="background1"/>
            <w:tcMar>
              <w:left w:w="28" w:type="dxa"/>
              <w:right w:w="28" w:type="dxa"/>
            </w:tcMar>
          </w:tcPr>
          <w:p w:rsidR="001B0917" w:rsidRPr="0094662B" w:rsidRDefault="001B0917" w:rsidP="008B115D">
            <w:pPr>
              <w:pStyle w:val="TableText0"/>
              <w:jc w:val="center"/>
              <w:rPr>
                <w:rFonts w:cs="Times New Roman"/>
                <w:b/>
                <w:bCs w:val="0"/>
                <w:lang w:val="en-US"/>
              </w:rPr>
            </w:pPr>
            <w:r w:rsidRPr="0094662B">
              <w:rPr>
                <w:rFonts w:cs="Times New Roman"/>
                <w:b/>
                <w:bCs w:val="0"/>
                <w:lang w:val="en-US"/>
              </w:rPr>
              <w:t xml:space="preserve">BOT </w:t>
            </w:r>
            <w:r w:rsidR="00DB54EF">
              <w:rPr>
                <w:rFonts w:cs="Times New Roman"/>
                <w:b/>
                <w:bCs w:val="0"/>
                <w:lang w:val="en-US"/>
              </w:rPr>
              <w:br/>
            </w:r>
            <w:r w:rsidRPr="0094662B">
              <w:rPr>
                <w:rFonts w:cs="Times New Roman"/>
                <w:b/>
                <w:bCs w:val="0"/>
                <w:lang w:val="en-US"/>
              </w:rPr>
              <w:t>0.5 mg</w:t>
            </w:r>
          </w:p>
        </w:tc>
        <w:tc>
          <w:tcPr>
            <w:tcW w:w="606" w:type="pct"/>
            <w:shd w:val="clear" w:color="auto" w:fill="FFFFFF" w:themeFill="background1"/>
            <w:tcMar>
              <w:left w:w="28" w:type="dxa"/>
              <w:right w:w="28" w:type="dxa"/>
            </w:tcMar>
          </w:tcPr>
          <w:p w:rsidR="001B0917" w:rsidRPr="0094662B" w:rsidRDefault="001B0917" w:rsidP="008B115D">
            <w:pPr>
              <w:pStyle w:val="TableText0"/>
              <w:jc w:val="center"/>
              <w:rPr>
                <w:rFonts w:cs="Times New Roman"/>
                <w:b/>
                <w:bCs w:val="0"/>
                <w:lang w:val="en-US"/>
              </w:rPr>
            </w:pPr>
            <w:r w:rsidRPr="0094662B">
              <w:rPr>
                <w:rFonts w:cs="Times New Roman"/>
                <w:b/>
                <w:bCs w:val="0"/>
                <w:lang w:val="en-US"/>
              </w:rPr>
              <w:t xml:space="preserve">BOT </w:t>
            </w:r>
            <w:r w:rsidR="00DB54EF">
              <w:rPr>
                <w:rFonts w:cs="Times New Roman"/>
                <w:b/>
                <w:bCs w:val="0"/>
                <w:lang w:val="en-US"/>
              </w:rPr>
              <w:br/>
            </w:r>
            <w:r w:rsidRPr="0094662B">
              <w:rPr>
                <w:rFonts w:cs="Times New Roman"/>
                <w:b/>
                <w:bCs w:val="0"/>
                <w:lang w:val="en-US"/>
              </w:rPr>
              <w:t>1 mg</w:t>
            </w:r>
          </w:p>
        </w:tc>
      </w:tr>
      <w:tr w:rsidR="001B0917" w:rsidRPr="00E16A14" w:rsidTr="00DB54EF">
        <w:tc>
          <w:tcPr>
            <w:tcW w:w="5000" w:type="pct"/>
            <w:gridSpan w:val="11"/>
            <w:shd w:val="clear" w:color="auto" w:fill="FFFFFF" w:themeFill="background1"/>
            <w:tcMar>
              <w:left w:w="28" w:type="dxa"/>
              <w:right w:w="28" w:type="dxa"/>
            </w:tcMar>
            <w:vAlign w:val="center"/>
          </w:tcPr>
          <w:p w:rsidR="001B0917" w:rsidRDefault="001B0917" w:rsidP="00DA5F85">
            <w:pPr>
              <w:pStyle w:val="TableText0"/>
            </w:pPr>
            <w:r>
              <w:t>EOS-2</w:t>
            </w:r>
          </w:p>
        </w:tc>
      </w:tr>
      <w:tr w:rsidR="00DB54EF" w:rsidRPr="00E16A14" w:rsidTr="00DB54EF">
        <w:tc>
          <w:tcPr>
            <w:tcW w:w="529" w:type="pct"/>
            <w:shd w:val="clear" w:color="auto" w:fill="FFFFFF" w:themeFill="background1"/>
            <w:tcMar>
              <w:left w:w="28" w:type="dxa"/>
              <w:right w:w="28" w:type="dxa"/>
            </w:tcMar>
            <w:vAlign w:val="center"/>
          </w:tcPr>
          <w:p w:rsidR="001B0917" w:rsidRPr="00D36609" w:rsidRDefault="001B0917" w:rsidP="00DA5F85">
            <w:pPr>
              <w:pStyle w:val="TableText0"/>
            </w:pPr>
            <w:r w:rsidRPr="00D36609">
              <w:t>Any TEAE</w:t>
            </w:r>
          </w:p>
        </w:tc>
        <w:tc>
          <w:tcPr>
            <w:tcW w:w="307"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258</w:t>
            </w:r>
          </w:p>
        </w:tc>
        <w:tc>
          <w:tcPr>
            <w:tcW w:w="377"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57/68 (83.8)</w:t>
            </w:r>
          </w:p>
        </w:tc>
        <w:tc>
          <w:tcPr>
            <w:tcW w:w="303"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226</w:t>
            </w:r>
          </w:p>
        </w:tc>
        <w:tc>
          <w:tcPr>
            <w:tcW w:w="379"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59/68 (86.8)</w:t>
            </w:r>
          </w:p>
        </w:tc>
        <w:tc>
          <w:tcPr>
            <w:tcW w:w="303"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16</w:t>
            </w:r>
            <w:r>
              <w:t>1</w:t>
            </w:r>
          </w:p>
        </w:tc>
        <w:tc>
          <w:tcPr>
            <w:tcW w:w="379"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61/68 (89.7)</w:t>
            </w:r>
          </w:p>
        </w:tc>
        <w:tc>
          <w:tcPr>
            <w:tcW w:w="604" w:type="pct"/>
            <w:shd w:val="clear" w:color="auto" w:fill="FFFFFF" w:themeFill="background1"/>
            <w:tcMar>
              <w:left w:w="28" w:type="dxa"/>
              <w:right w:w="28" w:type="dxa"/>
            </w:tcMar>
          </w:tcPr>
          <w:p w:rsidR="001B0917" w:rsidRDefault="001B0917" w:rsidP="00DA5F85">
            <w:pPr>
              <w:pStyle w:val="TableText0"/>
              <w:jc w:val="center"/>
            </w:pPr>
            <w:r>
              <w:t>0.93</w:t>
            </w:r>
          </w:p>
          <w:p w:rsidR="001B0917" w:rsidRPr="00483F33" w:rsidRDefault="001B0917" w:rsidP="00DA5F85">
            <w:pPr>
              <w:pStyle w:val="TableText0"/>
              <w:jc w:val="center"/>
            </w:pPr>
            <w:r>
              <w:t>(0.82, 1.07)</w:t>
            </w:r>
          </w:p>
        </w:tc>
        <w:tc>
          <w:tcPr>
            <w:tcW w:w="607" w:type="pct"/>
            <w:shd w:val="clear" w:color="auto" w:fill="FFFFFF" w:themeFill="background1"/>
            <w:tcMar>
              <w:left w:w="28" w:type="dxa"/>
              <w:right w:w="28" w:type="dxa"/>
            </w:tcMar>
          </w:tcPr>
          <w:p w:rsidR="001B0917" w:rsidRDefault="001B0917" w:rsidP="00DA5F85">
            <w:pPr>
              <w:pStyle w:val="TableText0"/>
              <w:jc w:val="center"/>
            </w:pPr>
            <w:r>
              <w:t>0.97</w:t>
            </w:r>
          </w:p>
          <w:p w:rsidR="001B0917" w:rsidRPr="00483F33" w:rsidRDefault="001B0917" w:rsidP="00DA5F85">
            <w:pPr>
              <w:pStyle w:val="TableText0"/>
              <w:jc w:val="center"/>
            </w:pPr>
            <w:r>
              <w:t>(0.86, 1.09)</w:t>
            </w:r>
          </w:p>
        </w:tc>
        <w:tc>
          <w:tcPr>
            <w:tcW w:w="607" w:type="pct"/>
            <w:shd w:val="clear" w:color="auto" w:fill="FFFFFF" w:themeFill="background1"/>
            <w:tcMar>
              <w:left w:w="28" w:type="dxa"/>
              <w:right w:w="28" w:type="dxa"/>
            </w:tcMar>
          </w:tcPr>
          <w:p w:rsidR="001B0917" w:rsidRDefault="001B0917" w:rsidP="00DA5F85">
            <w:pPr>
              <w:pStyle w:val="TableText0"/>
              <w:jc w:val="center"/>
            </w:pPr>
            <w:r>
              <w:t>-0.06</w:t>
            </w:r>
          </w:p>
          <w:p w:rsidR="001B0917" w:rsidRPr="00483F33" w:rsidRDefault="001B0917" w:rsidP="00DA5F85">
            <w:pPr>
              <w:pStyle w:val="TableText0"/>
              <w:jc w:val="center"/>
            </w:pPr>
            <w:r>
              <w:t>(-0.17, 0.05)</w:t>
            </w:r>
          </w:p>
        </w:tc>
        <w:tc>
          <w:tcPr>
            <w:tcW w:w="606" w:type="pct"/>
            <w:shd w:val="clear" w:color="auto" w:fill="FFFFFF" w:themeFill="background1"/>
            <w:tcMar>
              <w:left w:w="28" w:type="dxa"/>
              <w:right w:w="28" w:type="dxa"/>
            </w:tcMar>
          </w:tcPr>
          <w:p w:rsidR="001B0917" w:rsidRDefault="001B0917" w:rsidP="00DA5F85">
            <w:pPr>
              <w:pStyle w:val="TableText0"/>
              <w:jc w:val="center"/>
            </w:pPr>
            <w:r>
              <w:t>-0.03</w:t>
            </w:r>
          </w:p>
          <w:p w:rsidR="001B0917" w:rsidRPr="00483F33" w:rsidRDefault="001B0917" w:rsidP="00DA5F85">
            <w:pPr>
              <w:pStyle w:val="TableText0"/>
              <w:jc w:val="center"/>
            </w:pPr>
            <w:r>
              <w:t>(-0.14, 0.08)</w:t>
            </w:r>
          </w:p>
        </w:tc>
      </w:tr>
      <w:tr w:rsidR="00DB54EF" w:rsidRPr="00E16A14" w:rsidTr="00DB54EF">
        <w:tc>
          <w:tcPr>
            <w:tcW w:w="529" w:type="pct"/>
            <w:shd w:val="clear" w:color="auto" w:fill="FFFFFF" w:themeFill="background1"/>
            <w:tcMar>
              <w:left w:w="28" w:type="dxa"/>
              <w:right w:w="28" w:type="dxa"/>
            </w:tcMar>
            <w:vAlign w:val="center"/>
          </w:tcPr>
          <w:p w:rsidR="001B0917" w:rsidRPr="00D36609" w:rsidRDefault="001B0917" w:rsidP="00DA5F85">
            <w:pPr>
              <w:pStyle w:val="TableText0"/>
            </w:pPr>
            <w:r w:rsidRPr="00D36609">
              <w:t>Study drug related TEAE</w:t>
            </w:r>
          </w:p>
        </w:tc>
        <w:tc>
          <w:tcPr>
            <w:tcW w:w="307"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34</w:t>
            </w:r>
          </w:p>
        </w:tc>
        <w:tc>
          <w:tcPr>
            <w:tcW w:w="377"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22/68 (32.4)</w:t>
            </w:r>
          </w:p>
        </w:tc>
        <w:tc>
          <w:tcPr>
            <w:tcW w:w="303"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34</w:t>
            </w:r>
          </w:p>
        </w:tc>
        <w:tc>
          <w:tcPr>
            <w:tcW w:w="379"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22/68 (32.4)</w:t>
            </w:r>
          </w:p>
        </w:tc>
        <w:tc>
          <w:tcPr>
            <w:tcW w:w="303" w:type="pct"/>
            <w:shd w:val="clear" w:color="auto" w:fill="FFFFFF" w:themeFill="background1"/>
            <w:tcMar>
              <w:left w:w="28" w:type="dxa"/>
              <w:right w:w="28" w:type="dxa"/>
            </w:tcMar>
            <w:vAlign w:val="center"/>
          </w:tcPr>
          <w:p w:rsidR="001B0917" w:rsidRPr="00D36609" w:rsidRDefault="001B0917" w:rsidP="00DA5F85">
            <w:pPr>
              <w:pStyle w:val="TableText0"/>
              <w:jc w:val="center"/>
            </w:pPr>
            <w:r w:rsidRPr="00483F33">
              <w:t>3</w:t>
            </w:r>
          </w:p>
        </w:tc>
        <w:tc>
          <w:tcPr>
            <w:tcW w:w="379" w:type="pct"/>
            <w:shd w:val="clear" w:color="auto" w:fill="FFFFFF" w:themeFill="background1"/>
            <w:tcMar>
              <w:left w:w="28" w:type="dxa"/>
              <w:right w:w="28" w:type="dxa"/>
            </w:tcMar>
            <w:vAlign w:val="center"/>
          </w:tcPr>
          <w:p w:rsidR="001B0917" w:rsidRPr="00D36609" w:rsidRDefault="001B0917" w:rsidP="00DA5F85">
            <w:pPr>
              <w:pStyle w:val="TableText0"/>
              <w:jc w:val="center"/>
            </w:pPr>
            <w:r w:rsidRPr="00483F33">
              <w:t xml:space="preserve">3/68 </w:t>
            </w:r>
            <w:r w:rsidR="00DB54EF">
              <w:br/>
            </w:r>
            <w:r w:rsidRPr="00483F33">
              <w:t>(4.4</w:t>
            </w:r>
            <w:r w:rsidRPr="00D36609">
              <w:t>)</w:t>
            </w:r>
          </w:p>
        </w:tc>
        <w:tc>
          <w:tcPr>
            <w:tcW w:w="604" w:type="pct"/>
            <w:shd w:val="clear" w:color="auto" w:fill="FFFFFF" w:themeFill="background1"/>
            <w:tcMar>
              <w:left w:w="28" w:type="dxa"/>
              <w:right w:w="28" w:type="dxa"/>
            </w:tcMar>
          </w:tcPr>
          <w:p w:rsidR="001B0917" w:rsidRPr="00B27052" w:rsidRDefault="001B0917" w:rsidP="00DA5F85">
            <w:pPr>
              <w:pStyle w:val="TableText0"/>
              <w:jc w:val="center"/>
              <w:rPr>
                <w:b/>
                <w:bCs w:val="0"/>
              </w:rPr>
            </w:pPr>
            <w:r w:rsidRPr="00B27052">
              <w:rPr>
                <w:b/>
                <w:bCs w:val="0"/>
              </w:rPr>
              <w:t>7.33</w:t>
            </w:r>
          </w:p>
          <w:p w:rsidR="001B0917" w:rsidRPr="00B27052" w:rsidRDefault="001B0917" w:rsidP="00DA5F85">
            <w:pPr>
              <w:pStyle w:val="TableText0"/>
              <w:jc w:val="center"/>
              <w:rPr>
                <w:b/>
                <w:bCs w:val="0"/>
              </w:rPr>
            </w:pPr>
            <w:r w:rsidRPr="00B27052">
              <w:rPr>
                <w:b/>
                <w:bCs w:val="0"/>
              </w:rPr>
              <w:t>(2.30, 23.36)</w:t>
            </w:r>
          </w:p>
          <w:p w:rsidR="001B0917" w:rsidRPr="00B27052" w:rsidRDefault="001B0917" w:rsidP="00DA5F85">
            <w:pPr>
              <w:pStyle w:val="TableText0"/>
              <w:jc w:val="center"/>
              <w:rPr>
                <w:b/>
                <w:bCs w:val="0"/>
              </w:rPr>
            </w:pPr>
            <w:r w:rsidRPr="00B27052">
              <w:rPr>
                <w:b/>
                <w:bCs w:val="0"/>
              </w:rPr>
              <w:t>p=0.0007</w:t>
            </w:r>
          </w:p>
        </w:tc>
        <w:tc>
          <w:tcPr>
            <w:tcW w:w="607" w:type="pct"/>
            <w:shd w:val="clear" w:color="auto" w:fill="FFFFFF" w:themeFill="background1"/>
            <w:tcMar>
              <w:left w:w="28" w:type="dxa"/>
              <w:right w:w="28" w:type="dxa"/>
            </w:tcMar>
          </w:tcPr>
          <w:p w:rsidR="001B0917" w:rsidRPr="00B27052" w:rsidRDefault="001B0917" w:rsidP="00DA5F85">
            <w:pPr>
              <w:pStyle w:val="TableText0"/>
              <w:jc w:val="center"/>
              <w:rPr>
                <w:b/>
                <w:bCs w:val="0"/>
              </w:rPr>
            </w:pPr>
            <w:r w:rsidRPr="00B27052">
              <w:rPr>
                <w:b/>
                <w:bCs w:val="0"/>
              </w:rPr>
              <w:t>7.33</w:t>
            </w:r>
          </w:p>
          <w:p w:rsidR="001B0917" w:rsidRPr="00B27052" w:rsidRDefault="001B0917" w:rsidP="00DA5F85">
            <w:pPr>
              <w:pStyle w:val="TableText0"/>
              <w:jc w:val="center"/>
              <w:rPr>
                <w:b/>
                <w:bCs w:val="0"/>
              </w:rPr>
            </w:pPr>
            <w:r w:rsidRPr="00B27052">
              <w:rPr>
                <w:b/>
                <w:bCs w:val="0"/>
              </w:rPr>
              <w:t>(2.30, 23.36)</w:t>
            </w:r>
          </w:p>
          <w:p w:rsidR="001B0917" w:rsidRPr="00B27052" w:rsidRDefault="001B0917" w:rsidP="00DA5F85">
            <w:pPr>
              <w:pStyle w:val="TableText0"/>
              <w:jc w:val="center"/>
              <w:rPr>
                <w:b/>
                <w:bCs w:val="0"/>
              </w:rPr>
            </w:pPr>
            <w:r w:rsidRPr="00B27052">
              <w:rPr>
                <w:b/>
                <w:bCs w:val="0"/>
              </w:rPr>
              <w:t>p=0.0007</w:t>
            </w:r>
          </w:p>
        </w:tc>
        <w:tc>
          <w:tcPr>
            <w:tcW w:w="607" w:type="pct"/>
            <w:shd w:val="clear" w:color="auto" w:fill="FFFFFF" w:themeFill="background1"/>
            <w:tcMar>
              <w:left w:w="28" w:type="dxa"/>
              <w:right w:w="28" w:type="dxa"/>
            </w:tcMar>
          </w:tcPr>
          <w:p w:rsidR="001B0917" w:rsidRPr="00B27052" w:rsidRDefault="001B0917" w:rsidP="00DA5F85">
            <w:pPr>
              <w:pStyle w:val="TableText0"/>
              <w:jc w:val="center"/>
              <w:rPr>
                <w:b/>
                <w:bCs w:val="0"/>
              </w:rPr>
            </w:pPr>
            <w:r w:rsidRPr="00B27052">
              <w:rPr>
                <w:b/>
                <w:bCs w:val="0"/>
              </w:rPr>
              <w:t>0.28</w:t>
            </w:r>
          </w:p>
          <w:p w:rsidR="001B0917" w:rsidRPr="00B27052" w:rsidRDefault="001B0917" w:rsidP="00DA5F85">
            <w:pPr>
              <w:pStyle w:val="TableText0"/>
              <w:jc w:val="center"/>
              <w:rPr>
                <w:b/>
                <w:bCs w:val="0"/>
              </w:rPr>
            </w:pPr>
            <w:r w:rsidRPr="00B27052">
              <w:rPr>
                <w:b/>
                <w:bCs w:val="0"/>
              </w:rPr>
              <w:t>(0.16, 0.40)</w:t>
            </w:r>
          </w:p>
          <w:p w:rsidR="001B0917" w:rsidRPr="00B27052" w:rsidRDefault="001B0917" w:rsidP="00DA5F85">
            <w:pPr>
              <w:pStyle w:val="TableText0"/>
              <w:jc w:val="center"/>
              <w:rPr>
                <w:b/>
                <w:bCs w:val="0"/>
              </w:rPr>
            </w:pPr>
            <w:r w:rsidRPr="00B27052">
              <w:rPr>
                <w:b/>
                <w:bCs w:val="0"/>
              </w:rPr>
              <w:t>p&lt;0.0001</w:t>
            </w:r>
          </w:p>
        </w:tc>
        <w:tc>
          <w:tcPr>
            <w:tcW w:w="606" w:type="pct"/>
            <w:shd w:val="clear" w:color="auto" w:fill="FFFFFF" w:themeFill="background1"/>
            <w:tcMar>
              <w:left w:w="28" w:type="dxa"/>
              <w:right w:w="28" w:type="dxa"/>
            </w:tcMar>
          </w:tcPr>
          <w:p w:rsidR="001B0917" w:rsidRPr="00B27052" w:rsidRDefault="001B0917" w:rsidP="00DA5F85">
            <w:pPr>
              <w:pStyle w:val="TableText0"/>
              <w:jc w:val="center"/>
              <w:rPr>
                <w:b/>
                <w:bCs w:val="0"/>
              </w:rPr>
            </w:pPr>
            <w:r w:rsidRPr="00B27052">
              <w:rPr>
                <w:b/>
                <w:bCs w:val="0"/>
              </w:rPr>
              <w:t>0.28</w:t>
            </w:r>
          </w:p>
          <w:p w:rsidR="001B0917" w:rsidRPr="00B27052" w:rsidRDefault="001B0917" w:rsidP="00DA5F85">
            <w:pPr>
              <w:pStyle w:val="TableText0"/>
              <w:jc w:val="center"/>
              <w:rPr>
                <w:b/>
                <w:bCs w:val="0"/>
              </w:rPr>
            </w:pPr>
            <w:r w:rsidRPr="00B27052">
              <w:rPr>
                <w:b/>
                <w:bCs w:val="0"/>
              </w:rPr>
              <w:t>(0.16, 0.40)</w:t>
            </w:r>
          </w:p>
          <w:p w:rsidR="001B0917" w:rsidRPr="00B27052" w:rsidRDefault="001B0917" w:rsidP="00DA5F85">
            <w:pPr>
              <w:pStyle w:val="TableText0"/>
              <w:jc w:val="center"/>
              <w:rPr>
                <w:b/>
                <w:bCs w:val="0"/>
              </w:rPr>
            </w:pPr>
            <w:r w:rsidRPr="00B27052">
              <w:rPr>
                <w:b/>
                <w:bCs w:val="0"/>
              </w:rPr>
              <w:t>p&lt;0.0001</w:t>
            </w:r>
          </w:p>
        </w:tc>
      </w:tr>
      <w:tr w:rsidR="00DB54EF" w:rsidRPr="00E16A14" w:rsidTr="00DB54EF">
        <w:tc>
          <w:tcPr>
            <w:tcW w:w="529" w:type="pct"/>
            <w:shd w:val="clear" w:color="auto" w:fill="FFFFFF" w:themeFill="background1"/>
            <w:tcMar>
              <w:left w:w="28" w:type="dxa"/>
              <w:right w:w="28" w:type="dxa"/>
            </w:tcMar>
            <w:vAlign w:val="center"/>
          </w:tcPr>
          <w:p w:rsidR="001B0917" w:rsidRPr="00D36609" w:rsidRDefault="001B0917" w:rsidP="00DA5F85">
            <w:pPr>
              <w:pStyle w:val="TableText0"/>
            </w:pPr>
            <w:r w:rsidRPr="00D36609">
              <w:t>Serious AEs</w:t>
            </w:r>
          </w:p>
        </w:tc>
        <w:tc>
          <w:tcPr>
            <w:tcW w:w="307"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4</w:t>
            </w:r>
          </w:p>
        </w:tc>
        <w:tc>
          <w:tcPr>
            <w:tcW w:w="377"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 xml:space="preserve">3/68 </w:t>
            </w:r>
            <w:r w:rsidR="00DB54EF">
              <w:br/>
            </w:r>
            <w:r w:rsidRPr="00483F33">
              <w:t>(4.4)</w:t>
            </w:r>
          </w:p>
        </w:tc>
        <w:tc>
          <w:tcPr>
            <w:tcW w:w="303"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1</w:t>
            </w:r>
          </w:p>
        </w:tc>
        <w:tc>
          <w:tcPr>
            <w:tcW w:w="379"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 xml:space="preserve">1/68 </w:t>
            </w:r>
            <w:r w:rsidR="00DB54EF">
              <w:br/>
            </w:r>
            <w:r w:rsidRPr="00483F33">
              <w:t>(1.5)</w:t>
            </w:r>
          </w:p>
        </w:tc>
        <w:tc>
          <w:tcPr>
            <w:tcW w:w="303"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0</w:t>
            </w:r>
          </w:p>
        </w:tc>
        <w:tc>
          <w:tcPr>
            <w:tcW w:w="379"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 xml:space="preserve">0/68 </w:t>
            </w:r>
            <w:r w:rsidR="00DB54EF">
              <w:br/>
            </w:r>
            <w:r w:rsidRPr="00483F33">
              <w:t>(0)</w:t>
            </w:r>
          </w:p>
        </w:tc>
        <w:tc>
          <w:tcPr>
            <w:tcW w:w="604" w:type="pct"/>
            <w:shd w:val="clear" w:color="auto" w:fill="FFFFFF" w:themeFill="background1"/>
            <w:tcMar>
              <w:left w:w="28" w:type="dxa"/>
              <w:right w:w="28" w:type="dxa"/>
            </w:tcMar>
          </w:tcPr>
          <w:p w:rsidR="001B0917" w:rsidRDefault="001B0917" w:rsidP="00DA5F85">
            <w:pPr>
              <w:pStyle w:val="TableText0"/>
              <w:jc w:val="center"/>
            </w:pPr>
            <w:r>
              <w:t>7.00</w:t>
            </w:r>
          </w:p>
          <w:p w:rsidR="001B0917" w:rsidRPr="00483F33" w:rsidRDefault="001B0917" w:rsidP="00DA5F85">
            <w:pPr>
              <w:pStyle w:val="TableText0"/>
              <w:jc w:val="center"/>
            </w:pPr>
            <w:r>
              <w:t>(0.37, 132.99)</w:t>
            </w:r>
          </w:p>
        </w:tc>
        <w:tc>
          <w:tcPr>
            <w:tcW w:w="607" w:type="pct"/>
            <w:shd w:val="clear" w:color="auto" w:fill="FFFFFF" w:themeFill="background1"/>
            <w:tcMar>
              <w:left w:w="28" w:type="dxa"/>
              <w:right w:w="28" w:type="dxa"/>
            </w:tcMar>
          </w:tcPr>
          <w:p w:rsidR="001B0917" w:rsidRDefault="001B0917" w:rsidP="00DA5F85">
            <w:pPr>
              <w:pStyle w:val="TableText0"/>
              <w:jc w:val="center"/>
            </w:pPr>
            <w:r>
              <w:t>3.00</w:t>
            </w:r>
          </w:p>
          <w:p w:rsidR="001B0917" w:rsidRPr="00483F33" w:rsidRDefault="001B0917" w:rsidP="00DA5F85">
            <w:pPr>
              <w:pStyle w:val="TableText0"/>
              <w:jc w:val="center"/>
            </w:pPr>
            <w:r>
              <w:t>(0.12, 72.37)</w:t>
            </w:r>
          </w:p>
        </w:tc>
        <w:tc>
          <w:tcPr>
            <w:tcW w:w="607" w:type="pct"/>
            <w:shd w:val="clear" w:color="auto" w:fill="FFFFFF" w:themeFill="background1"/>
            <w:tcMar>
              <w:left w:w="28" w:type="dxa"/>
              <w:right w:w="28" w:type="dxa"/>
            </w:tcMar>
          </w:tcPr>
          <w:p w:rsidR="001B0917" w:rsidRDefault="001B0917" w:rsidP="00DA5F85">
            <w:pPr>
              <w:pStyle w:val="TableText0"/>
              <w:jc w:val="center"/>
            </w:pPr>
            <w:r>
              <w:t>0.04</w:t>
            </w:r>
          </w:p>
          <w:p w:rsidR="001B0917" w:rsidRPr="00483F33" w:rsidRDefault="001B0917" w:rsidP="00DA5F85">
            <w:pPr>
              <w:pStyle w:val="TableText0"/>
              <w:jc w:val="center"/>
            </w:pPr>
            <w:r>
              <w:t>(-0.01, 0.10)</w:t>
            </w:r>
          </w:p>
        </w:tc>
        <w:tc>
          <w:tcPr>
            <w:tcW w:w="606" w:type="pct"/>
            <w:shd w:val="clear" w:color="auto" w:fill="FFFFFF" w:themeFill="background1"/>
            <w:tcMar>
              <w:left w:w="28" w:type="dxa"/>
              <w:right w:w="28" w:type="dxa"/>
            </w:tcMar>
          </w:tcPr>
          <w:p w:rsidR="001B0917" w:rsidRDefault="001B0917" w:rsidP="00DA5F85">
            <w:pPr>
              <w:pStyle w:val="TableText0"/>
              <w:jc w:val="center"/>
            </w:pPr>
            <w:r>
              <w:t>0.01</w:t>
            </w:r>
          </w:p>
          <w:p w:rsidR="001B0917" w:rsidRPr="00483F33" w:rsidRDefault="001B0917" w:rsidP="00DA5F85">
            <w:pPr>
              <w:pStyle w:val="TableText0"/>
              <w:jc w:val="center"/>
            </w:pPr>
            <w:r>
              <w:t>(-0.03, 0.05)</w:t>
            </w:r>
          </w:p>
        </w:tc>
      </w:tr>
      <w:tr w:rsidR="00DB54EF" w:rsidRPr="00E16A14" w:rsidTr="00DB54EF">
        <w:tc>
          <w:tcPr>
            <w:tcW w:w="529" w:type="pct"/>
            <w:shd w:val="clear" w:color="auto" w:fill="FFFFFF" w:themeFill="background1"/>
            <w:tcMar>
              <w:left w:w="28" w:type="dxa"/>
              <w:right w:w="28" w:type="dxa"/>
            </w:tcMar>
            <w:vAlign w:val="center"/>
          </w:tcPr>
          <w:p w:rsidR="001B0917" w:rsidRPr="00D36609" w:rsidRDefault="001B0917" w:rsidP="00DA5F85">
            <w:pPr>
              <w:pStyle w:val="TableText0"/>
            </w:pPr>
            <w:r w:rsidRPr="00D36609">
              <w:t xml:space="preserve">TEAE leading to </w:t>
            </w:r>
            <w:r w:rsidRPr="008A0A39">
              <w:rPr>
                <w:sz w:val="18"/>
              </w:rPr>
              <w:t>withdrawal</w:t>
            </w:r>
            <w:r w:rsidRPr="00D36609">
              <w:t xml:space="preserve"> from study</w:t>
            </w:r>
          </w:p>
        </w:tc>
        <w:tc>
          <w:tcPr>
            <w:tcW w:w="307"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7</w:t>
            </w:r>
          </w:p>
        </w:tc>
        <w:tc>
          <w:tcPr>
            <w:tcW w:w="377"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 xml:space="preserve">7/68 </w:t>
            </w:r>
            <w:r w:rsidR="00DB54EF">
              <w:br/>
            </w:r>
            <w:r w:rsidRPr="00483F33">
              <w:t>(10.3)</w:t>
            </w:r>
          </w:p>
        </w:tc>
        <w:tc>
          <w:tcPr>
            <w:tcW w:w="303"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9</w:t>
            </w:r>
          </w:p>
        </w:tc>
        <w:tc>
          <w:tcPr>
            <w:tcW w:w="379" w:type="pct"/>
            <w:shd w:val="clear" w:color="auto" w:fill="FFFFFF" w:themeFill="background1"/>
            <w:tcMar>
              <w:left w:w="28" w:type="dxa"/>
              <w:right w:w="28" w:type="dxa"/>
            </w:tcMar>
            <w:vAlign w:val="center"/>
          </w:tcPr>
          <w:p w:rsidR="001B0917" w:rsidRPr="00483F33" w:rsidRDefault="001B0917" w:rsidP="00DB54EF">
            <w:pPr>
              <w:pStyle w:val="TableText0"/>
              <w:jc w:val="center"/>
            </w:pPr>
            <w:r w:rsidRPr="00483F33">
              <w:t xml:space="preserve">8/68 </w:t>
            </w:r>
            <w:r w:rsidR="00DB54EF">
              <w:br/>
            </w:r>
            <w:r w:rsidRPr="00483F33">
              <w:t>(11.8)</w:t>
            </w:r>
          </w:p>
        </w:tc>
        <w:tc>
          <w:tcPr>
            <w:tcW w:w="303" w:type="pct"/>
            <w:shd w:val="clear" w:color="auto" w:fill="FFFFFF" w:themeFill="background1"/>
            <w:tcMar>
              <w:left w:w="28" w:type="dxa"/>
              <w:right w:w="28" w:type="dxa"/>
            </w:tcMar>
            <w:vAlign w:val="center"/>
          </w:tcPr>
          <w:p w:rsidR="001B0917" w:rsidRPr="00483F33" w:rsidRDefault="001B0917" w:rsidP="00DA5F85">
            <w:pPr>
              <w:pStyle w:val="TableText0"/>
              <w:jc w:val="center"/>
            </w:pPr>
            <w:r w:rsidRPr="00483F33">
              <w:t>4</w:t>
            </w:r>
            <w:r>
              <w:t>2</w:t>
            </w:r>
          </w:p>
        </w:tc>
        <w:tc>
          <w:tcPr>
            <w:tcW w:w="379" w:type="pct"/>
            <w:shd w:val="clear" w:color="auto" w:fill="FFFFFF" w:themeFill="background1"/>
            <w:tcMar>
              <w:left w:w="28" w:type="dxa"/>
              <w:right w:w="28" w:type="dxa"/>
            </w:tcMar>
            <w:vAlign w:val="center"/>
          </w:tcPr>
          <w:p w:rsidR="001B0917" w:rsidRPr="00483F33" w:rsidRDefault="001B0917" w:rsidP="00DB54EF">
            <w:pPr>
              <w:pStyle w:val="TableText0"/>
              <w:jc w:val="center"/>
            </w:pPr>
            <w:r w:rsidRPr="00483F33">
              <w:t>4</w:t>
            </w:r>
            <w:r>
              <w:t>1</w:t>
            </w:r>
            <w:r w:rsidRPr="00483F33">
              <w:t>/68 (6</w:t>
            </w:r>
            <w:r>
              <w:t>0.3</w:t>
            </w:r>
            <w:r w:rsidRPr="00483F33">
              <w:t>)</w:t>
            </w:r>
          </w:p>
        </w:tc>
        <w:tc>
          <w:tcPr>
            <w:tcW w:w="604" w:type="pct"/>
            <w:shd w:val="clear" w:color="auto" w:fill="FFFFFF" w:themeFill="background1"/>
            <w:tcMar>
              <w:left w:w="28" w:type="dxa"/>
              <w:right w:w="28" w:type="dxa"/>
            </w:tcMar>
          </w:tcPr>
          <w:p w:rsidR="001B0917" w:rsidRPr="00B27052" w:rsidRDefault="001B0917" w:rsidP="00DA5F85">
            <w:pPr>
              <w:pStyle w:val="TableText0"/>
              <w:jc w:val="center"/>
              <w:rPr>
                <w:b/>
                <w:bCs w:val="0"/>
              </w:rPr>
            </w:pPr>
            <w:r w:rsidRPr="00B27052">
              <w:rPr>
                <w:b/>
                <w:bCs w:val="0"/>
              </w:rPr>
              <w:t>0.17</w:t>
            </w:r>
          </w:p>
          <w:p w:rsidR="001B0917" w:rsidRPr="00B27052" w:rsidRDefault="001B0917" w:rsidP="00DA5F85">
            <w:pPr>
              <w:pStyle w:val="TableText0"/>
              <w:jc w:val="center"/>
              <w:rPr>
                <w:b/>
                <w:bCs w:val="0"/>
              </w:rPr>
            </w:pPr>
            <w:r w:rsidRPr="00B27052">
              <w:rPr>
                <w:b/>
                <w:bCs w:val="0"/>
              </w:rPr>
              <w:t>(0.08, 0.34)</w:t>
            </w:r>
          </w:p>
          <w:p w:rsidR="001B0917" w:rsidRPr="00B27052" w:rsidRDefault="001B0917" w:rsidP="00DA5F85">
            <w:pPr>
              <w:pStyle w:val="TableText0"/>
              <w:jc w:val="center"/>
              <w:rPr>
                <w:b/>
                <w:bCs w:val="0"/>
              </w:rPr>
            </w:pPr>
            <w:r w:rsidRPr="00B27052">
              <w:rPr>
                <w:b/>
                <w:bCs w:val="0"/>
              </w:rPr>
              <w:t>p&lt;0.0001</w:t>
            </w:r>
          </w:p>
        </w:tc>
        <w:tc>
          <w:tcPr>
            <w:tcW w:w="607" w:type="pct"/>
            <w:shd w:val="clear" w:color="auto" w:fill="FFFFFF" w:themeFill="background1"/>
            <w:tcMar>
              <w:left w:w="28" w:type="dxa"/>
              <w:right w:w="28" w:type="dxa"/>
            </w:tcMar>
          </w:tcPr>
          <w:p w:rsidR="001B0917" w:rsidRPr="00B27052" w:rsidRDefault="001B0917" w:rsidP="00DA5F85">
            <w:pPr>
              <w:pStyle w:val="TableText0"/>
              <w:jc w:val="center"/>
              <w:rPr>
                <w:b/>
                <w:bCs w:val="0"/>
              </w:rPr>
            </w:pPr>
            <w:r w:rsidRPr="00B27052">
              <w:rPr>
                <w:b/>
                <w:bCs w:val="0"/>
              </w:rPr>
              <w:t>0.19</w:t>
            </w:r>
          </w:p>
          <w:p w:rsidR="001B0917" w:rsidRPr="00B27052" w:rsidRDefault="001B0917" w:rsidP="00DA5F85">
            <w:pPr>
              <w:pStyle w:val="TableText0"/>
              <w:jc w:val="center"/>
              <w:rPr>
                <w:b/>
                <w:bCs w:val="0"/>
              </w:rPr>
            </w:pPr>
            <w:r w:rsidRPr="00B27052">
              <w:rPr>
                <w:b/>
                <w:bCs w:val="0"/>
              </w:rPr>
              <w:t>(0.10, 0.37)</w:t>
            </w:r>
          </w:p>
          <w:p w:rsidR="001B0917" w:rsidRPr="00B27052" w:rsidRDefault="001B0917" w:rsidP="00DA5F85">
            <w:pPr>
              <w:pStyle w:val="TableText0"/>
              <w:jc w:val="center"/>
              <w:rPr>
                <w:b/>
                <w:bCs w:val="0"/>
              </w:rPr>
            </w:pPr>
            <w:r w:rsidRPr="00B27052">
              <w:rPr>
                <w:b/>
                <w:bCs w:val="0"/>
              </w:rPr>
              <w:t>p&lt;0.0001</w:t>
            </w:r>
          </w:p>
        </w:tc>
        <w:tc>
          <w:tcPr>
            <w:tcW w:w="607" w:type="pct"/>
            <w:shd w:val="clear" w:color="auto" w:fill="FFFFFF" w:themeFill="background1"/>
            <w:tcMar>
              <w:left w:w="28" w:type="dxa"/>
              <w:right w:w="28" w:type="dxa"/>
            </w:tcMar>
          </w:tcPr>
          <w:p w:rsidR="001B0917" w:rsidRPr="00B27052" w:rsidRDefault="001B0917" w:rsidP="00DA5F85">
            <w:pPr>
              <w:pStyle w:val="TableText0"/>
              <w:jc w:val="center"/>
              <w:rPr>
                <w:b/>
                <w:bCs w:val="0"/>
              </w:rPr>
            </w:pPr>
            <w:r w:rsidRPr="00B27052">
              <w:rPr>
                <w:b/>
                <w:bCs w:val="0"/>
              </w:rPr>
              <w:t>-0.51</w:t>
            </w:r>
          </w:p>
          <w:p w:rsidR="001B0917" w:rsidRPr="00B27052" w:rsidRDefault="001B0917" w:rsidP="00DA5F85">
            <w:pPr>
              <w:pStyle w:val="TableText0"/>
              <w:jc w:val="center"/>
              <w:rPr>
                <w:b/>
                <w:bCs w:val="0"/>
              </w:rPr>
            </w:pPr>
            <w:r w:rsidRPr="00B27052">
              <w:rPr>
                <w:b/>
                <w:bCs w:val="0"/>
              </w:rPr>
              <w:t>(-0.65, -0.38)</w:t>
            </w:r>
          </w:p>
          <w:p w:rsidR="001B0917" w:rsidRPr="00B27052" w:rsidRDefault="001B0917" w:rsidP="00DA5F85">
            <w:pPr>
              <w:pStyle w:val="TableText0"/>
              <w:jc w:val="center"/>
              <w:rPr>
                <w:b/>
                <w:bCs w:val="0"/>
              </w:rPr>
            </w:pPr>
            <w:r w:rsidRPr="00B27052">
              <w:rPr>
                <w:b/>
                <w:bCs w:val="0"/>
              </w:rPr>
              <w:t>p&lt;0.0001</w:t>
            </w:r>
          </w:p>
        </w:tc>
        <w:tc>
          <w:tcPr>
            <w:tcW w:w="606" w:type="pct"/>
            <w:shd w:val="clear" w:color="auto" w:fill="FFFFFF" w:themeFill="background1"/>
            <w:tcMar>
              <w:left w:w="28" w:type="dxa"/>
              <w:right w:w="28" w:type="dxa"/>
            </w:tcMar>
          </w:tcPr>
          <w:p w:rsidR="001B0917" w:rsidRPr="00B27052" w:rsidRDefault="001B0917" w:rsidP="00DA5F85">
            <w:pPr>
              <w:pStyle w:val="TableText0"/>
              <w:jc w:val="center"/>
              <w:rPr>
                <w:b/>
                <w:bCs w:val="0"/>
              </w:rPr>
            </w:pPr>
            <w:r w:rsidRPr="00B27052">
              <w:rPr>
                <w:b/>
                <w:bCs w:val="0"/>
              </w:rPr>
              <w:t>-0.50</w:t>
            </w:r>
          </w:p>
          <w:p w:rsidR="001B0917" w:rsidRPr="00B27052" w:rsidRDefault="001B0917" w:rsidP="00DA5F85">
            <w:pPr>
              <w:pStyle w:val="TableText0"/>
              <w:jc w:val="center"/>
              <w:rPr>
                <w:b/>
                <w:bCs w:val="0"/>
              </w:rPr>
            </w:pPr>
            <w:r w:rsidRPr="00B27052">
              <w:rPr>
                <w:b/>
                <w:bCs w:val="0"/>
              </w:rPr>
              <w:t>(-0.64, -0.36)</w:t>
            </w:r>
          </w:p>
          <w:p w:rsidR="001B0917" w:rsidRPr="00B27052" w:rsidRDefault="001B0917" w:rsidP="00DA5F85">
            <w:pPr>
              <w:pStyle w:val="TableText0"/>
              <w:jc w:val="center"/>
              <w:rPr>
                <w:b/>
                <w:bCs w:val="0"/>
              </w:rPr>
            </w:pPr>
            <w:r w:rsidRPr="00B27052">
              <w:rPr>
                <w:b/>
                <w:bCs w:val="0"/>
              </w:rPr>
              <w:t>p&lt;0.0001</w:t>
            </w:r>
          </w:p>
        </w:tc>
      </w:tr>
    </w:tbl>
    <w:p w:rsidR="001B0917" w:rsidRPr="00606B4B" w:rsidRDefault="001B0917" w:rsidP="001B0917">
      <w:pPr>
        <w:pStyle w:val="Default"/>
        <w:jc w:val="both"/>
        <w:rPr>
          <w:rFonts w:ascii="Arial Narrow" w:eastAsia="Calibri" w:hAnsi="Arial Narrow" w:cs="Arial"/>
          <w:snapToGrid w:val="0"/>
          <w:color w:val="auto"/>
          <w:sz w:val="18"/>
          <w:szCs w:val="22"/>
          <w:lang w:val="en-AU" w:eastAsia="en-AU"/>
        </w:rPr>
      </w:pPr>
      <w:r w:rsidRPr="00606B4B">
        <w:rPr>
          <w:rFonts w:ascii="Arial Narrow" w:eastAsia="Calibri" w:hAnsi="Arial Narrow" w:cs="Arial"/>
          <w:snapToGrid w:val="0"/>
          <w:color w:val="auto"/>
          <w:sz w:val="18"/>
          <w:szCs w:val="22"/>
          <w:lang w:val="en-AU" w:eastAsia="en-AU"/>
        </w:rPr>
        <w:t>Source: Table 2-38, p136 and Table 2-39, pp136-137 of the submission.</w:t>
      </w:r>
    </w:p>
    <w:p w:rsidR="001B0917" w:rsidRPr="00606B4B" w:rsidRDefault="001B0917" w:rsidP="001B0917">
      <w:pPr>
        <w:pStyle w:val="Default"/>
        <w:jc w:val="both"/>
        <w:rPr>
          <w:rFonts w:ascii="Arial Narrow" w:eastAsia="Calibri" w:hAnsi="Arial Narrow" w:cs="Arial"/>
          <w:snapToGrid w:val="0"/>
          <w:color w:val="auto"/>
          <w:sz w:val="18"/>
          <w:szCs w:val="22"/>
          <w:lang w:val="en-AU" w:eastAsia="en-AU"/>
        </w:rPr>
      </w:pPr>
      <w:r w:rsidRPr="00606B4B">
        <w:rPr>
          <w:rFonts w:ascii="Arial Narrow" w:eastAsia="Calibri" w:hAnsi="Arial Narrow" w:cs="Arial"/>
          <w:snapToGrid w:val="0"/>
          <w:color w:val="auto"/>
          <w:sz w:val="18"/>
          <w:szCs w:val="22"/>
          <w:lang w:val="en-AU" w:eastAsia="en-AU"/>
        </w:rPr>
        <w:t>Abbreviations: ADR = adverse drug reaction; AE = adverse event; BID = twice daily; BOT = budesonide orally disintegrating tablet; CI = confidence interval; DB = double-blind;</w:t>
      </w:r>
      <w:r>
        <w:rPr>
          <w:rFonts w:ascii="Arial Narrow" w:eastAsia="Calibri" w:hAnsi="Arial Narrow" w:cs="Arial"/>
          <w:snapToGrid w:val="0"/>
          <w:color w:val="auto"/>
          <w:sz w:val="18"/>
          <w:szCs w:val="22"/>
          <w:lang w:val="en-AU" w:eastAsia="en-AU"/>
        </w:rPr>
        <w:t xml:space="preserve"> </w:t>
      </w:r>
      <w:r w:rsidRPr="00606B4B">
        <w:rPr>
          <w:rFonts w:ascii="Arial Narrow" w:eastAsia="Calibri" w:hAnsi="Arial Narrow" w:cs="Arial"/>
          <w:snapToGrid w:val="0"/>
          <w:color w:val="auto"/>
          <w:sz w:val="18"/>
          <w:szCs w:val="22"/>
          <w:lang w:val="en-AU" w:eastAsia="en-AU"/>
        </w:rPr>
        <w:t xml:space="preserve">NR = not reported; PBO = placebo; SAF = safety analysis set; WDAE = adverse event where measures include that DB IMP was withdrawn. </w:t>
      </w:r>
    </w:p>
    <w:p w:rsidR="001B0917" w:rsidRPr="00606B4B" w:rsidRDefault="001B0917" w:rsidP="001B0917">
      <w:pPr>
        <w:pStyle w:val="Default"/>
        <w:jc w:val="both"/>
        <w:rPr>
          <w:rFonts w:ascii="Arial Narrow" w:eastAsia="Calibri" w:hAnsi="Arial Narrow" w:cs="Arial"/>
          <w:snapToGrid w:val="0"/>
          <w:color w:val="auto"/>
          <w:sz w:val="18"/>
          <w:szCs w:val="22"/>
          <w:lang w:val="en-AU" w:eastAsia="en-AU"/>
        </w:rPr>
      </w:pPr>
      <w:r w:rsidRPr="00606B4B">
        <w:rPr>
          <w:rFonts w:ascii="Arial Narrow" w:eastAsia="Calibri" w:hAnsi="Arial Narrow" w:cs="Arial"/>
          <w:snapToGrid w:val="0"/>
          <w:color w:val="auto"/>
          <w:sz w:val="18"/>
          <w:szCs w:val="22"/>
          <w:lang w:val="en-AU" w:eastAsia="en-AU"/>
        </w:rPr>
        <w:t xml:space="preserve">Notes: </w:t>
      </w:r>
      <w:r w:rsidRPr="00606B4B">
        <w:rPr>
          <w:rFonts w:ascii="Arial Narrow" w:eastAsia="Calibri" w:hAnsi="Arial Narrow" w:cs="Arial"/>
          <w:b/>
          <w:bCs/>
          <w:snapToGrid w:val="0"/>
          <w:color w:val="auto"/>
          <w:sz w:val="18"/>
          <w:szCs w:val="22"/>
          <w:lang w:val="en-AU" w:eastAsia="en-AU"/>
        </w:rPr>
        <w:t>Bold</w:t>
      </w:r>
      <w:r w:rsidRPr="00606B4B">
        <w:rPr>
          <w:rFonts w:ascii="Arial Narrow" w:eastAsia="Calibri" w:hAnsi="Arial Narrow" w:cs="Arial"/>
          <w:snapToGrid w:val="0"/>
          <w:color w:val="auto"/>
          <w:sz w:val="18"/>
          <w:szCs w:val="22"/>
          <w:lang w:val="en-AU" w:eastAsia="en-AU"/>
        </w:rPr>
        <w:t xml:space="preserve"> indicates statistically significant results.</w:t>
      </w:r>
    </w:p>
    <w:p w:rsidR="001B0917" w:rsidRPr="00606B4B" w:rsidRDefault="001B0917" w:rsidP="001B0917">
      <w:pPr>
        <w:pStyle w:val="Default"/>
        <w:jc w:val="both"/>
        <w:rPr>
          <w:rFonts w:ascii="Arial Narrow" w:eastAsia="Calibri" w:hAnsi="Arial Narrow" w:cs="Arial"/>
          <w:snapToGrid w:val="0"/>
          <w:color w:val="auto"/>
          <w:sz w:val="18"/>
          <w:szCs w:val="22"/>
          <w:lang w:val="en-AU" w:eastAsia="en-AU"/>
        </w:rPr>
      </w:pPr>
      <w:r w:rsidRPr="00606B4B">
        <w:rPr>
          <w:rFonts w:ascii="Arial Narrow" w:eastAsia="Calibri" w:hAnsi="Arial Narrow" w:cs="Arial"/>
          <w:snapToGrid w:val="0"/>
          <w:color w:val="auto"/>
          <w:sz w:val="18"/>
          <w:szCs w:val="22"/>
          <w:lang w:val="en-AU" w:eastAsia="en-AU"/>
        </w:rPr>
        <w:t xml:space="preserve">a. Definitions: Treatment emergent AE defined as any event with an onset occurring after first administration of </w:t>
      </w:r>
      <w:r w:rsidRPr="005C4C6B">
        <w:rPr>
          <w:rFonts w:ascii="Arial Narrow" w:eastAsia="Calibri" w:hAnsi="Arial Narrow" w:cs="Arial"/>
          <w:snapToGrid w:val="0"/>
          <w:color w:val="auto"/>
          <w:sz w:val="18"/>
          <w:szCs w:val="22"/>
          <w:lang w:val="en-AU" w:eastAsia="en-AU"/>
        </w:rPr>
        <w:t>the intervention</w:t>
      </w:r>
      <w:r w:rsidRPr="00606B4B">
        <w:rPr>
          <w:rFonts w:ascii="Arial Narrow" w:eastAsia="Calibri" w:hAnsi="Arial Narrow" w:cs="Arial"/>
          <w:snapToGrid w:val="0"/>
          <w:color w:val="auto"/>
          <w:sz w:val="18"/>
          <w:szCs w:val="22"/>
          <w:lang w:val="en-AU" w:eastAsia="en-AU"/>
        </w:rPr>
        <w:t xml:space="preserve"> or, if pre-existing, worsening after first administration of </w:t>
      </w:r>
      <w:r w:rsidRPr="005C4C6B">
        <w:rPr>
          <w:rFonts w:ascii="Arial Narrow" w:eastAsia="Calibri" w:hAnsi="Arial Narrow" w:cs="Arial"/>
          <w:snapToGrid w:val="0"/>
          <w:color w:val="auto"/>
          <w:sz w:val="18"/>
          <w:szCs w:val="22"/>
          <w:lang w:val="en-AU" w:eastAsia="en-AU"/>
        </w:rPr>
        <w:t>the intervention</w:t>
      </w:r>
      <w:r>
        <w:rPr>
          <w:rFonts w:ascii="Arial Narrow" w:eastAsia="Calibri" w:hAnsi="Arial Narrow" w:cs="Arial"/>
          <w:snapToGrid w:val="0"/>
          <w:color w:val="auto"/>
          <w:sz w:val="18"/>
          <w:szCs w:val="22"/>
          <w:lang w:val="en-AU" w:eastAsia="en-AU"/>
        </w:rPr>
        <w:t>,</w:t>
      </w:r>
      <w:r w:rsidRPr="00606B4B">
        <w:rPr>
          <w:rFonts w:ascii="Arial Narrow" w:eastAsia="Calibri" w:hAnsi="Arial Narrow" w:cs="Arial"/>
          <w:snapToGrid w:val="0"/>
          <w:color w:val="auto"/>
          <w:sz w:val="18"/>
          <w:szCs w:val="22"/>
          <w:lang w:val="en-AU" w:eastAsia="en-AU"/>
        </w:rPr>
        <w:t xml:space="preserve"> and occurring within the period of treatment with </w:t>
      </w:r>
      <w:r w:rsidRPr="005C4C6B">
        <w:rPr>
          <w:rFonts w:ascii="Arial Narrow" w:eastAsia="Calibri" w:hAnsi="Arial Narrow" w:cs="Arial"/>
          <w:snapToGrid w:val="0"/>
          <w:color w:val="auto"/>
          <w:sz w:val="18"/>
          <w:szCs w:val="22"/>
          <w:lang w:val="en-AU" w:eastAsia="en-AU"/>
        </w:rPr>
        <w:t>the intervention</w:t>
      </w:r>
      <w:r w:rsidRPr="00606B4B">
        <w:rPr>
          <w:rFonts w:ascii="Arial Narrow" w:eastAsia="Calibri" w:hAnsi="Arial Narrow" w:cs="Arial"/>
          <w:snapToGrid w:val="0"/>
          <w:color w:val="auto"/>
          <w:sz w:val="18"/>
          <w:szCs w:val="22"/>
          <w:lang w:val="en-AU" w:eastAsia="en-AU"/>
        </w:rPr>
        <w:t xml:space="preserve">. </w:t>
      </w:r>
    </w:p>
    <w:p w:rsidR="001B0917" w:rsidRPr="00606B4B" w:rsidRDefault="001B0917" w:rsidP="001B0917">
      <w:pPr>
        <w:pStyle w:val="Default"/>
        <w:jc w:val="both"/>
        <w:rPr>
          <w:rFonts w:ascii="Arial Narrow" w:eastAsia="Calibri" w:hAnsi="Arial Narrow" w:cs="Arial"/>
          <w:snapToGrid w:val="0"/>
          <w:color w:val="auto"/>
          <w:sz w:val="18"/>
          <w:szCs w:val="22"/>
          <w:lang w:val="en-AU" w:eastAsia="en-AU"/>
        </w:rPr>
      </w:pPr>
      <w:r w:rsidRPr="00606B4B">
        <w:rPr>
          <w:rFonts w:ascii="Arial Narrow" w:eastAsia="Calibri" w:hAnsi="Arial Narrow" w:cs="Arial"/>
          <w:snapToGrid w:val="0"/>
          <w:color w:val="auto"/>
          <w:sz w:val="18"/>
          <w:szCs w:val="22"/>
          <w:lang w:val="en-AU" w:eastAsia="en-AU"/>
        </w:rPr>
        <w:t>Study drug related TEAS (ADR) is defined as an AE with causality = certain, probably/likely or possible. Causality assessment for suspected ADR was done according to the World Health Organisation (WHO) Collaborating Centre for International Drug Monitoring (Se CSR p. 98).</w:t>
      </w:r>
    </w:p>
    <w:p w:rsidR="001B0917" w:rsidRPr="00606B4B" w:rsidRDefault="001B0917" w:rsidP="001B0917">
      <w:pPr>
        <w:pStyle w:val="Default"/>
        <w:jc w:val="both"/>
        <w:rPr>
          <w:rFonts w:ascii="Arial Narrow" w:eastAsia="Calibri" w:hAnsi="Arial Narrow" w:cs="Arial"/>
          <w:snapToGrid w:val="0"/>
          <w:color w:val="auto"/>
          <w:sz w:val="18"/>
          <w:szCs w:val="22"/>
          <w:lang w:val="en-AU" w:eastAsia="en-AU"/>
        </w:rPr>
      </w:pPr>
      <w:r w:rsidRPr="00606B4B">
        <w:rPr>
          <w:rFonts w:ascii="Arial Narrow" w:eastAsia="Calibri" w:hAnsi="Arial Narrow" w:cs="Arial"/>
          <w:snapToGrid w:val="0"/>
          <w:color w:val="auto"/>
          <w:sz w:val="18"/>
          <w:szCs w:val="22"/>
          <w:lang w:val="en-AU" w:eastAsia="en-AU"/>
        </w:rPr>
        <w:t>Serious AE defined as any untoward medical occurrence that at any dose: results in death, is life threatening, required inpatient hospitalisation or prolongation of existing hospitalisation, results in persistent or significant disability/incapacity, is a congenital anomaly/birth defect or meets the definition of other medical important conditions (see CSR p.96).</w:t>
      </w:r>
    </w:p>
    <w:p w:rsidR="001B0917" w:rsidRPr="00925E28" w:rsidRDefault="001B0917" w:rsidP="001B0917">
      <w:pPr>
        <w:pStyle w:val="Default"/>
        <w:jc w:val="both"/>
        <w:rPr>
          <w:rFonts w:ascii="Arial Narrow" w:eastAsia="Calibri" w:hAnsi="Arial Narrow" w:cs="Arial"/>
          <w:snapToGrid w:val="0"/>
          <w:color w:val="auto"/>
          <w:sz w:val="18"/>
          <w:szCs w:val="22"/>
          <w:lang w:val="en-AU" w:eastAsia="en-AU"/>
        </w:rPr>
      </w:pPr>
      <w:r w:rsidRPr="00606B4B">
        <w:rPr>
          <w:rFonts w:ascii="Arial Narrow" w:eastAsia="Calibri" w:hAnsi="Arial Narrow" w:cs="Arial"/>
          <w:snapToGrid w:val="0"/>
          <w:color w:val="auto"/>
          <w:sz w:val="18"/>
          <w:szCs w:val="22"/>
          <w:lang w:val="en-AU" w:eastAsia="en-AU"/>
        </w:rPr>
        <w:t>b. Calculated post-hoc for the submission using Review Manager 5.4.</w:t>
      </w:r>
    </w:p>
    <w:p w:rsidR="001B0917" w:rsidRPr="00C9624D" w:rsidRDefault="001B0917" w:rsidP="001B0917">
      <w:pPr>
        <w:pStyle w:val="4-SubsectionHeading"/>
      </w:pPr>
      <w:bookmarkStart w:id="16" w:name="_Toc22897643"/>
      <w:bookmarkStart w:id="17" w:name="_Toc62047623"/>
      <w:r w:rsidRPr="00C9624D">
        <w:t>Benefits/harms</w:t>
      </w:r>
      <w:bookmarkEnd w:id="16"/>
      <w:bookmarkEnd w:id="17"/>
    </w:p>
    <w:p w:rsidR="0008094E" w:rsidRDefault="008B115D" w:rsidP="001B0917">
      <w:pPr>
        <w:pStyle w:val="3-BodyText"/>
      </w:pPr>
      <w:r>
        <w:t>A s</w:t>
      </w:r>
      <w:r w:rsidR="0008094E">
        <w:t xml:space="preserve">ummary of </w:t>
      </w:r>
      <w:r w:rsidR="0008094E" w:rsidRPr="0008094E">
        <w:t xml:space="preserve">comparative benefits and harms for BOT </w:t>
      </w:r>
      <w:r w:rsidR="00A31F69">
        <w:t>1</w:t>
      </w:r>
      <w:r w:rsidR="009A7A2A">
        <w:t xml:space="preserve"> </w:t>
      </w:r>
      <w:r w:rsidR="00A31F69">
        <w:t xml:space="preserve">mg BID </w:t>
      </w:r>
      <w:r w:rsidR="0008094E" w:rsidRPr="0008094E">
        <w:t xml:space="preserve">and </w:t>
      </w:r>
      <w:r w:rsidR="0008094E">
        <w:t xml:space="preserve">placebo is presented in Table 10. </w:t>
      </w:r>
    </w:p>
    <w:p w:rsidR="0008094E" w:rsidRPr="00D2155B" w:rsidRDefault="0008094E" w:rsidP="00645185">
      <w:pPr>
        <w:pStyle w:val="TableFigureHeading"/>
        <w:keepLines/>
        <w:rPr>
          <w:rStyle w:val="CommentReference"/>
          <w:b/>
          <w:szCs w:val="24"/>
        </w:rPr>
      </w:pPr>
      <w:r w:rsidRPr="00D2155B">
        <w:rPr>
          <w:rStyle w:val="CommentReference"/>
          <w:b/>
          <w:szCs w:val="24"/>
        </w:rPr>
        <w:t xml:space="preserve">Table </w:t>
      </w:r>
      <w:r>
        <w:rPr>
          <w:rStyle w:val="CommentReference"/>
          <w:b/>
          <w:szCs w:val="24"/>
        </w:rPr>
        <w:t>10</w:t>
      </w:r>
      <w:r w:rsidRPr="00D2155B">
        <w:rPr>
          <w:rStyle w:val="CommentReference"/>
          <w:b/>
          <w:szCs w:val="24"/>
        </w:rPr>
        <w:t xml:space="preserve">: Summary of comparative benefits and harms for </w:t>
      </w:r>
      <w:r>
        <w:rPr>
          <w:rStyle w:val="CommentReference"/>
          <w:b/>
          <w:szCs w:val="24"/>
        </w:rPr>
        <w:t>BOT</w:t>
      </w:r>
      <w:r w:rsidRPr="00D2155B">
        <w:rPr>
          <w:rStyle w:val="CommentReference"/>
          <w:b/>
          <w:szCs w:val="24"/>
        </w:rPr>
        <w:t xml:space="preserve"> </w:t>
      </w:r>
      <w:r w:rsidR="00A31F69">
        <w:rPr>
          <w:rStyle w:val="CommentReference"/>
          <w:b/>
          <w:szCs w:val="24"/>
        </w:rPr>
        <w:t>1</w:t>
      </w:r>
      <w:r w:rsidR="009A7A2A">
        <w:rPr>
          <w:rStyle w:val="CommentReference"/>
          <w:b/>
          <w:szCs w:val="24"/>
        </w:rPr>
        <w:t xml:space="preserve"> </w:t>
      </w:r>
      <w:r w:rsidR="00A31F69">
        <w:rPr>
          <w:rStyle w:val="CommentReference"/>
          <w:b/>
          <w:szCs w:val="24"/>
        </w:rPr>
        <w:t xml:space="preserve">mg BID </w:t>
      </w:r>
      <w:r w:rsidRPr="00D2155B">
        <w:rPr>
          <w:rStyle w:val="CommentReference"/>
          <w:b/>
          <w:szCs w:val="24"/>
        </w:rPr>
        <w:t xml:space="preserve">and </w:t>
      </w:r>
      <w:r>
        <w:rPr>
          <w:rStyle w:val="CommentReference"/>
          <w:b/>
          <w:szCs w:val="24"/>
        </w:rPr>
        <w:t>PBO</w:t>
      </w:r>
    </w:p>
    <w:tbl>
      <w:tblPr>
        <w:tblW w:w="5000" w:type="pct"/>
        <w:tblLayout w:type="fixed"/>
        <w:tblCellMar>
          <w:left w:w="28" w:type="dxa"/>
          <w:right w:w="28" w:type="dxa"/>
        </w:tblCellMar>
        <w:tblLook w:val="04A0" w:firstRow="1" w:lastRow="0" w:firstColumn="1" w:lastColumn="0" w:noHBand="0" w:noVBand="1"/>
      </w:tblPr>
      <w:tblGrid>
        <w:gridCol w:w="1141"/>
        <w:gridCol w:w="13"/>
        <w:gridCol w:w="1143"/>
        <w:gridCol w:w="1284"/>
        <w:gridCol w:w="1555"/>
        <w:gridCol w:w="1133"/>
        <w:gridCol w:w="90"/>
        <w:gridCol w:w="1127"/>
        <w:gridCol w:w="144"/>
        <w:gridCol w:w="1387"/>
      </w:tblGrid>
      <w:tr w:rsidR="0008094E" w:rsidRPr="00E2771E" w:rsidTr="00C5717C">
        <w:trPr>
          <w:cantSplit/>
          <w:trHeight w:val="150"/>
          <w:tblHeader/>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08094E" w:rsidP="00645185">
            <w:pPr>
              <w:pStyle w:val="In-tableHeading"/>
              <w:keepLines/>
              <w:widowControl w:val="0"/>
            </w:pPr>
            <w:r w:rsidRPr="00E2771E">
              <w:t>Trial</w:t>
            </w:r>
          </w:p>
        </w:tc>
        <w:tc>
          <w:tcPr>
            <w:tcW w:w="641" w:type="pct"/>
            <w:gridSpan w:val="2"/>
            <w:vMerge w:val="restart"/>
            <w:tcBorders>
              <w:top w:val="single" w:sz="4" w:space="0" w:color="auto"/>
              <w:left w:val="single" w:sz="4" w:space="0" w:color="auto"/>
              <w:bottom w:val="single" w:sz="4" w:space="0" w:color="auto"/>
              <w:right w:val="single" w:sz="4" w:space="0" w:color="auto"/>
            </w:tcBorders>
            <w:vAlign w:val="center"/>
          </w:tcPr>
          <w:p w:rsidR="0008094E" w:rsidRDefault="0008094E" w:rsidP="00645185">
            <w:pPr>
              <w:pStyle w:val="In-tableHeading"/>
              <w:keepLines/>
              <w:widowControl w:val="0"/>
              <w:jc w:val="center"/>
            </w:pPr>
            <w:r>
              <w:t>BOT</w:t>
            </w:r>
          </w:p>
          <w:p w:rsidR="0008094E" w:rsidRPr="00E2771E" w:rsidRDefault="0008094E" w:rsidP="00645185">
            <w:pPr>
              <w:pStyle w:val="In-tableHeading"/>
              <w:keepLines/>
              <w:widowControl w:val="0"/>
              <w:jc w:val="center"/>
            </w:pPr>
            <w:r>
              <w:t>n/N</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rsidR="0008094E" w:rsidRDefault="0008094E" w:rsidP="00645185">
            <w:pPr>
              <w:pStyle w:val="In-tableHeading"/>
              <w:keepLines/>
              <w:widowControl w:val="0"/>
              <w:jc w:val="center"/>
            </w:pPr>
            <w:r w:rsidRPr="00E2771E">
              <w:t>PBO</w:t>
            </w:r>
          </w:p>
          <w:p w:rsidR="0008094E" w:rsidRPr="00E2771E" w:rsidRDefault="0008094E" w:rsidP="00645185">
            <w:pPr>
              <w:pStyle w:val="In-tableHeading"/>
              <w:keepLines/>
              <w:widowControl w:val="0"/>
              <w:jc w:val="center"/>
            </w:pPr>
            <w:r>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In-tableHeading"/>
              <w:keepLines/>
              <w:widowControl w:val="0"/>
              <w:jc w:val="center"/>
            </w:pPr>
            <w:r w:rsidRPr="00E2771E">
              <w:t>RR</w:t>
            </w:r>
          </w:p>
          <w:p w:rsidR="0008094E" w:rsidRPr="00E2771E" w:rsidRDefault="0008094E" w:rsidP="00645185">
            <w:pPr>
              <w:pStyle w:val="In-tableHeading"/>
              <w:keepLines/>
              <w:widowControl w:val="0"/>
              <w:jc w:val="center"/>
            </w:pPr>
            <w:r w:rsidRPr="00E2771E">
              <w:t>(95% CI)</w:t>
            </w:r>
          </w:p>
        </w:tc>
        <w:tc>
          <w:tcPr>
            <w:tcW w:w="1303" w:type="pct"/>
            <w:gridSpan w:val="3"/>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In-tableHeading"/>
              <w:keepLines/>
              <w:widowControl w:val="0"/>
              <w:jc w:val="center"/>
            </w:pPr>
            <w:r w:rsidRPr="00E2771E">
              <w:t>Event rate/100 patients*</w:t>
            </w:r>
          </w:p>
        </w:tc>
        <w:tc>
          <w:tcPr>
            <w:tcW w:w="849" w:type="pct"/>
            <w:gridSpan w:val="2"/>
            <w:vMerge w:val="restar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In-tableHeading"/>
              <w:keepLines/>
              <w:widowControl w:val="0"/>
              <w:jc w:val="center"/>
            </w:pPr>
            <w:r w:rsidRPr="00E2771E">
              <w:t>RD</w:t>
            </w:r>
          </w:p>
          <w:p w:rsidR="0008094E" w:rsidRPr="00E2771E" w:rsidRDefault="0008094E" w:rsidP="00645185">
            <w:pPr>
              <w:pStyle w:val="In-tableHeading"/>
              <w:keepLines/>
              <w:widowControl w:val="0"/>
              <w:jc w:val="center"/>
            </w:pPr>
            <w:r w:rsidRPr="00E2771E">
              <w:t>(95% CI)</w:t>
            </w:r>
          </w:p>
        </w:tc>
      </w:tr>
      <w:tr w:rsidR="0008094E" w:rsidRPr="00E2771E" w:rsidTr="00C5717C">
        <w:trPr>
          <w:cantSplit/>
          <w:trHeight w:val="31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08094E" w:rsidP="00645185">
            <w:pPr>
              <w:pStyle w:val="In-tableHeading"/>
              <w:keepLines/>
              <w:widowControl w:val="0"/>
              <w:jc w:val="center"/>
            </w:pPr>
          </w:p>
        </w:tc>
        <w:tc>
          <w:tcPr>
            <w:tcW w:w="641" w:type="pct"/>
            <w:gridSpan w:val="2"/>
            <w:vMerge/>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In-tableHeading"/>
              <w:keepLines/>
              <w:widowControl w:val="0"/>
              <w:jc w:val="center"/>
            </w:pPr>
          </w:p>
        </w:tc>
        <w:tc>
          <w:tcPr>
            <w:tcW w:w="712" w:type="pct"/>
            <w:vMerge/>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In-tableHeading"/>
              <w:keepLines/>
              <w:widowControl w:val="0"/>
              <w:jc w:val="center"/>
            </w:pPr>
          </w:p>
        </w:tc>
        <w:tc>
          <w:tcPr>
            <w:tcW w:w="862" w:type="pct"/>
            <w:vMerge/>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In-tableHeading"/>
              <w:keepLines/>
              <w:widowControl w:val="0"/>
              <w:jc w:val="center"/>
            </w:pPr>
          </w:p>
        </w:tc>
        <w:tc>
          <w:tcPr>
            <w:tcW w:w="678" w:type="pct"/>
            <w:gridSpan w:val="2"/>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In-tableHeading"/>
              <w:keepLines/>
              <w:widowControl w:val="0"/>
              <w:jc w:val="center"/>
            </w:pPr>
            <w:r>
              <w:t>BOT</w:t>
            </w:r>
          </w:p>
        </w:tc>
        <w:tc>
          <w:tcPr>
            <w:tcW w:w="625"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In-tableHeading"/>
              <w:keepLines/>
              <w:widowControl w:val="0"/>
              <w:jc w:val="center"/>
            </w:pPr>
            <w:r>
              <w:t>PBO</w:t>
            </w:r>
          </w:p>
        </w:tc>
        <w:tc>
          <w:tcPr>
            <w:tcW w:w="849" w:type="pct"/>
            <w:gridSpan w:val="2"/>
            <w:vMerge/>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In-tableHeading"/>
              <w:keepLines/>
              <w:widowControl w:val="0"/>
              <w:jc w:val="center"/>
            </w:pPr>
          </w:p>
        </w:tc>
      </w:tr>
      <w:tr w:rsidR="0008094E" w:rsidRPr="00E2771E" w:rsidTr="00C5717C">
        <w:trPr>
          <w:cantSplit/>
        </w:trPr>
        <w:tc>
          <w:tcPr>
            <w:tcW w:w="5000" w:type="pct"/>
            <w:gridSpan w:val="10"/>
            <w:tcBorders>
              <w:top w:val="single" w:sz="4" w:space="0" w:color="auto"/>
              <w:left w:val="single" w:sz="4" w:space="0" w:color="auto"/>
              <w:bottom w:val="double" w:sz="4" w:space="0" w:color="auto"/>
              <w:right w:val="single" w:sz="4" w:space="0" w:color="auto"/>
            </w:tcBorders>
            <w:shd w:val="clear" w:color="auto" w:fill="auto"/>
            <w:vAlign w:val="center"/>
          </w:tcPr>
          <w:p w:rsidR="0008094E" w:rsidRPr="00E2771E" w:rsidRDefault="0008094E" w:rsidP="00645185">
            <w:pPr>
              <w:pStyle w:val="In-tableHeading"/>
              <w:keepLines/>
              <w:widowControl w:val="0"/>
            </w:pPr>
            <w:r w:rsidRPr="00E2771E">
              <w:t>Benefits</w:t>
            </w:r>
          </w:p>
        </w:tc>
      </w:tr>
      <w:tr w:rsidR="0008094E" w:rsidRPr="00E2771E" w:rsidTr="00C5717C">
        <w:trPr>
          <w:cantSplit/>
        </w:trPr>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rsidR="0008094E" w:rsidRPr="00E2771E" w:rsidRDefault="0008094E" w:rsidP="00645185">
            <w:pPr>
              <w:pStyle w:val="In-tableHeading"/>
              <w:keepLines/>
              <w:widowControl w:val="0"/>
            </w:pPr>
            <w:r w:rsidRPr="008F1A97">
              <w:rPr>
                <w:rFonts w:eastAsia="TimesNewRoman"/>
                <w:color w:val="000000"/>
                <w:szCs w:val="20"/>
              </w:rPr>
              <w:t>Clinicohistologic remission</w:t>
            </w:r>
            <w:r>
              <w:rPr>
                <w:rFonts w:eastAsia="TimesNewRoman"/>
                <w:color w:val="000000"/>
                <w:szCs w:val="20"/>
              </w:rPr>
              <w:t xml:space="preserve"> </w:t>
            </w:r>
            <w:r w:rsidRPr="008F1A97">
              <w:rPr>
                <w:rFonts w:eastAsia="TimesNewRoman"/>
                <w:color w:val="000000"/>
                <w:szCs w:val="20"/>
              </w:rPr>
              <w:t>at 6 weeks</w:t>
            </w:r>
          </w:p>
        </w:tc>
      </w:tr>
      <w:tr w:rsidR="0008094E" w:rsidRPr="00E2771E" w:rsidTr="00C5717C">
        <w:trPr>
          <w:cantSplit/>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08094E" w:rsidP="00645185">
            <w:pPr>
              <w:pStyle w:val="TableText0"/>
              <w:keepLines/>
              <w:widowControl w:val="0"/>
            </w:pPr>
            <w:r>
              <w:t>EOS-1</w:t>
            </w:r>
            <w:r w:rsidR="00490748">
              <w:t xml:space="preserve"> (induction)</w:t>
            </w:r>
          </w:p>
        </w:tc>
        <w:tc>
          <w:tcPr>
            <w:tcW w:w="641" w:type="pct"/>
            <w:gridSpan w:val="2"/>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rsidRPr="005F5AA2">
              <w:t>34/59</w:t>
            </w:r>
          </w:p>
        </w:tc>
        <w:tc>
          <w:tcPr>
            <w:tcW w:w="712"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rsidRPr="005F5AA2">
              <w:t>0/29</w:t>
            </w:r>
          </w:p>
        </w:tc>
        <w:tc>
          <w:tcPr>
            <w:tcW w:w="862" w:type="pct"/>
            <w:tcBorders>
              <w:top w:val="single" w:sz="4" w:space="0" w:color="auto"/>
              <w:left w:val="single" w:sz="4" w:space="0" w:color="auto"/>
              <w:bottom w:val="single" w:sz="4" w:space="0" w:color="auto"/>
              <w:right w:val="single" w:sz="4" w:space="0" w:color="auto"/>
            </w:tcBorders>
            <w:vAlign w:val="center"/>
          </w:tcPr>
          <w:p w:rsidR="0008094E" w:rsidRDefault="0008094E" w:rsidP="00645185">
            <w:pPr>
              <w:pStyle w:val="TableText0"/>
              <w:keepLines/>
              <w:widowControl w:val="0"/>
              <w:jc w:val="center"/>
            </w:pPr>
            <w:r>
              <w:t xml:space="preserve">34.50 </w:t>
            </w:r>
          </w:p>
          <w:p w:rsidR="0008094E" w:rsidRPr="00E2771E" w:rsidRDefault="0008094E" w:rsidP="00645185">
            <w:pPr>
              <w:pStyle w:val="TableText0"/>
              <w:keepLines/>
              <w:widowControl w:val="0"/>
              <w:jc w:val="center"/>
            </w:pPr>
            <w:r>
              <w:t>(2.19, 543.57)</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t>57.6</w:t>
            </w:r>
          </w:p>
        </w:tc>
        <w:tc>
          <w:tcPr>
            <w:tcW w:w="625"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t>0</w:t>
            </w:r>
          </w:p>
        </w:tc>
        <w:tc>
          <w:tcPr>
            <w:tcW w:w="849" w:type="pct"/>
            <w:gridSpan w:val="2"/>
            <w:tcBorders>
              <w:top w:val="single" w:sz="4" w:space="0" w:color="auto"/>
              <w:left w:val="single" w:sz="4" w:space="0" w:color="auto"/>
              <w:bottom w:val="single" w:sz="4" w:space="0" w:color="auto"/>
              <w:right w:val="single" w:sz="4" w:space="0" w:color="auto"/>
            </w:tcBorders>
            <w:vAlign w:val="center"/>
          </w:tcPr>
          <w:p w:rsidR="0008094E" w:rsidRDefault="0008094E" w:rsidP="00645185">
            <w:pPr>
              <w:pStyle w:val="TableText0"/>
              <w:keepLines/>
              <w:widowControl w:val="0"/>
              <w:jc w:val="center"/>
            </w:pPr>
            <w:r>
              <w:t xml:space="preserve">0.58 </w:t>
            </w:r>
          </w:p>
          <w:p w:rsidR="0008094E" w:rsidRPr="00E2771E" w:rsidRDefault="0008094E" w:rsidP="00645185">
            <w:pPr>
              <w:pStyle w:val="TableText0"/>
              <w:keepLines/>
              <w:widowControl w:val="0"/>
              <w:jc w:val="center"/>
            </w:pPr>
            <w:r>
              <w:t>(0.44, 0.71)</w:t>
            </w:r>
          </w:p>
        </w:tc>
      </w:tr>
      <w:tr w:rsidR="0008094E" w:rsidRPr="00E2771E" w:rsidTr="00C5717C">
        <w:trPr>
          <w:cantSplit/>
        </w:trPr>
        <w:tc>
          <w:tcPr>
            <w:tcW w:w="5000" w:type="pct"/>
            <w:gridSpan w:val="10"/>
            <w:tcBorders>
              <w:top w:val="single" w:sz="4" w:space="0" w:color="auto"/>
              <w:left w:val="single" w:sz="4" w:space="0" w:color="auto"/>
              <w:bottom w:val="double" w:sz="4" w:space="0" w:color="auto"/>
              <w:right w:val="single" w:sz="4" w:space="0" w:color="auto"/>
            </w:tcBorders>
            <w:shd w:val="clear" w:color="auto" w:fill="auto"/>
            <w:vAlign w:val="center"/>
          </w:tcPr>
          <w:p w:rsidR="0008094E" w:rsidRPr="005F5AA2" w:rsidRDefault="0008094E" w:rsidP="00645185">
            <w:pPr>
              <w:pStyle w:val="TableText0"/>
              <w:keepLines/>
              <w:widowControl w:val="0"/>
              <w:rPr>
                <w:rFonts w:eastAsia="TimesNewRoman" w:cs="Times New Roman"/>
                <w:b/>
                <w:bCs w:val="0"/>
                <w:color w:val="000000"/>
                <w:szCs w:val="20"/>
                <w:lang w:val="en-US"/>
              </w:rPr>
            </w:pPr>
            <w:r w:rsidRPr="005F5AA2">
              <w:rPr>
                <w:rFonts w:eastAsia="TimesNewRoman" w:cs="Times New Roman"/>
                <w:b/>
                <w:bCs w:val="0"/>
                <w:color w:val="000000"/>
                <w:szCs w:val="20"/>
                <w:lang w:val="en-US"/>
              </w:rPr>
              <w:t>Maintaining clinicohistologic remission at 48 weeks</w:t>
            </w:r>
          </w:p>
        </w:tc>
      </w:tr>
      <w:tr w:rsidR="0008094E" w:rsidRPr="00E2771E" w:rsidTr="00C5717C">
        <w:trPr>
          <w:cantSplit/>
        </w:trPr>
        <w:tc>
          <w:tcPr>
            <w:tcW w:w="633" w:type="pct"/>
            <w:tcBorders>
              <w:top w:val="single" w:sz="4" w:space="0" w:color="auto"/>
              <w:left w:val="single" w:sz="4" w:space="0" w:color="auto"/>
              <w:bottom w:val="double" w:sz="4" w:space="0" w:color="auto"/>
              <w:right w:val="single" w:sz="4" w:space="0" w:color="auto"/>
            </w:tcBorders>
            <w:shd w:val="clear" w:color="auto" w:fill="auto"/>
            <w:vAlign w:val="center"/>
          </w:tcPr>
          <w:p w:rsidR="0008094E" w:rsidRPr="00E2771E" w:rsidRDefault="0008094E" w:rsidP="00645185">
            <w:pPr>
              <w:pStyle w:val="TableText0"/>
              <w:keepLines/>
              <w:widowControl w:val="0"/>
            </w:pPr>
            <w:r>
              <w:t>EOS-2</w:t>
            </w:r>
            <w:r w:rsidR="00490748">
              <w:t xml:space="preserve"> (maintenance)</w:t>
            </w:r>
          </w:p>
        </w:tc>
        <w:tc>
          <w:tcPr>
            <w:tcW w:w="641" w:type="pct"/>
            <w:gridSpan w:val="2"/>
            <w:tcBorders>
              <w:top w:val="single" w:sz="4" w:space="0" w:color="auto"/>
              <w:left w:val="single" w:sz="4" w:space="0" w:color="auto"/>
              <w:bottom w:val="double" w:sz="4" w:space="0" w:color="auto"/>
              <w:right w:val="single" w:sz="4" w:space="0" w:color="auto"/>
            </w:tcBorders>
            <w:vAlign w:val="center"/>
          </w:tcPr>
          <w:p w:rsidR="0008094E" w:rsidRPr="00E2771E" w:rsidRDefault="0008094E" w:rsidP="00645185">
            <w:pPr>
              <w:pStyle w:val="TableText0"/>
              <w:keepLines/>
              <w:widowControl w:val="0"/>
              <w:jc w:val="center"/>
            </w:pPr>
            <w:r w:rsidRPr="005F5AA2">
              <w:t>51/68</w:t>
            </w:r>
          </w:p>
        </w:tc>
        <w:tc>
          <w:tcPr>
            <w:tcW w:w="712" w:type="pct"/>
            <w:tcBorders>
              <w:top w:val="single" w:sz="4" w:space="0" w:color="auto"/>
              <w:left w:val="single" w:sz="4" w:space="0" w:color="auto"/>
              <w:bottom w:val="double" w:sz="4" w:space="0" w:color="auto"/>
              <w:right w:val="single" w:sz="4" w:space="0" w:color="auto"/>
            </w:tcBorders>
            <w:vAlign w:val="center"/>
          </w:tcPr>
          <w:p w:rsidR="0008094E" w:rsidRPr="00E2771E" w:rsidRDefault="0008094E" w:rsidP="00645185">
            <w:pPr>
              <w:pStyle w:val="TableText0"/>
              <w:keepLines/>
              <w:widowControl w:val="0"/>
              <w:jc w:val="center"/>
            </w:pPr>
            <w:r w:rsidRPr="005F5AA2">
              <w:t>3/68</w:t>
            </w:r>
          </w:p>
        </w:tc>
        <w:tc>
          <w:tcPr>
            <w:tcW w:w="862" w:type="pct"/>
            <w:tcBorders>
              <w:top w:val="single" w:sz="4" w:space="0" w:color="auto"/>
              <w:left w:val="single" w:sz="4" w:space="0" w:color="auto"/>
              <w:bottom w:val="double" w:sz="4" w:space="0" w:color="auto"/>
              <w:right w:val="single" w:sz="4" w:space="0" w:color="auto"/>
            </w:tcBorders>
            <w:vAlign w:val="center"/>
          </w:tcPr>
          <w:p w:rsidR="0008094E" w:rsidRDefault="0008094E" w:rsidP="00645185">
            <w:pPr>
              <w:pStyle w:val="TableText0"/>
              <w:keepLines/>
              <w:widowControl w:val="0"/>
              <w:jc w:val="center"/>
            </w:pPr>
            <w:r>
              <w:t>17.00</w:t>
            </w:r>
          </w:p>
          <w:p w:rsidR="0008094E" w:rsidRPr="00E2771E" w:rsidRDefault="0008094E" w:rsidP="00645185">
            <w:pPr>
              <w:pStyle w:val="TableText0"/>
              <w:keepLines/>
              <w:widowControl w:val="0"/>
              <w:jc w:val="center"/>
            </w:pPr>
            <w:r>
              <w:t>(5.58, 51.83)</w:t>
            </w:r>
          </w:p>
        </w:tc>
        <w:tc>
          <w:tcPr>
            <w:tcW w:w="678" w:type="pct"/>
            <w:gridSpan w:val="2"/>
            <w:tcBorders>
              <w:top w:val="single" w:sz="4" w:space="0" w:color="auto"/>
              <w:left w:val="single" w:sz="4" w:space="0" w:color="auto"/>
              <w:bottom w:val="double" w:sz="4" w:space="0" w:color="auto"/>
              <w:right w:val="single" w:sz="4" w:space="0" w:color="auto"/>
            </w:tcBorders>
            <w:vAlign w:val="center"/>
          </w:tcPr>
          <w:p w:rsidR="0008094E" w:rsidRPr="00E2771E" w:rsidRDefault="0008094E" w:rsidP="00645185">
            <w:pPr>
              <w:pStyle w:val="TableText0"/>
              <w:keepLines/>
              <w:widowControl w:val="0"/>
              <w:jc w:val="center"/>
            </w:pPr>
            <w:r>
              <w:t>75.0</w:t>
            </w:r>
          </w:p>
        </w:tc>
        <w:tc>
          <w:tcPr>
            <w:tcW w:w="625" w:type="pct"/>
            <w:tcBorders>
              <w:top w:val="single" w:sz="4" w:space="0" w:color="auto"/>
              <w:left w:val="single" w:sz="4" w:space="0" w:color="auto"/>
              <w:bottom w:val="double" w:sz="4" w:space="0" w:color="auto"/>
              <w:right w:val="single" w:sz="4" w:space="0" w:color="auto"/>
            </w:tcBorders>
            <w:vAlign w:val="center"/>
          </w:tcPr>
          <w:p w:rsidR="0008094E" w:rsidRPr="00E2771E" w:rsidRDefault="0008094E" w:rsidP="00645185">
            <w:pPr>
              <w:pStyle w:val="TableText0"/>
              <w:keepLines/>
              <w:widowControl w:val="0"/>
              <w:jc w:val="center"/>
            </w:pPr>
            <w:r>
              <w:t>4.4</w:t>
            </w:r>
          </w:p>
        </w:tc>
        <w:tc>
          <w:tcPr>
            <w:tcW w:w="849" w:type="pct"/>
            <w:gridSpan w:val="2"/>
            <w:tcBorders>
              <w:top w:val="single" w:sz="4" w:space="0" w:color="auto"/>
              <w:left w:val="single" w:sz="4" w:space="0" w:color="auto"/>
              <w:bottom w:val="double" w:sz="4" w:space="0" w:color="auto"/>
              <w:right w:val="single" w:sz="4" w:space="0" w:color="auto"/>
            </w:tcBorders>
            <w:vAlign w:val="center"/>
          </w:tcPr>
          <w:p w:rsidR="0008094E" w:rsidRDefault="0008094E" w:rsidP="00645185">
            <w:pPr>
              <w:pStyle w:val="TableText0"/>
              <w:keepLines/>
              <w:widowControl w:val="0"/>
              <w:jc w:val="center"/>
            </w:pPr>
            <w:r>
              <w:t>0.71</w:t>
            </w:r>
          </w:p>
          <w:p w:rsidR="0008094E" w:rsidRPr="00E2771E" w:rsidRDefault="0008094E" w:rsidP="00645185">
            <w:pPr>
              <w:pStyle w:val="TableText0"/>
              <w:keepLines/>
              <w:widowControl w:val="0"/>
              <w:jc w:val="center"/>
            </w:pPr>
            <w:r>
              <w:t>(0.59, 0.82)</w:t>
            </w:r>
          </w:p>
        </w:tc>
      </w:tr>
      <w:tr w:rsidR="0008094E" w:rsidRPr="00E2771E" w:rsidTr="00C5717C">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rsidR="0008094E" w:rsidRPr="00E2771E" w:rsidRDefault="0008094E" w:rsidP="00645185">
            <w:pPr>
              <w:pStyle w:val="In-tableHeading"/>
              <w:keepLines/>
              <w:widowControl w:val="0"/>
            </w:pPr>
            <w:r w:rsidRPr="00E2771E">
              <w:t xml:space="preserve">Harms </w:t>
            </w:r>
          </w:p>
        </w:tc>
      </w:tr>
      <w:tr w:rsidR="0008094E" w:rsidRPr="00E2771E" w:rsidTr="00C5717C">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08094E" w:rsidP="00645185">
            <w:pPr>
              <w:pStyle w:val="In-tableHeading"/>
              <w:keepLines/>
              <w:widowControl w:val="0"/>
              <w:jc w:val="both"/>
            </w:pPr>
            <w:r w:rsidRPr="005C305C">
              <w:t>Study drug related TEAE</w:t>
            </w:r>
          </w:p>
        </w:tc>
      </w:tr>
      <w:tr w:rsidR="0008094E" w:rsidRPr="00E2771E" w:rsidTr="00C5717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490748" w:rsidP="00645185">
            <w:pPr>
              <w:pStyle w:val="TableText0"/>
              <w:keepLines/>
              <w:widowControl w:val="0"/>
            </w:pPr>
            <w:r>
              <w:t>EOS-1 (induction)</w:t>
            </w:r>
          </w:p>
        </w:tc>
        <w:tc>
          <w:tcPr>
            <w:tcW w:w="634"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t>23/59</w:t>
            </w:r>
          </w:p>
        </w:tc>
        <w:tc>
          <w:tcPr>
            <w:tcW w:w="712"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t>1/29</w:t>
            </w:r>
          </w:p>
        </w:tc>
        <w:tc>
          <w:tcPr>
            <w:tcW w:w="862" w:type="pct"/>
            <w:tcBorders>
              <w:top w:val="single" w:sz="4" w:space="0" w:color="auto"/>
              <w:left w:val="single" w:sz="4" w:space="0" w:color="auto"/>
              <w:bottom w:val="single" w:sz="4" w:space="0" w:color="auto"/>
              <w:right w:val="single" w:sz="4" w:space="0" w:color="auto"/>
            </w:tcBorders>
            <w:vAlign w:val="center"/>
          </w:tcPr>
          <w:p w:rsidR="0008094E" w:rsidRPr="00511563" w:rsidRDefault="0008094E" w:rsidP="00645185">
            <w:pPr>
              <w:pStyle w:val="TableText0"/>
              <w:keepLines/>
              <w:widowControl w:val="0"/>
              <w:jc w:val="center"/>
              <w:rPr>
                <w:b/>
                <w:bCs w:val="0"/>
              </w:rPr>
            </w:pPr>
            <w:r w:rsidRPr="00511563">
              <w:rPr>
                <w:b/>
                <w:bCs w:val="0"/>
              </w:rPr>
              <w:t>11.31</w:t>
            </w:r>
          </w:p>
          <w:p w:rsidR="0008094E" w:rsidRPr="00E2771E" w:rsidRDefault="0008094E" w:rsidP="00645185">
            <w:pPr>
              <w:pStyle w:val="TableText0"/>
              <w:keepLines/>
              <w:widowControl w:val="0"/>
              <w:jc w:val="center"/>
            </w:pPr>
            <w:r w:rsidRPr="00511563">
              <w:rPr>
                <w:b/>
                <w:bCs w:val="0"/>
              </w:rPr>
              <w:t>(1.60, 79.63)</w:t>
            </w:r>
          </w:p>
        </w:tc>
        <w:tc>
          <w:tcPr>
            <w:tcW w:w="628"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t>39.0</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t>3.4</w:t>
            </w:r>
          </w:p>
        </w:tc>
        <w:tc>
          <w:tcPr>
            <w:tcW w:w="769" w:type="pct"/>
            <w:tcBorders>
              <w:top w:val="single" w:sz="4" w:space="0" w:color="auto"/>
              <w:left w:val="single" w:sz="4" w:space="0" w:color="auto"/>
              <w:bottom w:val="single" w:sz="4" w:space="0" w:color="auto"/>
              <w:right w:val="single" w:sz="4" w:space="0" w:color="auto"/>
            </w:tcBorders>
            <w:vAlign w:val="center"/>
          </w:tcPr>
          <w:p w:rsidR="0008094E" w:rsidRPr="00511563" w:rsidRDefault="0008094E" w:rsidP="00645185">
            <w:pPr>
              <w:pStyle w:val="TableText0"/>
              <w:keepLines/>
              <w:widowControl w:val="0"/>
              <w:jc w:val="center"/>
              <w:rPr>
                <w:b/>
                <w:bCs w:val="0"/>
              </w:rPr>
            </w:pPr>
            <w:r w:rsidRPr="00511563">
              <w:rPr>
                <w:b/>
                <w:bCs w:val="0"/>
              </w:rPr>
              <w:t>0.36</w:t>
            </w:r>
          </w:p>
          <w:p w:rsidR="0008094E" w:rsidRPr="00E2771E" w:rsidRDefault="0008094E" w:rsidP="00645185">
            <w:pPr>
              <w:pStyle w:val="TableText0"/>
              <w:keepLines/>
              <w:widowControl w:val="0"/>
              <w:jc w:val="center"/>
            </w:pPr>
            <w:r w:rsidRPr="00511563">
              <w:rPr>
                <w:b/>
                <w:bCs w:val="0"/>
              </w:rPr>
              <w:t>(0.21, 0.50</w:t>
            </w:r>
            <w:r>
              <w:t>)</w:t>
            </w:r>
          </w:p>
        </w:tc>
      </w:tr>
      <w:tr w:rsidR="0008094E" w:rsidRPr="00E2771E" w:rsidTr="00C5717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490748" w:rsidP="00645185">
            <w:pPr>
              <w:pStyle w:val="TableText0"/>
              <w:keepLines/>
              <w:widowControl w:val="0"/>
            </w:pPr>
            <w:r>
              <w:t>EOS-2 (maintenance)</w:t>
            </w:r>
          </w:p>
        </w:tc>
        <w:tc>
          <w:tcPr>
            <w:tcW w:w="634"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t>22/68</w:t>
            </w:r>
          </w:p>
        </w:tc>
        <w:tc>
          <w:tcPr>
            <w:tcW w:w="712"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t>3/68</w:t>
            </w:r>
          </w:p>
        </w:tc>
        <w:tc>
          <w:tcPr>
            <w:tcW w:w="862" w:type="pct"/>
            <w:tcBorders>
              <w:top w:val="single" w:sz="4" w:space="0" w:color="auto"/>
              <w:left w:val="single" w:sz="4" w:space="0" w:color="auto"/>
              <w:bottom w:val="single" w:sz="4" w:space="0" w:color="auto"/>
              <w:right w:val="single" w:sz="4" w:space="0" w:color="auto"/>
            </w:tcBorders>
            <w:vAlign w:val="center"/>
          </w:tcPr>
          <w:p w:rsidR="0008094E" w:rsidRPr="00511563" w:rsidRDefault="0008094E" w:rsidP="00645185">
            <w:pPr>
              <w:pStyle w:val="TableText0"/>
              <w:keepLines/>
              <w:widowControl w:val="0"/>
              <w:jc w:val="center"/>
              <w:rPr>
                <w:b/>
                <w:bCs w:val="0"/>
              </w:rPr>
            </w:pPr>
            <w:r w:rsidRPr="00511563">
              <w:rPr>
                <w:b/>
                <w:bCs w:val="0"/>
              </w:rPr>
              <w:t>7.33</w:t>
            </w:r>
          </w:p>
          <w:p w:rsidR="0008094E" w:rsidRPr="00511563" w:rsidRDefault="0008094E" w:rsidP="00645185">
            <w:pPr>
              <w:pStyle w:val="TableText0"/>
              <w:keepLines/>
              <w:widowControl w:val="0"/>
              <w:jc w:val="center"/>
              <w:rPr>
                <w:b/>
                <w:bCs w:val="0"/>
              </w:rPr>
            </w:pPr>
            <w:r w:rsidRPr="00511563">
              <w:rPr>
                <w:b/>
                <w:bCs w:val="0"/>
              </w:rPr>
              <w:t>(2.30, 23.36)</w:t>
            </w:r>
          </w:p>
          <w:p w:rsidR="0008094E" w:rsidRPr="00E2771E" w:rsidRDefault="0008094E" w:rsidP="00645185">
            <w:pPr>
              <w:pStyle w:val="TableText0"/>
              <w:keepLines/>
              <w:widowControl w:val="0"/>
              <w:jc w:val="center"/>
            </w:pPr>
            <w:r w:rsidRPr="00511563">
              <w:rPr>
                <w:b/>
                <w:bCs w:val="0"/>
              </w:rPr>
              <w:t>p=0.0007</w:t>
            </w:r>
          </w:p>
        </w:tc>
        <w:tc>
          <w:tcPr>
            <w:tcW w:w="628"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t>32.4</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08094E" w:rsidRPr="00E2771E" w:rsidRDefault="0008094E" w:rsidP="00645185">
            <w:pPr>
              <w:pStyle w:val="TableText0"/>
              <w:keepLines/>
              <w:widowControl w:val="0"/>
              <w:jc w:val="center"/>
            </w:pPr>
            <w:r>
              <w:t>4.4</w:t>
            </w:r>
          </w:p>
        </w:tc>
        <w:tc>
          <w:tcPr>
            <w:tcW w:w="769" w:type="pct"/>
            <w:tcBorders>
              <w:top w:val="single" w:sz="4" w:space="0" w:color="auto"/>
              <w:left w:val="single" w:sz="4" w:space="0" w:color="auto"/>
              <w:bottom w:val="single" w:sz="4" w:space="0" w:color="auto"/>
              <w:right w:val="single" w:sz="4" w:space="0" w:color="auto"/>
            </w:tcBorders>
            <w:vAlign w:val="center"/>
          </w:tcPr>
          <w:p w:rsidR="0008094E" w:rsidRPr="00511563" w:rsidRDefault="0008094E" w:rsidP="00645185">
            <w:pPr>
              <w:pStyle w:val="TableText0"/>
              <w:keepLines/>
              <w:widowControl w:val="0"/>
              <w:jc w:val="center"/>
              <w:rPr>
                <w:b/>
                <w:bCs w:val="0"/>
              </w:rPr>
            </w:pPr>
            <w:r w:rsidRPr="00511563">
              <w:rPr>
                <w:b/>
                <w:bCs w:val="0"/>
              </w:rPr>
              <w:t>0.28</w:t>
            </w:r>
          </w:p>
          <w:p w:rsidR="0008094E" w:rsidRPr="00511563" w:rsidRDefault="0008094E" w:rsidP="00645185">
            <w:pPr>
              <w:pStyle w:val="TableText0"/>
              <w:keepLines/>
              <w:widowControl w:val="0"/>
              <w:jc w:val="center"/>
              <w:rPr>
                <w:b/>
                <w:bCs w:val="0"/>
              </w:rPr>
            </w:pPr>
            <w:r w:rsidRPr="00511563">
              <w:rPr>
                <w:b/>
                <w:bCs w:val="0"/>
              </w:rPr>
              <w:t>(0.16, 0.40)</w:t>
            </w:r>
          </w:p>
          <w:p w:rsidR="0008094E" w:rsidRPr="00E2771E" w:rsidRDefault="0008094E" w:rsidP="00645185">
            <w:pPr>
              <w:pStyle w:val="TableText0"/>
              <w:keepLines/>
              <w:widowControl w:val="0"/>
              <w:jc w:val="center"/>
            </w:pPr>
            <w:r w:rsidRPr="00511563">
              <w:rPr>
                <w:b/>
                <w:bCs w:val="0"/>
              </w:rPr>
              <w:t>p&lt;0.0001</w:t>
            </w:r>
          </w:p>
        </w:tc>
      </w:tr>
      <w:tr w:rsidR="0008094E" w:rsidRPr="00E2771E" w:rsidTr="00C5717C">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08094E" w:rsidP="00645185">
            <w:pPr>
              <w:pStyle w:val="In-tableHeading"/>
              <w:keepLines/>
              <w:widowControl w:val="0"/>
            </w:pPr>
            <w:r w:rsidRPr="005C305C">
              <w:t>TEAE leading to withdrawal from study</w:t>
            </w:r>
          </w:p>
        </w:tc>
      </w:tr>
      <w:tr w:rsidR="0008094E" w:rsidRPr="00E2771E" w:rsidTr="00C5717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490748" w:rsidP="008B115D">
            <w:pPr>
              <w:pStyle w:val="TableText0"/>
              <w:keepNext w:val="0"/>
              <w:widowControl w:val="0"/>
            </w:pPr>
            <w:r>
              <w:t>EOS-1 (induction)</w:t>
            </w:r>
          </w:p>
        </w:tc>
        <w:tc>
          <w:tcPr>
            <w:tcW w:w="634"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8B115D">
            <w:pPr>
              <w:pStyle w:val="TableText0"/>
              <w:keepNext w:val="0"/>
              <w:widowControl w:val="0"/>
              <w:jc w:val="center"/>
            </w:pPr>
            <w:r>
              <w:t>0</w:t>
            </w:r>
          </w:p>
        </w:tc>
        <w:tc>
          <w:tcPr>
            <w:tcW w:w="712"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8B115D">
            <w:pPr>
              <w:pStyle w:val="TableText0"/>
              <w:keepNext w:val="0"/>
              <w:widowControl w:val="0"/>
              <w:jc w:val="center"/>
            </w:pPr>
            <w:r>
              <w:t>1/29</w:t>
            </w:r>
          </w:p>
        </w:tc>
        <w:tc>
          <w:tcPr>
            <w:tcW w:w="862" w:type="pct"/>
            <w:tcBorders>
              <w:top w:val="single" w:sz="4" w:space="0" w:color="auto"/>
              <w:left w:val="single" w:sz="4" w:space="0" w:color="auto"/>
              <w:bottom w:val="single" w:sz="4" w:space="0" w:color="auto"/>
              <w:right w:val="single" w:sz="4" w:space="0" w:color="auto"/>
            </w:tcBorders>
            <w:vAlign w:val="center"/>
          </w:tcPr>
          <w:p w:rsidR="0008094E" w:rsidRDefault="0008094E" w:rsidP="008B115D">
            <w:pPr>
              <w:pStyle w:val="TableText0"/>
              <w:keepNext w:val="0"/>
              <w:widowControl w:val="0"/>
              <w:jc w:val="center"/>
            </w:pPr>
            <w:r>
              <w:t>0.17</w:t>
            </w:r>
          </w:p>
          <w:p w:rsidR="0008094E" w:rsidRPr="00E2771E" w:rsidRDefault="0008094E" w:rsidP="008B115D">
            <w:pPr>
              <w:pStyle w:val="TableText0"/>
              <w:keepNext w:val="0"/>
              <w:widowControl w:val="0"/>
              <w:jc w:val="center"/>
            </w:pPr>
            <w:r>
              <w:t>(0.01, 3.97)</w:t>
            </w:r>
          </w:p>
        </w:tc>
        <w:tc>
          <w:tcPr>
            <w:tcW w:w="628"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8B115D">
            <w:pPr>
              <w:pStyle w:val="TableText0"/>
              <w:keepNext w:val="0"/>
              <w:widowControl w:val="0"/>
              <w:jc w:val="center"/>
            </w:pPr>
            <w:r>
              <w:t>0</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08094E" w:rsidRPr="00E2771E" w:rsidRDefault="0008094E" w:rsidP="008B115D">
            <w:pPr>
              <w:pStyle w:val="TableText0"/>
              <w:keepNext w:val="0"/>
              <w:widowControl w:val="0"/>
              <w:jc w:val="center"/>
            </w:pPr>
            <w:r>
              <w:t>3.4</w:t>
            </w:r>
          </w:p>
        </w:tc>
        <w:tc>
          <w:tcPr>
            <w:tcW w:w="769" w:type="pct"/>
            <w:tcBorders>
              <w:top w:val="single" w:sz="4" w:space="0" w:color="auto"/>
              <w:left w:val="single" w:sz="4" w:space="0" w:color="auto"/>
              <w:bottom w:val="single" w:sz="4" w:space="0" w:color="auto"/>
              <w:right w:val="single" w:sz="4" w:space="0" w:color="auto"/>
            </w:tcBorders>
            <w:vAlign w:val="center"/>
          </w:tcPr>
          <w:p w:rsidR="0008094E" w:rsidRDefault="0008094E" w:rsidP="008B115D">
            <w:pPr>
              <w:pStyle w:val="TableText0"/>
              <w:keepNext w:val="0"/>
              <w:widowControl w:val="0"/>
              <w:jc w:val="center"/>
            </w:pPr>
            <w:r>
              <w:t>-0.03</w:t>
            </w:r>
          </w:p>
          <w:p w:rsidR="0008094E" w:rsidRPr="00E2771E" w:rsidRDefault="0008094E" w:rsidP="008B115D">
            <w:pPr>
              <w:pStyle w:val="TableText0"/>
              <w:keepNext w:val="0"/>
              <w:widowControl w:val="0"/>
              <w:jc w:val="center"/>
            </w:pPr>
            <w:r>
              <w:t>(-0.12, 0.05)</w:t>
            </w:r>
          </w:p>
        </w:tc>
      </w:tr>
      <w:tr w:rsidR="0008094E" w:rsidRPr="00E2771E" w:rsidTr="00C5717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490748" w:rsidP="008B115D">
            <w:pPr>
              <w:pStyle w:val="TableText0"/>
              <w:keepNext w:val="0"/>
              <w:widowControl w:val="0"/>
            </w:pPr>
            <w:r>
              <w:t>EOS-2 (maintenance)</w:t>
            </w:r>
          </w:p>
        </w:tc>
        <w:tc>
          <w:tcPr>
            <w:tcW w:w="634"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8B115D">
            <w:pPr>
              <w:pStyle w:val="TableText0"/>
              <w:keepNext w:val="0"/>
              <w:widowControl w:val="0"/>
              <w:jc w:val="center"/>
            </w:pPr>
            <w:r>
              <w:t>8/68</w:t>
            </w:r>
          </w:p>
        </w:tc>
        <w:tc>
          <w:tcPr>
            <w:tcW w:w="712"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8B115D">
            <w:pPr>
              <w:pStyle w:val="TableText0"/>
              <w:keepNext w:val="0"/>
              <w:widowControl w:val="0"/>
              <w:jc w:val="center"/>
            </w:pPr>
            <w:r>
              <w:t>41/68</w:t>
            </w:r>
          </w:p>
        </w:tc>
        <w:tc>
          <w:tcPr>
            <w:tcW w:w="862" w:type="pct"/>
            <w:tcBorders>
              <w:top w:val="single" w:sz="4" w:space="0" w:color="auto"/>
              <w:left w:val="single" w:sz="4" w:space="0" w:color="auto"/>
              <w:bottom w:val="single" w:sz="4" w:space="0" w:color="auto"/>
              <w:right w:val="single" w:sz="4" w:space="0" w:color="auto"/>
            </w:tcBorders>
            <w:vAlign w:val="center"/>
          </w:tcPr>
          <w:p w:rsidR="0008094E" w:rsidRPr="00511563" w:rsidRDefault="0008094E" w:rsidP="008B115D">
            <w:pPr>
              <w:pStyle w:val="TableText0"/>
              <w:keepNext w:val="0"/>
              <w:widowControl w:val="0"/>
              <w:jc w:val="center"/>
              <w:rPr>
                <w:b/>
                <w:bCs w:val="0"/>
              </w:rPr>
            </w:pPr>
            <w:r w:rsidRPr="00511563">
              <w:rPr>
                <w:b/>
                <w:bCs w:val="0"/>
              </w:rPr>
              <w:t>0.19</w:t>
            </w:r>
          </w:p>
          <w:p w:rsidR="0008094E" w:rsidRPr="00511563" w:rsidRDefault="0008094E" w:rsidP="008B115D">
            <w:pPr>
              <w:pStyle w:val="TableText0"/>
              <w:keepNext w:val="0"/>
              <w:widowControl w:val="0"/>
              <w:jc w:val="center"/>
              <w:rPr>
                <w:b/>
                <w:bCs w:val="0"/>
              </w:rPr>
            </w:pPr>
            <w:r w:rsidRPr="00511563">
              <w:rPr>
                <w:b/>
                <w:bCs w:val="0"/>
              </w:rPr>
              <w:t>(0.10, 0.37)</w:t>
            </w:r>
          </w:p>
          <w:p w:rsidR="0008094E" w:rsidRPr="00E2771E" w:rsidRDefault="0008094E" w:rsidP="008B115D">
            <w:pPr>
              <w:pStyle w:val="TableText0"/>
              <w:keepNext w:val="0"/>
              <w:widowControl w:val="0"/>
              <w:jc w:val="center"/>
            </w:pPr>
            <w:r w:rsidRPr="00511563">
              <w:rPr>
                <w:b/>
                <w:bCs w:val="0"/>
              </w:rPr>
              <w:t>p&lt;0.0001</w:t>
            </w:r>
          </w:p>
        </w:tc>
        <w:tc>
          <w:tcPr>
            <w:tcW w:w="628"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8B115D">
            <w:pPr>
              <w:pStyle w:val="TableText0"/>
              <w:keepNext w:val="0"/>
              <w:widowControl w:val="0"/>
              <w:jc w:val="center"/>
            </w:pPr>
            <w:r>
              <w:t>11.8</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08094E" w:rsidRPr="00E2771E" w:rsidRDefault="0008094E" w:rsidP="008B115D">
            <w:pPr>
              <w:pStyle w:val="TableText0"/>
              <w:keepNext w:val="0"/>
              <w:widowControl w:val="0"/>
              <w:jc w:val="center"/>
            </w:pPr>
            <w:r>
              <w:t>60.3</w:t>
            </w:r>
          </w:p>
        </w:tc>
        <w:tc>
          <w:tcPr>
            <w:tcW w:w="769" w:type="pct"/>
            <w:tcBorders>
              <w:top w:val="single" w:sz="4" w:space="0" w:color="auto"/>
              <w:left w:val="single" w:sz="4" w:space="0" w:color="auto"/>
              <w:bottom w:val="single" w:sz="4" w:space="0" w:color="auto"/>
              <w:right w:val="single" w:sz="4" w:space="0" w:color="auto"/>
            </w:tcBorders>
            <w:vAlign w:val="center"/>
          </w:tcPr>
          <w:p w:rsidR="0008094E" w:rsidRPr="00511563" w:rsidRDefault="0008094E" w:rsidP="008B115D">
            <w:pPr>
              <w:pStyle w:val="TableText0"/>
              <w:keepNext w:val="0"/>
              <w:widowControl w:val="0"/>
              <w:jc w:val="center"/>
              <w:rPr>
                <w:b/>
                <w:bCs w:val="0"/>
              </w:rPr>
            </w:pPr>
            <w:r w:rsidRPr="00511563">
              <w:rPr>
                <w:b/>
                <w:bCs w:val="0"/>
              </w:rPr>
              <w:t>-0.50</w:t>
            </w:r>
          </w:p>
          <w:p w:rsidR="0008094E" w:rsidRPr="00511563" w:rsidRDefault="0008094E" w:rsidP="008B115D">
            <w:pPr>
              <w:pStyle w:val="TableText0"/>
              <w:keepNext w:val="0"/>
              <w:widowControl w:val="0"/>
              <w:jc w:val="center"/>
              <w:rPr>
                <w:b/>
                <w:bCs w:val="0"/>
              </w:rPr>
            </w:pPr>
            <w:r w:rsidRPr="00511563">
              <w:rPr>
                <w:b/>
                <w:bCs w:val="0"/>
              </w:rPr>
              <w:t>(-0.64, -0.36)</w:t>
            </w:r>
          </w:p>
          <w:p w:rsidR="0008094E" w:rsidRPr="00E2771E" w:rsidRDefault="0008094E" w:rsidP="008B115D">
            <w:pPr>
              <w:pStyle w:val="TableText0"/>
              <w:keepNext w:val="0"/>
              <w:widowControl w:val="0"/>
              <w:jc w:val="center"/>
            </w:pPr>
            <w:r w:rsidRPr="00511563">
              <w:rPr>
                <w:b/>
                <w:bCs w:val="0"/>
              </w:rPr>
              <w:t>p&lt;0.0001</w:t>
            </w:r>
          </w:p>
        </w:tc>
      </w:tr>
      <w:tr w:rsidR="0008094E" w:rsidRPr="00E2771E" w:rsidTr="00C5717C">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08094E" w:rsidP="008B115D">
            <w:pPr>
              <w:pStyle w:val="In-tableHeading"/>
              <w:keepNext w:val="0"/>
              <w:widowControl w:val="0"/>
            </w:pPr>
            <w:r w:rsidRPr="0008094E">
              <w:t>Suspected local fungal infection</w:t>
            </w:r>
          </w:p>
        </w:tc>
      </w:tr>
      <w:tr w:rsidR="0008094E" w:rsidRPr="00E2771E" w:rsidTr="00C5717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490748" w:rsidP="008B115D">
            <w:pPr>
              <w:pStyle w:val="TableText0"/>
              <w:keepNext w:val="0"/>
              <w:widowControl w:val="0"/>
            </w:pPr>
            <w:r>
              <w:t>EOS-1 (induction)</w:t>
            </w:r>
          </w:p>
        </w:tc>
        <w:tc>
          <w:tcPr>
            <w:tcW w:w="634" w:type="pct"/>
            <w:tcBorders>
              <w:top w:val="single" w:sz="4" w:space="0" w:color="auto"/>
              <w:left w:val="single" w:sz="4" w:space="0" w:color="auto"/>
              <w:bottom w:val="single" w:sz="4" w:space="0" w:color="auto"/>
              <w:right w:val="single" w:sz="4" w:space="0" w:color="auto"/>
            </w:tcBorders>
            <w:vAlign w:val="center"/>
          </w:tcPr>
          <w:p w:rsidR="0008094E" w:rsidRPr="00E2771E" w:rsidRDefault="0008094E" w:rsidP="008B115D">
            <w:pPr>
              <w:pStyle w:val="TableText0"/>
              <w:keepNext w:val="0"/>
              <w:widowControl w:val="0"/>
              <w:jc w:val="center"/>
            </w:pPr>
            <w:r>
              <w:t>14</w:t>
            </w:r>
            <w:r w:rsidR="00677D0E">
              <w:t>/59</w:t>
            </w:r>
          </w:p>
        </w:tc>
        <w:tc>
          <w:tcPr>
            <w:tcW w:w="712" w:type="pct"/>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0</w:t>
            </w:r>
          </w:p>
        </w:tc>
        <w:tc>
          <w:tcPr>
            <w:tcW w:w="862" w:type="pct"/>
            <w:tcBorders>
              <w:top w:val="single" w:sz="4" w:space="0" w:color="auto"/>
              <w:left w:val="single" w:sz="4" w:space="0" w:color="auto"/>
              <w:bottom w:val="single" w:sz="4" w:space="0" w:color="auto"/>
              <w:right w:val="single" w:sz="4" w:space="0" w:color="auto"/>
            </w:tcBorders>
            <w:vAlign w:val="center"/>
          </w:tcPr>
          <w:p w:rsidR="004450BA" w:rsidRDefault="004450BA" w:rsidP="008B115D">
            <w:pPr>
              <w:pStyle w:val="TableText0"/>
              <w:keepNext w:val="0"/>
              <w:widowControl w:val="0"/>
              <w:jc w:val="center"/>
            </w:pPr>
            <w:r>
              <w:t>14.50</w:t>
            </w:r>
          </w:p>
          <w:p w:rsidR="0008094E" w:rsidRPr="00E2771E" w:rsidRDefault="004450BA" w:rsidP="008B115D">
            <w:pPr>
              <w:pStyle w:val="TableText0"/>
              <w:keepNext w:val="0"/>
              <w:widowControl w:val="0"/>
              <w:jc w:val="center"/>
            </w:pPr>
            <w:r>
              <w:t>(0.90, 234.88)</w:t>
            </w:r>
          </w:p>
        </w:tc>
        <w:tc>
          <w:tcPr>
            <w:tcW w:w="628" w:type="pct"/>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23.7</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0</w:t>
            </w:r>
          </w:p>
        </w:tc>
        <w:tc>
          <w:tcPr>
            <w:tcW w:w="769" w:type="pct"/>
            <w:tcBorders>
              <w:top w:val="single" w:sz="4" w:space="0" w:color="auto"/>
              <w:left w:val="single" w:sz="4" w:space="0" w:color="auto"/>
              <w:bottom w:val="single" w:sz="4" w:space="0" w:color="auto"/>
              <w:right w:val="single" w:sz="4" w:space="0" w:color="auto"/>
            </w:tcBorders>
            <w:vAlign w:val="center"/>
          </w:tcPr>
          <w:p w:rsidR="004450BA" w:rsidRPr="00511563" w:rsidRDefault="004450BA" w:rsidP="008B115D">
            <w:pPr>
              <w:pStyle w:val="TableText0"/>
              <w:keepNext w:val="0"/>
              <w:widowControl w:val="0"/>
              <w:jc w:val="center"/>
              <w:rPr>
                <w:b/>
                <w:bCs w:val="0"/>
              </w:rPr>
            </w:pPr>
            <w:r w:rsidRPr="00511563">
              <w:rPr>
                <w:b/>
                <w:bCs w:val="0"/>
              </w:rPr>
              <w:t>0.24</w:t>
            </w:r>
          </w:p>
          <w:p w:rsidR="004450BA" w:rsidRPr="00511563" w:rsidRDefault="004450BA" w:rsidP="008B115D">
            <w:pPr>
              <w:pStyle w:val="TableText0"/>
              <w:keepNext w:val="0"/>
              <w:widowControl w:val="0"/>
              <w:jc w:val="center"/>
              <w:rPr>
                <w:b/>
                <w:bCs w:val="0"/>
              </w:rPr>
            </w:pPr>
            <w:r w:rsidRPr="00511563">
              <w:rPr>
                <w:b/>
                <w:bCs w:val="0"/>
              </w:rPr>
              <w:t>(0.12, 0.35)</w:t>
            </w:r>
          </w:p>
          <w:p w:rsidR="0008094E" w:rsidRPr="00E2771E" w:rsidRDefault="004450BA" w:rsidP="008B115D">
            <w:pPr>
              <w:pStyle w:val="TableText0"/>
              <w:keepNext w:val="0"/>
              <w:widowControl w:val="0"/>
              <w:jc w:val="center"/>
            </w:pPr>
            <w:r w:rsidRPr="00511563">
              <w:rPr>
                <w:b/>
                <w:bCs w:val="0"/>
              </w:rPr>
              <w:t>p&lt;0.0001</w:t>
            </w:r>
          </w:p>
        </w:tc>
      </w:tr>
      <w:tr w:rsidR="002A57EB" w:rsidRPr="00E2771E" w:rsidTr="00C5717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57EB" w:rsidRDefault="00490748" w:rsidP="008B115D">
            <w:pPr>
              <w:pStyle w:val="TableText0"/>
              <w:keepNext w:val="0"/>
              <w:widowControl w:val="0"/>
            </w:pPr>
            <w:r>
              <w:t>EOS-2 (maintenance)</w:t>
            </w:r>
          </w:p>
        </w:tc>
        <w:tc>
          <w:tcPr>
            <w:tcW w:w="634" w:type="pct"/>
            <w:tcBorders>
              <w:top w:val="single" w:sz="4" w:space="0" w:color="auto"/>
              <w:left w:val="single" w:sz="4" w:space="0" w:color="auto"/>
              <w:bottom w:val="single" w:sz="4" w:space="0" w:color="auto"/>
              <w:right w:val="single" w:sz="4" w:space="0" w:color="auto"/>
            </w:tcBorders>
            <w:vAlign w:val="center"/>
          </w:tcPr>
          <w:p w:rsidR="002A57EB" w:rsidRDefault="00FE6E2A" w:rsidP="008B115D">
            <w:pPr>
              <w:pStyle w:val="TableText0"/>
              <w:keepNext w:val="0"/>
              <w:widowControl w:val="0"/>
              <w:jc w:val="center"/>
            </w:pPr>
            <w:r>
              <w:t>10</w:t>
            </w:r>
            <w:r w:rsidR="004B4D92">
              <w:t>/</w:t>
            </w:r>
            <w:r w:rsidR="00164321">
              <w:t>68</w:t>
            </w:r>
          </w:p>
        </w:tc>
        <w:tc>
          <w:tcPr>
            <w:tcW w:w="712" w:type="pct"/>
            <w:tcBorders>
              <w:top w:val="single" w:sz="4" w:space="0" w:color="auto"/>
              <w:left w:val="single" w:sz="4" w:space="0" w:color="auto"/>
              <w:bottom w:val="single" w:sz="4" w:space="0" w:color="auto"/>
              <w:right w:val="single" w:sz="4" w:space="0" w:color="auto"/>
            </w:tcBorders>
            <w:vAlign w:val="center"/>
          </w:tcPr>
          <w:p w:rsidR="002A57EB" w:rsidRDefault="00AE4758" w:rsidP="008B115D">
            <w:pPr>
              <w:pStyle w:val="TableText0"/>
              <w:keepNext w:val="0"/>
              <w:widowControl w:val="0"/>
              <w:jc w:val="center"/>
            </w:pPr>
            <w:r>
              <w:t>0</w:t>
            </w:r>
          </w:p>
        </w:tc>
        <w:tc>
          <w:tcPr>
            <w:tcW w:w="862" w:type="pct"/>
            <w:tcBorders>
              <w:top w:val="single" w:sz="4" w:space="0" w:color="auto"/>
              <w:left w:val="single" w:sz="4" w:space="0" w:color="auto"/>
              <w:bottom w:val="single" w:sz="4" w:space="0" w:color="auto"/>
              <w:right w:val="single" w:sz="4" w:space="0" w:color="auto"/>
            </w:tcBorders>
            <w:vAlign w:val="center"/>
          </w:tcPr>
          <w:p w:rsidR="006D706B" w:rsidRPr="001B32D3" w:rsidRDefault="006D706B" w:rsidP="006D706B">
            <w:pPr>
              <w:pStyle w:val="TableText0"/>
              <w:widowControl w:val="0"/>
              <w:jc w:val="center"/>
              <w:rPr>
                <w:b/>
                <w:bCs w:val="0"/>
              </w:rPr>
            </w:pPr>
            <w:r w:rsidRPr="001B32D3">
              <w:rPr>
                <w:b/>
                <w:bCs w:val="0"/>
              </w:rPr>
              <w:t>21.00</w:t>
            </w:r>
          </w:p>
          <w:p w:rsidR="006D706B" w:rsidRPr="001B32D3" w:rsidRDefault="006D706B" w:rsidP="006D706B">
            <w:pPr>
              <w:pStyle w:val="TableText0"/>
              <w:widowControl w:val="0"/>
              <w:jc w:val="center"/>
              <w:rPr>
                <w:b/>
                <w:bCs w:val="0"/>
              </w:rPr>
            </w:pPr>
            <w:r w:rsidRPr="001B32D3">
              <w:rPr>
                <w:b/>
                <w:bCs w:val="0"/>
              </w:rPr>
              <w:t>(1.26, 351.38)</w:t>
            </w:r>
          </w:p>
          <w:p w:rsidR="002A57EB" w:rsidRDefault="006D706B" w:rsidP="006D706B">
            <w:pPr>
              <w:pStyle w:val="TableText0"/>
              <w:keepNext w:val="0"/>
              <w:widowControl w:val="0"/>
              <w:jc w:val="center"/>
            </w:pPr>
            <w:r w:rsidRPr="001B32D3">
              <w:rPr>
                <w:b/>
                <w:bCs w:val="0"/>
              </w:rPr>
              <w:t>p=0.03</w:t>
            </w:r>
          </w:p>
        </w:tc>
        <w:tc>
          <w:tcPr>
            <w:tcW w:w="628" w:type="pct"/>
            <w:tcBorders>
              <w:top w:val="single" w:sz="4" w:space="0" w:color="auto"/>
              <w:left w:val="single" w:sz="4" w:space="0" w:color="auto"/>
              <w:bottom w:val="single" w:sz="4" w:space="0" w:color="auto"/>
              <w:right w:val="single" w:sz="4" w:space="0" w:color="auto"/>
            </w:tcBorders>
            <w:vAlign w:val="center"/>
          </w:tcPr>
          <w:p w:rsidR="002A57EB" w:rsidRDefault="00AE4758" w:rsidP="008B115D">
            <w:pPr>
              <w:pStyle w:val="TableText0"/>
              <w:keepNext w:val="0"/>
              <w:widowControl w:val="0"/>
              <w:jc w:val="center"/>
            </w:pPr>
            <w:r>
              <w:t>14.7</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2A57EB" w:rsidRDefault="00FE6E2A" w:rsidP="008B115D">
            <w:pPr>
              <w:pStyle w:val="TableText0"/>
              <w:keepNext w:val="0"/>
              <w:widowControl w:val="0"/>
              <w:jc w:val="center"/>
            </w:pPr>
            <w:r>
              <w:t>0</w:t>
            </w:r>
          </w:p>
        </w:tc>
        <w:tc>
          <w:tcPr>
            <w:tcW w:w="769" w:type="pct"/>
            <w:tcBorders>
              <w:top w:val="single" w:sz="4" w:space="0" w:color="auto"/>
              <w:left w:val="single" w:sz="4" w:space="0" w:color="auto"/>
              <w:bottom w:val="single" w:sz="4" w:space="0" w:color="auto"/>
              <w:right w:val="single" w:sz="4" w:space="0" w:color="auto"/>
            </w:tcBorders>
            <w:vAlign w:val="center"/>
          </w:tcPr>
          <w:p w:rsidR="00D13BB4" w:rsidRPr="005627A2" w:rsidRDefault="00D13BB4" w:rsidP="00D13BB4">
            <w:pPr>
              <w:pStyle w:val="TableText0"/>
              <w:widowControl w:val="0"/>
              <w:jc w:val="center"/>
              <w:rPr>
                <w:b/>
                <w:bCs w:val="0"/>
              </w:rPr>
            </w:pPr>
            <w:r w:rsidRPr="005627A2">
              <w:rPr>
                <w:b/>
                <w:bCs w:val="0"/>
              </w:rPr>
              <w:t>0.15</w:t>
            </w:r>
          </w:p>
          <w:p w:rsidR="00D13BB4" w:rsidRPr="005627A2" w:rsidRDefault="00D13BB4" w:rsidP="00D13BB4">
            <w:pPr>
              <w:pStyle w:val="TableText0"/>
              <w:widowControl w:val="0"/>
              <w:jc w:val="center"/>
              <w:rPr>
                <w:b/>
                <w:bCs w:val="0"/>
              </w:rPr>
            </w:pPr>
            <w:r w:rsidRPr="005627A2">
              <w:rPr>
                <w:b/>
                <w:bCs w:val="0"/>
              </w:rPr>
              <w:t>(0.06, 0.23)</w:t>
            </w:r>
          </w:p>
          <w:p w:rsidR="002A57EB" w:rsidRPr="00511563" w:rsidRDefault="00D13BB4" w:rsidP="00D13BB4">
            <w:pPr>
              <w:pStyle w:val="TableText0"/>
              <w:keepNext w:val="0"/>
              <w:widowControl w:val="0"/>
              <w:jc w:val="center"/>
              <w:rPr>
                <w:b/>
                <w:bCs w:val="0"/>
              </w:rPr>
            </w:pPr>
            <w:r w:rsidRPr="005627A2">
              <w:rPr>
                <w:b/>
                <w:bCs w:val="0"/>
              </w:rPr>
              <w:t>p=0.01</w:t>
            </w:r>
          </w:p>
        </w:tc>
      </w:tr>
      <w:tr w:rsidR="0008094E" w:rsidRPr="00E2771E" w:rsidTr="0008094E">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08094E" w:rsidRPr="00E2771E" w:rsidRDefault="0008094E" w:rsidP="008B115D">
            <w:pPr>
              <w:pStyle w:val="In-tableHeading"/>
              <w:keepNext w:val="0"/>
              <w:widowControl w:val="0"/>
            </w:pPr>
            <w:r w:rsidRPr="0008094E">
              <w:t>Oesophageal candidiasis</w:t>
            </w:r>
          </w:p>
        </w:tc>
      </w:tr>
      <w:tr w:rsidR="0008094E" w:rsidRPr="00E2771E" w:rsidTr="00C5717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4E" w:rsidRDefault="00490748" w:rsidP="008B115D">
            <w:pPr>
              <w:pStyle w:val="TableText0"/>
              <w:keepNext w:val="0"/>
              <w:widowControl w:val="0"/>
            </w:pPr>
            <w:r>
              <w:t>EOS-1 (induction)</w:t>
            </w:r>
          </w:p>
        </w:tc>
        <w:tc>
          <w:tcPr>
            <w:tcW w:w="634" w:type="pct"/>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10</w:t>
            </w:r>
            <w:r w:rsidR="00164321">
              <w:t>/59</w:t>
            </w:r>
          </w:p>
        </w:tc>
        <w:tc>
          <w:tcPr>
            <w:tcW w:w="712" w:type="pct"/>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0</w:t>
            </w:r>
          </w:p>
        </w:tc>
        <w:tc>
          <w:tcPr>
            <w:tcW w:w="862" w:type="pct"/>
            <w:tcBorders>
              <w:top w:val="single" w:sz="4" w:space="0" w:color="auto"/>
              <w:left w:val="single" w:sz="4" w:space="0" w:color="auto"/>
              <w:bottom w:val="single" w:sz="4" w:space="0" w:color="auto"/>
              <w:right w:val="single" w:sz="4" w:space="0" w:color="auto"/>
            </w:tcBorders>
            <w:vAlign w:val="center"/>
          </w:tcPr>
          <w:p w:rsidR="004450BA" w:rsidRDefault="004450BA" w:rsidP="008B115D">
            <w:pPr>
              <w:pStyle w:val="TableText0"/>
              <w:keepNext w:val="0"/>
              <w:widowControl w:val="0"/>
              <w:jc w:val="center"/>
            </w:pPr>
            <w:r>
              <w:t>10.50</w:t>
            </w:r>
          </w:p>
          <w:p w:rsidR="0008094E" w:rsidRPr="00E2771E" w:rsidRDefault="004450BA" w:rsidP="008B115D">
            <w:pPr>
              <w:pStyle w:val="TableText0"/>
              <w:keepNext w:val="0"/>
              <w:widowControl w:val="0"/>
              <w:jc w:val="center"/>
            </w:pPr>
            <w:r>
              <w:t>(0.64, 173.18)</w:t>
            </w:r>
          </w:p>
        </w:tc>
        <w:tc>
          <w:tcPr>
            <w:tcW w:w="628" w:type="pct"/>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16.9</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0</w:t>
            </w:r>
          </w:p>
        </w:tc>
        <w:tc>
          <w:tcPr>
            <w:tcW w:w="769" w:type="pct"/>
            <w:tcBorders>
              <w:top w:val="single" w:sz="4" w:space="0" w:color="auto"/>
              <w:left w:val="single" w:sz="4" w:space="0" w:color="auto"/>
              <w:bottom w:val="single" w:sz="4" w:space="0" w:color="auto"/>
              <w:right w:val="single" w:sz="4" w:space="0" w:color="auto"/>
            </w:tcBorders>
            <w:vAlign w:val="center"/>
          </w:tcPr>
          <w:p w:rsidR="004450BA" w:rsidRPr="00511563" w:rsidRDefault="004450BA" w:rsidP="008B115D">
            <w:pPr>
              <w:pStyle w:val="TableText0"/>
              <w:keepNext w:val="0"/>
              <w:widowControl w:val="0"/>
              <w:jc w:val="center"/>
              <w:rPr>
                <w:b/>
                <w:bCs w:val="0"/>
              </w:rPr>
            </w:pPr>
            <w:r w:rsidRPr="00511563">
              <w:rPr>
                <w:b/>
                <w:bCs w:val="0"/>
              </w:rPr>
              <w:t>0.17</w:t>
            </w:r>
          </w:p>
          <w:p w:rsidR="004450BA" w:rsidRPr="00511563" w:rsidRDefault="004450BA" w:rsidP="008B115D">
            <w:pPr>
              <w:pStyle w:val="TableText0"/>
              <w:keepNext w:val="0"/>
              <w:widowControl w:val="0"/>
              <w:jc w:val="center"/>
              <w:rPr>
                <w:b/>
                <w:bCs w:val="0"/>
              </w:rPr>
            </w:pPr>
            <w:r w:rsidRPr="00511563">
              <w:rPr>
                <w:b/>
                <w:bCs w:val="0"/>
              </w:rPr>
              <w:t>(0.06, 0.28)</w:t>
            </w:r>
          </w:p>
          <w:p w:rsidR="0008094E" w:rsidRPr="00E2771E" w:rsidRDefault="004450BA" w:rsidP="008B115D">
            <w:pPr>
              <w:pStyle w:val="TableText0"/>
              <w:keepNext w:val="0"/>
              <w:widowControl w:val="0"/>
              <w:jc w:val="center"/>
            </w:pPr>
            <w:r w:rsidRPr="00511563">
              <w:rPr>
                <w:b/>
                <w:bCs w:val="0"/>
              </w:rPr>
              <w:t>p=0.04</w:t>
            </w:r>
          </w:p>
        </w:tc>
      </w:tr>
      <w:tr w:rsidR="0008094E" w:rsidRPr="00E2771E" w:rsidTr="00C5717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4E" w:rsidRDefault="00490748" w:rsidP="008B115D">
            <w:pPr>
              <w:pStyle w:val="TableText0"/>
              <w:keepNext w:val="0"/>
              <w:widowControl w:val="0"/>
            </w:pPr>
            <w:r>
              <w:t>EOS-2 (maintenance)</w:t>
            </w:r>
          </w:p>
        </w:tc>
        <w:tc>
          <w:tcPr>
            <w:tcW w:w="634" w:type="pct"/>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3</w:t>
            </w:r>
            <w:r w:rsidR="00164321">
              <w:t>/68</w:t>
            </w:r>
          </w:p>
        </w:tc>
        <w:tc>
          <w:tcPr>
            <w:tcW w:w="712" w:type="pct"/>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0</w:t>
            </w:r>
          </w:p>
        </w:tc>
        <w:tc>
          <w:tcPr>
            <w:tcW w:w="862" w:type="pct"/>
            <w:tcBorders>
              <w:top w:val="single" w:sz="4" w:space="0" w:color="auto"/>
              <w:left w:val="single" w:sz="4" w:space="0" w:color="auto"/>
              <w:bottom w:val="single" w:sz="4" w:space="0" w:color="auto"/>
              <w:right w:val="single" w:sz="4" w:space="0" w:color="auto"/>
            </w:tcBorders>
            <w:vAlign w:val="center"/>
          </w:tcPr>
          <w:p w:rsidR="001554DB" w:rsidRDefault="001554DB" w:rsidP="008B115D">
            <w:pPr>
              <w:pStyle w:val="TableText0"/>
              <w:keepNext w:val="0"/>
              <w:widowControl w:val="0"/>
              <w:jc w:val="center"/>
            </w:pPr>
            <w:r>
              <w:t>7.0</w:t>
            </w:r>
          </w:p>
          <w:p w:rsidR="0008094E" w:rsidRPr="00E2771E" w:rsidRDefault="001554DB" w:rsidP="008B115D">
            <w:pPr>
              <w:pStyle w:val="TableText0"/>
              <w:keepNext w:val="0"/>
              <w:widowControl w:val="0"/>
              <w:jc w:val="center"/>
            </w:pPr>
            <w:r>
              <w:t>0 (0.37, 132.99)</w:t>
            </w:r>
          </w:p>
        </w:tc>
        <w:tc>
          <w:tcPr>
            <w:tcW w:w="628" w:type="pct"/>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4.4</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08094E" w:rsidRPr="00E2771E" w:rsidRDefault="004450BA" w:rsidP="008B115D">
            <w:pPr>
              <w:pStyle w:val="TableText0"/>
              <w:keepNext w:val="0"/>
              <w:widowControl w:val="0"/>
              <w:jc w:val="center"/>
            </w:pPr>
            <w:r>
              <w:t>0</w:t>
            </w:r>
          </w:p>
        </w:tc>
        <w:tc>
          <w:tcPr>
            <w:tcW w:w="769" w:type="pct"/>
            <w:tcBorders>
              <w:top w:val="single" w:sz="4" w:space="0" w:color="auto"/>
              <w:left w:val="single" w:sz="4" w:space="0" w:color="auto"/>
              <w:bottom w:val="single" w:sz="4" w:space="0" w:color="auto"/>
              <w:right w:val="single" w:sz="4" w:space="0" w:color="auto"/>
            </w:tcBorders>
            <w:vAlign w:val="center"/>
          </w:tcPr>
          <w:p w:rsidR="001554DB" w:rsidRDefault="001554DB" w:rsidP="008B115D">
            <w:pPr>
              <w:pStyle w:val="TableText0"/>
              <w:keepNext w:val="0"/>
              <w:widowControl w:val="0"/>
              <w:jc w:val="center"/>
            </w:pPr>
            <w:r>
              <w:t>0.04</w:t>
            </w:r>
          </w:p>
          <w:p w:rsidR="0008094E" w:rsidRPr="00E2771E" w:rsidRDefault="001554DB" w:rsidP="008B115D">
            <w:pPr>
              <w:pStyle w:val="TableText0"/>
              <w:keepNext w:val="0"/>
              <w:widowControl w:val="0"/>
              <w:jc w:val="center"/>
            </w:pPr>
            <w:r>
              <w:t>(-0.01, 0.10)</w:t>
            </w:r>
          </w:p>
        </w:tc>
      </w:tr>
    </w:tbl>
    <w:p w:rsidR="0008094E" w:rsidRPr="00B1011F" w:rsidRDefault="0008094E" w:rsidP="0008094E">
      <w:pPr>
        <w:pStyle w:val="TableFigureFooter"/>
        <w:rPr>
          <w:sz w:val="20"/>
        </w:rPr>
      </w:pPr>
      <w:r>
        <w:t xml:space="preserve">Source: </w:t>
      </w:r>
      <w:r w:rsidRPr="00361955">
        <w:t>Table 2-1, p50, Table 2-2, p51</w:t>
      </w:r>
      <w:r>
        <w:t xml:space="preserve">, </w:t>
      </w:r>
      <w:r w:rsidRPr="00606CE2">
        <w:rPr>
          <w:rFonts w:eastAsia="Calibri"/>
        </w:rPr>
        <w:t>Table 2-36, p132</w:t>
      </w:r>
      <w:r>
        <w:rPr>
          <w:rFonts w:eastAsia="Calibri"/>
        </w:rPr>
        <w:t xml:space="preserve">, </w:t>
      </w:r>
      <w:r w:rsidR="001554DB">
        <w:t xml:space="preserve">Table 2-37, p134, </w:t>
      </w:r>
      <w:r w:rsidRPr="00361955">
        <w:rPr>
          <w:rFonts w:eastAsia="Calibri"/>
        </w:rPr>
        <w:t>Table 2-38, p136</w:t>
      </w:r>
      <w:r w:rsidR="001554DB">
        <w:rPr>
          <w:rFonts w:eastAsia="Calibri"/>
        </w:rPr>
        <w:t xml:space="preserve">, </w:t>
      </w:r>
      <w:r w:rsidRPr="00361955">
        <w:rPr>
          <w:rFonts w:eastAsia="Calibri"/>
        </w:rPr>
        <w:t>Table 2-39, pp136-137</w:t>
      </w:r>
      <w:r w:rsidR="001554DB">
        <w:rPr>
          <w:rFonts w:eastAsia="Calibri"/>
        </w:rPr>
        <w:t xml:space="preserve">, </w:t>
      </w:r>
      <w:r w:rsidR="001554DB">
        <w:t xml:space="preserve">Table 2-40, pp138-139, and Table 2-41, pp139-141 </w:t>
      </w:r>
      <w:r w:rsidRPr="00361955">
        <w:rPr>
          <w:rFonts w:eastAsia="Calibri"/>
        </w:rPr>
        <w:t>of the submission</w:t>
      </w:r>
      <w:r>
        <w:rPr>
          <w:rFonts w:eastAsia="Calibri"/>
        </w:rPr>
        <w:t xml:space="preserve">. </w:t>
      </w:r>
    </w:p>
    <w:p w:rsidR="00511563" w:rsidRDefault="0008094E" w:rsidP="00511563">
      <w:pPr>
        <w:pStyle w:val="TableFigureFooter"/>
      </w:pPr>
      <w:r>
        <w:t xml:space="preserve">Abbreviations: HR = hazard ratio; </w:t>
      </w:r>
      <w:r w:rsidRPr="0072416F">
        <w:t xml:space="preserve">PBO = placebo; </w:t>
      </w:r>
      <w:r w:rsidR="00511563">
        <w:t xml:space="preserve">BOT = </w:t>
      </w:r>
      <w:r w:rsidR="00511563" w:rsidRPr="00511563">
        <w:t>budesonide orally disintegrating tablet</w:t>
      </w:r>
      <w:r w:rsidR="00511563">
        <w:t xml:space="preserve">; </w:t>
      </w:r>
      <w:r w:rsidRPr="0072416F">
        <w:t>RD = risk difference; RR = risk ratio</w:t>
      </w:r>
      <w:r w:rsidR="00F75792">
        <w:t xml:space="preserve">; </w:t>
      </w:r>
      <w:r w:rsidR="00F75792" w:rsidRPr="00F75792">
        <w:t>TEAE = treatment emergent adverse event</w:t>
      </w:r>
      <w:r w:rsidR="00F75792">
        <w:t>.</w:t>
      </w:r>
    </w:p>
    <w:p w:rsidR="00511563" w:rsidRPr="00511563" w:rsidRDefault="00511563" w:rsidP="00511563">
      <w:pPr>
        <w:pStyle w:val="TableFigureFooter"/>
      </w:pPr>
      <w:r w:rsidRPr="00606B4B">
        <w:rPr>
          <w:rFonts w:eastAsia="Calibri"/>
        </w:rPr>
        <w:t xml:space="preserve">Notes: </w:t>
      </w:r>
      <w:r w:rsidRPr="00606B4B">
        <w:rPr>
          <w:rFonts w:eastAsia="Calibri"/>
          <w:b/>
          <w:bCs/>
        </w:rPr>
        <w:t>Bold</w:t>
      </w:r>
      <w:r w:rsidRPr="00606B4B">
        <w:rPr>
          <w:rFonts w:eastAsia="Calibri"/>
        </w:rPr>
        <w:t xml:space="preserve"> indicates statistically significant results.</w:t>
      </w:r>
    </w:p>
    <w:p w:rsidR="0008094E" w:rsidRPr="0008094E" w:rsidRDefault="0008094E" w:rsidP="0008094E">
      <w:pPr>
        <w:pStyle w:val="TableFigureFooter"/>
      </w:pPr>
      <w:r w:rsidRPr="0072416F">
        <w:t xml:space="preserve">* Maximum duration of follow-up: </w:t>
      </w:r>
      <w:r w:rsidR="004450BA">
        <w:t>EOS-1</w:t>
      </w:r>
      <w:r w:rsidRPr="0072416F">
        <w:t xml:space="preserve"> = </w:t>
      </w:r>
      <w:r w:rsidR="004450BA">
        <w:t>6 weeks</w:t>
      </w:r>
      <w:r w:rsidRPr="0072416F">
        <w:t xml:space="preserve">; </w:t>
      </w:r>
      <w:r w:rsidR="004450BA">
        <w:t>EOS-2</w:t>
      </w:r>
      <w:r w:rsidRPr="0072416F">
        <w:t xml:space="preserve"> = </w:t>
      </w:r>
      <w:r w:rsidR="004450BA">
        <w:t>48 weeks.</w:t>
      </w:r>
      <w:r w:rsidRPr="0072416F">
        <w:t xml:space="preserve"> </w:t>
      </w:r>
    </w:p>
    <w:p w:rsidR="008B115D" w:rsidRPr="00361955" w:rsidRDefault="008B115D" w:rsidP="008B115D">
      <w:pPr>
        <w:pStyle w:val="3-BodyText"/>
      </w:pPr>
      <w:r w:rsidRPr="00361955">
        <w:t>On the basis of direct</w:t>
      </w:r>
      <w:r>
        <w:t xml:space="preserve"> </w:t>
      </w:r>
      <w:r w:rsidRPr="00361955">
        <w:t xml:space="preserve">evidence presented by the submission, for every 100 patients treated with </w:t>
      </w:r>
      <w:r>
        <w:t>BOT</w:t>
      </w:r>
      <w:r w:rsidRPr="00361955">
        <w:t xml:space="preserve"> </w:t>
      </w:r>
      <w:r w:rsidR="00A31F69">
        <w:t>1</w:t>
      </w:r>
      <w:r w:rsidR="009A7A2A">
        <w:t xml:space="preserve"> </w:t>
      </w:r>
      <w:r w:rsidR="00A31F69">
        <w:t xml:space="preserve">mg BID </w:t>
      </w:r>
      <w:r w:rsidRPr="00361955">
        <w:t xml:space="preserve">in comparison with </w:t>
      </w:r>
      <w:r>
        <w:t>placebo</w:t>
      </w:r>
      <w:r w:rsidRPr="00361955">
        <w:t>:</w:t>
      </w:r>
    </w:p>
    <w:p w:rsidR="008B115D" w:rsidRDefault="008B115D" w:rsidP="008B115D">
      <w:pPr>
        <w:pStyle w:val="ListParagraph"/>
        <w:ind w:left="1134"/>
      </w:pPr>
      <w:r w:rsidRPr="00361955">
        <w:t xml:space="preserve">Approximately </w:t>
      </w:r>
      <w:r>
        <w:t>57.6</w:t>
      </w:r>
      <w:r w:rsidRPr="00361955">
        <w:t xml:space="preserve"> additional patients would have </w:t>
      </w:r>
      <w:r>
        <w:t>be</w:t>
      </w:r>
      <w:r w:rsidR="00490748">
        <w:t>en</w:t>
      </w:r>
      <w:r>
        <w:t xml:space="preserve"> in c</w:t>
      </w:r>
      <w:r w:rsidRPr="00361955">
        <w:t xml:space="preserve">linicohistologic remission </w:t>
      </w:r>
      <w:r>
        <w:t xml:space="preserve">(an absence of symptoms and without cellular evidence of disease) </w:t>
      </w:r>
      <w:r w:rsidRPr="00361955">
        <w:t>at 6 weeks.</w:t>
      </w:r>
    </w:p>
    <w:p w:rsidR="008B115D" w:rsidRPr="00361955" w:rsidRDefault="008B115D" w:rsidP="008B115D">
      <w:pPr>
        <w:pStyle w:val="ListParagraph"/>
        <w:ind w:left="1134"/>
      </w:pPr>
      <w:r w:rsidRPr="00361955">
        <w:t xml:space="preserve">Approximately </w:t>
      </w:r>
      <w:r>
        <w:t>70.6</w:t>
      </w:r>
      <w:r w:rsidRPr="00361955">
        <w:t xml:space="preserve"> additional patients would </w:t>
      </w:r>
      <w:r>
        <w:t>maintain</w:t>
      </w:r>
      <w:r w:rsidRPr="00361955">
        <w:t xml:space="preserve"> </w:t>
      </w:r>
      <w:r>
        <w:t>c</w:t>
      </w:r>
      <w:r w:rsidRPr="00361955">
        <w:t xml:space="preserve">linicohistologic remission </w:t>
      </w:r>
      <w:r>
        <w:t xml:space="preserve">(an absence of symptoms and without cellular evidence of disease) </w:t>
      </w:r>
      <w:r w:rsidRPr="00361955">
        <w:t xml:space="preserve">at </w:t>
      </w:r>
      <w:r>
        <w:t>48</w:t>
      </w:r>
      <w:r w:rsidRPr="00361955">
        <w:t xml:space="preserve"> weeks.</w:t>
      </w:r>
    </w:p>
    <w:p w:rsidR="008B115D" w:rsidRDefault="008B115D" w:rsidP="008B115D">
      <w:pPr>
        <w:pStyle w:val="ListParagraph"/>
        <w:ind w:left="1134"/>
      </w:pPr>
      <w:r w:rsidRPr="00361955">
        <w:t xml:space="preserve">Approximately </w:t>
      </w:r>
      <w:r>
        <w:t>35.6</w:t>
      </w:r>
      <w:r w:rsidRPr="00361955">
        <w:t xml:space="preserve"> additional patients would experience</w:t>
      </w:r>
      <w:r>
        <w:t xml:space="preserve"> a s</w:t>
      </w:r>
      <w:r w:rsidRPr="00FD5056">
        <w:t>tudy drug related TEAE</w:t>
      </w:r>
      <w:r>
        <w:t xml:space="preserve"> after 12 weeks of therapy. </w:t>
      </w:r>
    </w:p>
    <w:p w:rsidR="008B115D" w:rsidRPr="00FD5056" w:rsidRDefault="008B115D" w:rsidP="008B115D">
      <w:pPr>
        <w:pStyle w:val="ListParagraph"/>
        <w:ind w:left="1134"/>
      </w:pPr>
      <w:r w:rsidRPr="00361955">
        <w:t xml:space="preserve">Approximately </w:t>
      </w:r>
      <w:r>
        <w:t>28</w:t>
      </w:r>
      <w:r w:rsidRPr="00361955">
        <w:t xml:space="preserve"> additional patients would experience</w:t>
      </w:r>
      <w:r>
        <w:t xml:space="preserve"> a s</w:t>
      </w:r>
      <w:r w:rsidRPr="00FD5056">
        <w:t>tudy drug related TEAE</w:t>
      </w:r>
      <w:r>
        <w:t xml:space="preserve"> once continuing therapy beyond 12 weeks</w:t>
      </w:r>
      <w:r w:rsidRPr="00361955">
        <w:t>.</w:t>
      </w:r>
    </w:p>
    <w:p w:rsidR="008B115D" w:rsidRPr="00A93348" w:rsidRDefault="008B115D" w:rsidP="008B115D">
      <w:pPr>
        <w:pStyle w:val="ListParagraph"/>
        <w:ind w:left="1134"/>
      </w:pPr>
      <w:r w:rsidRPr="00361955">
        <w:t xml:space="preserve">Approximately </w:t>
      </w:r>
      <w:r>
        <w:t>23</w:t>
      </w:r>
      <w:r w:rsidR="00276A49">
        <w:t>.7</w:t>
      </w:r>
      <w:r w:rsidRPr="00361955">
        <w:t xml:space="preserve"> additional patients would experience</w:t>
      </w:r>
      <w:r>
        <w:t xml:space="preserve"> s</w:t>
      </w:r>
      <w:r w:rsidRPr="00FD5056">
        <w:t>uspected local fungal infection</w:t>
      </w:r>
      <w:r>
        <w:t xml:space="preserve"> (</w:t>
      </w:r>
      <w:r w:rsidR="004552D3">
        <w:t>including oral</w:t>
      </w:r>
      <w:r w:rsidR="00974ECA">
        <w:t xml:space="preserve">, </w:t>
      </w:r>
      <w:r w:rsidR="004552D3">
        <w:t>oesophageal</w:t>
      </w:r>
      <w:r w:rsidR="00974ECA">
        <w:t xml:space="preserve">, and </w:t>
      </w:r>
      <w:r w:rsidR="006C4569">
        <w:t>o</w:t>
      </w:r>
      <w:r w:rsidR="006C4569" w:rsidRPr="006C4569">
        <w:t>ropharyngeal</w:t>
      </w:r>
      <w:r w:rsidR="004552D3">
        <w:t xml:space="preserve"> infections</w:t>
      </w:r>
      <w:r>
        <w:t>) during the first 12 weeks, of which 16.9</w:t>
      </w:r>
      <w:r w:rsidRPr="00361955">
        <w:t xml:space="preserve"> additional patients would experience</w:t>
      </w:r>
      <w:r>
        <w:t xml:space="preserve"> o</w:t>
      </w:r>
      <w:r w:rsidRPr="00A93348">
        <w:t>esophageal candid</w:t>
      </w:r>
      <w:r w:rsidR="00490748">
        <w:t>i</w:t>
      </w:r>
      <w:r w:rsidRPr="00A93348">
        <w:t>asis</w:t>
      </w:r>
      <w:r>
        <w:t xml:space="preserve"> (a </w:t>
      </w:r>
      <w:r w:rsidR="00490748">
        <w:t xml:space="preserve">fungal </w:t>
      </w:r>
      <w:r>
        <w:t>infection in the throat)</w:t>
      </w:r>
      <w:r w:rsidRPr="00361955">
        <w:t>.</w:t>
      </w:r>
    </w:p>
    <w:p w:rsidR="00EA03A6" w:rsidRPr="00EA03A6" w:rsidRDefault="00EA03A6" w:rsidP="00EA03A6">
      <w:pPr>
        <w:pStyle w:val="ListParagraph"/>
        <w:ind w:left="1134"/>
      </w:pPr>
      <w:r w:rsidRPr="00361955">
        <w:t xml:space="preserve">Approximately </w:t>
      </w:r>
      <w:r>
        <w:t>14</w:t>
      </w:r>
      <w:r w:rsidR="00561FC5">
        <w:t>.7</w:t>
      </w:r>
      <w:r w:rsidRPr="00361955">
        <w:t xml:space="preserve"> additional patients would experience</w:t>
      </w:r>
      <w:r>
        <w:t xml:space="preserve"> s</w:t>
      </w:r>
      <w:r w:rsidRPr="00FD5056">
        <w:t>uspected local fungal infection</w:t>
      </w:r>
      <w:r w:rsidR="0088507A">
        <w:t xml:space="preserve"> (</w:t>
      </w:r>
      <w:r w:rsidR="00922447">
        <w:t>including oral, oesophageal, and o</w:t>
      </w:r>
      <w:r w:rsidR="00922447" w:rsidRPr="006C4569">
        <w:t>ropharyngeal</w:t>
      </w:r>
      <w:r w:rsidR="00922447">
        <w:t xml:space="preserve"> infections</w:t>
      </w:r>
      <w:r w:rsidR="0088507A">
        <w:t xml:space="preserve">) </w:t>
      </w:r>
      <w:r>
        <w:t xml:space="preserve">during the </w:t>
      </w:r>
      <w:r w:rsidR="00865A23">
        <w:t>48</w:t>
      </w:r>
      <w:r>
        <w:t xml:space="preserve"> weeks</w:t>
      </w:r>
      <w:r w:rsidR="00865A23">
        <w:t xml:space="preserve"> of maintenance treatment</w:t>
      </w:r>
      <w:r>
        <w:t xml:space="preserve">, of which </w:t>
      </w:r>
      <w:r w:rsidR="00462AB3">
        <w:t>4.4</w:t>
      </w:r>
      <w:r w:rsidRPr="00361955">
        <w:t xml:space="preserve"> additional patients would experience</w:t>
      </w:r>
      <w:r>
        <w:t xml:space="preserve"> o</w:t>
      </w:r>
      <w:r w:rsidRPr="00A93348">
        <w:t>esophageal candid</w:t>
      </w:r>
      <w:r w:rsidR="00490748">
        <w:t>i</w:t>
      </w:r>
      <w:r w:rsidRPr="00A93348">
        <w:t>asis</w:t>
      </w:r>
      <w:r w:rsidR="00490748">
        <w:t xml:space="preserve"> (a fungal infection in the throat)</w:t>
      </w:r>
      <w:r w:rsidR="00462AB3">
        <w:t xml:space="preserve">. </w:t>
      </w:r>
    </w:p>
    <w:p w:rsidR="001B0917" w:rsidRPr="00A634A2" w:rsidRDefault="001B0917" w:rsidP="001B0917">
      <w:pPr>
        <w:pStyle w:val="4-SubsectionHeading"/>
      </w:pPr>
      <w:bookmarkStart w:id="18" w:name="_Toc22897644"/>
      <w:bookmarkStart w:id="19" w:name="_Toc62047624"/>
      <w:r w:rsidRPr="00C9624D">
        <w:t>Clinical claim</w:t>
      </w:r>
      <w:bookmarkEnd w:id="18"/>
      <w:bookmarkEnd w:id="19"/>
    </w:p>
    <w:p w:rsidR="00823A4F" w:rsidRPr="00823A4F" w:rsidRDefault="001B0917" w:rsidP="001B0917">
      <w:pPr>
        <w:pStyle w:val="3-BodyText"/>
        <w:rPr>
          <w:rFonts w:eastAsia="Calibri"/>
        </w:rPr>
      </w:pPr>
      <w:r w:rsidRPr="005D6F6E">
        <w:rPr>
          <w:rFonts w:eastAsia="Calibri"/>
        </w:rPr>
        <w:t xml:space="preserve">The submission described </w:t>
      </w:r>
      <w:r>
        <w:rPr>
          <w:rFonts w:eastAsia="Calibri"/>
        </w:rPr>
        <w:t>BOT</w:t>
      </w:r>
      <w:r w:rsidR="008A0A39">
        <w:rPr>
          <w:rFonts w:eastAsia="Calibri"/>
        </w:rPr>
        <w:t xml:space="preserve"> 1</w:t>
      </w:r>
      <w:r w:rsidR="009A7A2A">
        <w:rPr>
          <w:rFonts w:eastAsia="Calibri"/>
        </w:rPr>
        <w:t xml:space="preserve"> </w:t>
      </w:r>
      <w:r w:rsidR="008A0A39">
        <w:rPr>
          <w:rFonts w:eastAsia="Calibri"/>
        </w:rPr>
        <w:t>mg BID</w:t>
      </w:r>
      <w:r>
        <w:rPr>
          <w:rFonts w:eastAsia="Calibri"/>
        </w:rPr>
        <w:t xml:space="preserve"> </w:t>
      </w:r>
      <w:r w:rsidRPr="005D6F6E">
        <w:rPr>
          <w:rFonts w:eastAsia="Calibri"/>
        </w:rPr>
        <w:t>as</w:t>
      </w:r>
      <w:r>
        <w:rPr>
          <w:rFonts w:eastAsia="Calibri"/>
        </w:rPr>
        <w:t xml:space="preserve"> </w:t>
      </w:r>
      <w:r w:rsidRPr="005D6F6E">
        <w:rPr>
          <w:rFonts w:eastAsia="Calibri"/>
        </w:rPr>
        <w:t>superior in terms of effectiveness compared to</w:t>
      </w:r>
      <w:r>
        <w:rPr>
          <w:rFonts w:eastAsia="Calibri"/>
        </w:rPr>
        <w:t xml:space="preserve"> placebo</w:t>
      </w:r>
      <w:r w:rsidRPr="005D6F6E">
        <w:rPr>
          <w:rFonts w:eastAsia="Calibri"/>
        </w:rPr>
        <w:t xml:space="preserve">. </w:t>
      </w:r>
      <w:r w:rsidRPr="00D34648">
        <w:rPr>
          <w:rFonts w:eastAsia="Calibri"/>
          <w:iCs/>
        </w:rPr>
        <w:t xml:space="preserve">Overall, the clinical claim of superiority compared to placebo at either 6 or 48 weeks was well supported by the evidence. </w:t>
      </w:r>
      <w:r w:rsidR="00823A4F" w:rsidRPr="00911428">
        <w:rPr>
          <w:rFonts w:eastAsia="Calibri"/>
          <w:iCs/>
        </w:rPr>
        <w:t xml:space="preserve">The ESC agreed with the evaluation that the clinical claim of superiority was well supported by the evidence. However, the </w:t>
      </w:r>
      <w:r w:rsidR="00CF4B15" w:rsidRPr="00911428">
        <w:rPr>
          <w:rFonts w:eastAsia="Calibri"/>
          <w:iCs/>
        </w:rPr>
        <w:t>ESC considered a key issue was</w:t>
      </w:r>
      <w:r w:rsidR="00823A4F" w:rsidRPr="00911428">
        <w:rPr>
          <w:rFonts w:eastAsia="Calibri"/>
          <w:iCs/>
        </w:rPr>
        <w:t xml:space="preserve"> that the use</w:t>
      </w:r>
      <w:r w:rsidR="00823A4F" w:rsidRPr="00D34648">
        <w:rPr>
          <w:rFonts w:eastAsia="Calibri"/>
          <w:iCs/>
        </w:rPr>
        <w:t xml:space="preserve"> of BOT in the maintenance setting (beyond the 12 weeks of induction phase) was not consistent with the current TGA approved PI.</w:t>
      </w:r>
    </w:p>
    <w:p w:rsidR="001B671A" w:rsidRPr="00CF4B15" w:rsidRDefault="008B115D" w:rsidP="00CF4B15">
      <w:pPr>
        <w:pStyle w:val="3-BodyText"/>
        <w:rPr>
          <w:rFonts w:eastAsia="Calibri"/>
        </w:rPr>
      </w:pPr>
      <w:r w:rsidRPr="00D34648">
        <w:rPr>
          <w:rFonts w:eastAsia="Calibri"/>
          <w:iCs/>
        </w:rPr>
        <w:t>T</w:t>
      </w:r>
      <w:r w:rsidR="001B0917" w:rsidRPr="00D34648">
        <w:rPr>
          <w:rFonts w:eastAsia="Calibri"/>
          <w:iCs/>
        </w:rPr>
        <w:t>he applicability of th</w:t>
      </w:r>
      <w:r w:rsidR="00823A4F">
        <w:rPr>
          <w:rFonts w:eastAsia="Calibri"/>
          <w:iCs/>
        </w:rPr>
        <w:t xml:space="preserve">e clinical effectiveness </w:t>
      </w:r>
      <w:r w:rsidR="001B0917" w:rsidRPr="00D34648">
        <w:rPr>
          <w:rFonts w:eastAsia="Calibri"/>
          <w:iCs/>
        </w:rPr>
        <w:t xml:space="preserve">claim to the proposed use on the PBS remains </w:t>
      </w:r>
      <w:r w:rsidR="00CB17B1" w:rsidRPr="00D34648">
        <w:rPr>
          <w:rFonts w:eastAsia="Calibri"/>
          <w:iCs/>
        </w:rPr>
        <w:t>uncertain</w:t>
      </w:r>
      <w:r w:rsidR="001B0917" w:rsidRPr="00D34648">
        <w:rPr>
          <w:rFonts w:eastAsia="Calibri"/>
          <w:iCs/>
        </w:rPr>
        <w:t xml:space="preserve"> largely due to the trial excluding patients who were PPI-naïve and those with baseline EoE disease activity that would be included in the proposed PBS listing. </w:t>
      </w:r>
      <w:r w:rsidR="00823A4F" w:rsidRPr="00911428">
        <w:rPr>
          <w:iCs/>
        </w:rPr>
        <w:t xml:space="preserve">The PSCR argued that the eligibility criteria in the BOT studies reflected </w:t>
      </w:r>
      <w:r w:rsidR="009823DA" w:rsidRPr="00911428">
        <w:rPr>
          <w:iCs/>
        </w:rPr>
        <w:t xml:space="preserve">early guidelines, which have since been updated </w:t>
      </w:r>
      <w:r w:rsidR="00CF4B15" w:rsidRPr="00911428">
        <w:rPr>
          <w:iCs/>
        </w:rPr>
        <w:t>to remove the requirement for a PPI trial as part of the diagnostic work-up for EoE patients</w:t>
      </w:r>
      <w:r w:rsidR="009823DA" w:rsidRPr="00911428">
        <w:rPr>
          <w:iCs/>
        </w:rPr>
        <w:t>. T</w:t>
      </w:r>
      <w:r w:rsidR="00823A4F" w:rsidRPr="00911428">
        <w:t xml:space="preserve">he ESC noted that the requirement to be refractory to PPI treatment in the proposed restriction would require </w:t>
      </w:r>
      <w:r w:rsidR="00286EE1" w:rsidRPr="00911428">
        <w:t xml:space="preserve">all </w:t>
      </w:r>
      <w:r w:rsidR="00823A4F" w:rsidRPr="00911428">
        <w:t>patients to be treated with a non-TGA approved and non-PBS subsidised treatment prior to being eligible for BOT.</w:t>
      </w:r>
      <w:r w:rsidR="00823A4F">
        <w:rPr>
          <w:i/>
          <w:iCs/>
        </w:rPr>
        <w:t xml:space="preserve"> </w:t>
      </w:r>
      <w:r w:rsidR="0054605C">
        <w:t>The PBAC considered it appropriate to include PPI naïve patients in the proposed PBS population.</w:t>
      </w:r>
    </w:p>
    <w:p w:rsidR="00C4788A" w:rsidRPr="00911428" w:rsidRDefault="001B0917" w:rsidP="005A6F2E">
      <w:pPr>
        <w:pStyle w:val="3-BodyText"/>
        <w:rPr>
          <w:rFonts w:eastAsia="Calibri"/>
          <w:iCs/>
        </w:rPr>
      </w:pPr>
      <w:r w:rsidRPr="00D34648">
        <w:rPr>
          <w:rFonts w:eastAsia="Calibri"/>
          <w:iCs/>
        </w:rPr>
        <w:t xml:space="preserve">Evidence for supplementary treatment with BOT 1 mg BID for an additional 6 weeks (for a total of 12 weeks) for patients who </w:t>
      </w:r>
      <w:r w:rsidR="00CB17B1" w:rsidRPr="00D34648">
        <w:rPr>
          <w:rFonts w:eastAsia="Calibri"/>
          <w:iCs/>
        </w:rPr>
        <w:t>had not</w:t>
      </w:r>
      <w:r w:rsidRPr="00D34648">
        <w:rPr>
          <w:rFonts w:eastAsia="Calibri"/>
          <w:iCs/>
        </w:rPr>
        <w:t xml:space="preserve"> responded to the treatment </w:t>
      </w:r>
      <w:r w:rsidR="00CB17B1" w:rsidRPr="00D34648">
        <w:rPr>
          <w:rFonts w:eastAsia="Calibri"/>
          <w:iCs/>
        </w:rPr>
        <w:t xml:space="preserve">during </w:t>
      </w:r>
      <w:r w:rsidRPr="00D34648">
        <w:rPr>
          <w:rFonts w:eastAsia="Calibri"/>
          <w:iCs/>
        </w:rPr>
        <w:t>the fi</w:t>
      </w:r>
      <w:r w:rsidR="00F7268B" w:rsidRPr="00D34648">
        <w:rPr>
          <w:rFonts w:eastAsia="Calibri"/>
          <w:iCs/>
        </w:rPr>
        <w:t>r</w:t>
      </w:r>
      <w:r w:rsidRPr="00D34648">
        <w:rPr>
          <w:rFonts w:eastAsia="Calibri"/>
          <w:iCs/>
        </w:rPr>
        <w:t>st 6 weeks was non-comparative. Thus, the claim of BOT superiority relies on acceptance of the premise that no patients in the placebo group would have achieved spontaneous resolution of EoE with a further six weeks of follow-up. This may be reasonable given the natural history of EoE (Dellon 2018</w:t>
      </w:r>
      <w:r w:rsidR="00D70AEC" w:rsidRPr="00D34648">
        <w:rPr>
          <w:rStyle w:val="FootnoteReference"/>
          <w:rFonts w:eastAsia="Calibri"/>
          <w:iCs/>
        </w:rPr>
        <w:footnoteReference w:id="7"/>
      </w:r>
      <w:r w:rsidRPr="00D34648">
        <w:rPr>
          <w:rFonts w:eastAsia="Calibri"/>
          <w:iCs/>
        </w:rPr>
        <w:t xml:space="preserve">). </w:t>
      </w:r>
      <w:r w:rsidR="001B671A" w:rsidRPr="00911428">
        <w:rPr>
          <w:iCs/>
        </w:rPr>
        <w:t xml:space="preserve">The ESC agreed with the PSCR </w:t>
      </w:r>
      <w:r w:rsidR="001B671A" w:rsidRPr="00911428">
        <w:t>that given the natural history of EoE spontaneous resolution on placebo was unlikely.</w:t>
      </w:r>
    </w:p>
    <w:p w:rsidR="001B0917" w:rsidRDefault="001B0917" w:rsidP="001B0917">
      <w:pPr>
        <w:pStyle w:val="3-BodyText"/>
        <w:rPr>
          <w:rFonts w:eastAsia="Calibri"/>
        </w:rPr>
      </w:pPr>
      <w:r w:rsidRPr="00911428">
        <w:rPr>
          <w:rFonts w:eastAsia="Calibri"/>
        </w:rPr>
        <w:t xml:space="preserve">The submission described BOT as inferior in terms of safety compared to placebo. </w:t>
      </w:r>
      <w:r w:rsidR="001B671A" w:rsidRPr="00911428">
        <w:rPr>
          <w:rFonts w:eastAsia="Calibri"/>
        </w:rPr>
        <w:t>The ESC considered t</w:t>
      </w:r>
      <w:r w:rsidRPr="00911428">
        <w:rPr>
          <w:rFonts w:eastAsia="Calibri"/>
        </w:rPr>
        <w:t xml:space="preserve">his claim was adequately supported. </w:t>
      </w:r>
    </w:p>
    <w:p w:rsidR="000C5BE8" w:rsidRPr="0054605C" w:rsidRDefault="000C5BE8" w:rsidP="000C5BE8">
      <w:pPr>
        <w:pStyle w:val="3-BodyText"/>
        <w:rPr>
          <w:rFonts w:eastAsia="Calibri"/>
        </w:rPr>
      </w:pPr>
      <w:r w:rsidRPr="0054605C">
        <w:rPr>
          <w:rFonts w:eastAsia="Calibri"/>
        </w:rPr>
        <w:t>The PBAC considered that the claim of superior comparative effectiveness was reasonable.</w:t>
      </w:r>
    </w:p>
    <w:p w:rsidR="000C5BE8" w:rsidRPr="0054605C" w:rsidRDefault="000C5BE8" w:rsidP="000C5BE8">
      <w:pPr>
        <w:pStyle w:val="3-BodyText"/>
        <w:rPr>
          <w:rFonts w:eastAsia="Calibri"/>
        </w:rPr>
      </w:pPr>
      <w:r w:rsidRPr="0054605C">
        <w:rPr>
          <w:rFonts w:eastAsia="Calibri"/>
        </w:rPr>
        <w:t>The PBAC considered that the claim of inferior comparative safety was reasonable.</w:t>
      </w:r>
    </w:p>
    <w:p w:rsidR="00DA5F85" w:rsidRPr="00C9624D" w:rsidRDefault="00DA5F85" w:rsidP="00E9094A">
      <w:pPr>
        <w:pStyle w:val="4-SubsectionHeading"/>
      </w:pPr>
      <w:bookmarkStart w:id="20" w:name="_Toc22898857"/>
      <w:bookmarkStart w:id="21" w:name="_Toc62047625"/>
      <w:bookmarkEnd w:id="2"/>
      <w:r w:rsidRPr="00C9624D">
        <w:t>Economic analysis</w:t>
      </w:r>
      <w:bookmarkEnd w:id="20"/>
      <w:bookmarkEnd w:id="21"/>
      <w:r w:rsidRPr="00C9624D">
        <w:t xml:space="preserve"> </w:t>
      </w:r>
    </w:p>
    <w:p w:rsidR="00DA5F85" w:rsidRPr="002B74C4" w:rsidRDefault="00DA5F85" w:rsidP="00DA5F85">
      <w:pPr>
        <w:pStyle w:val="3-BodyText"/>
        <w:rPr>
          <w:lang w:val="en-US"/>
        </w:rPr>
      </w:pPr>
      <w:bookmarkStart w:id="22" w:name="_Hlk58242748"/>
      <w:r w:rsidRPr="002B74C4">
        <w:rPr>
          <w:lang w:val="en-US"/>
        </w:rPr>
        <w:t xml:space="preserve">The submission presented a stepped economic evaluation based on </w:t>
      </w:r>
      <w:r w:rsidR="00E70D66">
        <w:rPr>
          <w:lang w:val="en-US"/>
        </w:rPr>
        <w:t xml:space="preserve">the </w:t>
      </w:r>
      <w:r w:rsidRPr="002B74C4">
        <w:rPr>
          <w:lang w:val="en-US"/>
        </w:rPr>
        <w:t xml:space="preserve">direct </w:t>
      </w:r>
      <w:r w:rsidR="00D31600">
        <w:rPr>
          <w:lang w:val="en-US"/>
        </w:rPr>
        <w:t>RCTs</w:t>
      </w:r>
      <w:r w:rsidRPr="002B74C4">
        <w:rPr>
          <w:lang w:val="en-US"/>
        </w:rPr>
        <w:t xml:space="preserve"> (EOS-1 and EOS-2)</w:t>
      </w:r>
      <w:r w:rsidR="00D31600">
        <w:rPr>
          <w:lang w:val="en-US"/>
        </w:rPr>
        <w:t>,</w:t>
      </w:r>
      <w:r w:rsidRPr="002B74C4">
        <w:rPr>
          <w:lang w:val="en-US"/>
        </w:rPr>
        <w:t xml:space="preserve"> including a modelled cost-utility analysis (CUA) comparing BOT </w:t>
      </w:r>
      <w:r w:rsidR="001A6D15">
        <w:rPr>
          <w:lang w:val="en-US"/>
        </w:rPr>
        <w:t>1</w:t>
      </w:r>
      <w:r w:rsidR="00144579">
        <w:rPr>
          <w:lang w:val="en-US"/>
        </w:rPr>
        <w:t> </w:t>
      </w:r>
      <w:r w:rsidR="001A6D15">
        <w:rPr>
          <w:lang w:val="en-US"/>
        </w:rPr>
        <w:t xml:space="preserve">mg BID </w:t>
      </w:r>
      <w:r w:rsidR="00D65006">
        <w:rPr>
          <w:lang w:val="en-US"/>
        </w:rPr>
        <w:t xml:space="preserve">(induction and </w:t>
      </w:r>
      <w:r w:rsidR="00E542E6">
        <w:rPr>
          <w:lang w:val="en-US"/>
        </w:rPr>
        <w:t>maintenance therapy)</w:t>
      </w:r>
      <w:r w:rsidRPr="002B74C4">
        <w:rPr>
          <w:lang w:val="en-US"/>
        </w:rPr>
        <w:t xml:space="preserve"> with SOC (i.e. no active treatment).</w:t>
      </w:r>
      <w:r>
        <w:rPr>
          <w:lang w:val="en-US"/>
        </w:rPr>
        <w:t xml:space="preserve"> </w:t>
      </w:r>
      <w:r w:rsidRPr="002B74C4">
        <w:rPr>
          <w:lang w:val="en-US"/>
        </w:rPr>
        <w:t>The key components of the economic evaluation are described in</w:t>
      </w:r>
      <w:r>
        <w:rPr>
          <w:lang w:val="en-US"/>
        </w:rPr>
        <w:t xml:space="preserve"> </w:t>
      </w:r>
      <w:r w:rsidRPr="00676E44">
        <w:rPr>
          <w:lang w:val="en-US"/>
        </w:rPr>
        <w:t xml:space="preserve">Table </w:t>
      </w:r>
      <w:r w:rsidR="00DB7264">
        <w:rPr>
          <w:lang w:val="en-US"/>
        </w:rPr>
        <w:t>11</w:t>
      </w:r>
      <w:r>
        <w:rPr>
          <w:lang w:val="en-US"/>
        </w:rPr>
        <w:t>.</w:t>
      </w:r>
    </w:p>
    <w:bookmarkEnd w:id="22"/>
    <w:p w:rsidR="000A6F3E" w:rsidRDefault="000A6F3E">
      <w:pPr>
        <w:jc w:val="left"/>
        <w:rPr>
          <w:rStyle w:val="CommentReference"/>
          <w:rFonts w:eastAsiaTheme="majorEastAsia" w:cstheme="majorBidi"/>
          <w:bCs/>
          <w:szCs w:val="24"/>
        </w:rPr>
      </w:pPr>
      <w:r>
        <w:rPr>
          <w:rStyle w:val="CommentReference"/>
          <w:b w:val="0"/>
          <w:szCs w:val="24"/>
        </w:rPr>
        <w:br w:type="page"/>
      </w:r>
    </w:p>
    <w:p w:rsidR="00DA5F85" w:rsidRPr="00641FB3" w:rsidRDefault="00DA5F85" w:rsidP="00382485">
      <w:pPr>
        <w:pStyle w:val="TableFigureHeading"/>
        <w:keepNext w:val="0"/>
        <w:rPr>
          <w:rStyle w:val="CommentReference"/>
          <w:b/>
          <w:szCs w:val="24"/>
        </w:rPr>
      </w:pPr>
      <w:r w:rsidRPr="00676E44">
        <w:rPr>
          <w:rStyle w:val="CommentReference"/>
          <w:b/>
          <w:szCs w:val="24"/>
        </w:rPr>
        <w:t xml:space="preserve">Table </w:t>
      </w:r>
      <w:r w:rsidR="00DB7264">
        <w:rPr>
          <w:rStyle w:val="CommentReference"/>
          <w:b/>
          <w:szCs w:val="24"/>
        </w:rPr>
        <w:t>11</w:t>
      </w:r>
      <w:r w:rsidRPr="00676E44">
        <w:rPr>
          <w:rStyle w:val="CommentReference"/>
          <w:b/>
          <w:szCs w:val="24"/>
        </w:rPr>
        <w:t>:</w:t>
      </w:r>
      <w:r w:rsidRPr="00641FB3">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7603"/>
      </w:tblGrid>
      <w:tr w:rsidR="00DA5F85" w:rsidRPr="003D1DE4" w:rsidTr="00DB54EF">
        <w:trPr>
          <w:tblHeader/>
        </w:trPr>
        <w:tc>
          <w:tcPr>
            <w:tcW w:w="784" w:type="pct"/>
            <w:shd w:val="clear" w:color="auto" w:fill="auto"/>
            <w:vAlign w:val="center"/>
          </w:tcPr>
          <w:p w:rsidR="00DA5F85" w:rsidRPr="00641FB3" w:rsidRDefault="00DA5F85" w:rsidP="00382485">
            <w:pPr>
              <w:pStyle w:val="In-tableHeading"/>
              <w:keepNext w:val="0"/>
            </w:pPr>
            <w:r w:rsidRPr="00641FB3">
              <w:t>Component</w:t>
            </w:r>
          </w:p>
        </w:tc>
        <w:tc>
          <w:tcPr>
            <w:tcW w:w="4216" w:type="pct"/>
            <w:shd w:val="clear" w:color="auto" w:fill="auto"/>
            <w:vAlign w:val="center"/>
          </w:tcPr>
          <w:p w:rsidR="00DA5F85" w:rsidRPr="00641FB3" w:rsidRDefault="00DA5F85" w:rsidP="00382485">
            <w:pPr>
              <w:pStyle w:val="In-tableHeading"/>
              <w:keepNext w:val="0"/>
            </w:pPr>
            <w:r w:rsidRPr="00641FB3">
              <w:t>Summary</w:t>
            </w:r>
          </w:p>
        </w:tc>
      </w:tr>
      <w:tr w:rsidR="00DA5F85" w:rsidRPr="00E2771E" w:rsidTr="00DB54EF">
        <w:tc>
          <w:tcPr>
            <w:tcW w:w="784" w:type="pct"/>
            <w:shd w:val="clear" w:color="auto" w:fill="auto"/>
            <w:vAlign w:val="center"/>
          </w:tcPr>
          <w:p w:rsidR="00DA5F85" w:rsidRPr="00E2771E" w:rsidRDefault="00DA5F85" w:rsidP="00382485">
            <w:pPr>
              <w:pStyle w:val="TableText0"/>
              <w:keepNext w:val="0"/>
            </w:pPr>
            <w:r>
              <w:t>Treatments</w:t>
            </w:r>
          </w:p>
        </w:tc>
        <w:tc>
          <w:tcPr>
            <w:tcW w:w="4216" w:type="pct"/>
            <w:shd w:val="clear" w:color="auto" w:fill="auto"/>
            <w:vAlign w:val="center"/>
          </w:tcPr>
          <w:p w:rsidR="00DA5F85" w:rsidRPr="00E2771E" w:rsidRDefault="00DA5F85" w:rsidP="00382485">
            <w:pPr>
              <w:pStyle w:val="TableText0"/>
              <w:keepNext w:val="0"/>
            </w:pPr>
            <w:r>
              <w:t>BOT vs SOC</w:t>
            </w:r>
          </w:p>
        </w:tc>
      </w:tr>
      <w:tr w:rsidR="00DA5F85" w:rsidRPr="00E2771E" w:rsidTr="00DB54EF">
        <w:tc>
          <w:tcPr>
            <w:tcW w:w="784" w:type="pct"/>
            <w:shd w:val="clear" w:color="auto" w:fill="auto"/>
            <w:vAlign w:val="center"/>
          </w:tcPr>
          <w:p w:rsidR="00DA5F85" w:rsidRPr="00E2771E" w:rsidRDefault="00DA5F85" w:rsidP="00382485">
            <w:pPr>
              <w:pStyle w:val="TableText0"/>
              <w:keepNext w:val="0"/>
            </w:pPr>
            <w:r w:rsidRPr="00E2771E">
              <w:t>Time horizon</w:t>
            </w:r>
          </w:p>
        </w:tc>
        <w:tc>
          <w:tcPr>
            <w:tcW w:w="4216" w:type="pct"/>
            <w:shd w:val="clear" w:color="auto" w:fill="auto"/>
            <w:vAlign w:val="center"/>
          </w:tcPr>
          <w:p w:rsidR="00DA5F85" w:rsidRPr="00E2771E" w:rsidRDefault="00DA5F85" w:rsidP="00382485">
            <w:pPr>
              <w:pStyle w:val="TableText0"/>
              <w:keepNext w:val="0"/>
            </w:pPr>
            <w:r w:rsidRPr="002B74C4">
              <w:t>5 years in the model base case vs. 60 weeks (12 weeks induction + 48 weeks maintenance) in the key trials (EOS-1 and EOS-2)</w:t>
            </w:r>
          </w:p>
        </w:tc>
      </w:tr>
      <w:tr w:rsidR="00DA5F85" w:rsidRPr="00E2771E" w:rsidTr="00DB54EF">
        <w:tc>
          <w:tcPr>
            <w:tcW w:w="784" w:type="pct"/>
            <w:shd w:val="clear" w:color="auto" w:fill="auto"/>
            <w:vAlign w:val="center"/>
          </w:tcPr>
          <w:p w:rsidR="00DA5F85" w:rsidRPr="00E2771E" w:rsidRDefault="00DA5F85" w:rsidP="00382485">
            <w:pPr>
              <w:pStyle w:val="TableText0"/>
              <w:keepNext w:val="0"/>
            </w:pPr>
            <w:r w:rsidRPr="00E2771E">
              <w:t>Outcomes</w:t>
            </w:r>
          </w:p>
        </w:tc>
        <w:tc>
          <w:tcPr>
            <w:tcW w:w="4216" w:type="pct"/>
            <w:shd w:val="clear" w:color="auto" w:fill="auto"/>
            <w:vAlign w:val="center"/>
          </w:tcPr>
          <w:p w:rsidR="00DA5F85" w:rsidRPr="00E2771E" w:rsidRDefault="00DA5F85" w:rsidP="00382485">
            <w:pPr>
              <w:pStyle w:val="TableText0"/>
              <w:keepNext w:val="0"/>
            </w:pPr>
            <w:r w:rsidRPr="002B74C4">
              <w:t>% patients with clinicohistologic remission, quality-adjusted life-years (QALYs)</w:t>
            </w:r>
          </w:p>
        </w:tc>
      </w:tr>
      <w:tr w:rsidR="00DA5F85" w:rsidRPr="00E2771E" w:rsidTr="00DB54EF">
        <w:tc>
          <w:tcPr>
            <w:tcW w:w="784" w:type="pct"/>
            <w:shd w:val="clear" w:color="auto" w:fill="auto"/>
            <w:vAlign w:val="center"/>
          </w:tcPr>
          <w:p w:rsidR="00DA5F85" w:rsidRPr="00E2771E" w:rsidRDefault="00DA5F85" w:rsidP="00382485">
            <w:pPr>
              <w:pStyle w:val="TableText0"/>
              <w:keepNext w:val="0"/>
            </w:pPr>
            <w:r w:rsidRPr="00E2771E">
              <w:t>Methods used to generate results</w:t>
            </w:r>
          </w:p>
        </w:tc>
        <w:tc>
          <w:tcPr>
            <w:tcW w:w="4216" w:type="pct"/>
            <w:shd w:val="clear" w:color="auto" w:fill="auto"/>
            <w:vAlign w:val="center"/>
          </w:tcPr>
          <w:p w:rsidR="00DA5F85" w:rsidRPr="00E2771E" w:rsidRDefault="00DA5F85" w:rsidP="00382485">
            <w:pPr>
              <w:pStyle w:val="TableText0"/>
              <w:keepNext w:val="0"/>
            </w:pPr>
            <w:r>
              <w:t>Markov model</w:t>
            </w:r>
          </w:p>
        </w:tc>
      </w:tr>
      <w:tr w:rsidR="00DA5F85" w:rsidRPr="00E2771E" w:rsidTr="00DB54EF">
        <w:tc>
          <w:tcPr>
            <w:tcW w:w="784" w:type="pct"/>
            <w:shd w:val="clear" w:color="auto" w:fill="auto"/>
            <w:vAlign w:val="center"/>
          </w:tcPr>
          <w:p w:rsidR="00DA5F85" w:rsidRPr="009B225E" w:rsidRDefault="00DA5F85" w:rsidP="00382485">
            <w:pPr>
              <w:pStyle w:val="TableText0"/>
              <w:keepNext w:val="0"/>
              <w:rPr>
                <w:vertAlign w:val="superscript"/>
              </w:rPr>
            </w:pPr>
            <w:r w:rsidRPr="00E2771E">
              <w:t>Health states</w:t>
            </w:r>
            <w:r>
              <w:rPr>
                <w:vertAlign w:val="superscript"/>
              </w:rPr>
              <w:t>a</w:t>
            </w:r>
          </w:p>
        </w:tc>
        <w:tc>
          <w:tcPr>
            <w:tcW w:w="4216" w:type="pct"/>
            <w:shd w:val="clear" w:color="auto" w:fill="auto"/>
            <w:vAlign w:val="center"/>
          </w:tcPr>
          <w:p w:rsidR="00DA5F85" w:rsidRPr="000B30EB" w:rsidRDefault="00DA5F85" w:rsidP="00382485">
            <w:pPr>
              <w:pStyle w:val="TableText0"/>
              <w:keepNext w:val="0"/>
            </w:pPr>
            <w:r>
              <w:rPr>
                <w:u w:val="single"/>
              </w:rPr>
              <w:t>Seven</w:t>
            </w:r>
            <w:r w:rsidRPr="00AA2980">
              <w:rPr>
                <w:u w:val="single"/>
              </w:rPr>
              <w:t xml:space="preserve"> health states</w:t>
            </w:r>
            <w:r>
              <w:rPr>
                <w:u w:val="single"/>
              </w:rPr>
              <w:t xml:space="preserve"> (plus death)</w:t>
            </w:r>
          </w:p>
          <w:p w:rsidR="00DA5F85" w:rsidRDefault="00DA5F85" w:rsidP="00DA5F85">
            <w:pPr>
              <w:pStyle w:val="TableText0"/>
              <w:keepNext w:val="0"/>
            </w:pPr>
            <w:r>
              <w:t xml:space="preserve">• Induction </w:t>
            </w:r>
          </w:p>
          <w:p w:rsidR="00DA5F85" w:rsidRDefault="00DA5F85" w:rsidP="00DA5F85">
            <w:pPr>
              <w:pStyle w:val="TableText0"/>
              <w:keepNext w:val="0"/>
            </w:pPr>
            <w:r>
              <w:t>• Clinicohistologic remission (BOT and SOC</w:t>
            </w:r>
            <w:r>
              <w:rPr>
                <w:vertAlign w:val="superscript"/>
              </w:rPr>
              <w:t>b</w:t>
            </w:r>
            <w:r>
              <w:t>)</w:t>
            </w:r>
          </w:p>
          <w:p w:rsidR="00DA5F85" w:rsidRDefault="00DA5F85" w:rsidP="00DA5F85">
            <w:pPr>
              <w:pStyle w:val="TableText0"/>
              <w:keepNext w:val="0"/>
            </w:pPr>
            <w:r>
              <w:t>• Histologic remission only (BOT and SOC)</w:t>
            </w:r>
          </w:p>
          <w:p w:rsidR="00DA5F85" w:rsidRDefault="00DA5F85" w:rsidP="00DA5F85">
            <w:pPr>
              <w:pStyle w:val="TableText0"/>
              <w:keepNext w:val="0"/>
            </w:pPr>
            <w:r>
              <w:t>• No remission (i.e. neither clinicohistologic or histologic)</w:t>
            </w:r>
          </w:p>
          <w:p w:rsidR="00DA5F85" w:rsidRPr="00E2771E" w:rsidRDefault="00DA5F85" w:rsidP="00382485">
            <w:pPr>
              <w:pStyle w:val="TableText0"/>
              <w:keepNext w:val="0"/>
            </w:pPr>
            <w:r>
              <w:t>• All-cause death</w:t>
            </w:r>
          </w:p>
        </w:tc>
      </w:tr>
      <w:tr w:rsidR="00DA5F85" w:rsidRPr="00E2771E" w:rsidTr="00DB54EF">
        <w:tc>
          <w:tcPr>
            <w:tcW w:w="784" w:type="pct"/>
            <w:shd w:val="clear" w:color="auto" w:fill="auto"/>
            <w:vAlign w:val="center"/>
          </w:tcPr>
          <w:p w:rsidR="00DA5F85" w:rsidRPr="00E2771E" w:rsidRDefault="00DA5F85" w:rsidP="00382485">
            <w:pPr>
              <w:pStyle w:val="TableText0"/>
              <w:keepNext w:val="0"/>
            </w:pPr>
            <w:r w:rsidRPr="00E2771E">
              <w:t>Cycle length</w:t>
            </w:r>
          </w:p>
        </w:tc>
        <w:tc>
          <w:tcPr>
            <w:tcW w:w="4216" w:type="pct"/>
            <w:shd w:val="clear" w:color="auto" w:fill="auto"/>
            <w:vAlign w:val="center"/>
          </w:tcPr>
          <w:p w:rsidR="00DA5F85" w:rsidRPr="00E2771E" w:rsidRDefault="00DA5F85" w:rsidP="00382485">
            <w:pPr>
              <w:pStyle w:val="TableText0"/>
              <w:keepNext w:val="0"/>
            </w:pPr>
            <w:r>
              <w:t xml:space="preserve">3 </w:t>
            </w:r>
            <w:r w:rsidRPr="00E2771E">
              <w:t>months</w:t>
            </w:r>
          </w:p>
        </w:tc>
      </w:tr>
      <w:tr w:rsidR="00DA5F85" w:rsidRPr="00E2771E" w:rsidTr="00DB54EF">
        <w:tc>
          <w:tcPr>
            <w:tcW w:w="784" w:type="pct"/>
            <w:shd w:val="clear" w:color="auto" w:fill="auto"/>
            <w:vAlign w:val="center"/>
          </w:tcPr>
          <w:p w:rsidR="00DA5F85" w:rsidRPr="00E2771E" w:rsidRDefault="00DA5F85" w:rsidP="00382485">
            <w:pPr>
              <w:pStyle w:val="TableText0"/>
              <w:keepNext w:val="0"/>
            </w:pPr>
            <w:r w:rsidRPr="00E2771E">
              <w:t>Transition probabilities</w:t>
            </w:r>
            <w:r>
              <w:t xml:space="preserve"> </w:t>
            </w:r>
          </w:p>
          <w:p w:rsidR="00DA5F85" w:rsidRPr="00E2771E" w:rsidRDefault="00DA5F85" w:rsidP="00382485">
            <w:pPr>
              <w:pStyle w:val="TableText0"/>
              <w:keepNext w:val="0"/>
            </w:pPr>
          </w:p>
        </w:tc>
        <w:tc>
          <w:tcPr>
            <w:tcW w:w="4216" w:type="pct"/>
            <w:shd w:val="clear" w:color="auto" w:fill="auto"/>
            <w:vAlign w:val="center"/>
          </w:tcPr>
          <w:p w:rsidR="00DA5F85" w:rsidRPr="00705F56" w:rsidRDefault="00DA5F85" w:rsidP="00DA5F85">
            <w:pPr>
              <w:pStyle w:val="TableText0"/>
              <w:keepNext w:val="0"/>
              <w:rPr>
                <w:u w:val="single"/>
              </w:rPr>
            </w:pPr>
            <w:r w:rsidRPr="00705F56">
              <w:rPr>
                <w:u w:val="single"/>
              </w:rPr>
              <w:t>Based on EOS-1</w:t>
            </w:r>
          </w:p>
          <w:p w:rsidR="00DA5F85" w:rsidRDefault="00DA5F85" w:rsidP="00DA5F85">
            <w:pPr>
              <w:pStyle w:val="TableText0"/>
              <w:keepNext w:val="0"/>
            </w:pPr>
            <w:r>
              <w:t>• Probability of clinicohistologic remission with induction therapy</w:t>
            </w:r>
          </w:p>
          <w:p w:rsidR="00DA5F85" w:rsidRDefault="00DA5F85" w:rsidP="00DA5F85">
            <w:pPr>
              <w:pStyle w:val="TableText0"/>
              <w:keepNext w:val="0"/>
            </w:pPr>
            <w:r>
              <w:t>• Probability of histologic remission only with induction therapy</w:t>
            </w:r>
          </w:p>
          <w:p w:rsidR="00DA5F85" w:rsidRDefault="00DA5F85" w:rsidP="00DA5F85">
            <w:pPr>
              <w:pStyle w:val="TableText0"/>
              <w:keepNext w:val="0"/>
            </w:pPr>
            <w:r>
              <w:t>• Probability of achieving clinical remission during maintenance treatment (from histologic remission)</w:t>
            </w:r>
          </w:p>
          <w:p w:rsidR="00DA5F85" w:rsidRPr="00B853B2" w:rsidRDefault="00DA5F85" w:rsidP="00DA5F85">
            <w:pPr>
              <w:pStyle w:val="TableText0"/>
              <w:keepNext w:val="0"/>
              <w:rPr>
                <w:u w:val="single"/>
              </w:rPr>
            </w:pPr>
            <w:r w:rsidRPr="00B853B2">
              <w:rPr>
                <w:u w:val="single"/>
              </w:rPr>
              <w:t>Based on EOS-2</w:t>
            </w:r>
          </w:p>
          <w:p w:rsidR="00DA5F85" w:rsidRDefault="00DA5F85" w:rsidP="00DA5F85">
            <w:pPr>
              <w:pStyle w:val="TableText0"/>
              <w:keepNext w:val="0"/>
            </w:pPr>
            <w:r>
              <w:t xml:space="preserve">• Probability of losing clinicohistologic remission during maintenance treatment </w:t>
            </w:r>
          </w:p>
          <w:p w:rsidR="00DA5F85" w:rsidRDefault="00DA5F85" w:rsidP="00DA5F85">
            <w:pPr>
              <w:pStyle w:val="TableText0"/>
              <w:keepNext w:val="0"/>
            </w:pPr>
            <w:r>
              <w:t>• Probability of losing histologic remission during maintenance treatment (from histologic remission)</w:t>
            </w:r>
          </w:p>
          <w:p w:rsidR="00DA5F85" w:rsidRPr="00B853B2" w:rsidRDefault="00DA5F85" w:rsidP="00DA5F85">
            <w:pPr>
              <w:pStyle w:val="TableText0"/>
              <w:keepNext w:val="0"/>
              <w:rPr>
                <w:u w:val="single"/>
              </w:rPr>
            </w:pPr>
            <w:r w:rsidRPr="00B853B2">
              <w:rPr>
                <w:u w:val="single"/>
              </w:rPr>
              <w:t>Based on Australian life tables</w:t>
            </w:r>
          </w:p>
          <w:p w:rsidR="00DA5F85" w:rsidRPr="00E2771E" w:rsidRDefault="00DA5F85" w:rsidP="00382485">
            <w:pPr>
              <w:pStyle w:val="TableText0"/>
              <w:keepNext w:val="0"/>
            </w:pPr>
            <w:r>
              <w:t>• Probability of all-cause mortality</w:t>
            </w:r>
          </w:p>
        </w:tc>
      </w:tr>
      <w:tr w:rsidR="00DA5F85" w:rsidRPr="00E2771E" w:rsidTr="00DB54EF">
        <w:tc>
          <w:tcPr>
            <w:tcW w:w="784" w:type="pct"/>
            <w:shd w:val="clear" w:color="auto" w:fill="auto"/>
            <w:vAlign w:val="center"/>
          </w:tcPr>
          <w:p w:rsidR="00DA5F85" w:rsidRPr="00E2771E" w:rsidRDefault="00DA5F85" w:rsidP="00382485">
            <w:pPr>
              <w:pStyle w:val="TableText0"/>
              <w:keepNext w:val="0"/>
            </w:pPr>
            <w:r>
              <w:t>Extrapolation method</w:t>
            </w:r>
          </w:p>
        </w:tc>
        <w:tc>
          <w:tcPr>
            <w:tcW w:w="4216" w:type="pct"/>
            <w:shd w:val="clear" w:color="auto" w:fill="auto"/>
            <w:vAlign w:val="center"/>
          </w:tcPr>
          <w:p w:rsidR="00DA5F85" w:rsidRPr="00D34648" w:rsidRDefault="00DA5F85" w:rsidP="00382485">
            <w:pPr>
              <w:pStyle w:val="TableText0"/>
              <w:keepNext w:val="0"/>
              <w:rPr>
                <w:iCs/>
                <w:vertAlign w:val="superscript"/>
              </w:rPr>
            </w:pPr>
            <w:r w:rsidRPr="00D34648">
              <w:t xml:space="preserve">The submission assumed the probability of losing histologic remission within each treatment cycle remained constant over the 5-year time horizon. </w:t>
            </w:r>
            <w:r w:rsidRPr="00D34648">
              <w:rPr>
                <w:iCs/>
              </w:rPr>
              <w:t xml:space="preserve">74% of incremental QALYs (and 59% of incremental costs) </w:t>
            </w:r>
            <w:r w:rsidR="00D31600" w:rsidRPr="00D34648">
              <w:rPr>
                <w:iCs/>
              </w:rPr>
              <w:t>occurred</w:t>
            </w:r>
            <w:r w:rsidRPr="00D34648">
              <w:rPr>
                <w:iCs/>
              </w:rPr>
              <w:t xml:space="preserve"> in the extrapolated period.</w:t>
            </w:r>
            <w:r w:rsidRPr="00D34648">
              <w:rPr>
                <w:iCs/>
                <w:vertAlign w:val="superscript"/>
              </w:rPr>
              <w:t>c</w:t>
            </w:r>
          </w:p>
        </w:tc>
      </w:tr>
      <w:tr w:rsidR="00DA5F85" w:rsidRPr="00E2771E" w:rsidTr="00DB54EF">
        <w:tc>
          <w:tcPr>
            <w:tcW w:w="784" w:type="pct"/>
            <w:shd w:val="clear" w:color="auto" w:fill="auto"/>
            <w:vAlign w:val="center"/>
          </w:tcPr>
          <w:p w:rsidR="00DA5F85" w:rsidRPr="001F4081" w:rsidRDefault="00DA5F85" w:rsidP="00382485">
            <w:pPr>
              <w:pStyle w:val="TableText0"/>
              <w:keepNext w:val="0"/>
            </w:pPr>
            <w:r>
              <w:t>Health related quality of life</w:t>
            </w:r>
          </w:p>
        </w:tc>
        <w:tc>
          <w:tcPr>
            <w:tcW w:w="4216" w:type="pct"/>
            <w:shd w:val="clear" w:color="auto" w:fill="auto"/>
            <w:vAlign w:val="center"/>
          </w:tcPr>
          <w:p w:rsidR="00DA5F85" w:rsidRPr="00D34648" w:rsidRDefault="00DA5F85" w:rsidP="00144579">
            <w:pPr>
              <w:pStyle w:val="TableText0"/>
              <w:keepNext w:val="0"/>
            </w:pPr>
            <w:r w:rsidRPr="00D34648">
              <w:t xml:space="preserve">Survey of Australian adults EoE patients </w:t>
            </w:r>
            <w:r w:rsidR="00E06934" w:rsidRPr="00D34648">
              <w:t xml:space="preserve">(n=68) </w:t>
            </w:r>
            <w:r w:rsidRPr="00D34648">
              <w:t>using EQ-5D-5L questionnaire in two different contexts (symptomatic EoE and non-symptomatic EoE). The utility value applied were: Clinicohistologic remission health state = 0.780; No remission and histologic remission only health state = 0.609.</w:t>
            </w:r>
          </w:p>
        </w:tc>
      </w:tr>
      <w:tr w:rsidR="00DA5F85" w:rsidRPr="00E2771E" w:rsidTr="00DB54EF">
        <w:tc>
          <w:tcPr>
            <w:tcW w:w="784" w:type="pct"/>
            <w:shd w:val="clear" w:color="auto" w:fill="auto"/>
            <w:vAlign w:val="center"/>
          </w:tcPr>
          <w:p w:rsidR="00DA5F85" w:rsidRPr="00E2771E" w:rsidRDefault="00DA5F85" w:rsidP="00382485">
            <w:pPr>
              <w:pStyle w:val="TableText0"/>
              <w:keepNext w:val="0"/>
            </w:pPr>
            <w:r>
              <w:t xml:space="preserve">Resource utilisation </w:t>
            </w:r>
          </w:p>
        </w:tc>
        <w:tc>
          <w:tcPr>
            <w:tcW w:w="4216" w:type="pct"/>
            <w:shd w:val="clear" w:color="auto" w:fill="auto"/>
            <w:vAlign w:val="center"/>
          </w:tcPr>
          <w:p w:rsidR="00DA5F85" w:rsidRPr="00D34648" w:rsidRDefault="00DA5F85" w:rsidP="00382485">
            <w:pPr>
              <w:pStyle w:val="TableText0"/>
              <w:keepNext w:val="0"/>
            </w:pPr>
            <w:r w:rsidRPr="00D34648">
              <w:t xml:space="preserve">PBS: cost of drugs; MBS: physician consults; Hospital services: endoscopy (treatment evaluation), endoscopy (dilation), food bolus impactions requiring endoscopic removal. </w:t>
            </w:r>
            <w:r w:rsidRPr="00D34648">
              <w:rPr>
                <w:iCs/>
              </w:rPr>
              <w:t>The approach in the model was to include health care use that reflected local practice even if not observed in the clinical trials, such as dilation and endoscopic removal of food due to impaction.</w:t>
            </w:r>
          </w:p>
        </w:tc>
      </w:tr>
    </w:tbl>
    <w:p w:rsidR="00DA5F85" w:rsidRDefault="00DA5F85" w:rsidP="00DA5F85">
      <w:pPr>
        <w:pStyle w:val="TableFigureFooter"/>
      </w:pPr>
      <w:r>
        <w:t>Source: compiled during the evaluation based on data from the submission and Table 3-1, p167 of the submission.</w:t>
      </w:r>
    </w:p>
    <w:p w:rsidR="00DA5F85" w:rsidRDefault="00DA5F85" w:rsidP="00AF016C">
      <w:pPr>
        <w:pStyle w:val="TableFigureFooter"/>
      </w:pPr>
      <w:r>
        <w:t xml:space="preserve">Abbreviations: BOT = budesonide orally disintegrating tablets; EoE = eosinophilic oesophagitis; MBS = Medicare Benefits Schedule; </w:t>
      </w:r>
      <w:r w:rsidR="00AF016C">
        <w:br/>
      </w:r>
      <w:r>
        <w:t>PBS = Pharmaceutical Benefits Scheme; QALY = quality-adjusted li</w:t>
      </w:r>
      <w:r w:rsidR="00AF016C">
        <w:t>fe-year; SOC = standard of care.</w:t>
      </w:r>
      <w:r w:rsidR="00AF016C">
        <w:br/>
      </w:r>
      <w:r>
        <w:t xml:space="preserve">a The health state of clinicohistologic remission refers to a health state where the patient has neither symptoms (clinical) </w:t>
      </w:r>
      <w:r w:rsidR="004F12CB">
        <w:t>n</w:t>
      </w:r>
      <w:r>
        <w:t>or evidence of EoE on endoscopy (histologic; i.e. &lt;5 eos/hpf; equivalent to &lt;16 eos/mm</w:t>
      </w:r>
      <w:r w:rsidRPr="00813C18">
        <w:rPr>
          <w:vertAlign w:val="superscript"/>
        </w:rPr>
        <w:t>2</w:t>
      </w:r>
      <w:r>
        <w:t>hpf). Histologic remission only refers to a health state where the patient has no evidence of EoE on endoscopy, but symptoms have remained.</w:t>
      </w:r>
    </w:p>
    <w:p w:rsidR="00DA5F85" w:rsidRDefault="00DA5F85" w:rsidP="00DA5F85">
      <w:pPr>
        <w:pStyle w:val="TableFigureFooter"/>
      </w:pPr>
      <w:r>
        <w:t>b The term standard of care (SOC) was used to mean “no active treatment”, or placebo.</w:t>
      </w:r>
    </w:p>
    <w:p w:rsidR="00DA5F85" w:rsidRPr="00547ABC" w:rsidRDefault="00DA5F85" w:rsidP="00DA5F85">
      <w:pPr>
        <w:pStyle w:val="TableFigureFooter"/>
      </w:pPr>
      <w:r>
        <w:t xml:space="preserve">c </w:t>
      </w:r>
      <w:r w:rsidRPr="00547ABC">
        <w:rPr>
          <w:iCs/>
        </w:rPr>
        <w:t>Calculated during the evaluation by subtracting incremental QALYs and costs in Step 4 from Step 5, then dividing it by the incremental QALYs and costs in Step 5 (Table 3-20, p220 of the submission).</w:t>
      </w:r>
    </w:p>
    <w:p w:rsidR="0015228C" w:rsidRPr="000836ED" w:rsidRDefault="00AE4A8A" w:rsidP="000836ED">
      <w:pPr>
        <w:pStyle w:val="3-BodyText"/>
        <w:rPr>
          <w:iCs/>
        </w:rPr>
      </w:pPr>
      <w:r w:rsidRPr="001D56A2">
        <w:rPr>
          <w:lang w:val="en-US"/>
        </w:rPr>
        <w:t xml:space="preserve">The submission included an additional BOT treatment algorithm in the </w:t>
      </w:r>
      <w:r w:rsidRPr="000836ED">
        <w:rPr>
          <w:lang w:val="en-US"/>
        </w:rPr>
        <w:t xml:space="preserve">model to assess the cost-effectiveness of a single cycle of induction therapy (single induction followed by SOC maintenance). </w:t>
      </w:r>
      <w:r w:rsidRPr="000836ED">
        <w:rPr>
          <w:iCs/>
          <w:lang w:val="en-US"/>
        </w:rPr>
        <w:t>In this algorithm, the model excluded the event cost associated with one post-induction therapy endoscopy (to assess treatment response) from the BOT arm. This may not be reasonable as clinicians may use endoscopy to assess histological response upon treatment completion due to the poor correlation between symptoms and histological severity (RACGP 2015).</w:t>
      </w:r>
      <w:r w:rsidR="000904A2" w:rsidRPr="00547ABC">
        <w:t xml:space="preserve"> </w:t>
      </w:r>
      <w:r w:rsidR="000904A2" w:rsidRPr="000836ED">
        <w:rPr>
          <w:iCs/>
          <w:lang w:val="en-US"/>
        </w:rPr>
        <w:t xml:space="preserve">Further, the model does not allow </w:t>
      </w:r>
      <w:r w:rsidR="007A501F" w:rsidRPr="000836ED">
        <w:rPr>
          <w:iCs/>
          <w:lang w:val="en-US"/>
        </w:rPr>
        <w:t xml:space="preserve">for the </w:t>
      </w:r>
      <w:r w:rsidR="000904A2" w:rsidRPr="000836ED">
        <w:rPr>
          <w:iCs/>
          <w:lang w:val="en-US"/>
        </w:rPr>
        <w:t xml:space="preserve">repeated use of BOT induction therapy and this is not aligned with the proposed restriction which </w:t>
      </w:r>
      <w:r w:rsidR="005A2509" w:rsidRPr="000836ED">
        <w:rPr>
          <w:iCs/>
          <w:lang w:val="en-US"/>
        </w:rPr>
        <w:t xml:space="preserve">allows </w:t>
      </w:r>
      <w:r w:rsidR="000904A2" w:rsidRPr="000836ED">
        <w:rPr>
          <w:iCs/>
          <w:lang w:val="en-US"/>
        </w:rPr>
        <w:t xml:space="preserve">the use of BOT </w:t>
      </w:r>
      <w:r w:rsidR="005A2509" w:rsidRPr="000836ED">
        <w:rPr>
          <w:iCs/>
          <w:lang w:val="en-US"/>
        </w:rPr>
        <w:t>in a</w:t>
      </w:r>
      <w:r w:rsidR="000904A2" w:rsidRPr="000836ED">
        <w:rPr>
          <w:iCs/>
          <w:lang w:val="en-US"/>
        </w:rPr>
        <w:t xml:space="preserve"> retreatment</w:t>
      </w:r>
      <w:r w:rsidR="005A2509" w:rsidRPr="000836ED">
        <w:rPr>
          <w:iCs/>
          <w:lang w:val="en-US"/>
        </w:rPr>
        <w:t xml:space="preserve"> setting</w:t>
      </w:r>
      <w:r w:rsidR="000904A2" w:rsidRPr="000836ED">
        <w:rPr>
          <w:iCs/>
          <w:lang w:val="en-US"/>
        </w:rPr>
        <w:t>.</w:t>
      </w:r>
      <w:r w:rsidRPr="000836ED">
        <w:rPr>
          <w:lang w:val="en-US"/>
        </w:rPr>
        <w:t xml:space="preserve"> </w:t>
      </w:r>
      <w:r w:rsidR="0015228C" w:rsidRPr="000836ED">
        <w:rPr>
          <w:lang w:val="en-US"/>
        </w:rPr>
        <w:t>The PSCR stated that the economic model did not explicitly allow for repeated cycles of BOT induction therapy upon relapse, given the presumption that patients attaining histological/clinicohistologic remission would undergo maintenance therapy with BOT. The ESC considered the model and its inputs was designed to consider BOT as induction and maintenance therapy, and is not well suited to considering BOT as induction therapy only.</w:t>
      </w:r>
    </w:p>
    <w:p w:rsidR="00AE4A8A" w:rsidRDefault="00AE4A8A" w:rsidP="00BB00B3">
      <w:pPr>
        <w:pStyle w:val="3-BodyText"/>
        <w:rPr>
          <w:i/>
          <w:iCs/>
        </w:rPr>
      </w:pPr>
      <w:r w:rsidRPr="00B22545">
        <w:rPr>
          <w:lang w:val="en-US"/>
        </w:rPr>
        <w:t>The submission also presented supplementary comparative cost analyses of BOT versus off-label STC, off-label PPI and dietary management</w:t>
      </w:r>
      <w:r w:rsidR="0015228C">
        <w:rPr>
          <w:lang w:val="en-US"/>
        </w:rPr>
        <w:t>.</w:t>
      </w:r>
    </w:p>
    <w:p w:rsidR="00DA5F85" w:rsidRPr="00547ABC" w:rsidRDefault="00E16DC3" w:rsidP="00BB00B3">
      <w:pPr>
        <w:pStyle w:val="3-BodyText"/>
        <w:rPr>
          <w:iCs/>
        </w:rPr>
      </w:pPr>
      <w:r w:rsidRPr="00547ABC">
        <w:rPr>
          <w:iCs/>
        </w:rPr>
        <w:t xml:space="preserve">While the use of BOT in the </w:t>
      </w:r>
      <w:r w:rsidR="005F37F1" w:rsidRPr="00547ABC">
        <w:rPr>
          <w:lang w:val="en-US"/>
        </w:rPr>
        <w:t>induction and maintenance therapy</w:t>
      </w:r>
      <w:r w:rsidR="005F37F1" w:rsidRPr="00547ABC">
        <w:rPr>
          <w:iCs/>
        </w:rPr>
        <w:t xml:space="preserve"> </w:t>
      </w:r>
      <w:r w:rsidRPr="00547ABC">
        <w:rPr>
          <w:iCs/>
        </w:rPr>
        <w:t xml:space="preserve">model was consistent with the proposed clinical management algorithm and proposed PBS listing, there were inconsistencies with the clinical evidence. </w:t>
      </w:r>
      <w:r w:rsidR="00DA5F85" w:rsidRPr="00547ABC">
        <w:rPr>
          <w:iCs/>
        </w:rPr>
        <w:t>In EOS-1 (induction study), the majority of patients received 6 weeks of induction treatment while the model assumed all patients allocated to BOT received 12 weeks of induction treatment. In EOS-2 (maintenance study), patients had to be in clinicohistologic remission to be eligible for enrolment while the model allowed patients in the histologic remission only health state (i.e. not clinicohistologic remission) to receive maintenance treatment.</w:t>
      </w:r>
    </w:p>
    <w:p w:rsidR="00DA5F85" w:rsidRPr="00911428" w:rsidRDefault="00DA5F85" w:rsidP="00BB00B3">
      <w:pPr>
        <w:pStyle w:val="3-BodyText"/>
        <w:rPr>
          <w:iCs/>
        </w:rPr>
      </w:pPr>
      <w:r w:rsidRPr="003E0E79">
        <w:t xml:space="preserve">To estimate the proportion of patients in clinicohistologic remission who transition to active disease </w:t>
      </w:r>
      <w:r w:rsidR="00345653">
        <w:t xml:space="preserve">(no remission) </w:t>
      </w:r>
      <w:r w:rsidRPr="003E0E79">
        <w:t>during maintenance treatment</w:t>
      </w:r>
      <w:r w:rsidRPr="00950F16">
        <w:t>, the model applied the probability of losing histologic remission instead of the probability of losing clinicohistologic remission during maintenance treatment.</w:t>
      </w:r>
      <w:r w:rsidRPr="00B22545">
        <w:t xml:space="preserve"> </w:t>
      </w:r>
      <w:r w:rsidRPr="00547ABC">
        <w:rPr>
          <w:iCs/>
        </w:rPr>
        <w:t xml:space="preserve">The submission’s approach implicitly assumed that </w:t>
      </w:r>
      <w:r w:rsidR="002A1174" w:rsidRPr="00547ABC">
        <w:rPr>
          <w:iCs/>
        </w:rPr>
        <w:t xml:space="preserve">clinicohistologic </w:t>
      </w:r>
      <w:r w:rsidRPr="00547ABC">
        <w:rPr>
          <w:iCs/>
        </w:rPr>
        <w:t>patients who experienced clinical relapse (but maintained histologic remission) would continue maintenance treatment, whereas in EOS-2, clinical relapse was one of the criteria for treatment failure.</w:t>
      </w:r>
      <w:r w:rsidR="00756CEB" w:rsidRPr="00547ABC">
        <w:rPr>
          <w:iCs/>
        </w:rPr>
        <w:t xml:space="preserve"> Th</w:t>
      </w:r>
      <w:r w:rsidR="00087DF6" w:rsidRPr="00547ABC">
        <w:rPr>
          <w:iCs/>
        </w:rPr>
        <w:t>e model</w:t>
      </w:r>
      <w:r w:rsidR="00756CEB" w:rsidRPr="00547ABC">
        <w:rPr>
          <w:iCs/>
        </w:rPr>
        <w:t xml:space="preserve"> </w:t>
      </w:r>
      <w:r w:rsidR="001D3F06" w:rsidRPr="00547ABC">
        <w:rPr>
          <w:iCs/>
        </w:rPr>
        <w:t xml:space="preserve">inappropriately </w:t>
      </w:r>
      <w:r w:rsidR="00756CEB" w:rsidRPr="00547ABC">
        <w:rPr>
          <w:iCs/>
        </w:rPr>
        <w:t>allowed</w:t>
      </w:r>
      <w:r w:rsidR="00E27F03" w:rsidRPr="00547ABC">
        <w:rPr>
          <w:iCs/>
        </w:rPr>
        <w:t xml:space="preserve"> symptomatic patients (i.e. without clinical remission) to remain in th</w:t>
      </w:r>
      <w:r w:rsidR="002A1174" w:rsidRPr="00547ABC">
        <w:rPr>
          <w:iCs/>
        </w:rPr>
        <w:t>e clinicohistologic</w:t>
      </w:r>
      <w:r w:rsidR="00E27F03" w:rsidRPr="00547ABC">
        <w:rPr>
          <w:iCs/>
        </w:rPr>
        <w:t xml:space="preserve"> health state and </w:t>
      </w:r>
      <w:r w:rsidR="008167CE" w:rsidRPr="00547ABC">
        <w:rPr>
          <w:iCs/>
        </w:rPr>
        <w:t>accru</w:t>
      </w:r>
      <w:r w:rsidR="00A7320E" w:rsidRPr="00547ABC">
        <w:rPr>
          <w:iCs/>
        </w:rPr>
        <w:t>e</w:t>
      </w:r>
      <w:r w:rsidR="008167CE" w:rsidRPr="00547ABC">
        <w:rPr>
          <w:iCs/>
        </w:rPr>
        <w:t xml:space="preserve"> the health benefits of a </w:t>
      </w:r>
      <w:r w:rsidR="00B0159C" w:rsidRPr="00547ABC">
        <w:rPr>
          <w:iCs/>
        </w:rPr>
        <w:t>non-symptomatic health state</w:t>
      </w:r>
      <w:r w:rsidR="00A359FF" w:rsidRPr="00547ABC">
        <w:rPr>
          <w:iCs/>
        </w:rPr>
        <w:t>; t</w:t>
      </w:r>
      <w:r w:rsidR="00B0612E" w:rsidRPr="00547ABC">
        <w:rPr>
          <w:iCs/>
        </w:rPr>
        <w:t>he model does not allow patients to transition from clinicohistologic to histologic remission only.</w:t>
      </w:r>
      <w:r w:rsidRPr="00547ABC">
        <w:t xml:space="preserve"> For BOT, a probability of 14.7% (converted to 4.2% per cycle) was applied in the model based on the proportion of patients who did not maintain histological remission after 48 weeks in EOS-2.</w:t>
      </w:r>
      <w:r w:rsidRPr="00547ABC">
        <w:rPr>
          <w:iCs/>
        </w:rPr>
        <w:t xml:space="preserve"> </w:t>
      </w:r>
      <w:r w:rsidR="00695AC4" w:rsidRPr="00547ABC">
        <w:rPr>
          <w:iCs/>
        </w:rPr>
        <w:t xml:space="preserve">In EOS-2, </w:t>
      </w:r>
      <w:r w:rsidRPr="00547ABC">
        <w:rPr>
          <w:iCs/>
        </w:rPr>
        <w:t>25% of patients in the BOT arm failed to maintain clinicohistologic remission after 48 weeks of treatment.</w:t>
      </w:r>
      <w:r w:rsidR="0015228C">
        <w:rPr>
          <w:iCs/>
        </w:rPr>
        <w:t xml:space="preserve"> </w:t>
      </w:r>
      <w:r w:rsidR="0015228C" w:rsidRPr="00911428">
        <w:rPr>
          <w:iCs/>
        </w:rPr>
        <w:t>The PSCR stated that 51 of 68 (75%) of the patients in the BOT 1 mg BID treatment arm of EOS-2 were free of treatment failure. The PSCR argued that it was not necessarily the case that 25% of patients lost clinicohistologic remission as the definition of treatment failure comprised several discrete events, including patient choice/discontinuations. The ESC considered that varying the prob</w:t>
      </w:r>
      <w:r w:rsidR="00C56C15" w:rsidRPr="00911428">
        <w:rPr>
          <w:iCs/>
        </w:rPr>
        <w:t>ability of losing remission with BOT</w:t>
      </w:r>
      <w:r w:rsidR="0015228C" w:rsidRPr="00911428">
        <w:rPr>
          <w:iCs/>
        </w:rPr>
        <w:t xml:space="preserve"> had a minor effect on the ICER (</w:t>
      </w:r>
      <w:r w:rsidR="00C56C15" w:rsidRPr="00911428">
        <w:rPr>
          <w:iCs/>
        </w:rPr>
        <w:t xml:space="preserve">see </w:t>
      </w:r>
      <w:r w:rsidR="0015228C" w:rsidRPr="00911428">
        <w:rPr>
          <w:iCs/>
        </w:rPr>
        <w:t>Table 16).</w:t>
      </w:r>
    </w:p>
    <w:p w:rsidR="00DA5F85" w:rsidRPr="00547ABC" w:rsidRDefault="00DA5F85" w:rsidP="00BB00B3">
      <w:pPr>
        <w:pStyle w:val="3-BodyText"/>
        <w:rPr>
          <w:iCs/>
        </w:rPr>
      </w:pPr>
      <w:r w:rsidRPr="005D4F45">
        <w:t>In the model, patients who were on maintenance treatment in the histologic remission only health state were allowed to transition to a clinicohistologic remission health state. For BOT, a probability of 76.2% was applied in the model based on the assumed proportion of histologic only remitters at Week 6 in EOS-1 who achieved clinicohistologic remission at Week 12 after receiving an additional 6 weeks of induction treatment.</w:t>
      </w:r>
      <w:r w:rsidRPr="005D4F45">
        <w:rPr>
          <w:i/>
          <w:iCs/>
        </w:rPr>
        <w:t xml:space="preserve"> </w:t>
      </w:r>
      <w:r w:rsidRPr="00547ABC">
        <w:rPr>
          <w:iCs/>
        </w:rPr>
        <w:t>This was not appropriate as the model applied a probability derived from an induction study to a maintenance treatment health state.</w:t>
      </w:r>
      <w:r w:rsidR="00C56C15">
        <w:rPr>
          <w:iCs/>
        </w:rPr>
        <w:t xml:space="preserve"> </w:t>
      </w:r>
    </w:p>
    <w:p w:rsidR="00DA5F85" w:rsidRPr="00911428" w:rsidRDefault="00DA5F85" w:rsidP="00DA5F85">
      <w:pPr>
        <w:pStyle w:val="3-BodyText"/>
        <w:rPr>
          <w:iCs/>
        </w:rPr>
      </w:pPr>
      <w:r w:rsidRPr="00B36827">
        <w:t>For extrapolation, the model assumed the probability of losing histologic remission within each treatment cycle remained constant over the 5-year time horizon</w:t>
      </w:r>
      <w:r w:rsidRPr="00547ABC">
        <w:t>.</w:t>
      </w:r>
      <w:r w:rsidRPr="00547ABC">
        <w:rPr>
          <w:iCs/>
        </w:rPr>
        <w:t xml:space="preserve"> While a 5-year time horizon may be reasonable, no evidence was presented to support the constant histologic remission rate beyond the trial duration. </w:t>
      </w:r>
      <w:r w:rsidR="00C56C15" w:rsidRPr="00911428">
        <w:rPr>
          <w:iCs/>
        </w:rPr>
        <w:t>The PSCR argued that a time horizon of 5 years was consistent with published economic evaluations in EoE. The ESC considered that it remained uncertain what the rate of remission would be, however noted that this only had a minor effect on the ICER (</w:t>
      </w:r>
      <w:r w:rsidR="003419C3" w:rsidRPr="00911428">
        <w:rPr>
          <w:iCs/>
        </w:rPr>
        <w:t xml:space="preserve">see </w:t>
      </w:r>
      <w:r w:rsidR="00C56C15" w:rsidRPr="00911428">
        <w:rPr>
          <w:iCs/>
        </w:rPr>
        <w:t xml:space="preserve">Table </w:t>
      </w:r>
      <w:r w:rsidR="003419C3" w:rsidRPr="00911428">
        <w:rPr>
          <w:iCs/>
        </w:rPr>
        <w:t>1</w:t>
      </w:r>
      <w:r w:rsidR="00C56C15" w:rsidRPr="00911428">
        <w:rPr>
          <w:iCs/>
        </w:rPr>
        <w:t>6).</w:t>
      </w:r>
    </w:p>
    <w:p w:rsidR="00DA5F85" w:rsidRPr="00547ABC" w:rsidRDefault="00DA5F85" w:rsidP="00DA5F85">
      <w:pPr>
        <w:pStyle w:val="3-BodyText"/>
        <w:rPr>
          <w:iCs/>
        </w:rPr>
      </w:pPr>
      <w:r w:rsidRPr="00547ABC">
        <w:rPr>
          <w:iCs/>
        </w:rPr>
        <w:t>Due to the inconsistency between the structure of the model and the clinical evidence, the transition probabilities applied in the model did not reflect the flow of patients as observed in the clinical trials. Accordingly, the transitions applied in the model do not reflect the clinical evidence (mostly favouring BOT)</w:t>
      </w:r>
      <w:r w:rsidR="00D31600" w:rsidRPr="00547ABC">
        <w:rPr>
          <w:iCs/>
        </w:rPr>
        <w:t xml:space="preserve"> but are consistent with the proposed PBS listing</w:t>
      </w:r>
      <w:r w:rsidRPr="00547ABC">
        <w:rPr>
          <w:iCs/>
        </w:rPr>
        <w:t>.</w:t>
      </w:r>
      <w:r w:rsidR="00D774BC">
        <w:rPr>
          <w:iCs/>
        </w:rPr>
        <w:t xml:space="preserve"> </w:t>
      </w:r>
    </w:p>
    <w:p w:rsidR="00DA5F85" w:rsidRPr="00547ABC" w:rsidRDefault="00DA5F85" w:rsidP="00DA5F85">
      <w:pPr>
        <w:pStyle w:val="3-BodyText"/>
      </w:pPr>
      <w:r w:rsidRPr="00950F16">
        <w:t>The utility values applied in the economic model were based on an Australian patient survey (n=68) conducted by the Sponsor in August/September 2020</w:t>
      </w:r>
      <w:r>
        <w:t xml:space="preserve"> (the survey collected </w:t>
      </w:r>
      <w:r w:rsidRPr="001C74EB">
        <w:t xml:space="preserve">information on diagnostic history, symptomatic burden, treatment patterns, </w:t>
      </w:r>
      <w:r>
        <w:t xml:space="preserve">and </w:t>
      </w:r>
      <w:r w:rsidRPr="001C74EB">
        <w:t>resource utilisation</w:t>
      </w:r>
      <w:r>
        <w:t xml:space="preserve"> as well). </w:t>
      </w:r>
      <w:r w:rsidRPr="00547ABC">
        <w:rPr>
          <w:iCs/>
        </w:rPr>
        <w:t xml:space="preserve">This was a vignette-based survey that relied on respondents completing the EQ-5D-5L as if they were in a state of symptomatic EoE or, separately, non-symptomatic EoE. The vignettes did not describe the treatment required to achieve the non-symptomatic state. </w:t>
      </w:r>
    </w:p>
    <w:p w:rsidR="00DA5F85" w:rsidRPr="00547ABC" w:rsidRDefault="00DA5F85" w:rsidP="00DA5F85">
      <w:pPr>
        <w:pStyle w:val="3-BodyText"/>
      </w:pPr>
      <w:r w:rsidRPr="00547ABC">
        <w:rPr>
          <w:iCs/>
        </w:rPr>
        <w:t>The results of the survey should be interpreted with caution due to the high risk of confounding from recall bias, noting that six respondents stated their EoE symptoms were never well controlled. Further, the applicability of the survey may be compromised by the gender distribution (31% male</w:t>
      </w:r>
      <w:r w:rsidR="00D847CE" w:rsidRPr="00547ABC">
        <w:rPr>
          <w:iCs/>
        </w:rPr>
        <w:t>s</w:t>
      </w:r>
      <w:r w:rsidRPr="00547ABC">
        <w:rPr>
          <w:iCs/>
        </w:rPr>
        <w:t xml:space="preserve">), current treatment (12% STC) and respondents’ past experience of symptomatic versus non-symptomatic EoE. </w:t>
      </w:r>
      <w:r w:rsidR="00B030B7" w:rsidRPr="00547ABC">
        <w:rPr>
          <w:iCs/>
        </w:rPr>
        <w:t xml:space="preserve">The proportion of </w:t>
      </w:r>
      <w:r w:rsidR="00D847CE" w:rsidRPr="00547ABC">
        <w:rPr>
          <w:iCs/>
        </w:rPr>
        <w:t>male</w:t>
      </w:r>
      <w:r w:rsidR="00B030B7" w:rsidRPr="00547ABC">
        <w:rPr>
          <w:iCs/>
        </w:rPr>
        <w:t xml:space="preserve"> patients</w:t>
      </w:r>
      <w:r w:rsidR="00684C00" w:rsidRPr="00547ABC">
        <w:rPr>
          <w:iCs/>
        </w:rPr>
        <w:t xml:space="preserve"> w</w:t>
      </w:r>
      <w:r w:rsidR="00B030B7" w:rsidRPr="00547ABC">
        <w:rPr>
          <w:iCs/>
        </w:rPr>
        <w:t>as</w:t>
      </w:r>
      <w:r w:rsidR="00684C00" w:rsidRPr="00547ABC">
        <w:rPr>
          <w:iCs/>
        </w:rPr>
        <w:t xml:space="preserve"> reported</w:t>
      </w:r>
      <w:r w:rsidR="00B030B7" w:rsidRPr="00547ABC">
        <w:rPr>
          <w:iCs/>
        </w:rPr>
        <w:t xml:space="preserve"> to be 81%</w:t>
      </w:r>
      <w:r w:rsidR="001F2E70" w:rsidRPr="00547ABC">
        <w:t xml:space="preserve"> </w:t>
      </w:r>
      <w:r w:rsidR="001F2E70" w:rsidRPr="00547ABC">
        <w:rPr>
          <w:iCs/>
        </w:rPr>
        <w:t>in a</w:t>
      </w:r>
      <w:r w:rsidR="00684C00" w:rsidRPr="00547ABC">
        <w:rPr>
          <w:iCs/>
        </w:rPr>
        <w:t>n Australian</w:t>
      </w:r>
      <w:r w:rsidR="001F2E70" w:rsidRPr="00547ABC">
        <w:rPr>
          <w:iCs/>
        </w:rPr>
        <w:t xml:space="preserve"> prospective observational study by Philpott </w:t>
      </w:r>
      <w:r w:rsidR="00684C00" w:rsidRPr="00547ABC">
        <w:rPr>
          <w:iCs/>
        </w:rPr>
        <w:t>(</w:t>
      </w:r>
      <w:r w:rsidR="001F2E70" w:rsidRPr="00547ABC">
        <w:rPr>
          <w:iCs/>
        </w:rPr>
        <w:t>2016</w:t>
      </w:r>
      <w:r w:rsidR="00684C00" w:rsidRPr="00547ABC">
        <w:rPr>
          <w:iCs/>
        </w:rPr>
        <w:t>).</w:t>
      </w:r>
    </w:p>
    <w:p w:rsidR="00DA5F85" w:rsidRPr="00911428" w:rsidRDefault="00DA5F85" w:rsidP="00DA5F85">
      <w:pPr>
        <w:pStyle w:val="3-BodyText"/>
      </w:pPr>
      <w:r w:rsidRPr="00547ABC">
        <w:rPr>
          <w:iCs/>
        </w:rPr>
        <w:t>In addressing the gender applicability issue, the submission re-calculated the aggregate EQ-5D scores by weighting mean scores for males and females according to the gender distribution in EOS-1 (83% males). For EoE symptoms not under control, a higher mean score was observed in male respondents (0.6304) compared with female respondents (0.5068). For EoE symptoms under control, a higher mean score was observed in female respondents (0.8079) compared with male respondents (0.7742). As such, the direction of bias is unclear based on the submission’s approach in weighting the mean scores according to gender distribution. The utility values derived from the EoE survey were considerably lower than the values reported in published literature for both health states.</w:t>
      </w:r>
      <w:r w:rsidR="009320A3">
        <w:rPr>
          <w:iCs/>
        </w:rPr>
        <w:t xml:space="preserve"> </w:t>
      </w:r>
      <w:r w:rsidR="00E67716" w:rsidRPr="00911428">
        <w:rPr>
          <w:iCs/>
        </w:rPr>
        <w:t xml:space="preserve">The PSCR acknowledged the potential weaknesses of the survey but argued the survey generated utility values were internally consistent and able to be applied to the health states of the model. In addition, the PSCR noted that the no alternative published data sources were identified by the evaluation. </w:t>
      </w:r>
      <w:r w:rsidR="00D774BC" w:rsidRPr="00911428">
        <w:rPr>
          <w:iCs/>
        </w:rPr>
        <w:t>The ESC noted that there was an overall lack of high quality evidence around appropriate utili</w:t>
      </w:r>
      <w:r w:rsidR="00E67716" w:rsidRPr="00911428">
        <w:rPr>
          <w:iCs/>
        </w:rPr>
        <w:t>ty values for the population. The ESC</w:t>
      </w:r>
      <w:r w:rsidR="00D774BC" w:rsidRPr="00911428">
        <w:rPr>
          <w:iCs/>
        </w:rPr>
        <w:t xml:space="preserve"> also noted that the model was sensitive to the utility values selected, and concluded that this was the area of most meaningful uncertainty in the model without a clear favoured resolution.</w:t>
      </w:r>
      <w:r w:rsidR="000836ED">
        <w:rPr>
          <w:iCs/>
        </w:rPr>
        <w:t xml:space="preserve"> The pre-PBAC response argued that by conducting the Australian patient survey the submission attempted to address the lack of EoE specific utility values in the published literature as opposed to relying on proxies or assumptions. </w:t>
      </w:r>
    </w:p>
    <w:p w:rsidR="00DA5F85" w:rsidRPr="00547ABC" w:rsidRDefault="00DA5F85" w:rsidP="00DA5F85">
      <w:pPr>
        <w:pStyle w:val="3-BodyText"/>
      </w:pPr>
      <w:r w:rsidRPr="001C74EB">
        <w:t>For dilation</w:t>
      </w:r>
      <w:r>
        <w:t xml:space="preserve"> resource use</w:t>
      </w:r>
      <w:r w:rsidRPr="001C74EB">
        <w:t xml:space="preserve">, the model applied the </w:t>
      </w:r>
      <w:r w:rsidR="00D31600">
        <w:t xml:space="preserve">utilisation </w:t>
      </w:r>
      <w:r w:rsidRPr="001C74EB">
        <w:t xml:space="preserve">rate reported in Runge (2017) in 30% of patients derived from the patient survey. </w:t>
      </w:r>
      <w:r w:rsidR="00D31600" w:rsidRPr="00547ABC">
        <w:rPr>
          <w:iCs/>
        </w:rPr>
        <w:t>By applying the rates to 30% of patients in the model, the utilisation of dilation was likely to be underestimated because t</w:t>
      </w:r>
      <w:r w:rsidRPr="00547ABC">
        <w:rPr>
          <w:iCs/>
        </w:rPr>
        <w:t>he dilation rates (mean number of dilation</w:t>
      </w:r>
      <w:r w:rsidR="00A01512" w:rsidRPr="00547ABC">
        <w:rPr>
          <w:iCs/>
        </w:rPr>
        <w:t>s</w:t>
      </w:r>
      <w:r w:rsidRPr="00547ABC">
        <w:rPr>
          <w:iCs/>
        </w:rPr>
        <w:t xml:space="preserve"> per patient) reported in Runge (2017) had implicitly accounted for patients who did not require dilation (48% in responders and 25% in non-responders).</w:t>
      </w:r>
      <w:r w:rsidRPr="00B22545">
        <w:rPr>
          <w:i/>
          <w:iCs/>
        </w:rPr>
        <w:t xml:space="preserve"> </w:t>
      </w:r>
      <w:r w:rsidRPr="001C74EB">
        <w:t xml:space="preserve">For endoscopic removal of impacted food, the model applied the </w:t>
      </w:r>
      <w:r w:rsidR="00D31600">
        <w:t xml:space="preserve">utilisation </w:t>
      </w:r>
      <w:r w:rsidRPr="001C74EB">
        <w:t xml:space="preserve">rate reported in Kuchen (2014) in all patients. </w:t>
      </w:r>
      <w:r w:rsidRPr="00547ABC">
        <w:rPr>
          <w:iCs/>
        </w:rPr>
        <w:t xml:space="preserve">This was not consistent with EOS-2, whereby no patients required dilation, and only 1.5% of placebo patients required endoscopic removal of food due to impaction. </w:t>
      </w:r>
    </w:p>
    <w:p w:rsidR="00DA5F85" w:rsidRPr="00547ABC" w:rsidRDefault="00DA5F85" w:rsidP="00DA5F85">
      <w:pPr>
        <w:pStyle w:val="3-BodyText"/>
      </w:pPr>
      <w:r w:rsidRPr="006B4E37">
        <w:t xml:space="preserve">The disaggregated outcomes for the comparison of BOT with SOC are presented in </w:t>
      </w:r>
      <w:r w:rsidRPr="00676E44">
        <w:t xml:space="preserve">Table </w:t>
      </w:r>
      <w:r w:rsidR="00DB7264">
        <w:t>12</w:t>
      </w:r>
      <w:r w:rsidRPr="006B4E37">
        <w:t>.</w:t>
      </w:r>
      <w:r w:rsidRPr="008F66FC">
        <w:t xml:space="preserve"> </w:t>
      </w:r>
      <w:r w:rsidRPr="00547ABC">
        <w:rPr>
          <w:iCs/>
        </w:rPr>
        <w:t>The model resulted in an incremental benefit of 0.4770 QALYs which was driven by the QALY gain in the clinicohistologic remission health state. The incremental benefit was attributed to the longer time BOT patients spen</w:t>
      </w:r>
      <w:r w:rsidR="00D31600" w:rsidRPr="00547ABC">
        <w:rPr>
          <w:iCs/>
        </w:rPr>
        <w:t>d</w:t>
      </w:r>
      <w:r w:rsidRPr="00547ABC">
        <w:rPr>
          <w:iCs/>
        </w:rPr>
        <w:t xml:space="preserve"> in the clinicohistologic remission health state (higher utility value) compared with SOC patients.</w:t>
      </w:r>
    </w:p>
    <w:p w:rsidR="00DA5F85" w:rsidRPr="00921ACB" w:rsidRDefault="00DA5F85" w:rsidP="00DA5F85">
      <w:pPr>
        <w:pStyle w:val="TableFigureHeading"/>
        <w:rPr>
          <w:rStyle w:val="CommentReference"/>
          <w:b/>
          <w:szCs w:val="24"/>
        </w:rPr>
      </w:pPr>
      <w:r w:rsidRPr="00676E44">
        <w:rPr>
          <w:rStyle w:val="CommentReference"/>
          <w:b/>
          <w:szCs w:val="24"/>
        </w:rPr>
        <w:t xml:space="preserve">Table </w:t>
      </w:r>
      <w:r w:rsidR="00DB7264">
        <w:rPr>
          <w:rStyle w:val="CommentReference"/>
          <w:b/>
          <w:szCs w:val="24"/>
        </w:rPr>
        <w:t>12</w:t>
      </w:r>
      <w:r w:rsidRPr="00921ACB">
        <w:rPr>
          <w:rStyle w:val="CommentReference"/>
          <w:b/>
          <w:szCs w:val="24"/>
        </w:rPr>
        <w:t>: Disaggregated summary of health outcomes included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79"/>
        <w:gridCol w:w="1944"/>
        <w:gridCol w:w="1894"/>
        <w:gridCol w:w="2000"/>
      </w:tblGrid>
      <w:tr w:rsidR="00DA5F85" w:rsidRPr="004E2ADC" w:rsidTr="00DB54EF">
        <w:trPr>
          <w:cantSplit/>
        </w:trPr>
        <w:tc>
          <w:tcPr>
            <w:tcW w:w="1763" w:type="pct"/>
            <w:tcMar>
              <w:left w:w="57" w:type="dxa"/>
              <w:right w:w="57" w:type="dxa"/>
            </w:tcMar>
            <w:vAlign w:val="center"/>
          </w:tcPr>
          <w:p w:rsidR="00DA5F85" w:rsidRPr="004E2ADC" w:rsidRDefault="00DA5F85" w:rsidP="00DA5F85">
            <w:pPr>
              <w:pStyle w:val="In-tableHeading"/>
            </w:pPr>
            <w:bookmarkStart w:id="23" w:name="_Hlk58145480"/>
            <w:r>
              <w:t>Outcome</w:t>
            </w:r>
          </w:p>
        </w:tc>
        <w:tc>
          <w:tcPr>
            <w:tcW w:w="1078" w:type="pct"/>
            <w:tcMar>
              <w:left w:w="57" w:type="dxa"/>
              <w:right w:w="57" w:type="dxa"/>
            </w:tcMar>
            <w:vAlign w:val="center"/>
          </w:tcPr>
          <w:p w:rsidR="00DA5F85" w:rsidRPr="004E2ADC" w:rsidRDefault="00DA5F85" w:rsidP="00DA5F85">
            <w:pPr>
              <w:pStyle w:val="In-tableHeading"/>
              <w:jc w:val="center"/>
            </w:pPr>
            <w:r>
              <w:t>BOT</w:t>
            </w:r>
          </w:p>
        </w:tc>
        <w:tc>
          <w:tcPr>
            <w:tcW w:w="1050" w:type="pct"/>
            <w:tcMar>
              <w:left w:w="57" w:type="dxa"/>
              <w:right w:w="57" w:type="dxa"/>
            </w:tcMar>
            <w:vAlign w:val="center"/>
          </w:tcPr>
          <w:p w:rsidR="00DA5F85" w:rsidRPr="004E2ADC" w:rsidRDefault="00DA5F85" w:rsidP="00DA5F85">
            <w:pPr>
              <w:pStyle w:val="In-tableHeading"/>
              <w:jc w:val="center"/>
            </w:pPr>
            <w:r>
              <w:t>SOC</w:t>
            </w:r>
          </w:p>
        </w:tc>
        <w:tc>
          <w:tcPr>
            <w:tcW w:w="1109" w:type="pct"/>
            <w:vAlign w:val="center"/>
          </w:tcPr>
          <w:p w:rsidR="00DA5F85" w:rsidRPr="004E2ADC" w:rsidRDefault="00DA5F85" w:rsidP="00DA5F85">
            <w:pPr>
              <w:pStyle w:val="In-tableHeading"/>
              <w:jc w:val="center"/>
            </w:pPr>
            <w:r w:rsidRPr="004E2ADC">
              <w:t xml:space="preserve">Incremental </w:t>
            </w:r>
            <w:r>
              <w:t>outcome</w:t>
            </w:r>
          </w:p>
        </w:tc>
      </w:tr>
      <w:tr w:rsidR="00DA5F85" w:rsidRPr="00D141E1" w:rsidTr="00DB54EF">
        <w:trPr>
          <w:cantSplit/>
        </w:trPr>
        <w:tc>
          <w:tcPr>
            <w:tcW w:w="5000" w:type="pct"/>
            <w:gridSpan w:val="4"/>
            <w:tcMar>
              <w:left w:w="57" w:type="dxa"/>
              <w:right w:w="57" w:type="dxa"/>
            </w:tcMar>
            <w:vAlign w:val="center"/>
          </w:tcPr>
          <w:p w:rsidR="00DA5F85" w:rsidRPr="006B4E37" w:rsidRDefault="00DA5F85" w:rsidP="00DA5F85">
            <w:pPr>
              <w:pStyle w:val="TableText0"/>
              <w:rPr>
                <w:b/>
                <w:bCs w:val="0"/>
              </w:rPr>
            </w:pPr>
            <w:r w:rsidRPr="006B4E37">
              <w:rPr>
                <w:b/>
                <w:bCs w:val="0"/>
              </w:rPr>
              <w:t>LY</w:t>
            </w:r>
          </w:p>
        </w:tc>
      </w:tr>
      <w:tr w:rsidR="00DA5F85" w:rsidRPr="00D141E1" w:rsidTr="00DB54EF">
        <w:trPr>
          <w:cantSplit/>
        </w:trPr>
        <w:tc>
          <w:tcPr>
            <w:tcW w:w="1763" w:type="pct"/>
            <w:tcMar>
              <w:left w:w="57" w:type="dxa"/>
              <w:right w:w="57" w:type="dxa"/>
            </w:tcMar>
            <w:vAlign w:val="center"/>
          </w:tcPr>
          <w:p w:rsidR="00DA5F85" w:rsidRDefault="00DA5F85" w:rsidP="00DA5F85">
            <w:pPr>
              <w:pStyle w:val="TableText0"/>
            </w:pPr>
            <w:r>
              <w:t>Induction</w:t>
            </w:r>
          </w:p>
        </w:tc>
        <w:tc>
          <w:tcPr>
            <w:tcW w:w="1078" w:type="pct"/>
            <w:shd w:val="clear" w:color="auto" w:fill="auto"/>
            <w:tcMar>
              <w:left w:w="57" w:type="dxa"/>
              <w:right w:w="57" w:type="dxa"/>
            </w:tcMar>
            <w:vAlign w:val="center"/>
          </w:tcPr>
          <w:p w:rsidR="00DA5F85" w:rsidRDefault="00DA5F85" w:rsidP="00DA5F85">
            <w:pPr>
              <w:pStyle w:val="TableText0"/>
              <w:jc w:val="center"/>
            </w:pPr>
            <w:r>
              <w:rPr>
                <w:rFonts w:cs="Calibri"/>
                <w:color w:val="000000"/>
                <w:szCs w:val="20"/>
              </w:rPr>
              <w:t>0.1250</w:t>
            </w:r>
          </w:p>
        </w:tc>
        <w:tc>
          <w:tcPr>
            <w:tcW w:w="1050" w:type="pct"/>
            <w:shd w:val="clear" w:color="auto" w:fill="auto"/>
            <w:tcMar>
              <w:left w:w="57" w:type="dxa"/>
              <w:right w:w="57" w:type="dxa"/>
            </w:tcMar>
            <w:vAlign w:val="center"/>
          </w:tcPr>
          <w:p w:rsidR="00DA5F85" w:rsidRPr="005C527B" w:rsidRDefault="00DA5F85" w:rsidP="00DA5F85">
            <w:pPr>
              <w:pStyle w:val="TableText0"/>
              <w:jc w:val="center"/>
            </w:pPr>
            <w:r>
              <w:rPr>
                <w:rFonts w:cs="Calibri"/>
                <w:color w:val="000000"/>
                <w:szCs w:val="20"/>
              </w:rPr>
              <w:t>0.1250</w:t>
            </w:r>
          </w:p>
        </w:tc>
        <w:tc>
          <w:tcPr>
            <w:tcW w:w="1109" w:type="pct"/>
            <w:shd w:val="clear" w:color="auto" w:fill="auto"/>
            <w:vAlign w:val="center"/>
          </w:tcPr>
          <w:p w:rsidR="00DA5F85" w:rsidRPr="005C527B" w:rsidRDefault="00DA5F85" w:rsidP="00DA5F85">
            <w:pPr>
              <w:pStyle w:val="TableText0"/>
              <w:jc w:val="center"/>
            </w:pPr>
            <w:r>
              <w:rPr>
                <w:rFonts w:cs="Calibri"/>
                <w:color w:val="000000"/>
                <w:szCs w:val="20"/>
              </w:rPr>
              <w:t>0</w:t>
            </w:r>
          </w:p>
        </w:tc>
      </w:tr>
      <w:tr w:rsidR="00DA5F85" w:rsidRPr="00D141E1" w:rsidTr="00DB54EF">
        <w:trPr>
          <w:cantSplit/>
        </w:trPr>
        <w:tc>
          <w:tcPr>
            <w:tcW w:w="1763" w:type="pct"/>
            <w:tcMar>
              <w:left w:w="57" w:type="dxa"/>
              <w:right w:w="57" w:type="dxa"/>
            </w:tcMar>
            <w:vAlign w:val="center"/>
          </w:tcPr>
          <w:p w:rsidR="00DA5F85" w:rsidRDefault="00DA5F85" w:rsidP="00DA5F85">
            <w:pPr>
              <w:pStyle w:val="TableText0"/>
            </w:pPr>
            <w:r>
              <w:t>CH remission</w:t>
            </w:r>
          </w:p>
        </w:tc>
        <w:tc>
          <w:tcPr>
            <w:tcW w:w="1078" w:type="pct"/>
            <w:shd w:val="clear" w:color="auto" w:fill="auto"/>
            <w:tcMar>
              <w:left w:w="57" w:type="dxa"/>
              <w:right w:w="57" w:type="dxa"/>
            </w:tcMar>
            <w:vAlign w:val="center"/>
          </w:tcPr>
          <w:p w:rsidR="00DA5F85" w:rsidRDefault="00DA5F85" w:rsidP="00DA5F85">
            <w:pPr>
              <w:pStyle w:val="TableText0"/>
              <w:jc w:val="center"/>
            </w:pPr>
            <w:r>
              <w:rPr>
                <w:rFonts w:cs="Calibri"/>
                <w:color w:val="000000"/>
                <w:szCs w:val="20"/>
              </w:rPr>
              <w:t>3.1051</w:t>
            </w:r>
          </w:p>
        </w:tc>
        <w:tc>
          <w:tcPr>
            <w:tcW w:w="1050" w:type="pct"/>
            <w:shd w:val="clear" w:color="auto" w:fill="auto"/>
            <w:tcMar>
              <w:left w:w="57" w:type="dxa"/>
              <w:right w:w="57" w:type="dxa"/>
            </w:tcMar>
            <w:vAlign w:val="center"/>
          </w:tcPr>
          <w:p w:rsidR="00DA5F85" w:rsidRPr="005C527B" w:rsidRDefault="00DA5F85" w:rsidP="00DA5F85">
            <w:pPr>
              <w:pStyle w:val="TableText0"/>
              <w:jc w:val="center"/>
            </w:pPr>
            <w:r>
              <w:rPr>
                <w:rFonts w:cs="Calibri"/>
                <w:color w:val="000000"/>
                <w:szCs w:val="20"/>
              </w:rPr>
              <w:t>0</w:t>
            </w:r>
          </w:p>
        </w:tc>
        <w:tc>
          <w:tcPr>
            <w:tcW w:w="1109" w:type="pct"/>
            <w:shd w:val="clear" w:color="auto" w:fill="auto"/>
            <w:vAlign w:val="center"/>
          </w:tcPr>
          <w:p w:rsidR="00DA5F85" w:rsidRPr="005C527B" w:rsidRDefault="00DA5F85" w:rsidP="00DA5F85">
            <w:pPr>
              <w:pStyle w:val="TableText0"/>
              <w:jc w:val="center"/>
            </w:pPr>
            <w:r>
              <w:rPr>
                <w:rFonts w:cs="Calibri"/>
                <w:color w:val="000000"/>
                <w:szCs w:val="20"/>
              </w:rPr>
              <w:t>3.1051</w:t>
            </w:r>
          </w:p>
        </w:tc>
      </w:tr>
      <w:tr w:rsidR="00DA5F85" w:rsidRPr="00D141E1" w:rsidTr="00DB54EF">
        <w:trPr>
          <w:cantSplit/>
        </w:trPr>
        <w:tc>
          <w:tcPr>
            <w:tcW w:w="1763" w:type="pct"/>
            <w:tcMar>
              <w:left w:w="57" w:type="dxa"/>
              <w:right w:w="57" w:type="dxa"/>
            </w:tcMar>
            <w:vAlign w:val="center"/>
          </w:tcPr>
          <w:p w:rsidR="00DA5F85" w:rsidRDefault="00DA5F85" w:rsidP="00DA5F85">
            <w:pPr>
              <w:pStyle w:val="TableText0"/>
            </w:pPr>
            <w:r>
              <w:t>H remission only</w:t>
            </w:r>
          </w:p>
        </w:tc>
        <w:tc>
          <w:tcPr>
            <w:tcW w:w="1078" w:type="pct"/>
            <w:shd w:val="clear" w:color="auto" w:fill="auto"/>
            <w:tcMar>
              <w:left w:w="57" w:type="dxa"/>
              <w:right w:w="57" w:type="dxa"/>
            </w:tcMar>
            <w:vAlign w:val="center"/>
          </w:tcPr>
          <w:p w:rsidR="00DA5F85" w:rsidRDefault="00DA5F85" w:rsidP="00DA5F85">
            <w:pPr>
              <w:pStyle w:val="TableText0"/>
              <w:jc w:val="center"/>
            </w:pPr>
            <w:r>
              <w:rPr>
                <w:rFonts w:cs="Calibri"/>
                <w:color w:val="000000"/>
                <w:szCs w:val="20"/>
              </w:rPr>
              <w:t>0.0274</w:t>
            </w:r>
          </w:p>
        </w:tc>
        <w:tc>
          <w:tcPr>
            <w:tcW w:w="1050" w:type="pct"/>
            <w:shd w:val="clear" w:color="auto" w:fill="auto"/>
            <w:tcMar>
              <w:left w:w="57" w:type="dxa"/>
              <w:right w:w="57" w:type="dxa"/>
            </w:tcMar>
            <w:vAlign w:val="center"/>
          </w:tcPr>
          <w:p w:rsidR="00DA5F85" w:rsidRPr="005C527B" w:rsidRDefault="00DA5F85" w:rsidP="00DA5F85">
            <w:pPr>
              <w:pStyle w:val="TableText0"/>
              <w:jc w:val="center"/>
            </w:pPr>
            <w:r>
              <w:t>0</w:t>
            </w:r>
          </w:p>
        </w:tc>
        <w:tc>
          <w:tcPr>
            <w:tcW w:w="1109" w:type="pct"/>
            <w:shd w:val="clear" w:color="auto" w:fill="auto"/>
            <w:vAlign w:val="center"/>
          </w:tcPr>
          <w:p w:rsidR="00DA5F85" w:rsidRPr="005C527B" w:rsidRDefault="00DA5F85" w:rsidP="00DA5F85">
            <w:pPr>
              <w:pStyle w:val="TableText0"/>
              <w:jc w:val="center"/>
            </w:pPr>
            <w:r>
              <w:rPr>
                <w:rFonts w:cs="Calibri"/>
                <w:color w:val="000000"/>
                <w:szCs w:val="20"/>
              </w:rPr>
              <w:t>0.0274</w:t>
            </w:r>
          </w:p>
        </w:tc>
      </w:tr>
      <w:tr w:rsidR="00DA5F85" w:rsidRPr="00D141E1" w:rsidTr="00DB54EF">
        <w:trPr>
          <w:cantSplit/>
        </w:trPr>
        <w:tc>
          <w:tcPr>
            <w:tcW w:w="1763" w:type="pct"/>
            <w:tcMar>
              <w:left w:w="57" w:type="dxa"/>
              <w:right w:w="57" w:type="dxa"/>
            </w:tcMar>
            <w:vAlign w:val="center"/>
          </w:tcPr>
          <w:p w:rsidR="00DA5F85" w:rsidRDefault="00DA5F85" w:rsidP="00DA5F85">
            <w:pPr>
              <w:pStyle w:val="TableText0"/>
            </w:pPr>
            <w:r>
              <w:t>No remission</w:t>
            </w:r>
          </w:p>
        </w:tc>
        <w:tc>
          <w:tcPr>
            <w:tcW w:w="1078" w:type="pct"/>
            <w:shd w:val="clear" w:color="auto" w:fill="auto"/>
            <w:tcMar>
              <w:left w:w="57" w:type="dxa"/>
              <w:right w:w="57" w:type="dxa"/>
            </w:tcMar>
            <w:vAlign w:val="center"/>
          </w:tcPr>
          <w:p w:rsidR="00DA5F85" w:rsidRDefault="00DA5F85" w:rsidP="00DA5F85">
            <w:pPr>
              <w:pStyle w:val="TableText0"/>
              <w:jc w:val="center"/>
            </w:pPr>
            <w:r>
              <w:rPr>
                <w:rFonts w:cs="Calibri"/>
                <w:color w:val="000000"/>
                <w:szCs w:val="20"/>
              </w:rPr>
              <w:t>1.7280</w:t>
            </w:r>
          </w:p>
        </w:tc>
        <w:tc>
          <w:tcPr>
            <w:tcW w:w="1050" w:type="pct"/>
            <w:shd w:val="clear" w:color="auto" w:fill="auto"/>
            <w:tcMar>
              <w:left w:w="57" w:type="dxa"/>
              <w:right w:w="57" w:type="dxa"/>
            </w:tcMar>
            <w:vAlign w:val="center"/>
          </w:tcPr>
          <w:p w:rsidR="00DA5F85" w:rsidRPr="005C527B" w:rsidRDefault="00DA5F85" w:rsidP="00DA5F85">
            <w:pPr>
              <w:pStyle w:val="TableText0"/>
              <w:jc w:val="center"/>
            </w:pPr>
            <w:r>
              <w:rPr>
                <w:rFonts w:cs="Calibri"/>
                <w:color w:val="000000"/>
                <w:szCs w:val="20"/>
              </w:rPr>
              <w:t>4.8605</w:t>
            </w:r>
          </w:p>
        </w:tc>
        <w:tc>
          <w:tcPr>
            <w:tcW w:w="1109" w:type="pct"/>
            <w:shd w:val="clear" w:color="auto" w:fill="auto"/>
            <w:vAlign w:val="center"/>
          </w:tcPr>
          <w:p w:rsidR="00DA5F85" w:rsidRPr="005C527B" w:rsidRDefault="00DA5F85" w:rsidP="00DA5F85">
            <w:pPr>
              <w:pStyle w:val="TableText0"/>
              <w:jc w:val="center"/>
            </w:pPr>
            <w:r>
              <w:rPr>
                <w:rFonts w:cs="Calibri"/>
                <w:color w:val="000000"/>
                <w:szCs w:val="20"/>
              </w:rPr>
              <w:t>-3.1325</w:t>
            </w:r>
          </w:p>
        </w:tc>
      </w:tr>
      <w:tr w:rsidR="00DA5F85" w:rsidRPr="00D141E1" w:rsidTr="00DB54EF">
        <w:trPr>
          <w:cantSplit/>
        </w:trPr>
        <w:tc>
          <w:tcPr>
            <w:tcW w:w="1763" w:type="pct"/>
            <w:tcMar>
              <w:left w:w="57" w:type="dxa"/>
              <w:right w:w="57" w:type="dxa"/>
            </w:tcMar>
            <w:vAlign w:val="center"/>
          </w:tcPr>
          <w:p w:rsidR="00DA5F85" w:rsidRDefault="00DA5F85" w:rsidP="00DA5F85">
            <w:pPr>
              <w:pStyle w:val="TableText0"/>
            </w:pPr>
            <w:r>
              <w:t>Overall total</w:t>
            </w:r>
          </w:p>
        </w:tc>
        <w:tc>
          <w:tcPr>
            <w:tcW w:w="1078" w:type="pct"/>
            <w:shd w:val="clear" w:color="auto" w:fill="auto"/>
            <w:tcMar>
              <w:left w:w="57" w:type="dxa"/>
              <w:right w:w="57" w:type="dxa"/>
            </w:tcMar>
            <w:vAlign w:val="center"/>
          </w:tcPr>
          <w:p w:rsidR="00DA5F85" w:rsidRDefault="00DA5F85" w:rsidP="00DA5F85">
            <w:pPr>
              <w:pStyle w:val="TableText0"/>
              <w:jc w:val="center"/>
            </w:pPr>
            <w:r>
              <w:rPr>
                <w:rFonts w:cs="Calibri"/>
                <w:color w:val="000000"/>
                <w:szCs w:val="20"/>
              </w:rPr>
              <w:t>4.9855</w:t>
            </w:r>
          </w:p>
        </w:tc>
        <w:tc>
          <w:tcPr>
            <w:tcW w:w="1050" w:type="pct"/>
            <w:shd w:val="clear" w:color="auto" w:fill="auto"/>
            <w:tcMar>
              <w:left w:w="57" w:type="dxa"/>
              <w:right w:w="57" w:type="dxa"/>
            </w:tcMar>
            <w:vAlign w:val="center"/>
          </w:tcPr>
          <w:p w:rsidR="00DA5F85" w:rsidRPr="005C527B" w:rsidRDefault="00DA5F85" w:rsidP="00DA5F85">
            <w:pPr>
              <w:pStyle w:val="TableText0"/>
              <w:jc w:val="center"/>
            </w:pPr>
            <w:r>
              <w:rPr>
                <w:rFonts w:cs="Calibri"/>
                <w:color w:val="000000"/>
                <w:szCs w:val="20"/>
              </w:rPr>
              <w:t>4.9855</w:t>
            </w:r>
          </w:p>
        </w:tc>
        <w:tc>
          <w:tcPr>
            <w:tcW w:w="1109" w:type="pct"/>
            <w:shd w:val="clear" w:color="auto" w:fill="auto"/>
            <w:vAlign w:val="center"/>
          </w:tcPr>
          <w:p w:rsidR="00DA5F85" w:rsidRPr="005C527B" w:rsidRDefault="00DA5F85" w:rsidP="00DA5F85">
            <w:pPr>
              <w:pStyle w:val="TableText0"/>
              <w:jc w:val="center"/>
            </w:pPr>
            <w:r>
              <w:rPr>
                <w:rFonts w:cs="Calibri"/>
                <w:color w:val="000000"/>
                <w:szCs w:val="20"/>
              </w:rPr>
              <w:t>0</w:t>
            </w:r>
          </w:p>
        </w:tc>
      </w:tr>
      <w:tr w:rsidR="00DA5F85" w:rsidRPr="00D141E1" w:rsidTr="00DB54EF">
        <w:trPr>
          <w:cantSplit/>
        </w:trPr>
        <w:tc>
          <w:tcPr>
            <w:tcW w:w="5000" w:type="pct"/>
            <w:gridSpan w:val="4"/>
            <w:tcMar>
              <w:left w:w="57" w:type="dxa"/>
              <w:right w:w="57" w:type="dxa"/>
            </w:tcMar>
            <w:vAlign w:val="center"/>
          </w:tcPr>
          <w:p w:rsidR="00DA5F85" w:rsidRPr="006B4E37" w:rsidRDefault="00DA5F85" w:rsidP="00DA5F85">
            <w:pPr>
              <w:pStyle w:val="TableText0"/>
              <w:rPr>
                <w:b/>
                <w:bCs w:val="0"/>
              </w:rPr>
            </w:pPr>
            <w:r w:rsidRPr="006B4E37">
              <w:rPr>
                <w:b/>
                <w:bCs w:val="0"/>
              </w:rPr>
              <w:t>QALY</w:t>
            </w:r>
          </w:p>
        </w:tc>
      </w:tr>
      <w:tr w:rsidR="00DA5F85" w:rsidRPr="00D141E1" w:rsidTr="00DB54EF">
        <w:trPr>
          <w:cantSplit/>
        </w:trPr>
        <w:tc>
          <w:tcPr>
            <w:tcW w:w="1763" w:type="pct"/>
            <w:tcMar>
              <w:left w:w="57" w:type="dxa"/>
              <w:right w:w="57" w:type="dxa"/>
            </w:tcMar>
            <w:vAlign w:val="center"/>
          </w:tcPr>
          <w:p w:rsidR="00DA5F85" w:rsidRDefault="00DA5F85" w:rsidP="00DA5F85">
            <w:pPr>
              <w:pStyle w:val="TableText0"/>
            </w:pPr>
            <w:r>
              <w:t>Induction</w:t>
            </w:r>
          </w:p>
        </w:tc>
        <w:tc>
          <w:tcPr>
            <w:tcW w:w="1078" w:type="pct"/>
            <w:tcMar>
              <w:left w:w="57" w:type="dxa"/>
              <w:right w:w="57" w:type="dxa"/>
            </w:tcMar>
          </w:tcPr>
          <w:p w:rsidR="00DA5F85" w:rsidRPr="005C527B" w:rsidRDefault="00DA5F85" w:rsidP="00DA5F85">
            <w:pPr>
              <w:pStyle w:val="TableText0"/>
              <w:jc w:val="center"/>
            </w:pPr>
            <w:r>
              <w:t>0.0761</w:t>
            </w:r>
          </w:p>
        </w:tc>
        <w:tc>
          <w:tcPr>
            <w:tcW w:w="1050" w:type="pct"/>
            <w:tcMar>
              <w:left w:w="57" w:type="dxa"/>
              <w:right w:w="57" w:type="dxa"/>
            </w:tcMar>
          </w:tcPr>
          <w:p w:rsidR="00DA5F85" w:rsidRPr="005C527B" w:rsidRDefault="00DA5F85" w:rsidP="00DA5F85">
            <w:pPr>
              <w:pStyle w:val="TableText0"/>
              <w:jc w:val="center"/>
            </w:pPr>
            <w:r>
              <w:t>0.0761</w:t>
            </w:r>
          </w:p>
        </w:tc>
        <w:tc>
          <w:tcPr>
            <w:tcW w:w="1109" w:type="pct"/>
          </w:tcPr>
          <w:p w:rsidR="00DA5F85" w:rsidRPr="005C527B" w:rsidRDefault="00DA5F85" w:rsidP="00DA5F85">
            <w:pPr>
              <w:pStyle w:val="TableText0"/>
              <w:jc w:val="center"/>
            </w:pPr>
            <w:r>
              <w:t>0</w:t>
            </w:r>
          </w:p>
        </w:tc>
      </w:tr>
      <w:tr w:rsidR="00DA5F85" w:rsidRPr="00D141E1" w:rsidTr="00DB54EF">
        <w:trPr>
          <w:cantSplit/>
        </w:trPr>
        <w:tc>
          <w:tcPr>
            <w:tcW w:w="1763" w:type="pct"/>
            <w:tcMar>
              <w:left w:w="57" w:type="dxa"/>
              <w:right w:w="57" w:type="dxa"/>
            </w:tcMar>
            <w:vAlign w:val="center"/>
          </w:tcPr>
          <w:p w:rsidR="00DA5F85" w:rsidRDefault="00DA5F85" w:rsidP="00DA5F85">
            <w:pPr>
              <w:pStyle w:val="TableText0"/>
            </w:pPr>
            <w:r>
              <w:t>CH remission</w:t>
            </w:r>
          </w:p>
        </w:tc>
        <w:tc>
          <w:tcPr>
            <w:tcW w:w="1078" w:type="pct"/>
            <w:tcMar>
              <w:left w:w="57" w:type="dxa"/>
              <w:right w:w="57" w:type="dxa"/>
            </w:tcMar>
          </w:tcPr>
          <w:p w:rsidR="00DA5F85" w:rsidRPr="005C527B" w:rsidRDefault="00DA5F85" w:rsidP="00DA5F85">
            <w:pPr>
              <w:pStyle w:val="TableText0"/>
              <w:jc w:val="center"/>
            </w:pPr>
            <w:r>
              <w:t>2.1760</w:t>
            </w:r>
          </w:p>
        </w:tc>
        <w:tc>
          <w:tcPr>
            <w:tcW w:w="1050" w:type="pct"/>
            <w:tcMar>
              <w:left w:w="57" w:type="dxa"/>
              <w:right w:w="57" w:type="dxa"/>
            </w:tcMar>
          </w:tcPr>
          <w:p w:rsidR="00DA5F85" w:rsidRPr="005C527B" w:rsidRDefault="00DA5F85" w:rsidP="00DA5F85">
            <w:pPr>
              <w:pStyle w:val="TableText0"/>
              <w:jc w:val="center"/>
            </w:pPr>
            <w:r>
              <w:t>0</w:t>
            </w:r>
          </w:p>
        </w:tc>
        <w:tc>
          <w:tcPr>
            <w:tcW w:w="1109" w:type="pct"/>
          </w:tcPr>
          <w:p w:rsidR="00DA5F85" w:rsidRPr="005C527B" w:rsidRDefault="00DA5F85" w:rsidP="00DA5F85">
            <w:pPr>
              <w:pStyle w:val="TableText0"/>
              <w:jc w:val="center"/>
            </w:pPr>
            <w:r>
              <w:t>2.1760</w:t>
            </w:r>
          </w:p>
        </w:tc>
      </w:tr>
      <w:tr w:rsidR="00DA5F85" w:rsidRPr="00D141E1" w:rsidTr="00DB54EF">
        <w:trPr>
          <w:cantSplit/>
        </w:trPr>
        <w:tc>
          <w:tcPr>
            <w:tcW w:w="1763" w:type="pct"/>
            <w:tcMar>
              <w:left w:w="57" w:type="dxa"/>
              <w:right w:w="57" w:type="dxa"/>
            </w:tcMar>
            <w:vAlign w:val="center"/>
          </w:tcPr>
          <w:p w:rsidR="00DA5F85" w:rsidRDefault="00DA5F85" w:rsidP="00DA5F85">
            <w:pPr>
              <w:pStyle w:val="TableText0"/>
            </w:pPr>
            <w:r>
              <w:t>H remission only</w:t>
            </w:r>
          </w:p>
        </w:tc>
        <w:tc>
          <w:tcPr>
            <w:tcW w:w="1078" w:type="pct"/>
            <w:tcMar>
              <w:left w:w="57" w:type="dxa"/>
              <w:right w:w="57" w:type="dxa"/>
            </w:tcMar>
          </w:tcPr>
          <w:p w:rsidR="00DA5F85" w:rsidRPr="005C527B" w:rsidRDefault="00DA5F85" w:rsidP="00DA5F85">
            <w:pPr>
              <w:pStyle w:val="TableText0"/>
              <w:jc w:val="center"/>
            </w:pPr>
            <w:r>
              <w:t>0.0164</w:t>
            </w:r>
          </w:p>
        </w:tc>
        <w:tc>
          <w:tcPr>
            <w:tcW w:w="1050" w:type="pct"/>
            <w:tcMar>
              <w:left w:w="57" w:type="dxa"/>
              <w:right w:w="57" w:type="dxa"/>
            </w:tcMar>
          </w:tcPr>
          <w:p w:rsidR="00DA5F85" w:rsidRPr="005C527B" w:rsidRDefault="00DA5F85" w:rsidP="00DA5F85">
            <w:pPr>
              <w:pStyle w:val="TableText0"/>
              <w:jc w:val="center"/>
            </w:pPr>
            <w:r>
              <w:t>0</w:t>
            </w:r>
          </w:p>
        </w:tc>
        <w:tc>
          <w:tcPr>
            <w:tcW w:w="1109" w:type="pct"/>
          </w:tcPr>
          <w:p w:rsidR="00DA5F85" w:rsidRPr="005C527B" w:rsidRDefault="00DA5F85" w:rsidP="00DA5F85">
            <w:pPr>
              <w:pStyle w:val="TableText0"/>
              <w:jc w:val="center"/>
            </w:pPr>
            <w:r>
              <w:t>0.0164</w:t>
            </w:r>
          </w:p>
        </w:tc>
      </w:tr>
      <w:tr w:rsidR="00DA5F85" w:rsidRPr="00D141E1" w:rsidTr="00DB54EF">
        <w:trPr>
          <w:cantSplit/>
        </w:trPr>
        <w:tc>
          <w:tcPr>
            <w:tcW w:w="1763" w:type="pct"/>
            <w:tcMar>
              <w:left w:w="57" w:type="dxa"/>
              <w:right w:w="57" w:type="dxa"/>
            </w:tcMar>
            <w:vAlign w:val="center"/>
          </w:tcPr>
          <w:p w:rsidR="00DA5F85" w:rsidRDefault="00DA5F85" w:rsidP="00DA5F85">
            <w:pPr>
              <w:pStyle w:val="TableText0"/>
            </w:pPr>
            <w:r>
              <w:t>No remission</w:t>
            </w:r>
          </w:p>
        </w:tc>
        <w:tc>
          <w:tcPr>
            <w:tcW w:w="1078" w:type="pct"/>
            <w:tcMar>
              <w:left w:w="57" w:type="dxa"/>
              <w:right w:w="57" w:type="dxa"/>
            </w:tcMar>
          </w:tcPr>
          <w:p w:rsidR="00DA5F85" w:rsidRPr="005C527B" w:rsidRDefault="00DA5F85" w:rsidP="00DA5F85">
            <w:pPr>
              <w:pStyle w:val="TableText0"/>
              <w:jc w:val="center"/>
            </w:pPr>
            <w:r>
              <w:t>0.9030</w:t>
            </w:r>
          </w:p>
        </w:tc>
        <w:tc>
          <w:tcPr>
            <w:tcW w:w="1050" w:type="pct"/>
            <w:tcMar>
              <w:left w:w="57" w:type="dxa"/>
              <w:right w:w="57" w:type="dxa"/>
            </w:tcMar>
          </w:tcPr>
          <w:p w:rsidR="00DA5F85" w:rsidRPr="005C527B" w:rsidRDefault="00DA5F85" w:rsidP="00DA5F85">
            <w:pPr>
              <w:pStyle w:val="TableText0"/>
              <w:jc w:val="center"/>
            </w:pPr>
            <w:r>
              <w:t>2.6184</w:t>
            </w:r>
          </w:p>
        </w:tc>
        <w:tc>
          <w:tcPr>
            <w:tcW w:w="1109" w:type="pct"/>
          </w:tcPr>
          <w:p w:rsidR="00DA5F85" w:rsidRPr="005C527B" w:rsidRDefault="00DA5F85" w:rsidP="00DA5F85">
            <w:pPr>
              <w:pStyle w:val="TableText0"/>
              <w:jc w:val="center"/>
            </w:pPr>
            <w:r>
              <w:t>-1.7154</w:t>
            </w:r>
          </w:p>
        </w:tc>
      </w:tr>
      <w:tr w:rsidR="00DA5F85" w:rsidRPr="00D141E1" w:rsidTr="00DB54EF">
        <w:trPr>
          <w:cantSplit/>
        </w:trPr>
        <w:tc>
          <w:tcPr>
            <w:tcW w:w="1763" w:type="pct"/>
            <w:tcMar>
              <w:left w:w="57" w:type="dxa"/>
              <w:right w:w="57" w:type="dxa"/>
            </w:tcMar>
            <w:vAlign w:val="center"/>
          </w:tcPr>
          <w:p w:rsidR="00DA5F85" w:rsidRDefault="00DA5F85" w:rsidP="00DA5F85">
            <w:pPr>
              <w:pStyle w:val="TableText0"/>
            </w:pPr>
            <w:r>
              <w:t>Overall total</w:t>
            </w:r>
          </w:p>
        </w:tc>
        <w:tc>
          <w:tcPr>
            <w:tcW w:w="1078" w:type="pct"/>
            <w:tcMar>
              <w:left w:w="57" w:type="dxa"/>
              <w:right w:w="57" w:type="dxa"/>
            </w:tcMar>
          </w:tcPr>
          <w:p w:rsidR="00DA5F85" w:rsidRDefault="00DA5F85" w:rsidP="00DA5F85">
            <w:pPr>
              <w:pStyle w:val="TableText0"/>
              <w:jc w:val="center"/>
            </w:pPr>
            <w:r w:rsidRPr="005C527B">
              <w:t>3.1716</w:t>
            </w:r>
          </w:p>
        </w:tc>
        <w:tc>
          <w:tcPr>
            <w:tcW w:w="1050" w:type="pct"/>
            <w:tcMar>
              <w:left w:w="57" w:type="dxa"/>
              <w:right w:w="57" w:type="dxa"/>
            </w:tcMar>
          </w:tcPr>
          <w:p w:rsidR="00DA5F85" w:rsidRPr="005C527B" w:rsidRDefault="00DA5F85" w:rsidP="00DA5F85">
            <w:pPr>
              <w:pStyle w:val="TableText0"/>
              <w:jc w:val="center"/>
            </w:pPr>
            <w:r w:rsidRPr="005C527B">
              <w:t>2.6945</w:t>
            </w:r>
          </w:p>
        </w:tc>
        <w:tc>
          <w:tcPr>
            <w:tcW w:w="1109" w:type="pct"/>
          </w:tcPr>
          <w:p w:rsidR="00DA5F85" w:rsidRPr="005C527B" w:rsidRDefault="00DA5F85" w:rsidP="00DA5F85">
            <w:pPr>
              <w:pStyle w:val="TableText0"/>
              <w:jc w:val="center"/>
            </w:pPr>
            <w:r w:rsidRPr="005C527B">
              <w:t>0.4770</w:t>
            </w:r>
          </w:p>
        </w:tc>
      </w:tr>
    </w:tbl>
    <w:bookmarkEnd w:id="23"/>
    <w:p w:rsidR="00DA5F85" w:rsidRDefault="00DA5F85" w:rsidP="00DA5F85">
      <w:pPr>
        <w:pStyle w:val="TableFigureFooter"/>
      </w:pPr>
      <w:r w:rsidRPr="005E7497">
        <w:t>Source</w:t>
      </w:r>
      <w:r>
        <w:t xml:space="preserve">: compiled during the evaluation from TreeAge and </w:t>
      </w:r>
      <w:r w:rsidRPr="009A6705">
        <w:t>Figure 3-13, p218 of the submission</w:t>
      </w:r>
      <w:r>
        <w:t xml:space="preserve">; </w:t>
      </w:r>
      <w:r w:rsidRPr="00EE08EE">
        <w:t>Table 3-20, p220 of the submission.</w:t>
      </w:r>
    </w:p>
    <w:p w:rsidR="00DA5F85" w:rsidRDefault="00DA5F85" w:rsidP="00DA5F85">
      <w:pPr>
        <w:pStyle w:val="TableFigureFooter"/>
      </w:pPr>
      <w:r w:rsidRPr="00621A9D">
        <w:t xml:space="preserve">Abbreviations: BOT = budesonide orally disintegrating tablet; </w:t>
      </w:r>
      <w:r>
        <w:t xml:space="preserve">LY = life-year; QALY = quality-adjusted life-year; </w:t>
      </w:r>
      <w:r w:rsidRPr="00621A9D">
        <w:t>SOC = standard of care</w:t>
      </w:r>
    </w:p>
    <w:p w:rsidR="00DA5F85" w:rsidRPr="00547ABC" w:rsidRDefault="00DA5F85" w:rsidP="00DA5F85">
      <w:pPr>
        <w:pStyle w:val="3-BodyText"/>
      </w:pPr>
      <w:r w:rsidRPr="002C4838">
        <w:t xml:space="preserve">The disaggregated costs for the comparison of BOT with SOC are presented in </w:t>
      </w:r>
      <w:r w:rsidRPr="00676E44">
        <w:t xml:space="preserve">Table </w:t>
      </w:r>
      <w:r w:rsidR="00DB7264">
        <w:t>13</w:t>
      </w:r>
      <w:r>
        <w:t xml:space="preserve">. </w:t>
      </w:r>
      <w:r w:rsidRPr="00547ABC">
        <w:rPr>
          <w:iCs/>
        </w:rPr>
        <w:t>The application of dilation costs based on</w:t>
      </w:r>
      <w:r w:rsidR="009F18B2" w:rsidRPr="00547ABC">
        <w:rPr>
          <w:iCs/>
        </w:rPr>
        <w:t xml:space="preserve"> the</w:t>
      </w:r>
      <w:r w:rsidRPr="00547ABC">
        <w:rPr>
          <w:iCs/>
        </w:rPr>
        <w:t xml:space="preserve"> published literature and patient survey resulted in a 23.6% reduction of total incremental cost</w:t>
      </w:r>
      <w:r w:rsidR="009F18B2" w:rsidRPr="00547ABC">
        <w:rPr>
          <w:iCs/>
        </w:rPr>
        <w:t>s</w:t>
      </w:r>
      <w:r w:rsidRPr="00547ABC">
        <w:rPr>
          <w:iCs/>
        </w:rPr>
        <w:t xml:space="preserve">, favouring BOT. </w:t>
      </w:r>
    </w:p>
    <w:p w:rsidR="00DA5F85" w:rsidRPr="00921ACB" w:rsidRDefault="00DA5F85" w:rsidP="00DA5F85">
      <w:pPr>
        <w:pStyle w:val="TableFigureHeading"/>
        <w:rPr>
          <w:rStyle w:val="CommentReference"/>
          <w:b/>
          <w:szCs w:val="24"/>
        </w:rPr>
      </w:pPr>
      <w:r w:rsidRPr="00676E44">
        <w:rPr>
          <w:rStyle w:val="CommentReference"/>
          <w:b/>
          <w:szCs w:val="24"/>
        </w:rPr>
        <w:t xml:space="preserve">Table </w:t>
      </w:r>
      <w:r w:rsidR="00DB7264">
        <w:rPr>
          <w:rStyle w:val="CommentReference"/>
          <w:b/>
          <w:szCs w:val="24"/>
        </w:rPr>
        <w:t>13</w:t>
      </w:r>
      <w:r w:rsidRPr="00676E44">
        <w:rPr>
          <w:rStyle w:val="CommentReference"/>
          <w:b/>
          <w:szCs w:val="24"/>
        </w:rPr>
        <w:t>:</w:t>
      </w:r>
      <w:r w:rsidRPr="00921ACB">
        <w:rPr>
          <w:rStyle w:val="CommentReference"/>
          <w:b/>
          <w:szCs w:val="24"/>
        </w:rPr>
        <w:t xml:space="preserve"> Health care resource items: disaggregated summary of cost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59"/>
        <w:gridCol w:w="1565"/>
        <w:gridCol w:w="1673"/>
        <w:gridCol w:w="1673"/>
      </w:tblGrid>
      <w:tr w:rsidR="00DA5F85" w:rsidRPr="00D33BE9" w:rsidTr="00DA5F85">
        <w:trPr>
          <w:tblHeader/>
        </w:trPr>
        <w:tc>
          <w:tcPr>
            <w:tcW w:w="2547" w:type="dxa"/>
            <w:vAlign w:val="center"/>
          </w:tcPr>
          <w:p w:rsidR="00DA5F85" w:rsidRPr="00D33BE9" w:rsidRDefault="00DA5F85" w:rsidP="00DA5F85">
            <w:pPr>
              <w:pStyle w:val="In-tableHeading"/>
            </w:pPr>
            <w:r>
              <w:t>Resource item</w:t>
            </w:r>
          </w:p>
        </w:tc>
        <w:tc>
          <w:tcPr>
            <w:tcW w:w="1559" w:type="dxa"/>
            <w:vAlign w:val="center"/>
          </w:tcPr>
          <w:p w:rsidR="00DA5F85" w:rsidRPr="00D33BE9" w:rsidRDefault="00DA5F85" w:rsidP="00DA5F85">
            <w:pPr>
              <w:pStyle w:val="In-tableHeading"/>
              <w:jc w:val="center"/>
            </w:pPr>
            <w:r>
              <w:t>BOT</w:t>
            </w:r>
          </w:p>
        </w:tc>
        <w:tc>
          <w:tcPr>
            <w:tcW w:w="1565" w:type="dxa"/>
            <w:vAlign w:val="center"/>
          </w:tcPr>
          <w:p w:rsidR="00DA5F85" w:rsidRPr="00D33BE9" w:rsidRDefault="00DA5F85" w:rsidP="00DA5F85">
            <w:pPr>
              <w:pStyle w:val="In-tableHeading"/>
              <w:jc w:val="center"/>
            </w:pPr>
            <w:r>
              <w:t>SOC</w:t>
            </w:r>
          </w:p>
        </w:tc>
        <w:tc>
          <w:tcPr>
            <w:tcW w:w="1673" w:type="dxa"/>
            <w:vAlign w:val="center"/>
          </w:tcPr>
          <w:p w:rsidR="00DA5F85" w:rsidRPr="00D33BE9" w:rsidRDefault="00DA5F85" w:rsidP="00DA5F85">
            <w:pPr>
              <w:pStyle w:val="In-tableHeading"/>
              <w:jc w:val="center"/>
            </w:pPr>
            <w:r>
              <w:t>Incremental cost</w:t>
            </w:r>
          </w:p>
        </w:tc>
        <w:tc>
          <w:tcPr>
            <w:tcW w:w="1673" w:type="dxa"/>
            <w:vAlign w:val="center"/>
          </w:tcPr>
          <w:p w:rsidR="00DA5F85" w:rsidRPr="00D33BE9" w:rsidRDefault="00DA5F85" w:rsidP="00DA5F85">
            <w:pPr>
              <w:pStyle w:val="In-tableHeading"/>
              <w:jc w:val="center"/>
            </w:pPr>
            <w:r>
              <w:t>% of total incremental cost</w:t>
            </w:r>
          </w:p>
        </w:tc>
      </w:tr>
      <w:tr w:rsidR="00DA5F85" w:rsidTr="00DA5F85">
        <w:tc>
          <w:tcPr>
            <w:tcW w:w="9017" w:type="dxa"/>
            <w:gridSpan w:val="5"/>
            <w:vAlign w:val="center"/>
          </w:tcPr>
          <w:p w:rsidR="00DA5F85" w:rsidRPr="00D33BE9" w:rsidRDefault="00DA5F85" w:rsidP="00DA5F85">
            <w:pPr>
              <w:pStyle w:val="In-tableHeading"/>
            </w:pPr>
            <w:r>
              <w:t>Pharmaceutical products</w:t>
            </w:r>
          </w:p>
        </w:tc>
      </w:tr>
      <w:tr w:rsidR="00DA5F85" w:rsidTr="00DA5F85">
        <w:tc>
          <w:tcPr>
            <w:tcW w:w="2547" w:type="dxa"/>
          </w:tcPr>
          <w:p w:rsidR="00DA5F85" w:rsidRDefault="00DA5F85" w:rsidP="00DA5F85">
            <w:pPr>
              <w:pStyle w:val="TableText0"/>
            </w:pPr>
            <w:r w:rsidRPr="00692CE2">
              <w:t>Induction drug costs</w:t>
            </w:r>
          </w:p>
        </w:tc>
        <w:tc>
          <w:tcPr>
            <w:tcW w:w="1559" w:type="dxa"/>
          </w:tcPr>
          <w:p w:rsidR="00DA5F85" w:rsidRDefault="00DA5F85" w:rsidP="00DA5F85">
            <w:pPr>
              <w:pStyle w:val="TableText0"/>
              <w:jc w:val="center"/>
            </w:pPr>
            <w:r w:rsidRPr="00667523">
              <w:t>$</w:t>
            </w:r>
            <w:r w:rsidR="00D02986">
              <w:rPr>
                <w:noProof/>
                <w:color w:val="000000"/>
                <w:highlight w:val="black"/>
              </w:rPr>
              <w:t>'''''''''''''''''''</w:t>
            </w:r>
          </w:p>
        </w:tc>
        <w:tc>
          <w:tcPr>
            <w:tcW w:w="1565" w:type="dxa"/>
          </w:tcPr>
          <w:p w:rsidR="00DA5F85" w:rsidRDefault="00DA5F85" w:rsidP="00DA5F85">
            <w:pPr>
              <w:pStyle w:val="TableText0"/>
              <w:jc w:val="center"/>
            </w:pPr>
            <w:r w:rsidRPr="00667523">
              <w:t>$0.00</w:t>
            </w:r>
          </w:p>
        </w:tc>
        <w:tc>
          <w:tcPr>
            <w:tcW w:w="1673" w:type="dxa"/>
          </w:tcPr>
          <w:p w:rsidR="00DA5F85" w:rsidRDefault="00DA5F85" w:rsidP="00DA5F85">
            <w:pPr>
              <w:pStyle w:val="TableText0"/>
              <w:jc w:val="center"/>
            </w:pPr>
            <w:r w:rsidRPr="00667523">
              <w:t>$</w:t>
            </w:r>
            <w:r w:rsidR="00D02986">
              <w:rPr>
                <w:noProof/>
                <w:color w:val="000000"/>
                <w:highlight w:val="black"/>
              </w:rPr>
              <w:t>'''''''''''''''''''</w:t>
            </w:r>
          </w:p>
        </w:tc>
        <w:tc>
          <w:tcPr>
            <w:tcW w:w="1673" w:type="dxa"/>
            <w:vAlign w:val="center"/>
          </w:tcPr>
          <w:p w:rsidR="00DA5F85" w:rsidRDefault="00DA5F85" w:rsidP="00DA5F85">
            <w:pPr>
              <w:pStyle w:val="TableText0"/>
              <w:jc w:val="center"/>
            </w:pPr>
            <w:r>
              <w:t>9.4%</w:t>
            </w:r>
          </w:p>
        </w:tc>
      </w:tr>
      <w:tr w:rsidR="00DA5F85" w:rsidTr="00DA5F85">
        <w:tc>
          <w:tcPr>
            <w:tcW w:w="2547" w:type="dxa"/>
          </w:tcPr>
          <w:p w:rsidR="00DA5F85" w:rsidRDefault="00DA5F85" w:rsidP="00DA5F85">
            <w:pPr>
              <w:pStyle w:val="TableText0"/>
            </w:pPr>
            <w:r w:rsidRPr="00692CE2">
              <w:t xml:space="preserve">Maintenance drug costs </w:t>
            </w:r>
          </w:p>
        </w:tc>
        <w:tc>
          <w:tcPr>
            <w:tcW w:w="1559" w:type="dxa"/>
          </w:tcPr>
          <w:p w:rsidR="00DA5F85" w:rsidRDefault="00DA5F85" w:rsidP="00DA5F85">
            <w:pPr>
              <w:pStyle w:val="TableText0"/>
              <w:jc w:val="center"/>
            </w:pPr>
            <w:r w:rsidRPr="00667523">
              <w:t>$</w:t>
            </w:r>
            <w:r w:rsidR="00D02986">
              <w:rPr>
                <w:noProof/>
                <w:color w:val="000000"/>
                <w:highlight w:val="black"/>
              </w:rPr>
              <w:t>'''''''''''''''''''''''</w:t>
            </w:r>
          </w:p>
        </w:tc>
        <w:tc>
          <w:tcPr>
            <w:tcW w:w="1565" w:type="dxa"/>
          </w:tcPr>
          <w:p w:rsidR="00DA5F85" w:rsidRDefault="00DA5F85" w:rsidP="00DA5F85">
            <w:pPr>
              <w:pStyle w:val="TableText0"/>
              <w:jc w:val="center"/>
            </w:pPr>
            <w:r w:rsidRPr="00667523">
              <w:t>$0.00</w:t>
            </w:r>
          </w:p>
        </w:tc>
        <w:tc>
          <w:tcPr>
            <w:tcW w:w="1673" w:type="dxa"/>
          </w:tcPr>
          <w:p w:rsidR="00DA5F85" w:rsidRDefault="00DA5F85" w:rsidP="00DA5F85">
            <w:pPr>
              <w:pStyle w:val="TableText0"/>
              <w:jc w:val="center"/>
            </w:pPr>
            <w:r w:rsidRPr="00667523">
              <w:t>$</w:t>
            </w:r>
            <w:r w:rsidR="00D02986">
              <w:rPr>
                <w:noProof/>
                <w:color w:val="000000"/>
                <w:highlight w:val="black"/>
              </w:rPr>
              <w:t>'''''''''''''''''''''''''</w:t>
            </w:r>
          </w:p>
        </w:tc>
        <w:tc>
          <w:tcPr>
            <w:tcW w:w="1673" w:type="dxa"/>
            <w:vAlign w:val="center"/>
          </w:tcPr>
          <w:p w:rsidR="00DA5F85" w:rsidRDefault="00DA5F85" w:rsidP="00DA5F85">
            <w:pPr>
              <w:pStyle w:val="TableText0"/>
              <w:jc w:val="center"/>
            </w:pPr>
            <w:r>
              <w:t>106.5%</w:t>
            </w:r>
          </w:p>
        </w:tc>
      </w:tr>
      <w:tr w:rsidR="00DA5F85" w:rsidTr="00DA5F85">
        <w:tc>
          <w:tcPr>
            <w:tcW w:w="2547" w:type="dxa"/>
            <w:vAlign w:val="center"/>
          </w:tcPr>
          <w:p w:rsidR="00DA5F85" w:rsidRDefault="00DA5F85" w:rsidP="00DA5F85">
            <w:pPr>
              <w:pStyle w:val="TableText0"/>
            </w:pPr>
            <w:r>
              <w:t>Total</w:t>
            </w:r>
          </w:p>
        </w:tc>
        <w:tc>
          <w:tcPr>
            <w:tcW w:w="1559" w:type="dxa"/>
            <w:vAlign w:val="center"/>
          </w:tcPr>
          <w:p w:rsidR="00DA5F85" w:rsidRDefault="00DA5F85" w:rsidP="00DA5F85">
            <w:pPr>
              <w:pStyle w:val="TableText0"/>
              <w:jc w:val="center"/>
            </w:pPr>
            <w:r>
              <w:t>$</w:t>
            </w:r>
            <w:r w:rsidR="00D02986">
              <w:rPr>
                <w:noProof/>
                <w:color w:val="000000"/>
                <w:highlight w:val="black"/>
              </w:rPr>
              <w:t>'''''''''''''''''''''''</w:t>
            </w:r>
          </w:p>
        </w:tc>
        <w:tc>
          <w:tcPr>
            <w:tcW w:w="1565" w:type="dxa"/>
            <w:vAlign w:val="center"/>
          </w:tcPr>
          <w:p w:rsidR="00DA5F85" w:rsidRDefault="00DA5F85" w:rsidP="00DA5F85">
            <w:pPr>
              <w:pStyle w:val="TableText0"/>
              <w:jc w:val="center"/>
            </w:pPr>
            <w:r>
              <w:t>$0.00</w:t>
            </w:r>
          </w:p>
        </w:tc>
        <w:tc>
          <w:tcPr>
            <w:tcW w:w="1673" w:type="dxa"/>
            <w:vAlign w:val="center"/>
          </w:tcPr>
          <w:p w:rsidR="00DA5F85" w:rsidRDefault="00DA5F85" w:rsidP="00DA5F85">
            <w:pPr>
              <w:pStyle w:val="TableText0"/>
              <w:jc w:val="center"/>
            </w:pPr>
            <w:r>
              <w:t>$</w:t>
            </w:r>
            <w:r w:rsidR="00D02986">
              <w:rPr>
                <w:noProof/>
                <w:color w:val="000000"/>
                <w:highlight w:val="black"/>
              </w:rPr>
              <w:t>'''''''''''''''''''''</w:t>
            </w:r>
          </w:p>
        </w:tc>
        <w:tc>
          <w:tcPr>
            <w:tcW w:w="1673" w:type="dxa"/>
            <w:vAlign w:val="center"/>
          </w:tcPr>
          <w:p w:rsidR="00DA5F85" w:rsidRDefault="00DA5F85" w:rsidP="00DA5F85">
            <w:pPr>
              <w:pStyle w:val="TableText0"/>
              <w:jc w:val="center"/>
            </w:pPr>
            <w:r>
              <w:t>115.9%</w:t>
            </w:r>
          </w:p>
        </w:tc>
      </w:tr>
      <w:tr w:rsidR="00DA5F85" w:rsidTr="00DA5F85">
        <w:tc>
          <w:tcPr>
            <w:tcW w:w="9017" w:type="dxa"/>
            <w:gridSpan w:val="5"/>
            <w:vAlign w:val="center"/>
          </w:tcPr>
          <w:p w:rsidR="00DA5F85" w:rsidRPr="002F0DA9" w:rsidRDefault="00DA5F85" w:rsidP="00DA5F85">
            <w:pPr>
              <w:pStyle w:val="In-tableHeading"/>
            </w:pPr>
            <w:r>
              <w:t>Medical services</w:t>
            </w:r>
          </w:p>
        </w:tc>
      </w:tr>
      <w:tr w:rsidR="00DA5F85" w:rsidTr="00DA5F85">
        <w:tc>
          <w:tcPr>
            <w:tcW w:w="2547" w:type="dxa"/>
          </w:tcPr>
          <w:p w:rsidR="00DA5F85" w:rsidRDefault="00DA5F85" w:rsidP="00DA5F85">
            <w:pPr>
              <w:pStyle w:val="TableText0"/>
            </w:pPr>
            <w:r w:rsidRPr="002C0D82">
              <w:t xml:space="preserve">Physician consultation costs </w:t>
            </w:r>
          </w:p>
        </w:tc>
        <w:tc>
          <w:tcPr>
            <w:tcW w:w="1559" w:type="dxa"/>
          </w:tcPr>
          <w:p w:rsidR="00DA5F85" w:rsidRDefault="00DA5F85" w:rsidP="00DA5F85">
            <w:pPr>
              <w:pStyle w:val="TableText0"/>
              <w:jc w:val="center"/>
            </w:pPr>
            <w:r w:rsidRPr="00EE1F7F">
              <w:t>$541.56</w:t>
            </w:r>
          </w:p>
        </w:tc>
        <w:tc>
          <w:tcPr>
            <w:tcW w:w="1565" w:type="dxa"/>
          </w:tcPr>
          <w:p w:rsidR="00DA5F85" w:rsidRDefault="00DA5F85" w:rsidP="00DA5F85">
            <w:pPr>
              <w:pStyle w:val="TableText0"/>
              <w:jc w:val="center"/>
            </w:pPr>
            <w:r w:rsidRPr="00EE1F7F">
              <w:t>$541.56</w:t>
            </w:r>
          </w:p>
        </w:tc>
        <w:tc>
          <w:tcPr>
            <w:tcW w:w="1673" w:type="dxa"/>
          </w:tcPr>
          <w:p w:rsidR="00DA5F85" w:rsidRDefault="00DA5F85" w:rsidP="00DA5F85">
            <w:pPr>
              <w:pStyle w:val="TableText0"/>
              <w:jc w:val="center"/>
            </w:pPr>
            <w:r w:rsidRPr="00EE1F7F">
              <w:t>$0.00</w:t>
            </w:r>
          </w:p>
        </w:tc>
        <w:tc>
          <w:tcPr>
            <w:tcW w:w="1673" w:type="dxa"/>
            <w:vAlign w:val="center"/>
          </w:tcPr>
          <w:p w:rsidR="00DA5F85" w:rsidRDefault="00DA5F85" w:rsidP="00DA5F85">
            <w:pPr>
              <w:pStyle w:val="TableText0"/>
              <w:jc w:val="center"/>
            </w:pPr>
            <w:r>
              <w:t>0%</w:t>
            </w:r>
          </w:p>
        </w:tc>
      </w:tr>
      <w:tr w:rsidR="00DA5F85" w:rsidTr="00DA5F85">
        <w:tc>
          <w:tcPr>
            <w:tcW w:w="2547" w:type="dxa"/>
          </w:tcPr>
          <w:p w:rsidR="00DA5F85" w:rsidRDefault="00DA5F85" w:rsidP="00DA5F85">
            <w:pPr>
              <w:pStyle w:val="TableText0"/>
            </w:pPr>
            <w:r w:rsidRPr="002C0D82">
              <w:t>Endoscopy costs (treatment evaluation)</w:t>
            </w:r>
          </w:p>
        </w:tc>
        <w:tc>
          <w:tcPr>
            <w:tcW w:w="1559" w:type="dxa"/>
          </w:tcPr>
          <w:p w:rsidR="00DA5F85" w:rsidRDefault="00DA5F85" w:rsidP="00DA5F85">
            <w:pPr>
              <w:pStyle w:val="TableText0"/>
              <w:jc w:val="center"/>
            </w:pPr>
            <w:r w:rsidRPr="00EE1F7F">
              <w:t>$1,234.93</w:t>
            </w:r>
          </w:p>
        </w:tc>
        <w:tc>
          <w:tcPr>
            <w:tcW w:w="1565" w:type="dxa"/>
          </w:tcPr>
          <w:p w:rsidR="00DA5F85" w:rsidRDefault="00DA5F85" w:rsidP="00DA5F85">
            <w:pPr>
              <w:pStyle w:val="TableText0"/>
              <w:jc w:val="center"/>
            </w:pPr>
            <w:r w:rsidRPr="00EE1F7F">
              <w:t>$0.00</w:t>
            </w:r>
          </w:p>
        </w:tc>
        <w:tc>
          <w:tcPr>
            <w:tcW w:w="1673" w:type="dxa"/>
          </w:tcPr>
          <w:p w:rsidR="00DA5F85" w:rsidRDefault="00DA5F85" w:rsidP="00DA5F85">
            <w:pPr>
              <w:pStyle w:val="TableText0"/>
              <w:jc w:val="center"/>
            </w:pPr>
            <w:r w:rsidRPr="00EE1F7F">
              <w:t>$1,234.93</w:t>
            </w:r>
          </w:p>
        </w:tc>
        <w:tc>
          <w:tcPr>
            <w:tcW w:w="1673" w:type="dxa"/>
            <w:vAlign w:val="center"/>
          </w:tcPr>
          <w:p w:rsidR="00DA5F85" w:rsidRDefault="00DA5F85" w:rsidP="00DA5F85">
            <w:pPr>
              <w:pStyle w:val="TableText0"/>
              <w:jc w:val="center"/>
            </w:pPr>
            <w:r>
              <w:t>9.3%</w:t>
            </w:r>
          </w:p>
        </w:tc>
      </w:tr>
      <w:tr w:rsidR="00DA5F85" w:rsidTr="00DA5F85">
        <w:tc>
          <w:tcPr>
            <w:tcW w:w="2547" w:type="dxa"/>
          </w:tcPr>
          <w:p w:rsidR="00DA5F85" w:rsidRDefault="00DA5F85" w:rsidP="00DA5F85">
            <w:pPr>
              <w:pStyle w:val="TableText0"/>
            </w:pPr>
            <w:r w:rsidRPr="002C0D82">
              <w:t>Dilation costs (endoscopy)</w:t>
            </w:r>
          </w:p>
        </w:tc>
        <w:tc>
          <w:tcPr>
            <w:tcW w:w="1559" w:type="dxa"/>
          </w:tcPr>
          <w:p w:rsidR="00DA5F85" w:rsidRDefault="00DA5F85" w:rsidP="00DA5F85">
            <w:pPr>
              <w:pStyle w:val="TableText0"/>
              <w:jc w:val="center"/>
            </w:pPr>
            <w:r w:rsidRPr="00EE1F7F">
              <w:t>$4,496.47</w:t>
            </w:r>
          </w:p>
        </w:tc>
        <w:tc>
          <w:tcPr>
            <w:tcW w:w="1565" w:type="dxa"/>
          </w:tcPr>
          <w:p w:rsidR="00DA5F85" w:rsidRDefault="00DA5F85" w:rsidP="00DA5F85">
            <w:pPr>
              <w:pStyle w:val="TableText0"/>
              <w:jc w:val="center"/>
            </w:pPr>
            <w:r w:rsidRPr="00EE1F7F">
              <w:t>$7,636.66</w:t>
            </w:r>
          </w:p>
        </w:tc>
        <w:tc>
          <w:tcPr>
            <w:tcW w:w="1673" w:type="dxa"/>
          </w:tcPr>
          <w:p w:rsidR="00DA5F85" w:rsidRDefault="00DA5F85" w:rsidP="00DA5F85">
            <w:pPr>
              <w:pStyle w:val="TableText0"/>
              <w:jc w:val="center"/>
            </w:pPr>
            <w:r w:rsidRPr="00EE1F7F">
              <w:t>-$3,140.19</w:t>
            </w:r>
          </w:p>
        </w:tc>
        <w:tc>
          <w:tcPr>
            <w:tcW w:w="1673" w:type="dxa"/>
            <w:vAlign w:val="center"/>
          </w:tcPr>
          <w:p w:rsidR="00DA5F85" w:rsidRDefault="00DA5F85" w:rsidP="00DA5F85">
            <w:pPr>
              <w:pStyle w:val="TableText0"/>
              <w:jc w:val="center"/>
            </w:pPr>
            <w:r>
              <w:t>-23.6%</w:t>
            </w:r>
          </w:p>
        </w:tc>
      </w:tr>
      <w:tr w:rsidR="00DA5F85" w:rsidTr="00DA5F85">
        <w:tc>
          <w:tcPr>
            <w:tcW w:w="2547" w:type="dxa"/>
          </w:tcPr>
          <w:p w:rsidR="00DA5F85" w:rsidRDefault="00DA5F85" w:rsidP="00DA5F85">
            <w:pPr>
              <w:pStyle w:val="TableText0"/>
            </w:pPr>
            <w:r w:rsidRPr="002C0D82">
              <w:t>Impaction costs (requiring endoscopy)</w:t>
            </w:r>
          </w:p>
        </w:tc>
        <w:tc>
          <w:tcPr>
            <w:tcW w:w="1559" w:type="dxa"/>
          </w:tcPr>
          <w:p w:rsidR="00DA5F85" w:rsidRDefault="00DA5F85" w:rsidP="00DA5F85">
            <w:pPr>
              <w:pStyle w:val="TableText0"/>
              <w:jc w:val="center"/>
            </w:pPr>
            <w:r w:rsidRPr="00EE1F7F">
              <w:t>$187.00</w:t>
            </w:r>
          </w:p>
        </w:tc>
        <w:tc>
          <w:tcPr>
            <w:tcW w:w="1565" w:type="dxa"/>
          </w:tcPr>
          <w:p w:rsidR="00DA5F85" w:rsidRDefault="00DA5F85" w:rsidP="00DA5F85">
            <w:pPr>
              <w:pStyle w:val="TableText0"/>
              <w:jc w:val="center"/>
            </w:pPr>
            <w:r w:rsidRPr="00EE1F7F">
              <w:t>$396.62</w:t>
            </w:r>
          </w:p>
        </w:tc>
        <w:tc>
          <w:tcPr>
            <w:tcW w:w="1673" w:type="dxa"/>
          </w:tcPr>
          <w:p w:rsidR="00DA5F85" w:rsidRDefault="00DA5F85" w:rsidP="00DA5F85">
            <w:pPr>
              <w:pStyle w:val="TableText0"/>
              <w:jc w:val="center"/>
            </w:pPr>
            <w:r w:rsidRPr="00EE1F7F">
              <w:t>-$209.61</w:t>
            </w:r>
          </w:p>
        </w:tc>
        <w:tc>
          <w:tcPr>
            <w:tcW w:w="1673" w:type="dxa"/>
            <w:vAlign w:val="center"/>
          </w:tcPr>
          <w:p w:rsidR="00DA5F85" w:rsidRDefault="00DA5F85" w:rsidP="00DA5F85">
            <w:pPr>
              <w:pStyle w:val="TableText0"/>
              <w:jc w:val="center"/>
            </w:pPr>
            <w:r>
              <w:t>-1.6%</w:t>
            </w:r>
          </w:p>
        </w:tc>
      </w:tr>
      <w:tr w:rsidR="00DA5F85" w:rsidTr="00DA5F85">
        <w:tc>
          <w:tcPr>
            <w:tcW w:w="2547" w:type="dxa"/>
            <w:vAlign w:val="center"/>
          </w:tcPr>
          <w:p w:rsidR="00DA5F85" w:rsidRDefault="00DA5F85" w:rsidP="00DA5F85">
            <w:pPr>
              <w:pStyle w:val="TableText0"/>
            </w:pPr>
            <w:r>
              <w:t>Total</w:t>
            </w:r>
          </w:p>
        </w:tc>
        <w:tc>
          <w:tcPr>
            <w:tcW w:w="1559" w:type="dxa"/>
            <w:vAlign w:val="center"/>
          </w:tcPr>
          <w:p w:rsidR="00DA5F85" w:rsidRDefault="00DA5F85" w:rsidP="00DA5F85">
            <w:pPr>
              <w:pStyle w:val="TableText0"/>
              <w:jc w:val="center"/>
            </w:pPr>
            <w:r>
              <w:t>$6,459.96</w:t>
            </w:r>
          </w:p>
        </w:tc>
        <w:tc>
          <w:tcPr>
            <w:tcW w:w="1565" w:type="dxa"/>
            <w:vAlign w:val="center"/>
          </w:tcPr>
          <w:p w:rsidR="00DA5F85" w:rsidRDefault="00DA5F85" w:rsidP="00DA5F85">
            <w:pPr>
              <w:pStyle w:val="TableText0"/>
              <w:jc w:val="center"/>
            </w:pPr>
            <w:r>
              <w:t>$8,574.84</w:t>
            </w:r>
          </w:p>
        </w:tc>
        <w:tc>
          <w:tcPr>
            <w:tcW w:w="1673" w:type="dxa"/>
            <w:vAlign w:val="center"/>
          </w:tcPr>
          <w:p w:rsidR="00DA5F85" w:rsidRDefault="00DA5F85" w:rsidP="00DA5F85">
            <w:pPr>
              <w:pStyle w:val="TableText0"/>
              <w:jc w:val="center"/>
            </w:pPr>
            <w:r>
              <w:t>-$2,114.88</w:t>
            </w:r>
          </w:p>
        </w:tc>
        <w:tc>
          <w:tcPr>
            <w:tcW w:w="1673" w:type="dxa"/>
            <w:vAlign w:val="center"/>
          </w:tcPr>
          <w:p w:rsidR="00DA5F85" w:rsidRDefault="00DA5F85" w:rsidP="00DA5F85">
            <w:pPr>
              <w:pStyle w:val="TableText0"/>
              <w:jc w:val="center"/>
            </w:pPr>
            <w:r>
              <w:t>-15.9%</w:t>
            </w:r>
          </w:p>
        </w:tc>
      </w:tr>
      <w:tr w:rsidR="00DA5F85" w:rsidTr="00DA5F85">
        <w:tc>
          <w:tcPr>
            <w:tcW w:w="2547" w:type="dxa"/>
            <w:vAlign w:val="center"/>
          </w:tcPr>
          <w:p w:rsidR="00DA5F85" w:rsidRDefault="00DA5F85" w:rsidP="00DA5F85">
            <w:pPr>
              <w:pStyle w:val="TableText0"/>
            </w:pPr>
            <w:r>
              <w:t>Overall total</w:t>
            </w:r>
          </w:p>
        </w:tc>
        <w:tc>
          <w:tcPr>
            <w:tcW w:w="1559" w:type="dxa"/>
          </w:tcPr>
          <w:p w:rsidR="00DA5F85" w:rsidRDefault="00DA5F85" w:rsidP="00DA5F85">
            <w:pPr>
              <w:pStyle w:val="TableText0"/>
              <w:jc w:val="center"/>
            </w:pPr>
            <w:r w:rsidRPr="00F00016">
              <w:t>$</w:t>
            </w:r>
            <w:r w:rsidR="00D02986">
              <w:rPr>
                <w:noProof/>
                <w:color w:val="000000"/>
                <w:highlight w:val="black"/>
              </w:rPr>
              <w:t>'''''''''''''''''''''''''</w:t>
            </w:r>
          </w:p>
        </w:tc>
        <w:tc>
          <w:tcPr>
            <w:tcW w:w="1565" w:type="dxa"/>
          </w:tcPr>
          <w:p w:rsidR="00DA5F85" w:rsidRDefault="00DA5F85" w:rsidP="00DA5F85">
            <w:pPr>
              <w:pStyle w:val="TableText0"/>
              <w:jc w:val="center"/>
            </w:pPr>
            <w:r w:rsidRPr="00F00016">
              <w:t>$8,574.84</w:t>
            </w:r>
          </w:p>
        </w:tc>
        <w:tc>
          <w:tcPr>
            <w:tcW w:w="1673" w:type="dxa"/>
          </w:tcPr>
          <w:p w:rsidR="00DA5F85" w:rsidRDefault="00DA5F85" w:rsidP="00DA5F85">
            <w:pPr>
              <w:pStyle w:val="TableText0"/>
              <w:jc w:val="center"/>
            </w:pPr>
            <w:r w:rsidRPr="00F00016">
              <w:t>$</w:t>
            </w:r>
            <w:r w:rsidR="00D02986">
              <w:rPr>
                <w:noProof/>
                <w:color w:val="000000"/>
                <w:highlight w:val="black"/>
              </w:rPr>
              <w:t>''''''''''''''''''''''''</w:t>
            </w:r>
          </w:p>
        </w:tc>
        <w:tc>
          <w:tcPr>
            <w:tcW w:w="1673" w:type="dxa"/>
            <w:vAlign w:val="center"/>
          </w:tcPr>
          <w:p w:rsidR="00DA5F85" w:rsidRDefault="00DA5F85" w:rsidP="00DA5F85">
            <w:pPr>
              <w:pStyle w:val="TableText0"/>
              <w:jc w:val="center"/>
            </w:pPr>
            <w:r>
              <w:t>100%</w:t>
            </w:r>
          </w:p>
        </w:tc>
      </w:tr>
    </w:tbl>
    <w:p w:rsidR="00DA5F85" w:rsidRDefault="00DA5F85" w:rsidP="00DA5F85">
      <w:pPr>
        <w:pStyle w:val="TableFigureFooter"/>
      </w:pPr>
      <w:r>
        <w:t xml:space="preserve">Source: Table 3-21 </w:t>
      </w:r>
      <w:r w:rsidRPr="00D13A3E">
        <w:t xml:space="preserve">of the </w:t>
      </w:r>
      <w:r>
        <w:t>submission.</w:t>
      </w:r>
      <w:r w:rsidRPr="00A93911">
        <w:t xml:space="preserve"> </w:t>
      </w:r>
    </w:p>
    <w:p w:rsidR="00DA5F85" w:rsidRDefault="00DA5F85" w:rsidP="00DA5F85">
      <w:pPr>
        <w:pStyle w:val="TableFigureFooter"/>
      </w:pPr>
      <w:r w:rsidRPr="00A93911">
        <w:t>Abbreviations: BOT</w:t>
      </w:r>
      <w:r>
        <w:t xml:space="preserve"> =</w:t>
      </w:r>
      <w:r w:rsidRPr="00A93911">
        <w:t xml:space="preserve"> budesonide orally disintegrating tablet; SOC</w:t>
      </w:r>
      <w:r>
        <w:t xml:space="preserve"> =</w:t>
      </w:r>
      <w:r w:rsidRPr="00A93911">
        <w:t xml:space="preserve"> standard of care</w:t>
      </w:r>
    </w:p>
    <w:p w:rsidR="00DA5F85" w:rsidRPr="00E72594" w:rsidRDefault="00DA5F85" w:rsidP="00B66098">
      <w:pPr>
        <w:pStyle w:val="3-BodyText"/>
      </w:pPr>
      <w:r>
        <w:t xml:space="preserve">A summary of the key drivers of the model is presented in </w:t>
      </w:r>
      <w:r w:rsidRPr="00676E44">
        <w:t xml:space="preserve">Table </w:t>
      </w:r>
      <w:r w:rsidR="00DB7264">
        <w:t>14</w:t>
      </w:r>
      <w:r>
        <w:t>.</w:t>
      </w:r>
      <w:r w:rsidRPr="008C64A8">
        <w:t xml:space="preserve"> </w:t>
      </w:r>
      <w:r w:rsidRPr="00547ABC">
        <w:t xml:space="preserve">The model results were </w:t>
      </w:r>
      <w:r w:rsidRPr="00911428">
        <w:t xml:space="preserve">most sensitive to the utility estimates, with the ICER increasing from </w:t>
      </w:r>
      <w:r w:rsidR="00B66098" w:rsidRPr="00B66098">
        <w:rPr>
          <w:iCs/>
        </w:rPr>
        <w:t>$25,000 to &lt; $35,000</w:t>
      </w:r>
      <w:r w:rsidRPr="00911428">
        <w:t xml:space="preserve">/QALY in the base case to </w:t>
      </w:r>
      <w:r w:rsidR="00B66098" w:rsidRPr="00B66098">
        <w:t>$75,000 to &lt; $95,000</w:t>
      </w:r>
      <w:r w:rsidRPr="00911428">
        <w:t xml:space="preserve">/QALY when the utility estimates from Goodwin 2020 were applied. The utility values (EQ-5D-3L) from </w:t>
      </w:r>
      <w:r w:rsidR="007F5051" w:rsidRPr="00911428">
        <w:t xml:space="preserve">a conference abstract produced by </w:t>
      </w:r>
      <w:r w:rsidRPr="00911428">
        <w:t>Goodwin 2020 were derived from an RCT conducted in a</w:t>
      </w:r>
      <w:r w:rsidR="009F18B2" w:rsidRPr="00911428">
        <w:t>n</w:t>
      </w:r>
      <w:r w:rsidRPr="00911428">
        <w:t xml:space="preserve"> EoE-specific population comparing budesonide (oral suspension) with placebo.</w:t>
      </w:r>
      <w:r w:rsidR="006A50CD" w:rsidRPr="00911428">
        <w:t xml:space="preserve"> </w:t>
      </w:r>
      <w:r w:rsidRPr="00911428">
        <w:t xml:space="preserve">By using the utility estimates from Goodwin 2020, disutility due to adverse events from BOT could be considered implicitly accounted for, whereas the Australian EoE survey has not accounted for this effect. </w:t>
      </w:r>
      <w:r w:rsidR="007F5051" w:rsidRPr="00911428">
        <w:t>However, the ESC noted that this was not necessarily a high-quality source of evidence, being from a conference abstract with little details of methodology and population.</w:t>
      </w:r>
      <w:r w:rsidR="00355DFF">
        <w:t xml:space="preserve"> The PBAC acknowledged ESC’s concerns regarding the use of utility values from a conference abstract. However, the PBAC noted Goodwin 2020 was a phase 3 RCT involving 318 patients randomised to receive budesonide for EoE with health states captured using a validated multi</w:t>
      </w:r>
      <w:r w:rsidR="004F12CB">
        <w:t>-</w:t>
      </w:r>
      <w:r w:rsidR="00355DFF">
        <w:t>attribute utility instrument.</w:t>
      </w:r>
      <w:r w:rsidR="00E72594">
        <w:t xml:space="preserve"> </w:t>
      </w:r>
      <w:r w:rsidR="00605480">
        <w:t xml:space="preserve">Of the published and nonpublished </w:t>
      </w:r>
      <w:r w:rsidR="00E72594">
        <w:t>sources identified t</w:t>
      </w:r>
      <w:r w:rsidR="00355DFF">
        <w:t xml:space="preserve">he PBAC considered </w:t>
      </w:r>
      <w:r w:rsidR="00E72594">
        <w:t xml:space="preserve">that </w:t>
      </w:r>
      <w:r w:rsidR="00355DFF">
        <w:t>Goodwin 2020</w:t>
      </w:r>
      <w:r w:rsidR="0021625D">
        <w:t xml:space="preserve"> was</w:t>
      </w:r>
      <w:r w:rsidR="00355DFF">
        <w:t xml:space="preserve"> the preferred source of utility values</w:t>
      </w:r>
      <w:r w:rsidR="00E72594">
        <w:t xml:space="preserve"> </w:t>
      </w:r>
      <w:r w:rsidR="00605480">
        <w:t xml:space="preserve">based on evidence </w:t>
      </w:r>
      <w:r w:rsidR="00605480" w:rsidRPr="00605480">
        <w:t>hierarchy</w:t>
      </w:r>
      <w:r w:rsidR="00355DFF">
        <w:t xml:space="preserve"> </w:t>
      </w:r>
      <w:r w:rsidR="00605480">
        <w:t xml:space="preserve">considerations outlined in the </w:t>
      </w:r>
      <w:r w:rsidR="00355DFF">
        <w:t xml:space="preserve">PBAC Guidelines Version 5.0.    </w:t>
      </w:r>
    </w:p>
    <w:p w:rsidR="00DA5F85" w:rsidRPr="00BB00B3" w:rsidRDefault="00DA5F85" w:rsidP="00BB00B3">
      <w:pPr>
        <w:pStyle w:val="TableFigureHeading"/>
        <w:rPr>
          <w:rStyle w:val="CommentReference"/>
          <w:b/>
          <w:szCs w:val="24"/>
        </w:rPr>
      </w:pPr>
      <w:r w:rsidRPr="00676E44">
        <w:rPr>
          <w:rStyle w:val="CommentReference"/>
          <w:b/>
          <w:szCs w:val="24"/>
        </w:rPr>
        <w:t xml:space="preserve">Table </w:t>
      </w:r>
      <w:r w:rsidR="00DB7264">
        <w:rPr>
          <w:rStyle w:val="CommentReference"/>
          <w:b/>
          <w:szCs w:val="24"/>
        </w:rPr>
        <w:t>14</w:t>
      </w:r>
      <w:r w:rsidRPr="00676E44">
        <w:rPr>
          <w:rStyle w:val="CommentReference"/>
          <w:b/>
          <w:szCs w:val="24"/>
        </w:rPr>
        <w:t>:</w:t>
      </w:r>
      <w:r w:rsidRPr="00BB00B3">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686"/>
        <w:gridCol w:w="4202"/>
      </w:tblGrid>
      <w:tr w:rsidR="00DA5F85" w:rsidRPr="003D1DE4" w:rsidTr="00DB54EF">
        <w:trPr>
          <w:tblHeader/>
        </w:trPr>
        <w:tc>
          <w:tcPr>
            <w:tcW w:w="626" w:type="pct"/>
            <w:shd w:val="clear" w:color="auto" w:fill="auto"/>
            <w:vAlign w:val="center"/>
          </w:tcPr>
          <w:p w:rsidR="00DA5F85" w:rsidRPr="003D1DE4" w:rsidRDefault="00DA5F85" w:rsidP="00DB54EF">
            <w:pPr>
              <w:pStyle w:val="In-tableHeading"/>
            </w:pPr>
            <w:r w:rsidRPr="003D1DE4">
              <w:t>Description</w:t>
            </w:r>
          </w:p>
        </w:tc>
        <w:tc>
          <w:tcPr>
            <w:tcW w:w="2044" w:type="pct"/>
            <w:shd w:val="clear" w:color="auto" w:fill="auto"/>
            <w:vAlign w:val="center"/>
          </w:tcPr>
          <w:p w:rsidR="00DA5F85" w:rsidRPr="003D1DE4" w:rsidRDefault="00DA5F85" w:rsidP="000A7453">
            <w:pPr>
              <w:pStyle w:val="In-tableHeading"/>
              <w:jc w:val="center"/>
            </w:pPr>
            <w:r w:rsidRPr="003D1DE4">
              <w:t>Method/Value</w:t>
            </w:r>
          </w:p>
        </w:tc>
        <w:tc>
          <w:tcPr>
            <w:tcW w:w="2330" w:type="pct"/>
            <w:shd w:val="clear" w:color="auto" w:fill="auto"/>
            <w:vAlign w:val="center"/>
          </w:tcPr>
          <w:p w:rsidR="00DA5F85" w:rsidRDefault="00DA5F85" w:rsidP="000A7453">
            <w:pPr>
              <w:pStyle w:val="In-tableHeading"/>
              <w:jc w:val="center"/>
            </w:pPr>
            <w:r w:rsidRPr="003D1DE4">
              <w:t>Impact</w:t>
            </w:r>
          </w:p>
          <w:p w:rsidR="00DA5F85" w:rsidRPr="003D1DE4" w:rsidRDefault="00DA5F85" w:rsidP="000A7453">
            <w:pPr>
              <w:pStyle w:val="In-tableHeading"/>
              <w:jc w:val="center"/>
            </w:pPr>
            <w:r w:rsidRPr="00354F64">
              <w:rPr>
                <w:rFonts w:cs="Arial"/>
                <w:szCs w:val="20"/>
              </w:rPr>
              <w:t>Base case: $</w:t>
            </w:r>
            <w:r w:rsidR="00D02986">
              <w:rPr>
                <w:rFonts w:cs="Arial"/>
                <w:noProof/>
                <w:color w:val="000000"/>
                <w:szCs w:val="20"/>
                <w:highlight w:val="black"/>
              </w:rPr>
              <w:t>'''''''''''''</w:t>
            </w:r>
            <w:r w:rsidR="00B66098">
              <w:rPr>
                <w:vertAlign w:val="superscript"/>
              </w:rPr>
              <w:t>1</w:t>
            </w:r>
            <w:r w:rsidRPr="00354F64">
              <w:rPr>
                <w:rFonts w:cs="Arial"/>
                <w:szCs w:val="20"/>
              </w:rPr>
              <w:t>/QALY gained</w:t>
            </w:r>
          </w:p>
        </w:tc>
      </w:tr>
      <w:tr w:rsidR="00DA5F85" w:rsidRPr="00E2771E" w:rsidTr="00DB54EF">
        <w:tc>
          <w:tcPr>
            <w:tcW w:w="626" w:type="pct"/>
            <w:shd w:val="clear" w:color="auto" w:fill="auto"/>
            <w:vAlign w:val="center"/>
          </w:tcPr>
          <w:p w:rsidR="00DA5F85" w:rsidRPr="00E2771E" w:rsidRDefault="00DA5F85" w:rsidP="00DB54EF">
            <w:pPr>
              <w:pStyle w:val="TableText0"/>
              <w:rPr>
                <w:lang w:val="en-US"/>
              </w:rPr>
            </w:pPr>
            <w:r>
              <w:rPr>
                <w:lang w:val="en-US"/>
              </w:rPr>
              <w:t>Utilities</w:t>
            </w:r>
          </w:p>
        </w:tc>
        <w:tc>
          <w:tcPr>
            <w:tcW w:w="2044" w:type="pct"/>
            <w:shd w:val="clear" w:color="auto" w:fill="auto"/>
            <w:vAlign w:val="center"/>
          </w:tcPr>
          <w:p w:rsidR="00DA5F85" w:rsidRPr="00B66098" w:rsidRDefault="00DA5F85" w:rsidP="00B66098">
            <w:pPr>
              <w:pStyle w:val="TableText0"/>
              <w:rPr>
                <w:vertAlign w:val="superscript"/>
                <w:lang w:val="en-US"/>
              </w:rPr>
            </w:pPr>
            <w:r w:rsidRPr="009472BF">
              <w:rPr>
                <w:lang w:val="en-US"/>
              </w:rPr>
              <w:t>Survey of Australian population of adults EoE patients</w:t>
            </w:r>
            <w:r>
              <w:rPr>
                <w:lang w:val="en-US"/>
              </w:rPr>
              <w:t xml:space="preserve"> (CH remission = 0.780, H remission only and no remission = 0.609)</w:t>
            </w:r>
          </w:p>
        </w:tc>
        <w:tc>
          <w:tcPr>
            <w:tcW w:w="2330" w:type="pct"/>
            <w:shd w:val="clear" w:color="auto" w:fill="auto"/>
            <w:vAlign w:val="center"/>
          </w:tcPr>
          <w:p w:rsidR="00DA5F85" w:rsidRPr="00547ABC" w:rsidRDefault="00DA5F85" w:rsidP="008D743C">
            <w:pPr>
              <w:pStyle w:val="TableText0"/>
              <w:rPr>
                <w:lang w:val="en-US"/>
              </w:rPr>
            </w:pPr>
            <w:r w:rsidRPr="00547ABC">
              <w:rPr>
                <w:lang w:val="en-US"/>
              </w:rPr>
              <w:t>High, favours BOT. Use of utilities from Goodwin 2020 (0.971, 0.907) increased the ICER to $</w:t>
            </w:r>
            <w:r w:rsidR="00D02986">
              <w:rPr>
                <w:noProof/>
                <w:color w:val="000000"/>
                <w:highlight w:val="black"/>
                <w:lang w:val="en-US"/>
              </w:rPr>
              <w:t>'''''''''''''''</w:t>
            </w:r>
            <w:r w:rsidR="00B66098">
              <w:rPr>
                <w:vertAlign w:val="superscript"/>
                <w:lang w:val="en-US"/>
              </w:rPr>
              <w:t>2</w:t>
            </w:r>
            <w:r w:rsidRPr="00547ABC">
              <w:rPr>
                <w:lang w:val="en-US"/>
              </w:rPr>
              <w:t>/QALY gained.</w:t>
            </w:r>
            <w:r w:rsidRPr="00547ABC">
              <w:rPr>
                <w:rFonts w:cs="Arial"/>
                <w:color w:val="3366FF"/>
                <w:szCs w:val="20"/>
              </w:rPr>
              <w:t xml:space="preserve"> </w:t>
            </w:r>
          </w:p>
        </w:tc>
      </w:tr>
      <w:tr w:rsidR="00DA5F85" w:rsidRPr="00E2771E" w:rsidTr="00DB54EF">
        <w:tc>
          <w:tcPr>
            <w:tcW w:w="626" w:type="pct"/>
            <w:shd w:val="clear" w:color="auto" w:fill="auto"/>
            <w:vAlign w:val="center"/>
          </w:tcPr>
          <w:p w:rsidR="00DA5F85" w:rsidRDefault="00DA5F85" w:rsidP="00DB54EF">
            <w:pPr>
              <w:pStyle w:val="TableText0"/>
              <w:rPr>
                <w:lang w:val="en-US"/>
              </w:rPr>
            </w:pPr>
            <w:r>
              <w:rPr>
                <w:lang w:val="en-US"/>
              </w:rPr>
              <w:t>Time horizon</w:t>
            </w:r>
          </w:p>
        </w:tc>
        <w:tc>
          <w:tcPr>
            <w:tcW w:w="2044" w:type="pct"/>
            <w:shd w:val="clear" w:color="auto" w:fill="auto"/>
            <w:vAlign w:val="center"/>
          </w:tcPr>
          <w:p w:rsidR="00DA5F85" w:rsidRPr="009472BF" w:rsidRDefault="00DA5F85" w:rsidP="00BB00B3">
            <w:pPr>
              <w:pStyle w:val="TableText0"/>
              <w:rPr>
                <w:lang w:val="en-US"/>
              </w:rPr>
            </w:pPr>
            <w:r w:rsidRPr="009472BF">
              <w:rPr>
                <w:lang w:val="en-US"/>
              </w:rPr>
              <w:t xml:space="preserve">5 years </w:t>
            </w:r>
            <w:r>
              <w:rPr>
                <w:lang w:val="en-US"/>
              </w:rPr>
              <w:t xml:space="preserve">extrapolated from </w:t>
            </w:r>
            <w:r w:rsidRPr="009472BF">
              <w:rPr>
                <w:lang w:val="en-US"/>
              </w:rPr>
              <w:t xml:space="preserve">60 weeks </w:t>
            </w:r>
            <w:r>
              <w:rPr>
                <w:lang w:val="en-US"/>
              </w:rPr>
              <w:t xml:space="preserve">data </w:t>
            </w:r>
            <w:r w:rsidRPr="009472BF">
              <w:rPr>
                <w:lang w:val="en-US"/>
              </w:rPr>
              <w:t xml:space="preserve">(12 weeks induction + 48 weeks maintenance) </w:t>
            </w:r>
            <w:r>
              <w:rPr>
                <w:lang w:val="en-US"/>
              </w:rPr>
              <w:t>of</w:t>
            </w:r>
            <w:r w:rsidRPr="009472BF">
              <w:rPr>
                <w:lang w:val="en-US"/>
              </w:rPr>
              <w:t xml:space="preserve"> the key trials (EOS-1 and EOS-2)</w:t>
            </w:r>
          </w:p>
        </w:tc>
        <w:tc>
          <w:tcPr>
            <w:tcW w:w="2330" w:type="pct"/>
            <w:shd w:val="clear" w:color="auto" w:fill="auto"/>
            <w:vAlign w:val="center"/>
          </w:tcPr>
          <w:p w:rsidR="00DA5F85" w:rsidRPr="00547ABC" w:rsidRDefault="00DA5F85" w:rsidP="008D743C">
            <w:pPr>
              <w:pStyle w:val="TableText0"/>
              <w:rPr>
                <w:lang w:val="en-US"/>
              </w:rPr>
            </w:pPr>
            <w:r w:rsidRPr="00547ABC">
              <w:rPr>
                <w:lang w:val="en-US"/>
              </w:rPr>
              <w:t>Moderate, favours BOT. A time horizon of 1 year increased the ICER to $</w:t>
            </w:r>
            <w:r w:rsidR="00D02986">
              <w:rPr>
                <w:noProof/>
                <w:color w:val="000000"/>
                <w:highlight w:val="black"/>
                <w:lang w:val="en-US"/>
              </w:rPr>
              <w:t>''''''''''''''''</w:t>
            </w:r>
            <w:r w:rsidR="00B66098">
              <w:rPr>
                <w:vertAlign w:val="superscript"/>
                <w:lang w:val="en-US"/>
              </w:rPr>
              <w:t>3</w:t>
            </w:r>
            <w:r w:rsidRPr="00547ABC">
              <w:rPr>
                <w:lang w:val="en-US"/>
              </w:rPr>
              <w:t>/QALY gained.</w:t>
            </w:r>
          </w:p>
        </w:tc>
      </w:tr>
      <w:tr w:rsidR="00DA5F85" w:rsidRPr="00E2771E" w:rsidTr="00DB54EF">
        <w:tc>
          <w:tcPr>
            <w:tcW w:w="626" w:type="pct"/>
            <w:shd w:val="clear" w:color="auto" w:fill="auto"/>
            <w:vAlign w:val="center"/>
          </w:tcPr>
          <w:p w:rsidR="00DA5F85" w:rsidRPr="00E2771E" w:rsidRDefault="00DA5F85" w:rsidP="00DB54EF">
            <w:pPr>
              <w:pStyle w:val="TableText0"/>
              <w:rPr>
                <w:lang w:val="en-US"/>
              </w:rPr>
            </w:pPr>
            <w:r>
              <w:rPr>
                <w:lang w:val="en-US"/>
              </w:rPr>
              <w:t>Dilation costs</w:t>
            </w:r>
          </w:p>
        </w:tc>
        <w:tc>
          <w:tcPr>
            <w:tcW w:w="2044" w:type="pct"/>
            <w:shd w:val="clear" w:color="auto" w:fill="auto"/>
            <w:vAlign w:val="center"/>
          </w:tcPr>
          <w:p w:rsidR="00DA5F85" w:rsidRPr="00E2771E" w:rsidRDefault="00DA5F85" w:rsidP="00BB00B3">
            <w:pPr>
              <w:pStyle w:val="TableText0"/>
              <w:rPr>
                <w:lang w:val="en-US"/>
              </w:rPr>
            </w:pPr>
            <w:r>
              <w:rPr>
                <w:lang w:val="en-US"/>
              </w:rPr>
              <w:t>R</w:t>
            </w:r>
            <w:r w:rsidRPr="009472BF">
              <w:rPr>
                <w:lang w:val="en-US"/>
              </w:rPr>
              <w:t xml:space="preserve">ate reported in Runge (2017) </w:t>
            </w:r>
            <w:r>
              <w:rPr>
                <w:lang w:val="en-US"/>
              </w:rPr>
              <w:t>applied to</w:t>
            </w:r>
            <w:r w:rsidRPr="009472BF">
              <w:rPr>
                <w:lang w:val="en-US"/>
              </w:rPr>
              <w:t xml:space="preserve"> 30% of patients derived from the patient survey</w:t>
            </w:r>
          </w:p>
        </w:tc>
        <w:tc>
          <w:tcPr>
            <w:tcW w:w="2330" w:type="pct"/>
            <w:shd w:val="clear" w:color="auto" w:fill="auto"/>
            <w:vAlign w:val="center"/>
          </w:tcPr>
          <w:p w:rsidR="00DA5F85" w:rsidRPr="00547ABC" w:rsidRDefault="00DA5F85" w:rsidP="00DA5F85">
            <w:pPr>
              <w:pStyle w:val="TableText0"/>
              <w:rPr>
                <w:lang w:val="en-US"/>
              </w:rPr>
            </w:pPr>
            <w:r w:rsidRPr="00547ABC">
              <w:rPr>
                <w:lang w:val="en-US"/>
              </w:rPr>
              <w:t>Moderate</w:t>
            </w:r>
            <w:r w:rsidR="006A50CD" w:rsidRPr="00547ABC">
              <w:rPr>
                <w:lang w:val="en-US"/>
              </w:rPr>
              <w:t>; bias unclear</w:t>
            </w:r>
            <w:r w:rsidRPr="00547ABC">
              <w:rPr>
                <w:lang w:val="en-US"/>
              </w:rPr>
              <w:t>. Removing dilation costs increased the ICER to $</w:t>
            </w:r>
            <w:r w:rsidR="00D02986">
              <w:rPr>
                <w:noProof/>
                <w:color w:val="000000"/>
                <w:highlight w:val="black"/>
                <w:lang w:val="en-US"/>
              </w:rPr>
              <w:t>'''''''''''''''''</w:t>
            </w:r>
            <w:r w:rsidR="00B66098">
              <w:rPr>
                <w:vertAlign w:val="superscript"/>
                <w:lang w:val="en-US"/>
              </w:rPr>
              <w:t>1</w:t>
            </w:r>
            <w:r w:rsidRPr="00547ABC">
              <w:rPr>
                <w:lang w:val="en-US"/>
              </w:rPr>
              <w:t>/QALY gained</w:t>
            </w:r>
            <w:r w:rsidR="006A50CD" w:rsidRPr="00547ABC">
              <w:rPr>
                <w:lang w:val="en-US"/>
              </w:rPr>
              <w:t xml:space="preserve"> but applying them to all patients decreased it to </w:t>
            </w:r>
            <w:r w:rsidR="006A50CD" w:rsidRPr="00547ABC">
              <w:rPr>
                <w:iCs/>
              </w:rPr>
              <w:t>$</w:t>
            </w:r>
            <w:r w:rsidR="00D02986">
              <w:rPr>
                <w:iCs/>
                <w:noProof/>
                <w:color w:val="000000"/>
                <w:highlight w:val="black"/>
              </w:rPr>
              <w:t>''''''''''''''''</w:t>
            </w:r>
            <w:r w:rsidR="00B66098">
              <w:rPr>
                <w:vertAlign w:val="superscript"/>
                <w:lang w:val="en-US"/>
              </w:rPr>
              <w:t>4</w:t>
            </w:r>
            <w:r w:rsidR="006A50CD" w:rsidRPr="00547ABC">
              <w:rPr>
                <w:iCs/>
              </w:rPr>
              <w:t>/QALY</w:t>
            </w:r>
            <w:r w:rsidRPr="00547ABC">
              <w:rPr>
                <w:lang w:val="en-US"/>
              </w:rPr>
              <w:t>.</w:t>
            </w:r>
          </w:p>
        </w:tc>
      </w:tr>
      <w:tr w:rsidR="00DA5F85" w:rsidRPr="00E2771E" w:rsidTr="00DB54EF">
        <w:tc>
          <w:tcPr>
            <w:tcW w:w="626" w:type="pct"/>
            <w:shd w:val="clear" w:color="auto" w:fill="auto"/>
            <w:vAlign w:val="center"/>
          </w:tcPr>
          <w:p w:rsidR="00DA5F85" w:rsidRDefault="00DA5F85" w:rsidP="00DB54EF">
            <w:pPr>
              <w:pStyle w:val="TableText0"/>
              <w:rPr>
                <w:lang w:val="en-US"/>
              </w:rPr>
            </w:pPr>
            <w:r>
              <w:rPr>
                <w:lang w:val="en-US"/>
              </w:rPr>
              <w:t>Extrapolation</w:t>
            </w:r>
          </w:p>
        </w:tc>
        <w:tc>
          <w:tcPr>
            <w:tcW w:w="2044" w:type="pct"/>
            <w:shd w:val="clear" w:color="auto" w:fill="auto"/>
            <w:vAlign w:val="center"/>
          </w:tcPr>
          <w:p w:rsidR="00DA5F85" w:rsidRDefault="00DA5F85" w:rsidP="00BB00B3">
            <w:pPr>
              <w:pStyle w:val="TableText0"/>
              <w:rPr>
                <w:lang w:val="en-US"/>
              </w:rPr>
            </w:pPr>
            <w:r>
              <w:rPr>
                <w:lang w:val="en-US"/>
              </w:rPr>
              <w:t>P</w:t>
            </w:r>
            <w:r w:rsidRPr="002A6AC5">
              <w:rPr>
                <w:lang w:val="en-US"/>
              </w:rPr>
              <w:t>robability of losing remission</w:t>
            </w:r>
            <w:r>
              <w:rPr>
                <w:lang w:val="en-US"/>
              </w:rPr>
              <w:t xml:space="preserve"> with BOT</w:t>
            </w:r>
            <w:r w:rsidRPr="002A6AC5">
              <w:rPr>
                <w:lang w:val="en-US"/>
              </w:rPr>
              <w:t xml:space="preserve"> </w:t>
            </w:r>
            <w:r>
              <w:rPr>
                <w:lang w:val="en-US"/>
              </w:rPr>
              <w:t xml:space="preserve">each cycle </w:t>
            </w:r>
            <w:r w:rsidRPr="002A6AC5">
              <w:rPr>
                <w:lang w:val="en-US"/>
              </w:rPr>
              <w:t>(14.7%; converted to 4.2% per cycle).</w:t>
            </w:r>
          </w:p>
        </w:tc>
        <w:tc>
          <w:tcPr>
            <w:tcW w:w="2330" w:type="pct"/>
            <w:shd w:val="clear" w:color="auto" w:fill="auto"/>
            <w:vAlign w:val="center"/>
          </w:tcPr>
          <w:p w:rsidR="00DA5F85" w:rsidRPr="00547ABC" w:rsidRDefault="00DA5F85" w:rsidP="00DA5F85">
            <w:pPr>
              <w:pStyle w:val="TableText0"/>
              <w:rPr>
                <w:lang w:val="en-US"/>
              </w:rPr>
            </w:pPr>
            <w:r w:rsidRPr="00547ABC">
              <w:rPr>
                <w:lang w:val="en-US"/>
              </w:rPr>
              <w:t>Moderate, favours BOT. ICER varies from $</w:t>
            </w:r>
            <w:r w:rsidR="00D02986">
              <w:rPr>
                <w:noProof/>
                <w:color w:val="000000"/>
                <w:highlight w:val="black"/>
                <w:lang w:val="en-US"/>
              </w:rPr>
              <w:t>''''''''''''''''</w:t>
            </w:r>
            <w:r w:rsidR="00B66098">
              <w:rPr>
                <w:vertAlign w:val="superscript"/>
                <w:lang w:val="en-US"/>
              </w:rPr>
              <w:t>1</w:t>
            </w:r>
            <w:r w:rsidRPr="00547ABC">
              <w:rPr>
                <w:lang w:val="en-US"/>
              </w:rPr>
              <w:t>/QALY (25%; 7.5% per cycle) to $</w:t>
            </w:r>
            <w:r w:rsidR="00D02986">
              <w:rPr>
                <w:noProof/>
                <w:color w:val="000000"/>
                <w:highlight w:val="black"/>
                <w:lang w:val="en-US"/>
              </w:rPr>
              <w:t>''''''''''''''''''</w:t>
            </w:r>
            <w:r w:rsidR="00B66098">
              <w:rPr>
                <w:vertAlign w:val="superscript"/>
                <w:lang w:val="en-US"/>
              </w:rPr>
              <w:t>3</w:t>
            </w:r>
            <w:r w:rsidRPr="00547ABC">
              <w:rPr>
                <w:lang w:val="en-US"/>
              </w:rPr>
              <w:t>/QALY (first year 14.7%, subsequent years same as SOC)</w:t>
            </w:r>
          </w:p>
        </w:tc>
      </w:tr>
    </w:tbl>
    <w:p w:rsidR="00DA5F85" w:rsidRDefault="00DA5F85" w:rsidP="00BB00B3">
      <w:pPr>
        <w:pStyle w:val="TableFigureFooter"/>
      </w:pPr>
      <w:r>
        <w:t>Source: constructed during the evaluation</w:t>
      </w:r>
    </w:p>
    <w:p w:rsidR="00DA5F85" w:rsidRDefault="00DA5F85" w:rsidP="00BB00B3">
      <w:pPr>
        <w:pStyle w:val="TableFigureFooter"/>
      </w:pPr>
      <w:r>
        <w:t>Abbreviations: BOT = budesonide orally disintegrating tablet; EoE = eosinophilic oesophagitis; ICER = incremental cost effectiveness ratio; QALY = quality-adjusted life-year; SOC = standard of care</w:t>
      </w:r>
    </w:p>
    <w:p w:rsidR="00B66098" w:rsidRPr="009868C4" w:rsidRDefault="00B66098" w:rsidP="00B66098">
      <w:pPr>
        <w:pStyle w:val="TableFigureFooter"/>
        <w:spacing w:after="0"/>
        <w:contextualSpacing w:val="0"/>
      </w:pPr>
      <w:r w:rsidRPr="009868C4">
        <w:rPr>
          <w:i/>
        </w:rPr>
        <w:t>The redacted values correspond to the following ranges</w:t>
      </w:r>
      <w:r>
        <w:rPr>
          <w:i/>
        </w:rPr>
        <w:t xml:space="preserve">: </w:t>
      </w:r>
    </w:p>
    <w:p w:rsidR="00B66098" w:rsidRPr="00B66098" w:rsidRDefault="00B66098" w:rsidP="00BB00B3">
      <w:pPr>
        <w:pStyle w:val="TableFigureFooter"/>
        <w:rPr>
          <w:i/>
        </w:rPr>
      </w:pPr>
      <w:r>
        <w:rPr>
          <w:i/>
          <w:vertAlign w:val="superscript"/>
        </w:rPr>
        <w:t xml:space="preserve">1 </w:t>
      </w:r>
      <w:r w:rsidRPr="00B66098">
        <w:rPr>
          <w:i/>
        </w:rPr>
        <w:t>$25,000 to &lt; $35,000</w:t>
      </w:r>
    </w:p>
    <w:p w:rsidR="00B66098" w:rsidRPr="00B66098" w:rsidRDefault="00B66098" w:rsidP="00BB00B3">
      <w:pPr>
        <w:pStyle w:val="TableFigureFooter"/>
        <w:rPr>
          <w:i/>
        </w:rPr>
      </w:pPr>
      <w:r>
        <w:rPr>
          <w:i/>
          <w:vertAlign w:val="superscript"/>
        </w:rPr>
        <w:t xml:space="preserve">2 </w:t>
      </w:r>
      <w:r w:rsidRPr="00B66098">
        <w:rPr>
          <w:i/>
        </w:rPr>
        <w:t>$55,000 to &lt; $75,000</w:t>
      </w:r>
    </w:p>
    <w:p w:rsidR="00B66098" w:rsidRDefault="00B66098" w:rsidP="00BB00B3">
      <w:pPr>
        <w:pStyle w:val="TableFigureFooter"/>
        <w:rPr>
          <w:i/>
        </w:rPr>
      </w:pPr>
      <w:r>
        <w:rPr>
          <w:i/>
          <w:vertAlign w:val="superscript"/>
        </w:rPr>
        <w:t xml:space="preserve">3 </w:t>
      </w:r>
      <w:r w:rsidRPr="00B66098">
        <w:rPr>
          <w:i/>
        </w:rPr>
        <w:t>$35,000 to &lt; $45,000</w:t>
      </w:r>
    </w:p>
    <w:p w:rsidR="00B66098" w:rsidRPr="00B66098" w:rsidRDefault="00B66098" w:rsidP="00BB00B3">
      <w:pPr>
        <w:pStyle w:val="TableFigureFooter"/>
        <w:rPr>
          <w:i/>
        </w:rPr>
      </w:pPr>
      <w:r>
        <w:rPr>
          <w:i/>
          <w:vertAlign w:val="superscript"/>
        </w:rPr>
        <w:t xml:space="preserve">4 </w:t>
      </w:r>
      <w:r w:rsidRPr="00B66098">
        <w:rPr>
          <w:i/>
        </w:rPr>
        <w:t>$5,000 to &lt; $15,000</w:t>
      </w:r>
    </w:p>
    <w:p w:rsidR="00DA5F85" w:rsidRDefault="00DA5F85" w:rsidP="00B66098">
      <w:pPr>
        <w:pStyle w:val="3-BodyText"/>
      </w:pPr>
      <w:r w:rsidRPr="0017247E">
        <w:t xml:space="preserve">The results of the stepped economic evaluation are presented in </w:t>
      </w:r>
      <w:r w:rsidRPr="00676E44">
        <w:t xml:space="preserve">Table </w:t>
      </w:r>
      <w:r w:rsidR="00DB7264">
        <w:t>15</w:t>
      </w:r>
      <w:r>
        <w:t>.</w:t>
      </w:r>
      <w:r w:rsidRPr="00977287">
        <w:t xml:space="preserve"> </w:t>
      </w:r>
      <w:r w:rsidRPr="006A50CD">
        <w:t xml:space="preserve">Transforming the health outcomes to QALYs (in Step 3) resulted in an ICER of </w:t>
      </w:r>
      <w:r w:rsidR="00B66098" w:rsidRPr="00B66098">
        <w:t>$35,000 to &lt; $45,000</w:t>
      </w:r>
      <w:r w:rsidRPr="006A50CD">
        <w:t>/QALY.</w:t>
      </w:r>
      <w:r w:rsidRPr="00977287">
        <w:rPr>
          <w:i/>
          <w:iCs/>
        </w:rPr>
        <w:t xml:space="preserve"> </w:t>
      </w:r>
      <w:r w:rsidRPr="00547ABC">
        <w:rPr>
          <w:iCs/>
        </w:rPr>
        <w:t xml:space="preserve">The difference in QALYs between the two arms was driven by the utility values as the total LYs in both arms were the same. </w:t>
      </w:r>
      <w:r w:rsidR="006A50CD" w:rsidRPr="00547ABC">
        <w:rPr>
          <w:iCs/>
        </w:rPr>
        <w:t>T</w:t>
      </w:r>
      <w:r w:rsidRPr="00547ABC">
        <w:rPr>
          <w:iCs/>
        </w:rPr>
        <w:t xml:space="preserve">he QALY gain was due to more patients in the BOT arm spending </w:t>
      </w:r>
      <w:r w:rsidR="006A50CD" w:rsidRPr="00547ABC">
        <w:rPr>
          <w:iCs/>
        </w:rPr>
        <w:t xml:space="preserve">their </w:t>
      </w:r>
      <w:r w:rsidRPr="00547ABC">
        <w:rPr>
          <w:iCs/>
        </w:rPr>
        <w:t>time in clinicohistologic remission compared with patients in the SOC arm (0%).</w:t>
      </w:r>
      <w:r w:rsidRPr="00977287">
        <w:t xml:space="preserve">  </w:t>
      </w:r>
    </w:p>
    <w:p w:rsidR="008E6149" w:rsidRDefault="008E6149">
      <w:pPr>
        <w:jc w:val="left"/>
        <w:rPr>
          <w:rStyle w:val="CommentReference"/>
          <w:rFonts w:eastAsiaTheme="majorEastAsia" w:cstheme="majorBidi"/>
          <w:bCs/>
          <w:szCs w:val="24"/>
        </w:rPr>
      </w:pPr>
      <w:r>
        <w:rPr>
          <w:rStyle w:val="CommentReference"/>
          <w:b w:val="0"/>
          <w:szCs w:val="24"/>
        </w:rPr>
        <w:br w:type="page"/>
      </w:r>
    </w:p>
    <w:p w:rsidR="00DA5F85" w:rsidRPr="00BB00B3" w:rsidRDefault="00DA5F85" w:rsidP="00BB00B3">
      <w:pPr>
        <w:pStyle w:val="TableFigureHeading"/>
      </w:pPr>
      <w:r w:rsidRPr="00676E44">
        <w:rPr>
          <w:rStyle w:val="CommentReference"/>
          <w:b/>
          <w:szCs w:val="24"/>
        </w:rPr>
        <w:t xml:space="preserve">Table </w:t>
      </w:r>
      <w:r w:rsidR="00DB7264">
        <w:rPr>
          <w:rStyle w:val="CommentReference"/>
          <w:b/>
          <w:szCs w:val="24"/>
        </w:rPr>
        <w:t>15</w:t>
      </w:r>
      <w:r w:rsidRPr="00BB00B3">
        <w:rPr>
          <w:rStyle w:val="CommentReference"/>
          <w:b/>
          <w:szCs w:val="24"/>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7"/>
        <w:gridCol w:w="2451"/>
        <w:gridCol w:w="2298"/>
        <w:gridCol w:w="1511"/>
      </w:tblGrid>
      <w:tr w:rsidR="00DA5F85" w:rsidRPr="00597BF9" w:rsidTr="006B35E6">
        <w:trPr>
          <w:cantSplit/>
          <w:tblHeader/>
        </w:trPr>
        <w:tc>
          <w:tcPr>
            <w:tcW w:w="1529" w:type="pct"/>
            <w:vAlign w:val="center"/>
          </w:tcPr>
          <w:p w:rsidR="00DA5F85" w:rsidRPr="00597BF9" w:rsidRDefault="00DA5F85" w:rsidP="009F18B2">
            <w:pPr>
              <w:pStyle w:val="In-tableHeading"/>
              <w:keepNext w:val="0"/>
              <w:widowControl w:val="0"/>
            </w:pPr>
            <w:r w:rsidRPr="00597BF9">
              <w:t>Step and component</w:t>
            </w:r>
          </w:p>
        </w:tc>
        <w:tc>
          <w:tcPr>
            <w:tcW w:w="1359" w:type="pct"/>
            <w:vAlign w:val="center"/>
          </w:tcPr>
          <w:p w:rsidR="00DA5F85" w:rsidRPr="00597BF9" w:rsidRDefault="00DA5F85" w:rsidP="009F18B2">
            <w:pPr>
              <w:pStyle w:val="In-tableHeading"/>
              <w:keepNext w:val="0"/>
              <w:widowControl w:val="0"/>
              <w:jc w:val="center"/>
            </w:pPr>
            <w:r>
              <w:t>BOT</w:t>
            </w:r>
          </w:p>
        </w:tc>
        <w:tc>
          <w:tcPr>
            <w:tcW w:w="1274" w:type="pct"/>
            <w:vAlign w:val="center"/>
          </w:tcPr>
          <w:p w:rsidR="00DA5F85" w:rsidRPr="00597BF9" w:rsidRDefault="00DA5F85" w:rsidP="009F18B2">
            <w:pPr>
              <w:pStyle w:val="In-tableHeading"/>
              <w:keepNext w:val="0"/>
              <w:widowControl w:val="0"/>
              <w:jc w:val="center"/>
            </w:pPr>
            <w:r>
              <w:t>SOC</w:t>
            </w:r>
          </w:p>
        </w:tc>
        <w:tc>
          <w:tcPr>
            <w:tcW w:w="838" w:type="pct"/>
            <w:vAlign w:val="center"/>
          </w:tcPr>
          <w:p w:rsidR="00DA5F85" w:rsidRPr="00597BF9" w:rsidRDefault="00DA5F85" w:rsidP="009F18B2">
            <w:pPr>
              <w:pStyle w:val="In-tableHeading"/>
              <w:keepNext w:val="0"/>
              <w:widowControl w:val="0"/>
              <w:jc w:val="center"/>
            </w:pPr>
            <w:r w:rsidRPr="00597BF9">
              <w:t>Increment</w:t>
            </w:r>
          </w:p>
        </w:tc>
      </w:tr>
      <w:tr w:rsidR="00DA5F85" w:rsidRPr="00D1078F" w:rsidTr="006B35E6">
        <w:trPr>
          <w:cantSplit/>
        </w:trPr>
        <w:tc>
          <w:tcPr>
            <w:tcW w:w="5000" w:type="pct"/>
            <w:gridSpan w:val="4"/>
            <w:vAlign w:val="center"/>
          </w:tcPr>
          <w:p w:rsidR="00DA5F85" w:rsidRPr="00597BF9" w:rsidRDefault="00DA5F85" w:rsidP="009F18B2">
            <w:pPr>
              <w:pStyle w:val="In-tableHeading"/>
              <w:keepNext w:val="0"/>
              <w:widowControl w:val="0"/>
            </w:pPr>
            <w:r w:rsidRPr="00597BF9">
              <w:t>Step 1</w:t>
            </w:r>
            <w:r>
              <w:t>a</w:t>
            </w:r>
            <w:r w:rsidRPr="00597BF9">
              <w:t xml:space="preserve">: </w:t>
            </w:r>
            <w:r w:rsidRPr="0017247E">
              <w:t>Trial-based, induction, 12 weeks, drug costs only, H remission</w:t>
            </w:r>
          </w:p>
        </w:tc>
      </w:tr>
      <w:tr w:rsidR="00DA5F85" w:rsidRPr="00E2771E" w:rsidTr="006B35E6">
        <w:trPr>
          <w:cantSplit/>
        </w:trPr>
        <w:tc>
          <w:tcPr>
            <w:tcW w:w="1529" w:type="pct"/>
            <w:vAlign w:val="center"/>
          </w:tcPr>
          <w:p w:rsidR="00DA5F85" w:rsidRPr="00E2771E" w:rsidRDefault="00DA5F85" w:rsidP="009F18B2">
            <w:pPr>
              <w:pStyle w:val="TableText0"/>
              <w:keepNext w:val="0"/>
              <w:widowControl w:val="0"/>
              <w:rPr>
                <w:rFonts w:ascii="Times" w:hAnsi="Times"/>
              </w:rPr>
            </w:pPr>
            <w:r w:rsidRPr="00E2771E">
              <w:t>Costs</w:t>
            </w:r>
          </w:p>
        </w:tc>
        <w:tc>
          <w:tcPr>
            <w:tcW w:w="1359"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p>
        </w:tc>
        <w:tc>
          <w:tcPr>
            <w:tcW w:w="1274" w:type="pct"/>
            <w:vAlign w:val="center"/>
          </w:tcPr>
          <w:p w:rsidR="00DA5F85" w:rsidRPr="00E2771E" w:rsidRDefault="00DA5F85" w:rsidP="009F18B2">
            <w:pPr>
              <w:pStyle w:val="TableText0"/>
              <w:keepNext w:val="0"/>
              <w:widowControl w:val="0"/>
              <w:jc w:val="center"/>
              <w:rPr>
                <w:rFonts w:ascii="Times" w:hAnsi="Times"/>
              </w:rPr>
            </w:pPr>
            <w:r w:rsidRPr="00E2771E">
              <w:t>$</w:t>
            </w:r>
            <w:r>
              <w:t>0</w:t>
            </w:r>
          </w:p>
        </w:tc>
        <w:tc>
          <w:tcPr>
            <w:tcW w:w="838"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r w:rsidR="00B74E81">
              <w:rPr>
                <w:vertAlign w:val="superscript"/>
              </w:rPr>
              <w:t>1</w:t>
            </w:r>
          </w:p>
        </w:tc>
      </w:tr>
      <w:tr w:rsidR="00DA5F85" w:rsidRPr="00E2771E" w:rsidTr="006B35E6">
        <w:trPr>
          <w:cantSplit/>
        </w:trPr>
        <w:tc>
          <w:tcPr>
            <w:tcW w:w="1529" w:type="pct"/>
            <w:vAlign w:val="center"/>
          </w:tcPr>
          <w:p w:rsidR="00DA5F85" w:rsidRPr="00E2771E" w:rsidRDefault="00DA5F85" w:rsidP="009F18B2">
            <w:pPr>
              <w:pStyle w:val="TableText0"/>
              <w:keepNext w:val="0"/>
              <w:widowControl w:val="0"/>
              <w:rPr>
                <w:rFonts w:ascii="Times" w:hAnsi="Times"/>
              </w:rPr>
            </w:pPr>
            <w:r>
              <w:t>H remission</w:t>
            </w:r>
          </w:p>
        </w:tc>
        <w:tc>
          <w:tcPr>
            <w:tcW w:w="1359" w:type="pct"/>
            <w:vAlign w:val="center"/>
          </w:tcPr>
          <w:p w:rsidR="00DA5F85" w:rsidRPr="00E2771E" w:rsidRDefault="00DA5F85" w:rsidP="009F18B2">
            <w:pPr>
              <w:pStyle w:val="TableText0"/>
              <w:keepNext w:val="0"/>
              <w:widowControl w:val="0"/>
              <w:jc w:val="center"/>
              <w:rPr>
                <w:rFonts w:ascii="Times" w:hAnsi="Times"/>
              </w:rPr>
            </w:pPr>
            <w:r>
              <w:t>0.9322</w:t>
            </w:r>
          </w:p>
        </w:tc>
        <w:tc>
          <w:tcPr>
            <w:tcW w:w="1274" w:type="pct"/>
            <w:vAlign w:val="center"/>
          </w:tcPr>
          <w:p w:rsidR="00DA5F85" w:rsidRPr="00E2771E" w:rsidRDefault="00DA5F85" w:rsidP="009F18B2">
            <w:pPr>
              <w:pStyle w:val="TableText0"/>
              <w:keepNext w:val="0"/>
              <w:widowControl w:val="0"/>
              <w:jc w:val="center"/>
              <w:rPr>
                <w:rFonts w:ascii="Times" w:hAnsi="Times"/>
              </w:rPr>
            </w:pPr>
            <w:r>
              <w:t>0</w:t>
            </w:r>
          </w:p>
        </w:tc>
        <w:tc>
          <w:tcPr>
            <w:tcW w:w="838" w:type="pct"/>
            <w:vAlign w:val="center"/>
          </w:tcPr>
          <w:p w:rsidR="00DA5F85" w:rsidRPr="00B74E81" w:rsidRDefault="00DA5F85" w:rsidP="00B74E81">
            <w:pPr>
              <w:pStyle w:val="TableText0"/>
              <w:keepNext w:val="0"/>
              <w:widowControl w:val="0"/>
              <w:jc w:val="center"/>
              <w:rPr>
                <w:vertAlign w:val="superscript"/>
              </w:rPr>
            </w:pPr>
            <w:r>
              <w:t>0.9322</w:t>
            </w:r>
          </w:p>
        </w:tc>
      </w:tr>
      <w:tr w:rsidR="00DA5F85" w:rsidRPr="00E2771E" w:rsidTr="006B35E6">
        <w:trPr>
          <w:cantSplit/>
        </w:trPr>
        <w:tc>
          <w:tcPr>
            <w:tcW w:w="4162" w:type="pct"/>
            <w:gridSpan w:val="3"/>
            <w:vAlign w:val="center"/>
          </w:tcPr>
          <w:p w:rsidR="00DA5F85" w:rsidRPr="00E2771E" w:rsidRDefault="00DA5F85" w:rsidP="009F18B2">
            <w:pPr>
              <w:pStyle w:val="TableText0"/>
              <w:keepNext w:val="0"/>
              <w:widowControl w:val="0"/>
              <w:rPr>
                <w:rFonts w:ascii="Times" w:hAnsi="Times"/>
              </w:rPr>
            </w:pPr>
            <w:r w:rsidRPr="00E2771E">
              <w:t xml:space="preserve">Incremental cost/extra </w:t>
            </w:r>
            <w:r>
              <w:t>H remission</w:t>
            </w:r>
            <w:r w:rsidRPr="00E2771E">
              <w:t xml:space="preserve"> gained</w:t>
            </w:r>
          </w:p>
        </w:tc>
        <w:tc>
          <w:tcPr>
            <w:tcW w:w="838"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r w:rsidR="00B74E81">
              <w:rPr>
                <w:vertAlign w:val="superscript"/>
              </w:rPr>
              <w:t>1</w:t>
            </w:r>
          </w:p>
        </w:tc>
      </w:tr>
      <w:tr w:rsidR="00DA5F85" w:rsidRPr="00D1078F" w:rsidTr="006B35E6">
        <w:trPr>
          <w:cantSplit/>
        </w:trPr>
        <w:tc>
          <w:tcPr>
            <w:tcW w:w="5000" w:type="pct"/>
            <w:gridSpan w:val="4"/>
            <w:vAlign w:val="center"/>
          </w:tcPr>
          <w:p w:rsidR="00DA5F85" w:rsidRPr="00597BF9" w:rsidRDefault="00DA5F85" w:rsidP="009F18B2">
            <w:pPr>
              <w:pStyle w:val="In-tableHeading"/>
              <w:keepNext w:val="0"/>
              <w:widowControl w:val="0"/>
            </w:pPr>
            <w:r w:rsidRPr="00597BF9">
              <w:t xml:space="preserve">Step </w:t>
            </w:r>
            <w:r>
              <w:t>1b</w:t>
            </w:r>
            <w:r w:rsidRPr="00597BF9">
              <w:t xml:space="preserve">: </w:t>
            </w:r>
            <w:r w:rsidRPr="0017247E">
              <w:t>Trial-based, induction, 12 weeks, drug costs only, CH remission</w:t>
            </w:r>
          </w:p>
        </w:tc>
      </w:tr>
      <w:tr w:rsidR="00DA5F85" w:rsidRPr="00E2771E" w:rsidTr="006B35E6">
        <w:trPr>
          <w:cantSplit/>
        </w:trPr>
        <w:tc>
          <w:tcPr>
            <w:tcW w:w="1529" w:type="pct"/>
            <w:vAlign w:val="center"/>
          </w:tcPr>
          <w:p w:rsidR="00DA5F85" w:rsidRPr="00E2771E" w:rsidRDefault="00DA5F85" w:rsidP="009F18B2">
            <w:pPr>
              <w:pStyle w:val="TableText0"/>
              <w:keepNext w:val="0"/>
              <w:widowControl w:val="0"/>
              <w:rPr>
                <w:rFonts w:ascii="Times" w:hAnsi="Times"/>
              </w:rPr>
            </w:pPr>
            <w:r w:rsidRPr="00E2771E">
              <w:t>Costs</w:t>
            </w:r>
          </w:p>
        </w:tc>
        <w:tc>
          <w:tcPr>
            <w:tcW w:w="1359"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p>
        </w:tc>
        <w:tc>
          <w:tcPr>
            <w:tcW w:w="1274" w:type="pct"/>
            <w:vAlign w:val="center"/>
          </w:tcPr>
          <w:p w:rsidR="00DA5F85" w:rsidRPr="00E2771E" w:rsidRDefault="00DA5F85" w:rsidP="009F18B2">
            <w:pPr>
              <w:pStyle w:val="TableText0"/>
              <w:keepNext w:val="0"/>
              <w:widowControl w:val="0"/>
              <w:jc w:val="center"/>
              <w:rPr>
                <w:rFonts w:ascii="Times" w:hAnsi="Times"/>
              </w:rPr>
            </w:pPr>
            <w:r w:rsidRPr="00E2771E">
              <w:t>$</w:t>
            </w:r>
            <w:r>
              <w:t>0</w:t>
            </w:r>
          </w:p>
        </w:tc>
        <w:tc>
          <w:tcPr>
            <w:tcW w:w="838"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r w:rsidR="00B74E81">
              <w:rPr>
                <w:vertAlign w:val="superscript"/>
              </w:rPr>
              <w:t>1</w:t>
            </w:r>
          </w:p>
        </w:tc>
      </w:tr>
      <w:tr w:rsidR="00DA5F85" w:rsidRPr="00E2771E" w:rsidTr="006B35E6">
        <w:trPr>
          <w:cantSplit/>
        </w:trPr>
        <w:tc>
          <w:tcPr>
            <w:tcW w:w="1529" w:type="pct"/>
            <w:vAlign w:val="center"/>
          </w:tcPr>
          <w:p w:rsidR="00DA5F85" w:rsidRPr="00E2771E" w:rsidRDefault="00DA5F85" w:rsidP="009F18B2">
            <w:pPr>
              <w:pStyle w:val="TableText0"/>
              <w:keepNext w:val="0"/>
              <w:widowControl w:val="0"/>
              <w:rPr>
                <w:rFonts w:ascii="Times" w:hAnsi="Times"/>
              </w:rPr>
            </w:pPr>
            <w:r>
              <w:t>CH remission</w:t>
            </w:r>
          </w:p>
        </w:tc>
        <w:tc>
          <w:tcPr>
            <w:tcW w:w="1359" w:type="pct"/>
            <w:vAlign w:val="center"/>
          </w:tcPr>
          <w:p w:rsidR="00DA5F85" w:rsidRPr="00E2771E" w:rsidRDefault="00DA5F85" w:rsidP="009F18B2">
            <w:pPr>
              <w:pStyle w:val="TableText0"/>
              <w:keepNext w:val="0"/>
              <w:widowControl w:val="0"/>
              <w:jc w:val="center"/>
              <w:rPr>
                <w:rFonts w:ascii="Times" w:hAnsi="Times"/>
              </w:rPr>
            </w:pPr>
            <w:r>
              <w:t>0.8475</w:t>
            </w:r>
          </w:p>
        </w:tc>
        <w:tc>
          <w:tcPr>
            <w:tcW w:w="1274" w:type="pct"/>
            <w:vAlign w:val="center"/>
          </w:tcPr>
          <w:p w:rsidR="00DA5F85" w:rsidRPr="00E2771E" w:rsidRDefault="00DA5F85" w:rsidP="009F18B2">
            <w:pPr>
              <w:pStyle w:val="TableText0"/>
              <w:keepNext w:val="0"/>
              <w:widowControl w:val="0"/>
              <w:jc w:val="center"/>
              <w:rPr>
                <w:rFonts w:ascii="Times" w:hAnsi="Times"/>
              </w:rPr>
            </w:pPr>
            <w:r>
              <w:t>0</w:t>
            </w:r>
          </w:p>
        </w:tc>
        <w:tc>
          <w:tcPr>
            <w:tcW w:w="838" w:type="pct"/>
            <w:vAlign w:val="center"/>
          </w:tcPr>
          <w:p w:rsidR="00DA5F85" w:rsidRPr="00E2771E" w:rsidRDefault="00DA5F85" w:rsidP="009F18B2">
            <w:pPr>
              <w:pStyle w:val="TableText0"/>
              <w:keepNext w:val="0"/>
              <w:widowControl w:val="0"/>
              <w:jc w:val="center"/>
            </w:pPr>
            <w:r>
              <w:t>0.8475</w:t>
            </w:r>
          </w:p>
        </w:tc>
      </w:tr>
      <w:tr w:rsidR="00DA5F85" w:rsidRPr="00EE64D8" w:rsidTr="006B35E6">
        <w:trPr>
          <w:cantSplit/>
        </w:trPr>
        <w:tc>
          <w:tcPr>
            <w:tcW w:w="4162" w:type="pct"/>
            <w:gridSpan w:val="3"/>
            <w:vAlign w:val="center"/>
          </w:tcPr>
          <w:p w:rsidR="00DA5F85" w:rsidRPr="00EE64D8" w:rsidRDefault="00DA5F85" w:rsidP="009F18B2">
            <w:pPr>
              <w:pStyle w:val="TableText0"/>
              <w:keepNext w:val="0"/>
              <w:widowControl w:val="0"/>
              <w:rPr>
                <w:rFonts w:ascii="Times" w:hAnsi="Times"/>
              </w:rPr>
            </w:pPr>
            <w:r w:rsidRPr="00EE64D8">
              <w:t xml:space="preserve">Incremental cost/extra </w:t>
            </w:r>
            <w:r>
              <w:t>CH remission</w:t>
            </w:r>
            <w:r w:rsidRPr="00EE64D8">
              <w:t xml:space="preserve"> gained</w:t>
            </w:r>
          </w:p>
        </w:tc>
        <w:tc>
          <w:tcPr>
            <w:tcW w:w="838" w:type="pct"/>
            <w:vAlign w:val="center"/>
          </w:tcPr>
          <w:p w:rsidR="00DA5F85" w:rsidRPr="00EE64D8" w:rsidRDefault="00DA5F85" w:rsidP="009F18B2">
            <w:pPr>
              <w:pStyle w:val="TableText0"/>
              <w:keepNext w:val="0"/>
              <w:widowControl w:val="0"/>
              <w:jc w:val="center"/>
              <w:rPr>
                <w:rFonts w:ascii="Times" w:hAnsi="Times"/>
              </w:rPr>
            </w:pPr>
            <w:r>
              <w:t>$</w:t>
            </w:r>
            <w:r w:rsidR="00D02986">
              <w:rPr>
                <w:noProof/>
                <w:color w:val="000000"/>
                <w:highlight w:val="black"/>
              </w:rPr>
              <w:t>''''''''''''</w:t>
            </w:r>
            <w:r w:rsidR="00B74E81">
              <w:rPr>
                <w:vertAlign w:val="superscript"/>
              </w:rPr>
              <w:t>1</w:t>
            </w:r>
          </w:p>
        </w:tc>
      </w:tr>
      <w:tr w:rsidR="00DA5F85" w:rsidRPr="00D1078F" w:rsidTr="006B35E6">
        <w:trPr>
          <w:cantSplit/>
        </w:trPr>
        <w:tc>
          <w:tcPr>
            <w:tcW w:w="5000" w:type="pct"/>
            <w:gridSpan w:val="4"/>
            <w:vAlign w:val="center"/>
          </w:tcPr>
          <w:p w:rsidR="00DA5F85" w:rsidRPr="00D1078F" w:rsidRDefault="00DA5F85" w:rsidP="009F18B2">
            <w:pPr>
              <w:pStyle w:val="In-tableHeading"/>
              <w:keepNext w:val="0"/>
              <w:widowControl w:val="0"/>
            </w:pPr>
            <w:r w:rsidRPr="00D1078F">
              <w:t xml:space="preserve">Step </w:t>
            </w:r>
            <w:r>
              <w:t>2</w:t>
            </w:r>
            <w:r w:rsidRPr="00D1078F">
              <w:t xml:space="preserve">: </w:t>
            </w:r>
            <w:r w:rsidRPr="0017247E">
              <w:t>Modelled, induction and maintenance, 12 months, drug costs only, CH remission</w:t>
            </w:r>
          </w:p>
        </w:tc>
      </w:tr>
      <w:tr w:rsidR="00DA5F85" w:rsidRPr="00E2771E" w:rsidTr="006B35E6">
        <w:trPr>
          <w:cantSplit/>
        </w:trPr>
        <w:tc>
          <w:tcPr>
            <w:tcW w:w="1529" w:type="pct"/>
            <w:vAlign w:val="center"/>
          </w:tcPr>
          <w:p w:rsidR="00DA5F85" w:rsidRPr="00E2771E" w:rsidRDefault="00DA5F85" w:rsidP="009F18B2">
            <w:pPr>
              <w:pStyle w:val="TableText0"/>
              <w:keepNext w:val="0"/>
              <w:widowControl w:val="0"/>
              <w:rPr>
                <w:rFonts w:ascii="Times" w:hAnsi="Times"/>
              </w:rPr>
            </w:pPr>
            <w:r w:rsidRPr="00E2771E">
              <w:t>Costs</w:t>
            </w:r>
          </w:p>
        </w:tc>
        <w:tc>
          <w:tcPr>
            <w:tcW w:w="1359"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p>
        </w:tc>
        <w:tc>
          <w:tcPr>
            <w:tcW w:w="1274" w:type="pct"/>
            <w:vAlign w:val="center"/>
          </w:tcPr>
          <w:p w:rsidR="00DA5F85" w:rsidRPr="00E2771E" w:rsidRDefault="00DA5F85" w:rsidP="009F18B2">
            <w:pPr>
              <w:pStyle w:val="TableText0"/>
              <w:keepNext w:val="0"/>
              <w:widowControl w:val="0"/>
              <w:jc w:val="center"/>
              <w:rPr>
                <w:rFonts w:ascii="Times" w:hAnsi="Times"/>
              </w:rPr>
            </w:pPr>
            <w:r w:rsidRPr="00E2771E">
              <w:t>$</w:t>
            </w:r>
            <w:r>
              <w:t>0</w:t>
            </w:r>
          </w:p>
        </w:tc>
        <w:tc>
          <w:tcPr>
            <w:tcW w:w="838"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r w:rsidR="00B74E81">
              <w:rPr>
                <w:vertAlign w:val="superscript"/>
              </w:rPr>
              <w:t>2</w:t>
            </w:r>
          </w:p>
        </w:tc>
      </w:tr>
      <w:tr w:rsidR="00DA5F85" w:rsidRPr="00E2771E" w:rsidTr="006B35E6">
        <w:trPr>
          <w:cantSplit/>
        </w:trPr>
        <w:tc>
          <w:tcPr>
            <w:tcW w:w="1529" w:type="pct"/>
            <w:vAlign w:val="center"/>
          </w:tcPr>
          <w:p w:rsidR="00DA5F85" w:rsidRPr="00E2771E" w:rsidRDefault="00DA5F85" w:rsidP="009F18B2">
            <w:pPr>
              <w:pStyle w:val="TableText0"/>
              <w:keepNext w:val="0"/>
              <w:widowControl w:val="0"/>
              <w:rPr>
                <w:rFonts w:ascii="Times" w:hAnsi="Times"/>
              </w:rPr>
            </w:pPr>
            <w:r>
              <w:t>CH remission</w:t>
            </w:r>
          </w:p>
        </w:tc>
        <w:tc>
          <w:tcPr>
            <w:tcW w:w="1359" w:type="pct"/>
            <w:vAlign w:val="center"/>
          </w:tcPr>
          <w:p w:rsidR="00DA5F85" w:rsidRPr="00E2771E" w:rsidRDefault="00DA5F85" w:rsidP="009F18B2">
            <w:pPr>
              <w:pStyle w:val="TableText0"/>
              <w:keepNext w:val="0"/>
              <w:widowControl w:val="0"/>
              <w:jc w:val="center"/>
              <w:rPr>
                <w:rFonts w:ascii="Times" w:hAnsi="Times"/>
              </w:rPr>
            </w:pPr>
            <w:r>
              <w:t>0.8173</w:t>
            </w:r>
          </w:p>
        </w:tc>
        <w:tc>
          <w:tcPr>
            <w:tcW w:w="1274" w:type="pct"/>
            <w:vAlign w:val="center"/>
          </w:tcPr>
          <w:p w:rsidR="00DA5F85" w:rsidRPr="00E2771E" w:rsidRDefault="00DA5F85" w:rsidP="009F18B2">
            <w:pPr>
              <w:pStyle w:val="TableText0"/>
              <w:keepNext w:val="0"/>
              <w:widowControl w:val="0"/>
              <w:jc w:val="center"/>
              <w:rPr>
                <w:rFonts w:ascii="Times" w:hAnsi="Times"/>
              </w:rPr>
            </w:pPr>
            <w:r>
              <w:t>0</w:t>
            </w:r>
          </w:p>
        </w:tc>
        <w:tc>
          <w:tcPr>
            <w:tcW w:w="838" w:type="pct"/>
            <w:vAlign w:val="center"/>
          </w:tcPr>
          <w:p w:rsidR="00DA5F85" w:rsidRPr="00E2771E" w:rsidRDefault="00DA5F85" w:rsidP="009F18B2">
            <w:pPr>
              <w:pStyle w:val="TableText0"/>
              <w:keepNext w:val="0"/>
              <w:widowControl w:val="0"/>
              <w:jc w:val="center"/>
            </w:pPr>
            <w:r>
              <w:t>0.8173</w:t>
            </w:r>
          </w:p>
        </w:tc>
      </w:tr>
      <w:tr w:rsidR="00DA5F85" w:rsidRPr="00E2771E" w:rsidTr="006B35E6">
        <w:trPr>
          <w:cantSplit/>
        </w:trPr>
        <w:tc>
          <w:tcPr>
            <w:tcW w:w="4162" w:type="pct"/>
            <w:gridSpan w:val="3"/>
            <w:vAlign w:val="center"/>
          </w:tcPr>
          <w:p w:rsidR="00DA5F85" w:rsidRPr="00E2771E" w:rsidRDefault="00DA5F85" w:rsidP="009F18B2">
            <w:pPr>
              <w:pStyle w:val="TableText0"/>
              <w:keepNext w:val="0"/>
              <w:widowControl w:val="0"/>
              <w:rPr>
                <w:rFonts w:ascii="Times" w:hAnsi="Times"/>
              </w:rPr>
            </w:pPr>
            <w:r w:rsidRPr="00E2771E">
              <w:t xml:space="preserve">Incremental cost/extra </w:t>
            </w:r>
            <w:r>
              <w:t>CH remission</w:t>
            </w:r>
            <w:r w:rsidRPr="00E2771E">
              <w:t xml:space="preserve"> gained</w:t>
            </w:r>
          </w:p>
        </w:tc>
        <w:tc>
          <w:tcPr>
            <w:tcW w:w="838" w:type="pct"/>
            <w:vAlign w:val="center"/>
          </w:tcPr>
          <w:p w:rsidR="00DA5F85" w:rsidRPr="00E2771E" w:rsidRDefault="00DA5F85" w:rsidP="009F18B2">
            <w:pPr>
              <w:pStyle w:val="TableText0"/>
              <w:keepNext w:val="0"/>
              <w:widowControl w:val="0"/>
              <w:jc w:val="center"/>
              <w:rPr>
                <w:rFonts w:ascii="Times" w:hAnsi="Times"/>
              </w:rPr>
            </w:pPr>
            <w:r w:rsidRPr="00E2771E">
              <w:t>$</w:t>
            </w:r>
            <w:r>
              <w:t>6,154</w:t>
            </w:r>
          </w:p>
        </w:tc>
      </w:tr>
      <w:tr w:rsidR="00DA5F85" w:rsidRPr="00D1078F" w:rsidTr="006B35E6">
        <w:trPr>
          <w:cantSplit/>
        </w:trPr>
        <w:tc>
          <w:tcPr>
            <w:tcW w:w="5000" w:type="pct"/>
            <w:gridSpan w:val="4"/>
            <w:vAlign w:val="center"/>
          </w:tcPr>
          <w:p w:rsidR="00DA5F85" w:rsidRPr="00597BF9" w:rsidRDefault="00DA5F85" w:rsidP="009F18B2">
            <w:pPr>
              <w:pStyle w:val="In-tableHeading"/>
              <w:keepNext w:val="0"/>
              <w:widowControl w:val="0"/>
            </w:pPr>
            <w:r w:rsidRPr="00597BF9">
              <w:t xml:space="preserve">Step </w:t>
            </w:r>
            <w:r>
              <w:t>3</w:t>
            </w:r>
            <w:r w:rsidRPr="00597BF9">
              <w:t xml:space="preserve">: </w:t>
            </w:r>
            <w:r w:rsidRPr="0017247E">
              <w:t>Transform to QALYs</w:t>
            </w:r>
          </w:p>
        </w:tc>
      </w:tr>
      <w:tr w:rsidR="00DA5F85" w:rsidRPr="00E2771E" w:rsidTr="006B35E6">
        <w:trPr>
          <w:cantSplit/>
        </w:trPr>
        <w:tc>
          <w:tcPr>
            <w:tcW w:w="1529" w:type="pct"/>
            <w:vAlign w:val="center"/>
          </w:tcPr>
          <w:p w:rsidR="00DA5F85" w:rsidRPr="00E2771E" w:rsidRDefault="00DA5F85" w:rsidP="009F18B2">
            <w:pPr>
              <w:pStyle w:val="TableText0"/>
              <w:keepNext w:val="0"/>
              <w:widowControl w:val="0"/>
              <w:rPr>
                <w:rFonts w:ascii="Times" w:hAnsi="Times"/>
              </w:rPr>
            </w:pPr>
            <w:r w:rsidRPr="00E2771E">
              <w:t>Costs</w:t>
            </w:r>
          </w:p>
        </w:tc>
        <w:tc>
          <w:tcPr>
            <w:tcW w:w="1359"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p>
        </w:tc>
        <w:tc>
          <w:tcPr>
            <w:tcW w:w="1274" w:type="pct"/>
            <w:vAlign w:val="center"/>
          </w:tcPr>
          <w:p w:rsidR="00DA5F85" w:rsidRPr="00E2771E" w:rsidRDefault="00DA5F85" w:rsidP="009F18B2">
            <w:pPr>
              <w:pStyle w:val="TableText0"/>
              <w:keepNext w:val="0"/>
              <w:widowControl w:val="0"/>
              <w:jc w:val="center"/>
              <w:rPr>
                <w:rFonts w:ascii="Times" w:hAnsi="Times"/>
              </w:rPr>
            </w:pPr>
            <w:r w:rsidRPr="00E2771E">
              <w:t>$</w:t>
            </w:r>
            <w:r>
              <w:t>0</w:t>
            </w:r>
          </w:p>
        </w:tc>
        <w:tc>
          <w:tcPr>
            <w:tcW w:w="838"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r w:rsidR="00B74E81">
              <w:rPr>
                <w:vertAlign w:val="superscript"/>
              </w:rPr>
              <w:t>2</w:t>
            </w:r>
          </w:p>
        </w:tc>
      </w:tr>
      <w:tr w:rsidR="00DA5F85" w:rsidRPr="00E2771E" w:rsidTr="006B35E6">
        <w:trPr>
          <w:cantSplit/>
        </w:trPr>
        <w:tc>
          <w:tcPr>
            <w:tcW w:w="1529" w:type="pct"/>
            <w:vAlign w:val="center"/>
          </w:tcPr>
          <w:p w:rsidR="00DA5F85" w:rsidRPr="00547ABC" w:rsidRDefault="00DA5F85" w:rsidP="009F18B2">
            <w:pPr>
              <w:pStyle w:val="TableText0"/>
              <w:keepNext w:val="0"/>
              <w:widowControl w:val="0"/>
              <w:rPr>
                <w:rFonts w:ascii="Times" w:hAnsi="Times"/>
              </w:rPr>
            </w:pPr>
            <w:r w:rsidRPr="00547ABC">
              <w:t>QALY</w:t>
            </w:r>
          </w:p>
        </w:tc>
        <w:tc>
          <w:tcPr>
            <w:tcW w:w="1359" w:type="pct"/>
            <w:vAlign w:val="center"/>
          </w:tcPr>
          <w:p w:rsidR="00DA5F85" w:rsidRPr="00547ABC" w:rsidRDefault="00DA5F85" w:rsidP="009F18B2">
            <w:pPr>
              <w:pStyle w:val="TableText0"/>
              <w:keepNext w:val="0"/>
              <w:widowControl w:val="0"/>
              <w:jc w:val="center"/>
              <w:rPr>
                <w:rFonts w:ascii="Times" w:hAnsi="Times"/>
                <w:iCs/>
              </w:rPr>
            </w:pPr>
            <w:r w:rsidRPr="00547ABC">
              <w:rPr>
                <w:iCs/>
              </w:rPr>
              <w:t>0.7180^</w:t>
            </w:r>
          </w:p>
        </w:tc>
        <w:tc>
          <w:tcPr>
            <w:tcW w:w="1274" w:type="pct"/>
            <w:vAlign w:val="center"/>
          </w:tcPr>
          <w:p w:rsidR="00DA5F85" w:rsidRPr="00547ABC" w:rsidRDefault="00DA5F85" w:rsidP="009F18B2">
            <w:pPr>
              <w:pStyle w:val="TableText0"/>
              <w:keepNext w:val="0"/>
              <w:widowControl w:val="0"/>
              <w:jc w:val="center"/>
              <w:rPr>
                <w:rFonts w:ascii="Times" w:hAnsi="Times"/>
                <w:iCs/>
              </w:rPr>
            </w:pPr>
            <w:r w:rsidRPr="00547ABC">
              <w:rPr>
                <w:iCs/>
              </w:rPr>
              <w:t>0.5941^</w:t>
            </w:r>
          </w:p>
        </w:tc>
        <w:tc>
          <w:tcPr>
            <w:tcW w:w="838" w:type="pct"/>
            <w:vAlign w:val="center"/>
          </w:tcPr>
          <w:p w:rsidR="00DA5F85" w:rsidRPr="00547ABC" w:rsidRDefault="00DA5F85" w:rsidP="009F18B2">
            <w:pPr>
              <w:pStyle w:val="TableText0"/>
              <w:keepNext w:val="0"/>
              <w:widowControl w:val="0"/>
              <w:jc w:val="center"/>
              <w:rPr>
                <w:iCs/>
              </w:rPr>
            </w:pPr>
            <w:r w:rsidRPr="00547ABC">
              <w:rPr>
                <w:iCs/>
              </w:rPr>
              <w:t>0.1239^</w:t>
            </w:r>
          </w:p>
        </w:tc>
      </w:tr>
      <w:tr w:rsidR="00DA5F85" w:rsidRPr="00E2771E" w:rsidTr="006B35E6">
        <w:trPr>
          <w:cantSplit/>
        </w:trPr>
        <w:tc>
          <w:tcPr>
            <w:tcW w:w="4162" w:type="pct"/>
            <w:gridSpan w:val="3"/>
            <w:vAlign w:val="center"/>
          </w:tcPr>
          <w:p w:rsidR="00DA5F85" w:rsidRPr="00547ABC" w:rsidRDefault="00DA5F85" w:rsidP="009F18B2">
            <w:pPr>
              <w:pStyle w:val="TableText0"/>
              <w:keepNext w:val="0"/>
              <w:widowControl w:val="0"/>
              <w:rPr>
                <w:rFonts w:ascii="Times" w:hAnsi="Times"/>
              </w:rPr>
            </w:pPr>
            <w:r w:rsidRPr="00547ABC">
              <w:t>Incremental cost/extra QALY gained</w:t>
            </w:r>
          </w:p>
        </w:tc>
        <w:tc>
          <w:tcPr>
            <w:tcW w:w="838" w:type="pct"/>
            <w:vAlign w:val="center"/>
          </w:tcPr>
          <w:p w:rsidR="00DA5F85" w:rsidRPr="00B74E81" w:rsidRDefault="00DA5F85" w:rsidP="009F18B2">
            <w:pPr>
              <w:pStyle w:val="TableText0"/>
              <w:keepNext w:val="0"/>
              <w:widowControl w:val="0"/>
              <w:jc w:val="center"/>
              <w:rPr>
                <w:rFonts w:ascii="Times" w:hAnsi="Times"/>
                <w:iCs/>
                <w:vertAlign w:val="superscript"/>
              </w:rPr>
            </w:pPr>
            <w:r w:rsidRPr="00547ABC">
              <w:rPr>
                <w:iCs/>
              </w:rPr>
              <w:t>$</w:t>
            </w:r>
            <w:r w:rsidR="00D02986">
              <w:rPr>
                <w:iCs/>
                <w:noProof/>
                <w:color w:val="000000"/>
                <w:highlight w:val="black"/>
              </w:rPr>
              <w:t>''''''''''''''''</w:t>
            </w:r>
            <w:r w:rsidRPr="00547ABC">
              <w:rPr>
                <w:iCs/>
              </w:rPr>
              <w:t>^</w:t>
            </w:r>
            <w:r w:rsidR="00B74E81">
              <w:rPr>
                <w:iCs/>
                <w:vertAlign w:val="superscript"/>
              </w:rPr>
              <w:t>,3</w:t>
            </w:r>
          </w:p>
        </w:tc>
      </w:tr>
      <w:tr w:rsidR="00DA5F85" w:rsidRPr="00D1078F" w:rsidTr="006B35E6">
        <w:trPr>
          <w:cantSplit/>
        </w:trPr>
        <w:tc>
          <w:tcPr>
            <w:tcW w:w="5000" w:type="pct"/>
            <w:gridSpan w:val="4"/>
            <w:vAlign w:val="center"/>
          </w:tcPr>
          <w:p w:rsidR="00DA5F85" w:rsidRPr="00547ABC" w:rsidRDefault="00DA5F85" w:rsidP="009F18B2">
            <w:pPr>
              <w:pStyle w:val="In-tableHeading"/>
              <w:keepNext w:val="0"/>
              <w:widowControl w:val="0"/>
            </w:pPr>
            <w:r w:rsidRPr="00547ABC">
              <w:t>Step 4: Include non-drug costs</w:t>
            </w:r>
          </w:p>
        </w:tc>
      </w:tr>
      <w:tr w:rsidR="00DA5F85" w:rsidRPr="00E2771E" w:rsidTr="006B35E6">
        <w:trPr>
          <w:cantSplit/>
        </w:trPr>
        <w:tc>
          <w:tcPr>
            <w:tcW w:w="1529" w:type="pct"/>
            <w:vAlign w:val="center"/>
          </w:tcPr>
          <w:p w:rsidR="00DA5F85" w:rsidRPr="00547ABC" w:rsidRDefault="00DA5F85" w:rsidP="009F18B2">
            <w:pPr>
              <w:pStyle w:val="TableText0"/>
              <w:keepNext w:val="0"/>
              <w:widowControl w:val="0"/>
              <w:rPr>
                <w:rFonts w:ascii="Times" w:hAnsi="Times"/>
              </w:rPr>
            </w:pPr>
            <w:r w:rsidRPr="00547ABC">
              <w:t>Costs</w:t>
            </w:r>
          </w:p>
        </w:tc>
        <w:tc>
          <w:tcPr>
            <w:tcW w:w="1359" w:type="pct"/>
            <w:vAlign w:val="center"/>
          </w:tcPr>
          <w:p w:rsidR="00DA5F85" w:rsidRPr="00547ABC" w:rsidRDefault="00DA5F85" w:rsidP="009F18B2">
            <w:pPr>
              <w:pStyle w:val="TableText0"/>
              <w:keepNext w:val="0"/>
              <w:widowControl w:val="0"/>
              <w:jc w:val="center"/>
              <w:rPr>
                <w:rFonts w:ascii="Times" w:hAnsi="Times"/>
                <w:iCs/>
              </w:rPr>
            </w:pPr>
            <w:r w:rsidRPr="00547ABC">
              <w:rPr>
                <w:iCs/>
              </w:rPr>
              <w:t>$</w:t>
            </w:r>
            <w:r w:rsidR="00D02986">
              <w:rPr>
                <w:iCs/>
                <w:noProof/>
                <w:color w:val="000000"/>
                <w:highlight w:val="black"/>
              </w:rPr>
              <w:t>'''''''''''''''</w:t>
            </w:r>
            <w:r w:rsidRPr="00547ABC">
              <w:rPr>
                <w:iCs/>
              </w:rPr>
              <w:t>^</w:t>
            </w:r>
          </w:p>
        </w:tc>
        <w:tc>
          <w:tcPr>
            <w:tcW w:w="1274" w:type="pct"/>
            <w:vAlign w:val="center"/>
          </w:tcPr>
          <w:p w:rsidR="00DA5F85" w:rsidRPr="00547ABC" w:rsidRDefault="00DA5F85" w:rsidP="009F18B2">
            <w:pPr>
              <w:pStyle w:val="TableText0"/>
              <w:keepNext w:val="0"/>
              <w:widowControl w:val="0"/>
              <w:jc w:val="center"/>
              <w:rPr>
                <w:rFonts w:ascii="Times" w:hAnsi="Times"/>
                <w:iCs/>
              </w:rPr>
            </w:pPr>
            <w:r w:rsidRPr="00547ABC">
              <w:rPr>
                <w:iCs/>
              </w:rPr>
              <w:t>$</w:t>
            </w:r>
            <w:r w:rsidR="00D02986">
              <w:rPr>
                <w:iCs/>
                <w:noProof/>
                <w:color w:val="000000"/>
                <w:highlight w:val="black"/>
              </w:rPr>
              <w:t>'''''''''''''</w:t>
            </w:r>
            <w:r w:rsidRPr="00547ABC">
              <w:rPr>
                <w:iCs/>
              </w:rPr>
              <w:t>^</w:t>
            </w:r>
          </w:p>
        </w:tc>
        <w:tc>
          <w:tcPr>
            <w:tcW w:w="838" w:type="pct"/>
            <w:vAlign w:val="center"/>
          </w:tcPr>
          <w:p w:rsidR="00DA5F85" w:rsidRPr="00547ABC" w:rsidRDefault="00DA5F85" w:rsidP="009F18B2">
            <w:pPr>
              <w:pStyle w:val="TableText0"/>
              <w:keepNext w:val="0"/>
              <w:widowControl w:val="0"/>
              <w:jc w:val="center"/>
              <w:rPr>
                <w:rFonts w:ascii="Times" w:hAnsi="Times"/>
                <w:iCs/>
              </w:rPr>
            </w:pPr>
            <w:r w:rsidRPr="00547ABC">
              <w:rPr>
                <w:iCs/>
              </w:rPr>
              <w:t>$</w:t>
            </w:r>
            <w:r w:rsidR="00D02986">
              <w:rPr>
                <w:iCs/>
                <w:noProof/>
                <w:color w:val="000000"/>
                <w:highlight w:val="black"/>
              </w:rPr>
              <w:t>''''''''''''''</w:t>
            </w:r>
            <w:r w:rsidRPr="00547ABC">
              <w:rPr>
                <w:iCs/>
              </w:rPr>
              <w:t>^</w:t>
            </w:r>
          </w:p>
        </w:tc>
      </w:tr>
      <w:tr w:rsidR="00DA5F85" w:rsidRPr="00E2771E" w:rsidTr="006B35E6">
        <w:trPr>
          <w:cantSplit/>
        </w:trPr>
        <w:tc>
          <w:tcPr>
            <w:tcW w:w="1529" w:type="pct"/>
            <w:vAlign w:val="center"/>
          </w:tcPr>
          <w:p w:rsidR="00DA5F85" w:rsidRPr="00547ABC" w:rsidRDefault="00DA5F85" w:rsidP="009F18B2">
            <w:pPr>
              <w:pStyle w:val="TableText0"/>
              <w:keepNext w:val="0"/>
              <w:widowControl w:val="0"/>
              <w:rPr>
                <w:rFonts w:ascii="Times" w:hAnsi="Times"/>
              </w:rPr>
            </w:pPr>
            <w:r w:rsidRPr="00547ABC">
              <w:t>QALY</w:t>
            </w:r>
          </w:p>
        </w:tc>
        <w:tc>
          <w:tcPr>
            <w:tcW w:w="1359" w:type="pct"/>
            <w:vAlign w:val="center"/>
          </w:tcPr>
          <w:p w:rsidR="00DA5F85" w:rsidRPr="00547ABC" w:rsidRDefault="00DA5F85" w:rsidP="009F18B2">
            <w:pPr>
              <w:pStyle w:val="TableText0"/>
              <w:keepNext w:val="0"/>
              <w:widowControl w:val="0"/>
              <w:jc w:val="center"/>
              <w:rPr>
                <w:rFonts w:ascii="Times" w:hAnsi="Times"/>
                <w:iCs/>
              </w:rPr>
            </w:pPr>
            <w:r w:rsidRPr="00547ABC">
              <w:rPr>
                <w:iCs/>
              </w:rPr>
              <w:t>0.7180^</w:t>
            </w:r>
          </w:p>
        </w:tc>
        <w:tc>
          <w:tcPr>
            <w:tcW w:w="1274" w:type="pct"/>
            <w:vAlign w:val="center"/>
          </w:tcPr>
          <w:p w:rsidR="00DA5F85" w:rsidRPr="00547ABC" w:rsidRDefault="00DA5F85" w:rsidP="009F18B2">
            <w:pPr>
              <w:pStyle w:val="TableText0"/>
              <w:keepNext w:val="0"/>
              <w:widowControl w:val="0"/>
              <w:jc w:val="center"/>
              <w:rPr>
                <w:rFonts w:ascii="Times" w:hAnsi="Times"/>
                <w:iCs/>
              </w:rPr>
            </w:pPr>
            <w:r w:rsidRPr="00547ABC">
              <w:rPr>
                <w:iCs/>
              </w:rPr>
              <w:t>0.5941^</w:t>
            </w:r>
          </w:p>
        </w:tc>
        <w:tc>
          <w:tcPr>
            <w:tcW w:w="838" w:type="pct"/>
            <w:vAlign w:val="center"/>
          </w:tcPr>
          <w:p w:rsidR="00DA5F85" w:rsidRPr="00547ABC" w:rsidRDefault="00DA5F85" w:rsidP="009F18B2">
            <w:pPr>
              <w:pStyle w:val="TableText0"/>
              <w:keepNext w:val="0"/>
              <w:widowControl w:val="0"/>
              <w:jc w:val="center"/>
              <w:rPr>
                <w:iCs/>
              </w:rPr>
            </w:pPr>
            <w:r w:rsidRPr="00547ABC">
              <w:rPr>
                <w:iCs/>
              </w:rPr>
              <w:t>0.1239^</w:t>
            </w:r>
          </w:p>
        </w:tc>
      </w:tr>
      <w:tr w:rsidR="00DA5F85" w:rsidRPr="00E2771E" w:rsidTr="006B35E6">
        <w:trPr>
          <w:cantSplit/>
        </w:trPr>
        <w:tc>
          <w:tcPr>
            <w:tcW w:w="4162" w:type="pct"/>
            <w:gridSpan w:val="3"/>
            <w:vAlign w:val="center"/>
          </w:tcPr>
          <w:p w:rsidR="00DA5F85" w:rsidRPr="00547ABC" w:rsidRDefault="00DA5F85" w:rsidP="009F18B2">
            <w:pPr>
              <w:pStyle w:val="TableText0"/>
              <w:keepNext w:val="0"/>
              <w:widowControl w:val="0"/>
              <w:rPr>
                <w:rFonts w:ascii="Times" w:hAnsi="Times"/>
              </w:rPr>
            </w:pPr>
            <w:r w:rsidRPr="00547ABC">
              <w:t>Incremental cost/extra QALY gained</w:t>
            </w:r>
          </w:p>
        </w:tc>
        <w:tc>
          <w:tcPr>
            <w:tcW w:w="838" w:type="pct"/>
            <w:vAlign w:val="center"/>
          </w:tcPr>
          <w:p w:rsidR="00DA5F85" w:rsidRPr="00547ABC" w:rsidRDefault="00DA5F85" w:rsidP="009F18B2">
            <w:pPr>
              <w:pStyle w:val="TableText0"/>
              <w:keepNext w:val="0"/>
              <w:widowControl w:val="0"/>
              <w:jc w:val="center"/>
              <w:rPr>
                <w:rFonts w:ascii="Times" w:hAnsi="Times"/>
                <w:iCs/>
              </w:rPr>
            </w:pPr>
            <w:r w:rsidRPr="00547ABC">
              <w:rPr>
                <w:iCs/>
              </w:rPr>
              <w:t>$</w:t>
            </w:r>
            <w:r w:rsidR="00D02986">
              <w:rPr>
                <w:iCs/>
                <w:noProof/>
                <w:color w:val="000000"/>
                <w:highlight w:val="black"/>
              </w:rPr>
              <w:t>''''''''''''''''</w:t>
            </w:r>
            <w:r w:rsidRPr="00547ABC">
              <w:rPr>
                <w:iCs/>
              </w:rPr>
              <w:t>^</w:t>
            </w:r>
            <w:r w:rsidR="007060E7">
              <w:rPr>
                <w:iCs/>
                <w:vertAlign w:val="superscript"/>
              </w:rPr>
              <w:t>3</w:t>
            </w:r>
          </w:p>
        </w:tc>
      </w:tr>
      <w:tr w:rsidR="00DA5F85" w:rsidRPr="00D1078F" w:rsidTr="006B35E6">
        <w:trPr>
          <w:cantSplit/>
        </w:trPr>
        <w:tc>
          <w:tcPr>
            <w:tcW w:w="5000" w:type="pct"/>
            <w:gridSpan w:val="4"/>
            <w:vAlign w:val="center"/>
          </w:tcPr>
          <w:p w:rsidR="00DA5F85" w:rsidRPr="0009445C" w:rsidRDefault="00DA5F85" w:rsidP="009F18B2">
            <w:pPr>
              <w:pStyle w:val="In-tableHeading"/>
              <w:keepNext w:val="0"/>
              <w:widowControl w:val="0"/>
            </w:pPr>
            <w:r w:rsidRPr="0009445C">
              <w:t xml:space="preserve">Step </w:t>
            </w:r>
            <w:r>
              <w:t>5</w:t>
            </w:r>
            <w:r w:rsidRPr="0009445C">
              <w:t xml:space="preserve">: </w:t>
            </w:r>
            <w:r w:rsidRPr="00977287">
              <w:t>Extrapolate to 5 years</w:t>
            </w:r>
          </w:p>
        </w:tc>
      </w:tr>
      <w:tr w:rsidR="00DA5F85" w:rsidRPr="00E2771E" w:rsidTr="006B35E6">
        <w:trPr>
          <w:cantSplit/>
        </w:trPr>
        <w:tc>
          <w:tcPr>
            <w:tcW w:w="1529" w:type="pct"/>
            <w:vAlign w:val="center"/>
          </w:tcPr>
          <w:p w:rsidR="00DA5F85" w:rsidRPr="00E2771E" w:rsidRDefault="00DA5F85" w:rsidP="009F18B2">
            <w:pPr>
              <w:pStyle w:val="TableText0"/>
              <w:keepNext w:val="0"/>
              <w:widowControl w:val="0"/>
              <w:rPr>
                <w:rFonts w:ascii="Times" w:hAnsi="Times"/>
              </w:rPr>
            </w:pPr>
            <w:r w:rsidRPr="00E2771E">
              <w:t>Costs</w:t>
            </w:r>
          </w:p>
        </w:tc>
        <w:tc>
          <w:tcPr>
            <w:tcW w:w="1359"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p>
        </w:tc>
        <w:tc>
          <w:tcPr>
            <w:tcW w:w="1274" w:type="pct"/>
            <w:vAlign w:val="center"/>
          </w:tcPr>
          <w:p w:rsidR="00DA5F85" w:rsidRPr="00E2771E" w:rsidRDefault="00DA5F85" w:rsidP="009F18B2">
            <w:pPr>
              <w:pStyle w:val="TableText0"/>
              <w:keepNext w:val="0"/>
              <w:widowControl w:val="0"/>
              <w:jc w:val="center"/>
              <w:rPr>
                <w:rFonts w:ascii="Times" w:hAnsi="Times"/>
              </w:rPr>
            </w:pPr>
            <w:r w:rsidRPr="00E2771E">
              <w:t>$</w:t>
            </w:r>
            <w:r>
              <w:t>8,575</w:t>
            </w:r>
          </w:p>
        </w:tc>
        <w:tc>
          <w:tcPr>
            <w:tcW w:w="838"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r w:rsidR="00B74E81">
              <w:rPr>
                <w:vertAlign w:val="superscript"/>
              </w:rPr>
              <w:t>2</w:t>
            </w:r>
          </w:p>
        </w:tc>
      </w:tr>
      <w:tr w:rsidR="00DA5F85" w:rsidRPr="00E2771E" w:rsidTr="006B35E6">
        <w:trPr>
          <w:cantSplit/>
        </w:trPr>
        <w:tc>
          <w:tcPr>
            <w:tcW w:w="1529" w:type="pct"/>
            <w:vAlign w:val="center"/>
          </w:tcPr>
          <w:p w:rsidR="00DA5F85" w:rsidRPr="00E2771E" w:rsidRDefault="00DA5F85" w:rsidP="009F18B2">
            <w:pPr>
              <w:pStyle w:val="TableText0"/>
              <w:keepNext w:val="0"/>
              <w:widowControl w:val="0"/>
              <w:rPr>
                <w:rFonts w:ascii="Times" w:hAnsi="Times"/>
              </w:rPr>
            </w:pPr>
            <w:r>
              <w:t>QALY</w:t>
            </w:r>
          </w:p>
        </w:tc>
        <w:tc>
          <w:tcPr>
            <w:tcW w:w="1359" w:type="pct"/>
            <w:vAlign w:val="center"/>
          </w:tcPr>
          <w:p w:rsidR="00DA5F85" w:rsidRPr="00E2771E" w:rsidRDefault="00DA5F85" w:rsidP="009F18B2">
            <w:pPr>
              <w:pStyle w:val="TableText0"/>
              <w:keepNext w:val="0"/>
              <w:widowControl w:val="0"/>
              <w:jc w:val="center"/>
              <w:rPr>
                <w:rFonts w:ascii="Times" w:hAnsi="Times"/>
              </w:rPr>
            </w:pPr>
            <w:r>
              <w:t>3.1716</w:t>
            </w:r>
          </w:p>
        </w:tc>
        <w:tc>
          <w:tcPr>
            <w:tcW w:w="1274" w:type="pct"/>
            <w:vAlign w:val="center"/>
          </w:tcPr>
          <w:p w:rsidR="00DA5F85" w:rsidRPr="00E2771E" w:rsidRDefault="00DA5F85" w:rsidP="009F18B2">
            <w:pPr>
              <w:pStyle w:val="TableText0"/>
              <w:keepNext w:val="0"/>
              <w:widowControl w:val="0"/>
              <w:jc w:val="center"/>
              <w:rPr>
                <w:rFonts w:ascii="Times" w:hAnsi="Times"/>
              </w:rPr>
            </w:pPr>
            <w:r>
              <w:t>2.6945</w:t>
            </w:r>
          </w:p>
        </w:tc>
        <w:tc>
          <w:tcPr>
            <w:tcW w:w="838" w:type="pct"/>
            <w:vAlign w:val="center"/>
          </w:tcPr>
          <w:p w:rsidR="00DA5F85" w:rsidRPr="00E2771E" w:rsidRDefault="00DA5F85" w:rsidP="009F18B2">
            <w:pPr>
              <w:pStyle w:val="TableText0"/>
              <w:keepNext w:val="0"/>
              <w:widowControl w:val="0"/>
              <w:jc w:val="center"/>
            </w:pPr>
            <w:r>
              <w:t>0.4770</w:t>
            </w:r>
          </w:p>
        </w:tc>
      </w:tr>
      <w:tr w:rsidR="00DA5F85" w:rsidRPr="00E2771E" w:rsidTr="006B35E6">
        <w:trPr>
          <w:cantSplit/>
        </w:trPr>
        <w:tc>
          <w:tcPr>
            <w:tcW w:w="4162" w:type="pct"/>
            <w:gridSpan w:val="3"/>
            <w:vAlign w:val="center"/>
          </w:tcPr>
          <w:p w:rsidR="00DA5F85" w:rsidRPr="00E2771E" w:rsidRDefault="00DA5F85" w:rsidP="009F18B2">
            <w:pPr>
              <w:pStyle w:val="TableText0"/>
              <w:keepNext w:val="0"/>
              <w:widowControl w:val="0"/>
              <w:rPr>
                <w:rFonts w:ascii="Times" w:hAnsi="Times"/>
              </w:rPr>
            </w:pPr>
            <w:r w:rsidRPr="00E2771E">
              <w:t xml:space="preserve">Incremental cost/extra </w:t>
            </w:r>
            <w:r>
              <w:t>QALY</w:t>
            </w:r>
            <w:r w:rsidRPr="00E2771E">
              <w:t xml:space="preserve"> gained</w:t>
            </w:r>
          </w:p>
        </w:tc>
        <w:tc>
          <w:tcPr>
            <w:tcW w:w="838" w:type="pct"/>
            <w:vAlign w:val="center"/>
          </w:tcPr>
          <w:p w:rsidR="00DA5F85" w:rsidRPr="00E2771E" w:rsidRDefault="00DA5F85" w:rsidP="009F18B2">
            <w:pPr>
              <w:pStyle w:val="TableText0"/>
              <w:keepNext w:val="0"/>
              <w:widowControl w:val="0"/>
              <w:jc w:val="center"/>
              <w:rPr>
                <w:rFonts w:ascii="Times" w:hAnsi="Times"/>
              </w:rPr>
            </w:pPr>
            <w:r w:rsidRPr="00E2771E">
              <w:t>$</w:t>
            </w:r>
            <w:r w:rsidR="00D02986">
              <w:rPr>
                <w:noProof/>
                <w:color w:val="000000"/>
                <w:highlight w:val="black"/>
              </w:rPr>
              <w:t>''''''''''''''''</w:t>
            </w:r>
            <w:r w:rsidR="00B74E81">
              <w:rPr>
                <w:vertAlign w:val="superscript"/>
              </w:rPr>
              <w:t>4</w:t>
            </w:r>
          </w:p>
        </w:tc>
      </w:tr>
    </w:tbl>
    <w:p w:rsidR="00DA5F85" w:rsidRDefault="00DA5F85" w:rsidP="00DA5F85">
      <w:pPr>
        <w:pStyle w:val="TableFigureFooter"/>
      </w:pPr>
      <w:r>
        <w:t xml:space="preserve">Source: Table 3-20, p220 of the submission. </w:t>
      </w:r>
    </w:p>
    <w:p w:rsidR="00DA5F85" w:rsidRDefault="00DA5F85" w:rsidP="00DA5F85">
      <w:pPr>
        <w:pStyle w:val="TableFigureFooter"/>
      </w:pPr>
      <w:r>
        <w:t>Abbreviations: BOT = budesonide orally disintegrating tablet; CH = clinicohistologic; H = histologic; QALY = quality-adjusted life-year; SOC = standard of care</w:t>
      </w:r>
    </w:p>
    <w:p w:rsidR="00DA5F85" w:rsidRDefault="00DA5F85" w:rsidP="00DA5F85">
      <w:pPr>
        <w:pStyle w:val="TableFigureFooter"/>
        <w:rPr>
          <w:iCs/>
        </w:rPr>
      </w:pPr>
      <w:r>
        <w:t>Notes</w:t>
      </w:r>
      <w:r w:rsidRPr="00547ABC">
        <w:t xml:space="preserve">: </w:t>
      </w:r>
      <w:r w:rsidRPr="00547ABC">
        <w:rPr>
          <w:iCs/>
        </w:rPr>
        <w:t>^ Corrected error identified during the evaluation (Attachment 6 Excel, “Stepped_EE sheet”, cells D11, E11, G10-11, H10-11). Cells reference to _stage = 4 (15 months) when it should have been _stage = 3 (12 months).</w:t>
      </w:r>
    </w:p>
    <w:p w:rsidR="00B74E81" w:rsidRPr="009868C4" w:rsidRDefault="00B74E81" w:rsidP="00B74E81">
      <w:pPr>
        <w:pStyle w:val="TableFigureFooter"/>
        <w:spacing w:after="0"/>
        <w:contextualSpacing w:val="0"/>
      </w:pPr>
      <w:r w:rsidRPr="009868C4">
        <w:rPr>
          <w:i/>
        </w:rPr>
        <w:t>The redacted values correspond to the following ranges</w:t>
      </w:r>
      <w:r>
        <w:rPr>
          <w:i/>
        </w:rPr>
        <w:t xml:space="preserve">: </w:t>
      </w:r>
    </w:p>
    <w:p w:rsidR="00B74E81" w:rsidRPr="00B74E81" w:rsidRDefault="00B74E81" w:rsidP="00DA5F85">
      <w:pPr>
        <w:pStyle w:val="TableFigureFooter"/>
        <w:rPr>
          <w:rStyle w:val="CommentReference"/>
          <w:b w:val="0"/>
          <w:i/>
          <w:sz w:val="18"/>
          <w:szCs w:val="22"/>
        </w:rPr>
      </w:pPr>
      <w:r>
        <w:rPr>
          <w:rStyle w:val="CommentReference"/>
          <w:b w:val="0"/>
          <w:i/>
          <w:sz w:val="18"/>
          <w:szCs w:val="22"/>
          <w:vertAlign w:val="superscript"/>
        </w:rPr>
        <w:t xml:space="preserve">1 </w:t>
      </w:r>
      <w:r w:rsidRPr="00B74E81">
        <w:rPr>
          <w:rStyle w:val="CommentReference"/>
          <w:b w:val="0"/>
          <w:i/>
          <w:sz w:val="18"/>
          <w:szCs w:val="22"/>
        </w:rPr>
        <w:t>$0 to &lt; $5,000</w:t>
      </w:r>
    </w:p>
    <w:p w:rsidR="00B74E81" w:rsidRPr="00B74E81" w:rsidRDefault="00B74E81" w:rsidP="00DA5F85">
      <w:pPr>
        <w:pStyle w:val="TableFigureFooter"/>
        <w:rPr>
          <w:rStyle w:val="CommentReference"/>
          <w:b w:val="0"/>
          <w:i/>
          <w:sz w:val="18"/>
          <w:szCs w:val="22"/>
        </w:rPr>
      </w:pPr>
      <w:r>
        <w:rPr>
          <w:rStyle w:val="CommentReference"/>
          <w:b w:val="0"/>
          <w:i/>
          <w:sz w:val="18"/>
          <w:szCs w:val="22"/>
          <w:vertAlign w:val="superscript"/>
        </w:rPr>
        <w:t xml:space="preserve">2 </w:t>
      </w:r>
      <w:r w:rsidRPr="00B74E81">
        <w:rPr>
          <w:rStyle w:val="CommentReference"/>
          <w:b w:val="0"/>
          <w:i/>
          <w:sz w:val="18"/>
          <w:szCs w:val="22"/>
        </w:rPr>
        <w:t>$5,000 to &lt; $15,000</w:t>
      </w:r>
    </w:p>
    <w:p w:rsidR="00B74E81" w:rsidRPr="00B74E81" w:rsidRDefault="00B74E81" w:rsidP="00DA5F85">
      <w:pPr>
        <w:pStyle w:val="TableFigureFooter"/>
        <w:rPr>
          <w:rStyle w:val="CommentReference"/>
          <w:b w:val="0"/>
          <w:i/>
          <w:sz w:val="18"/>
          <w:szCs w:val="22"/>
        </w:rPr>
      </w:pPr>
      <w:r>
        <w:rPr>
          <w:rStyle w:val="CommentReference"/>
          <w:b w:val="0"/>
          <w:i/>
          <w:sz w:val="18"/>
          <w:szCs w:val="22"/>
          <w:vertAlign w:val="superscript"/>
        </w:rPr>
        <w:t xml:space="preserve">3 </w:t>
      </w:r>
      <w:r w:rsidRPr="00B74E81">
        <w:rPr>
          <w:rStyle w:val="CommentReference"/>
          <w:b w:val="0"/>
          <w:i/>
          <w:sz w:val="18"/>
          <w:szCs w:val="22"/>
        </w:rPr>
        <w:t>$35,000 to &lt; $45,000</w:t>
      </w:r>
    </w:p>
    <w:p w:rsidR="00B74E81" w:rsidRPr="00B74E81" w:rsidRDefault="00B74E81" w:rsidP="00DA5F85">
      <w:pPr>
        <w:pStyle w:val="TableFigureFooter"/>
        <w:rPr>
          <w:rStyle w:val="CommentReference"/>
          <w:b w:val="0"/>
          <w:i/>
          <w:sz w:val="18"/>
          <w:szCs w:val="22"/>
        </w:rPr>
      </w:pPr>
      <w:r>
        <w:rPr>
          <w:rStyle w:val="CommentReference"/>
          <w:b w:val="0"/>
          <w:i/>
          <w:sz w:val="18"/>
          <w:szCs w:val="22"/>
          <w:vertAlign w:val="superscript"/>
        </w:rPr>
        <w:t xml:space="preserve">4 </w:t>
      </w:r>
      <w:r w:rsidRPr="00B74E81">
        <w:rPr>
          <w:rStyle w:val="CommentReference"/>
          <w:b w:val="0"/>
          <w:i/>
          <w:sz w:val="18"/>
          <w:szCs w:val="22"/>
        </w:rPr>
        <w:t>$25,000 to &lt; $35,000</w:t>
      </w:r>
    </w:p>
    <w:p w:rsidR="00DA5F85" w:rsidRPr="00547ABC" w:rsidRDefault="00DA5F85" w:rsidP="00BB732D">
      <w:pPr>
        <w:pStyle w:val="3-BodyText"/>
      </w:pPr>
      <w:r w:rsidRPr="00D23D11">
        <w:t xml:space="preserve">The results of key </w:t>
      </w:r>
      <w:r>
        <w:t xml:space="preserve">univariate and multivariate </w:t>
      </w:r>
      <w:r w:rsidRPr="00D23D11">
        <w:t xml:space="preserve">sensitivity analyses are summarised </w:t>
      </w:r>
      <w:r>
        <w:t xml:space="preserve">in </w:t>
      </w:r>
      <w:r w:rsidRPr="00676E44">
        <w:t xml:space="preserve">Table </w:t>
      </w:r>
      <w:r w:rsidR="00DB7264">
        <w:t>16</w:t>
      </w:r>
      <w:r w:rsidRPr="00676E44">
        <w:t>.</w:t>
      </w:r>
      <w:r>
        <w:t xml:space="preserve"> </w:t>
      </w:r>
      <w:r w:rsidRPr="00547ABC">
        <w:rPr>
          <w:iCs/>
        </w:rPr>
        <w:t>The model was robust to the additional parameter variations tested for</w:t>
      </w:r>
      <w:r w:rsidR="006A50CD" w:rsidRPr="00547ABC">
        <w:rPr>
          <w:iCs/>
        </w:rPr>
        <w:t>:</w:t>
      </w:r>
      <w:r w:rsidRPr="00547ABC">
        <w:rPr>
          <w:iCs/>
        </w:rPr>
        <w:t xml:space="preserve"> the probability of clinicohistologic or histologic remission only with BOT induction; probability of losing remission while on BOT maintenance; utilisation of food impactions requiring endoscopy; and the exclusion of histologic remission only health state.</w:t>
      </w:r>
      <w:r w:rsidR="007F5051">
        <w:rPr>
          <w:iCs/>
        </w:rPr>
        <w:t xml:space="preserve"> </w:t>
      </w:r>
    </w:p>
    <w:p w:rsidR="00DA5F85" w:rsidRPr="00BB732D" w:rsidRDefault="00DA5F85" w:rsidP="007F5051">
      <w:pPr>
        <w:pStyle w:val="TableFigureHeading"/>
        <w:keepLines/>
        <w:rPr>
          <w:rStyle w:val="CommentReference"/>
          <w:b/>
          <w:szCs w:val="24"/>
        </w:rPr>
      </w:pPr>
      <w:r w:rsidRPr="00676E44">
        <w:rPr>
          <w:rStyle w:val="CommentReference"/>
          <w:b/>
          <w:szCs w:val="24"/>
        </w:rPr>
        <w:t xml:space="preserve">Table </w:t>
      </w:r>
      <w:r w:rsidR="00DB7264">
        <w:rPr>
          <w:rStyle w:val="CommentReference"/>
          <w:b/>
          <w:szCs w:val="24"/>
        </w:rPr>
        <w:t>16</w:t>
      </w:r>
      <w:r w:rsidRPr="00676E44">
        <w:rPr>
          <w:rStyle w:val="CommentReference"/>
          <w:b/>
          <w:szCs w:val="24"/>
        </w:rPr>
        <w:t>:</w:t>
      </w:r>
      <w:r w:rsidRPr="00BB732D">
        <w:rPr>
          <w:rStyle w:val="CommentReference"/>
          <w:b/>
          <w:szCs w:val="24"/>
        </w:rPr>
        <w:t xml:space="preserve"> </w:t>
      </w:r>
      <w:r>
        <w:rPr>
          <w:rStyle w:val="CommentReference"/>
          <w:b/>
          <w:szCs w:val="24"/>
        </w:rPr>
        <w:t>Results of s</w:t>
      </w:r>
      <w:r w:rsidRPr="00BB732D">
        <w:rPr>
          <w:rStyle w:val="CommentReference"/>
          <w:b/>
          <w:szCs w:val="24"/>
        </w:rPr>
        <w:t>ensitivity analyses</w:t>
      </w:r>
    </w:p>
    <w:tbl>
      <w:tblPr>
        <w:tblStyle w:val="TableGrid10"/>
        <w:tblW w:w="5031" w:type="pct"/>
        <w:tblLayout w:type="fixed"/>
        <w:tblLook w:val="04A0" w:firstRow="1" w:lastRow="0" w:firstColumn="1" w:lastColumn="0" w:noHBand="0" w:noVBand="1"/>
        <w:tblCaption w:val="Table 16: Results of sensitivity analyses"/>
      </w:tblPr>
      <w:tblGrid>
        <w:gridCol w:w="1549"/>
        <w:gridCol w:w="1422"/>
        <w:gridCol w:w="2127"/>
        <w:gridCol w:w="993"/>
        <w:gridCol w:w="993"/>
        <w:gridCol w:w="931"/>
        <w:gridCol w:w="1058"/>
      </w:tblGrid>
      <w:tr w:rsidR="00DA5F85" w:rsidRPr="0053304A" w:rsidTr="00DB54EF">
        <w:trPr>
          <w:cantSplit/>
          <w:trHeight w:val="434"/>
          <w:tblHeader/>
        </w:trPr>
        <w:tc>
          <w:tcPr>
            <w:tcW w:w="854" w:type="pct"/>
            <w:tcBorders>
              <w:top w:val="single" w:sz="4" w:space="0" w:color="auto"/>
            </w:tcBorders>
            <w:noWrap/>
            <w:tcMar>
              <w:left w:w="28" w:type="dxa"/>
              <w:right w:w="28" w:type="dxa"/>
            </w:tcMar>
            <w:hideMark/>
          </w:tcPr>
          <w:p w:rsidR="00DA5F85" w:rsidRPr="0053304A" w:rsidRDefault="00DA5F85" w:rsidP="007F5051">
            <w:pPr>
              <w:pStyle w:val="In-tableHeading"/>
              <w:keepLines/>
              <w:widowControl w:val="0"/>
              <w:rPr>
                <w:sz w:val="20"/>
                <w:szCs w:val="20"/>
              </w:rPr>
            </w:pPr>
            <w:r w:rsidRPr="0053304A">
              <w:rPr>
                <w:sz w:val="20"/>
                <w:szCs w:val="20"/>
              </w:rPr>
              <w:t xml:space="preserve">Variable </w:t>
            </w:r>
          </w:p>
        </w:tc>
        <w:tc>
          <w:tcPr>
            <w:tcW w:w="784" w:type="pct"/>
            <w:tcBorders>
              <w:top w:val="single" w:sz="4" w:space="0" w:color="auto"/>
            </w:tcBorders>
            <w:tcMar>
              <w:left w:w="28" w:type="dxa"/>
              <w:right w:w="28" w:type="dxa"/>
            </w:tcMar>
          </w:tcPr>
          <w:p w:rsidR="00DA5F85" w:rsidRPr="0053304A" w:rsidRDefault="00DA5F85" w:rsidP="007F5051">
            <w:pPr>
              <w:pStyle w:val="In-tableHeading"/>
              <w:keepLines/>
              <w:widowControl w:val="0"/>
              <w:jc w:val="center"/>
              <w:rPr>
                <w:sz w:val="20"/>
                <w:szCs w:val="20"/>
              </w:rPr>
            </w:pPr>
            <w:r w:rsidRPr="0053304A">
              <w:rPr>
                <w:sz w:val="20"/>
                <w:szCs w:val="20"/>
              </w:rPr>
              <w:t>Base-case</w:t>
            </w:r>
          </w:p>
        </w:tc>
        <w:tc>
          <w:tcPr>
            <w:tcW w:w="1172" w:type="pct"/>
            <w:tcBorders>
              <w:top w:val="single" w:sz="4" w:space="0" w:color="auto"/>
            </w:tcBorders>
            <w:noWrap/>
            <w:tcMar>
              <w:left w:w="28" w:type="dxa"/>
              <w:right w:w="28" w:type="dxa"/>
            </w:tcMar>
            <w:hideMark/>
          </w:tcPr>
          <w:p w:rsidR="00DA5F85" w:rsidRPr="0053304A" w:rsidRDefault="00DA5F85" w:rsidP="007F5051">
            <w:pPr>
              <w:pStyle w:val="In-tableHeading"/>
              <w:keepLines/>
              <w:widowControl w:val="0"/>
              <w:jc w:val="center"/>
              <w:rPr>
                <w:sz w:val="20"/>
                <w:szCs w:val="20"/>
              </w:rPr>
            </w:pPr>
            <w:r w:rsidRPr="0053304A">
              <w:rPr>
                <w:sz w:val="20"/>
                <w:szCs w:val="20"/>
              </w:rPr>
              <w:t>Sensitivity analysis</w:t>
            </w:r>
          </w:p>
        </w:tc>
        <w:tc>
          <w:tcPr>
            <w:tcW w:w="547" w:type="pct"/>
            <w:tcBorders>
              <w:top w:val="single" w:sz="4" w:space="0" w:color="auto"/>
            </w:tcBorders>
            <w:noWrap/>
            <w:tcMar>
              <w:left w:w="28" w:type="dxa"/>
              <w:right w:w="28" w:type="dxa"/>
            </w:tcMar>
            <w:hideMark/>
          </w:tcPr>
          <w:p w:rsidR="00DA5F85" w:rsidRPr="0053304A" w:rsidRDefault="00DA5F85" w:rsidP="007F5051">
            <w:pPr>
              <w:pStyle w:val="In-tableHeading"/>
              <w:keepLines/>
              <w:widowControl w:val="0"/>
              <w:jc w:val="center"/>
              <w:rPr>
                <w:sz w:val="20"/>
                <w:szCs w:val="20"/>
              </w:rPr>
            </w:pPr>
            <w:r w:rsidRPr="0053304A">
              <w:rPr>
                <w:sz w:val="20"/>
                <w:szCs w:val="20"/>
              </w:rPr>
              <w:t>Incremental costs</w:t>
            </w:r>
          </w:p>
        </w:tc>
        <w:tc>
          <w:tcPr>
            <w:tcW w:w="547" w:type="pct"/>
            <w:tcBorders>
              <w:top w:val="single" w:sz="4" w:space="0" w:color="auto"/>
            </w:tcBorders>
            <w:tcMar>
              <w:left w:w="28" w:type="dxa"/>
              <w:right w:w="28" w:type="dxa"/>
            </w:tcMar>
          </w:tcPr>
          <w:p w:rsidR="00DA5F85" w:rsidRPr="0053304A" w:rsidRDefault="00DA5F85" w:rsidP="007F5051">
            <w:pPr>
              <w:pStyle w:val="In-tableHeading"/>
              <w:keepLines/>
              <w:widowControl w:val="0"/>
              <w:jc w:val="center"/>
              <w:rPr>
                <w:sz w:val="20"/>
                <w:szCs w:val="20"/>
              </w:rPr>
            </w:pPr>
            <w:r w:rsidRPr="0053304A">
              <w:rPr>
                <w:sz w:val="20"/>
                <w:szCs w:val="20"/>
              </w:rPr>
              <w:t>Incremental QALYs</w:t>
            </w:r>
          </w:p>
        </w:tc>
        <w:tc>
          <w:tcPr>
            <w:tcW w:w="513" w:type="pct"/>
            <w:tcBorders>
              <w:top w:val="single" w:sz="4" w:space="0" w:color="auto"/>
            </w:tcBorders>
            <w:noWrap/>
            <w:tcMar>
              <w:left w:w="28" w:type="dxa"/>
              <w:right w:w="28" w:type="dxa"/>
            </w:tcMar>
          </w:tcPr>
          <w:p w:rsidR="00DA5F85" w:rsidRPr="0053304A" w:rsidRDefault="00DA5F85" w:rsidP="007F5051">
            <w:pPr>
              <w:pStyle w:val="In-tableHeading"/>
              <w:keepLines/>
              <w:widowControl w:val="0"/>
              <w:jc w:val="center"/>
              <w:rPr>
                <w:sz w:val="20"/>
                <w:szCs w:val="20"/>
              </w:rPr>
            </w:pPr>
            <w:r w:rsidRPr="0053304A">
              <w:rPr>
                <w:sz w:val="20"/>
                <w:szCs w:val="20"/>
              </w:rPr>
              <w:t>ICER</w:t>
            </w:r>
          </w:p>
        </w:tc>
        <w:tc>
          <w:tcPr>
            <w:tcW w:w="583" w:type="pct"/>
            <w:tcBorders>
              <w:top w:val="single" w:sz="4" w:space="0" w:color="auto"/>
            </w:tcBorders>
            <w:tcMar>
              <w:left w:w="28" w:type="dxa"/>
              <w:right w:w="28" w:type="dxa"/>
            </w:tcMar>
          </w:tcPr>
          <w:p w:rsidR="00DA5F85" w:rsidRPr="005D55CD" w:rsidRDefault="00DA5F85" w:rsidP="007F5051">
            <w:pPr>
              <w:pStyle w:val="In-tableHeading"/>
              <w:keepLines/>
              <w:widowControl w:val="0"/>
              <w:jc w:val="center"/>
              <w:rPr>
                <w:sz w:val="20"/>
                <w:szCs w:val="20"/>
              </w:rPr>
            </w:pPr>
            <w:r w:rsidRPr="005D55CD">
              <w:rPr>
                <w:sz w:val="20"/>
                <w:szCs w:val="20"/>
              </w:rPr>
              <w:t>%</w:t>
            </w:r>
            <w:r>
              <w:rPr>
                <w:sz w:val="20"/>
                <w:szCs w:val="20"/>
              </w:rPr>
              <w:t xml:space="preserve"> </w:t>
            </w:r>
            <w:r w:rsidRPr="005D55CD">
              <w:rPr>
                <w:sz w:val="20"/>
                <w:szCs w:val="20"/>
              </w:rPr>
              <w:t>change</w:t>
            </w:r>
            <w:r>
              <w:rPr>
                <w:sz w:val="20"/>
                <w:szCs w:val="20"/>
              </w:rPr>
              <w:t xml:space="preserve"> from base case</w:t>
            </w:r>
          </w:p>
        </w:tc>
      </w:tr>
      <w:tr w:rsidR="00DA5F85" w:rsidRPr="0053304A" w:rsidTr="00DB54EF">
        <w:trPr>
          <w:cantSplit/>
          <w:trHeight w:val="231"/>
        </w:trPr>
        <w:tc>
          <w:tcPr>
            <w:tcW w:w="854" w:type="pct"/>
            <w:noWrap/>
            <w:tcMar>
              <w:left w:w="28" w:type="dxa"/>
              <w:right w:w="28" w:type="dxa"/>
            </w:tcMar>
          </w:tcPr>
          <w:p w:rsidR="00DA5F85" w:rsidRPr="0053304A" w:rsidRDefault="00DA5F85" w:rsidP="007F5051">
            <w:pPr>
              <w:pStyle w:val="TableText0"/>
              <w:keepLines/>
              <w:widowControl w:val="0"/>
              <w:rPr>
                <w:sz w:val="20"/>
                <w:szCs w:val="20"/>
              </w:rPr>
            </w:pPr>
            <w:r w:rsidRPr="0053304A">
              <w:rPr>
                <w:sz w:val="20"/>
                <w:szCs w:val="20"/>
              </w:rPr>
              <w:t xml:space="preserve">Base-Case </w:t>
            </w:r>
          </w:p>
        </w:tc>
        <w:tc>
          <w:tcPr>
            <w:tcW w:w="784" w:type="pct"/>
            <w:tcMar>
              <w:left w:w="28" w:type="dxa"/>
              <w:right w:w="28" w:type="dxa"/>
            </w:tcMar>
          </w:tcPr>
          <w:p w:rsidR="00DA5F85" w:rsidRPr="0053304A" w:rsidRDefault="00DA5F85" w:rsidP="007F5051">
            <w:pPr>
              <w:pStyle w:val="TableText0"/>
              <w:keepLines/>
              <w:widowControl w:val="0"/>
              <w:rPr>
                <w:sz w:val="20"/>
                <w:szCs w:val="20"/>
              </w:rPr>
            </w:pPr>
            <w:r w:rsidRPr="0053304A">
              <w:rPr>
                <w:sz w:val="20"/>
                <w:szCs w:val="20"/>
              </w:rPr>
              <w:t>-</w:t>
            </w:r>
          </w:p>
        </w:tc>
        <w:tc>
          <w:tcPr>
            <w:tcW w:w="1172" w:type="pct"/>
            <w:noWrap/>
            <w:tcMar>
              <w:left w:w="28" w:type="dxa"/>
              <w:right w:w="28" w:type="dxa"/>
            </w:tcMar>
          </w:tcPr>
          <w:p w:rsidR="00DA5F85" w:rsidRPr="0053304A" w:rsidRDefault="00DA5F85" w:rsidP="007F5051">
            <w:pPr>
              <w:pStyle w:val="TableText0"/>
              <w:keepLines/>
              <w:widowControl w:val="0"/>
              <w:rPr>
                <w:sz w:val="20"/>
                <w:szCs w:val="20"/>
              </w:rPr>
            </w:pPr>
            <w:r w:rsidRPr="0053304A">
              <w:rPr>
                <w:sz w:val="20"/>
                <w:szCs w:val="20"/>
              </w:rPr>
              <w:t>-</w:t>
            </w:r>
          </w:p>
        </w:tc>
        <w:tc>
          <w:tcPr>
            <w:tcW w:w="547" w:type="pct"/>
            <w:noWrap/>
            <w:tcMar>
              <w:left w:w="28" w:type="dxa"/>
              <w:right w:w="28" w:type="dxa"/>
            </w:tcMar>
          </w:tcPr>
          <w:p w:rsidR="00DA5F85" w:rsidRPr="0053304A" w:rsidRDefault="00DA5F85" w:rsidP="007F5051">
            <w:pPr>
              <w:pStyle w:val="TableText0"/>
              <w:keepLines/>
              <w:widowControl w:val="0"/>
              <w:jc w:val="center"/>
              <w:rPr>
                <w:sz w:val="20"/>
                <w:szCs w:val="20"/>
              </w:rPr>
            </w:pPr>
            <w:r w:rsidRPr="0053304A">
              <w:rPr>
                <w:sz w:val="20"/>
                <w:szCs w:val="20"/>
              </w:rPr>
              <w:t>$</w:t>
            </w:r>
            <w:r w:rsidR="00D02986">
              <w:rPr>
                <w:noProof/>
                <w:color w:val="000000"/>
                <w:sz w:val="20"/>
                <w:szCs w:val="20"/>
                <w:highlight w:val="black"/>
              </w:rPr>
              <w:t>''''''''''''''''</w:t>
            </w:r>
          </w:p>
        </w:tc>
        <w:tc>
          <w:tcPr>
            <w:tcW w:w="547" w:type="pct"/>
            <w:tcMar>
              <w:left w:w="28" w:type="dxa"/>
              <w:right w:w="28" w:type="dxa"/>
            </w:tcMar>
          </w:tcPr>
          <w:p w:rsidR="00DA5F85" w:rsidRPr="0032629A" w:rsidRDefault="00DA5F85" w:rsidP="0032629A">
            <w:pPr>
              <w:pStyle w:val="TableText0"/>
              <w:keepLines/>
              <w:widowControl w:val="0"/>
              <w:jc w:val="center"/>
              <w:rPr>
                <w:sz w:val="20"/>
                <w:szCs w:val="20"/>
                <w:vertAlign w:val="superscript"/>
              </w:rPr>
            </w:pPr>
            <w:r w:rsidRPr="0053304A">
              <w:rPr>
                <w:sz w:val="20"/>
                <w:szCs w:val="20"/>
              </w:rPr>
              <w:t>0.4770</w:t>
            </w:r>
          </w:p>
        </w:tc>
        <w:tc>
          <w:tcPr>
            <w:tcW w:w="513" w:type="pct"/>
            <w:noWrap/>
            <w:tcMar>
              <w:left w:w="28" w:type="dxa"/>
              <w:right w:w="28" w:type="dxa"/>
            </w:tcMar>
          </w:tcPr>
          <w:p w:rsidR="00DA5F85" w:rsidRPr="0053304A" w:rsidRDefault="00DA5F85" w:rsidP="007F5051">
            <w:pPr>
              <w:pStyle w:val="TableText0"/>
              <w:keepLines/>
              <w:widowControl w:val="0"/>
              <w:jc w:val="center"/>
              <w:rPr>
                <w:sz w:val="20"/>
                <w:szCs w:val="20"/>
              </w:rPr>
            </w:pPr>
            <w:r w:rsidRPr="0053304A">
              <w:rPr>
                <w:sz w:val="20"/>
                <w:szCs w:val="20"/>
              </w:rPr>
              <w:t>$</w:t>
            </w:r>
            <w:r w:rsidR="00D02986">
              <w:rPr>
                <w:noProof/>
                <w:color w:val="000000"/>
                <w:sz w:val="20"/>
                <w:szCs w:val="20"/>
                <w:highlight w:val="black"/>
              </w:rPr>
              <w:t>'''''''''''''''''</w:t>
            </w:r>
            <w:r w:rsidR="0032629A">
              <w:rPr>
                <w:sz w:val="20"/>
                <w:szCs w:val="20"/>
                <w:vertAlign w:val="superscript"/>
              </w:rPr>
              <w:t>1</w:t>
            </w:r>
          </w:p>
        </w:tc>
        <w:tc>
          <w:tcPr>
            <w:tcW w:w="583" w:type="pct"/>
            <w:tcMar>
              <w:left w:w="28" w:type="dxa"/>
              <w:right w:w="28" w:type="dxa"/>
            </w:tcMar>
          </w:tcPr>
          <w:p w:rsidR="00DA5F85" w:rsidRPr="006B064C" w:rsidRDefault="00DA5F85" w:rsidP="007F5051">
            <w:pPr>
              <w:pStyle w:val="TableText0"/>
              <w:keepLines/>
              <w:widowControl w:val="0"/>
              <w:jc w:val="center"/>
              <w:rPr>
                <w:sz w:val="20"/>
                <w:szCs w:val="20"/>
              </w:rPr>
            </w:pPr>
            <w:r w:rsidRPr="006B064C">
              <w:rPr>
                <w:sz w:val="20"/>
                <w:szCs w:val="20"/>
              </w:rPr>
              <w:t>-</w:t>
            </w:r>
          </w:p>
        </w:tc>
      </w:tr>
      <w:tr w:rsidR="00DA5F85" w:rsidRPr="0053304A" w:rsidTr="00DB54EF">
        <w:trPr>
          <w:cantSplit/>
          <w:trHeight w:val="231"/>
        </w:trPr>
        <w:tc>
          <w:tcPr>
            <w:tcW w:w="5000" w:type="pct"/>
            <w:gridSpan w:val="7"/>
            <w:noWrap/>
            <w:tcMar>
              <w:left w:w="28" w:type="dxa"/>
              <w:right w:w="28" w:type="dxa"/>
            </w:tcMar>
          </w:tcPr>
          <w:p w:rsidR="00DA5F85" w:rsidRPr="006B064C" w:rsidRDefault="00DA5F85" w:rsidP="007F5051">
            <w:pPr>
              <w:pStyle w:val="TableText0"/>
              <w:keepLines/>
              <w:widowControl w:val="0"/>
              <w:rPr>
                <w:b/>
                <w:bCs w:val="0"/>
                <w:sz w:val="20"/>
                <w:szCs w:val="20"/>
              </w:rPr>
            </w:pPr>
            <w:r w:rsidRPr="00006B07">
              <w:rPr>
                <w:b/>
                <w:bCs w:val="0"/>
                <w:sz w:val="20"/>
                <w:szCs w:val="20"/>
              </w:rPr>
              <w:t xml:space="preserve">Efficacy inputs </w:t>
            </w:r>
          </w:p>
        </w:tc>
      </w:tr>
      <w:tr w:rsidR="00DA5F85" w:rsidRPr="00547ABC" w:rsidTr="00DB54EF">
        <w:trPr>
          <w:cantSplit/>
          <w:trHeight w:val="300"/>
        </w:trPr>
        <w:tc>
          <w:tcPr>
            <w:tcW w:w="854" w:type="pct"/>
            <w:vMerge w:val="restart"/>
            <w:noWrap/>
            <w:tcMar>
              <w:left w:w="28" w:type="dxa"/>
              <w:right w:w="28" w:type="dxa"/>
            </w:tcMar>
          </w:tcPr>
          <w:p w:rsidR="00DA5F85" w:rsidRPr="0053304A" w:rsidRDefault="00DA5F85" w:rsidP="007F5051">
            <w:pPr>
              <w:pStyle w:val="TableText0"/>
              <w:keepLines/>
              <w:widowControl w:val="0"/>
              <w:rPr>
                <w:sz w:val="20"/>
                <w:szCs w:val="20"/>
              </w:rPr>
            </w:pPr>
            <w:r w:rsidRPr="0053304A">
              <w:rPr>
                <w:sz w:val="20"/>
                <w:szCs w:val="20"/>
              </w:rPr>
              <w:t xml:space="preserve">Probability </w:t>
            </w:r>
            <w:r>
              <w:rPr>
                <w:sz w:val="20"/>
                <w:szCs w:val="20"/>
              </w:rPr>
              <w:t>H</w:t>
            </w:r>
            <w:r w:rsidRPr="0053304A">
              <w:rPr>
                <w:sz w:val="20"/>
                <w:szCs w:val="20"/>
              </w:rPr>
              <w:t xml:space="preserve"> remission</w:t>
            </w:r>
            <w:r>
              <w:rPr>
                <w:sz w:val="20"/>
                <w:szCs w:val="20"/>
              </w:rPr>
              <w:t xml:space="preserve"> only</w:t>
            </w:r>
            <w:r w:rsidRPr="0053304A">
              <w:rPr>
                <w:sz w:val="20"/>
                <w:szCs w:val="20"/>
              </w:rPr>
              <w:t xml:space="preserve"> becomes </w:t>
            </w:r>
            <w:r>
              <w:rPr>
                <w:sz w:val="20"/>
                <w:szCs w:val="20"/>
              </w:rPr>
              <w:t>CH</w:t>
            </w:r>
          </w:p>
        </w:tc>
        <w:tc>
          <w:tcPr>
            <w:tcW w:w="784" w:type="pct"/>
            <w:vMerge w:val="restart"/>
            <w:tcMar>
              <w:left w:w="28" w:type="dxa"/>
              <w:right w:w="28" w:type="dxa"/>
            </w:tcMar>
          </w:tcPr>
          <w:p w:rsidR="00DA5F85" w:rsidRPr="0053304A" w:rsidRDefault="00DA5F85" w:rsidP="007F5051">
            <w:pPr>
              <w:pStyle w:val="TableText0"/>
              <w:keepLines/>
              <w:widowControl w:val="0"/>
              <w:rPr>
                <w:sz w:val="20"/>
                <w:szCs w:val="20"/>
              </w:rPr>
            </w:pPr>
            <w:r w:rsidRPr="0053304A">
              <w:rPr>
                <w:sz w:val="20"/>
                <w:szCs w:val="20"/>
              </w:rPr>
              <w:t>76% per cycle</w:t>
            </w:r>
            <w:r>
              <w:rPr>
                <w:sz w:val="20"/>
                <w:szCs w:val="20"/>
              </w:rPr>
              <w:t xml:space="preserve"> </w:t>
            </w:r>
            <w:r w:rsidRPr="0053304A">
              <w:rPr>
                <w:sz w:val="20"/>
                <w:szCs w:val="20"/>
              </w:rPr>
              <w:t>(16/21)</w:t>
            </w:r>
          </w:p>
        </w:tc>
        <w:tc>
          <w:tcPr>
            <w:tcW w:w="1172" w:type="pct"/>
            <w:noWrap/>
            <w:tcMar>
              <w:left w:w="28" w:type="dxa"/>
              <w:right w:w="28" w:type="dxa"/>
            </w:tcMar>
          </w:tcPr>
          <w:p w:rsidR="00DA5F85" w:rsidRPr="0053304A" w:rsidRDefault="00DA5F85" w:rsidP="007F5051">
            <w:pPr>
              <w:pStyle w:val="TableText0"/>
              <w:keepLines/>
              <w:widowControl w:val="0"/>
              <w:rPr>
                <w:sz w:val="20"/>
                <w:szCs w:val="20"/>
              </w:rPr>
            </w:pPr>
            <w:r w:rsidRPr="0053304A">
              <w:rPr>
                <w:sz w:val="20"/>
                <w:szCs w:val="20"/>
              </w:rPr>
              <w:t>Removed (0%)</w:t>
            </w:r>
          </w:p>
        </w:tc>
        <w:tc>
          <w:tcPr>
            <w:tcW w:w="547" w:type="pct"/>
            <w:noWrap/>
            <w:tcMar>
              <w:left w:w="28" w:type="dxa"/>
              <w:right w:w="28" w:type="dxa"/>
            </w:tcMar>
          </w:tcPr>
          <w:p w:rsidR="00DA5F85" w:rsidRPr="0053304A" w:rsidRDefault="00DA5F85" w:rsidP="007F5051">
            <w:pPr>
              <w:pStyle w:val="TableText0"/>
              <w:keepLines/>
              <w:widowControl w:val="0"/>
              <w:jc w:val="center"/>
              <w:rPr>
                <w:sz w:val="20"/>
                <w:szCs w:val="20"/>
              </w:rPr>
            </w:pPr>
            <w:r w:rsidRPr="0053304A">
              <w:rPr>
                <w:sz w:val="20"/>
                <w:szCs w:val="20"/>
              </w:rPr>
              <w:t>$</w:t>
            </w:r>
            <w:r w:rsidR="00D02986">
              <w:rPr>
                <w:noProof/>
                <w:color w:val="000000"/>
                <w:sz w:val="20"/>
                <w:szCs w:val="20"/>
                <w:highlight w:val="black"/>
              </w:rPr>
              <w:t>'''''''''''''''''</w:t>
            </w:r>
          </w:p>
        </w:tc>
        <w:tc>
          <w:tcPr>
            <w:tcW w:w="547" w:type="pct"/>
            <w:tcMar>
              <w:left w:w="28" w:type="dxa"/>
              <w:right w:w="28" w:type="dxa"/>
            </w:tcMar>
          </w:tcPr>
          <w:p w:rsidR="00DA5F85" w:rsidRPr="0053304A" w:rsidRDefault="00DA5F85" w:rsidP="007F5051">
            <w:pPr>
              <w:pStyle w:val="TableText0"/>
              <w:keepLines/>
              <w:widowControl w:val="0"/>
              <w:jc w:val="center"/>
              <w:rPr>
                <w:sz w:val="20"/>
                <w:szCs w:val="20"/>
              </w:rPr>
            </w:pPr>
            <w:r w:rsidRPr="0053304A">
              <w:rPr>
                <w:sz w:val="20"/>
                <w:szCs w:val="20"/>
              </w:rPr>
              <w:t>0.4379</w:t>
            </w:r>
          </w:p>
        </w:tc>
        <w:tc>
          <w:tcPr>
            <w:tcW w:w="513" w:type="pct"/>
            <w:noWrap/>
            <w:tcMar>
              <w:left w:w="28" w:type="dxa"/>
              <w:right w:w="28" w:type="dxa"/>
            </w:tcMar>
          </w:tcPr>
          <w:p w:rsidR="00DA5F85" w:rsidRPr="0053304A" w:rsidRDefault="00DA5F85" w:rsidP="007F5051">
            <w:pPr>
              <w:pStyle w:val="TableText0"/>
              <w:keepLines/>
              <w:widowControl w:val="0"/>
              <w:jc w:val="center"/>
              <w:rPr>
                <w:sz w:val="20"/>
                <w:szCs w:val="20"/>
              </w:rPr>
            </w:pPr>
            <w:r w:rsidRPr="0053304A">
              <w:rPr>
                <w:sz w:val="20"/>
                <w:szCs w:val="20"/>
              </w:rPr>
              <w:t>$</w:t>
            </w:r>
            <w:r w:rsidR="00D02986">
              <w:rPr>
                <w:noProof/>
                <w:color w:val="000000"/>
                <w:sz w:val="20"/>
                <w:szCs w:val="20"/>
                <w:highlight w:val="black"/>
              </w:rPr>
              <w:t>''''''''''''''''</w:t>
            </w:r>
            <w:r w:rsidR="0032629A">
              <w:rPr>
                <w:sz w:val="20"/>
                <w:szCs w:val="20"/>
                <w:vertAlign w:val="superscript"/>
              </w:rPr>
              <w:t>1</w:t>
            </w:r>
          </w:p>
        </w:tc>
        <w:tc>
          <w:tcPr>
            <w:tcW w:w="583" w:type="pct"/>
            <w:tcMar>
              <w:left w:w="28" w:type="dxa"/>
              <w:right w:w="28" w:type="dxa"/>
            </w:tcMar>
          </w:tcPr>
          <w:p w:rsidR="00DA5F85" w:rsidRPr="00547ABC" w:rsidRDefault="00DA5F85" w:rsidP="007F5051">
            <w:pPr>
              <w:pStyle w:val="TableText0"/>
              <w:keepLines/>
              <w:widowControl w:val="0"/>
              <w:jc w:val="center"/>
              <w:rPr>
                <w:iCs/>
                <w:sz w:val="20"/>
                <w:szCs w:val="20"/>
              </w:rPr>
            </w:pPr>
            <w:r w:rsidRPr="00547ABC">
              <w:rPr>
                <w:iCs/>
                <w:sz w:val="20"/>
                <w:szCs w:val="20"/>
              </w:rPr>
              <w:t>11%</w:t>
            </w:r>
          </w:p>
        </w:tc>
      </w:tr>
      <w:tr w:rsidR="00DA5F85" w:rsidRPr="00547ABC" w:rsidTr="00DB54EF">
        <w:trPr>
          <w:cantSplit/>
          <w:trHeight w:val="231"/>
        </w:trPr>
        <w:tc>
          <w:tcPr>
            <w:tcW w:w="854" w:type="pct"/>
            <w:vMerge/>
            <w:noWrap/>
            <w:tcMar>
              <w:left w:w="28" w:type="dxa"/>
              <w:right w:w="28" w:type="dxa"/>
            </w:tcMar>
          </w:tcPr>
          <w:p w:rsidR="00DA5F85" w:rsidRPr="0053304A" w:rsidRDefault="00DA5F85" w:rsidP="007F5051">
            <w:pPr>
              <w:pStyle w:val="TableText0"/>
              <w:keepLines/>
              <w:widowControl w:val="0"/>
              <w:rPr>
                <w:sz w:val="20"/>
                <w:szCs w:val="20"/>
              </w:rPr>
            </w:pPr>
          </w:p>
        </w:tc>
        <w:tc>
          <w:tcPr>
            <w:tcW w:w="784" w:type="pct"/>
            <w:vMerge/>
            <w:tcMar>
              <w:left w:w="28" w:type="dxa"/>
              <w:right w:w="28" w:type="dxa"/>
            </w:tcMar>
          </w:tcPr>
          <w:p w:rsidR="00DA5F85" w:rsidRPr="0053304A" w:rsidRDefault="00DA5F85" w:rsidP="007F5051">
            <w:pPr>
              <w:pStyle w:val="TableText0"/>
              <w:keepLines/>
              <w:widowControl w:val="0"/>
              <w:rPr>
                <w:sz w:val="20"/>
                <w:szCs w:val="20"/>
              </w:rPr>
            </w:pPr>
          </w:p>
        </w:tc>
        <w:tc>
          <w:tcPr>
            <w:tcW w:w="1172" w:type="pct"/>
            <w:noWrap/>
            <w:tcMar>
              <w:left w:w="28" w:type="dxa"/>
              <w:right w:w="28" w:type="dxa"/>
            </w:tcMar>
          </w:tcPr>
          <w:p w:rsidR="00DA5F85" w:rsidRPr="0053304A" w:rsidRDefault="00DA5F85" w:rsidP="007F5051">
            <w:pPr>
              <w:pStyle w:val="TableText0"/>
              <w:keepLines/>
              <w:widowControl w:val="0"/>
              <w:rPr>
                <w:sz w:val="20"/>
                <w:szCs w:val="20"/>
              </w:rPr>
            </w:pPr>
            <w:r w:rsidRPr="0053304A">
              <w:rPr>
                <w:sz w:val="20"/>
                <w:szCs w:val="20"/>
              </w:rPr>
              <w:t>Halved (38%)</w:t>
            </w:r>
          </w:p>
        </w:tc>
        <w:tc>
          <w:tcPr>
            <w:tcW w:w="547" w:type="pct"/>
            <w:noWrap/>
            <w:tcMar>
              <w:left w:w="28" w:type="dxa"/>
              <w:right w:w="28" w:type="dxa"/>
            </w:tcMar>
          </w:tcPr>
          <w:p w:rsidR="00DA5F85" w:rsidRPr="0053304A" w:rsidRDefault="00DA5F85" w:rsidP="007F5051">
            <w:pPr>
              <w:pStyle w:val="TableText0"/>
              <w:keepLines/>
              <w:widowControl w:val="0"/>
              <w:jc w:val="center"/>
              <w:rPr>
                <w:sz w:val="20"/>
                <w:szCs w:val="20"/>
              </w:rPr>
            </w:pPr>
            <w:r w:rsidRPr="0053304A">
              <w:rPr>
                <w:sz w:val="20"/>
                <w:szCs w:val="20"/>
              </w:rPr>
              <w:t>$</w:t>
            </w:r>
            <w:r w:rsidR="00D02986">
              <w:rPr>
                <w:noProof/>
                <w:color w:val="000000"/>
                <w:sz w:val="20"/>
                <w:szCs w:val="20"/>
                <w:highlight w:val="black"/>
              </w:rPr>
              <w:t>'''''''''''''''''</w:t>
            </w:r>
          </w:p>
        </w:tc>
        <w:tc>
          <w:tcPr>
            <w:tcW w:w="547" w:type="pct"/>
            <w:tcMar>
              <w:left w:w="28" w:type="dxa"/>
              <w:right w:w="28" w:type="dxa"/>
            </w:tcMar>
          </w:tcPr>
          <w:p w:rsidR="00DA5F85" w:rsidRPr="0053304A" w:rsidRDefault="00DA5F85" w:rsidP="007F5051">
            <w:pPr>
              <w:pStyle w:val="TableText0"/>
              <w:keepLines/>
              <w:widowControl w:val="0"/>
              <w:jc w:val="center"/>
              <w:rPr>
                <w:sz w:val="20"/>
                <w:szCs w:val="20"/>
              </w:rPr>
            </w:pPr>
            <w:r w:rsidRPr="0053304A">
              <w:rPr>
                <w:sz w:val="20"/>
                <w:szCs w:val="20"/>
              </w:rPr>
              <w:t>0.4730</w:t>
            </w:r>
          </w:p>
        </w:tc>
        <w:tc>
          <w:tcPr>
            <w:tcW w:w="513" w:type="pct"/>
            <w:noWrap/>
            <w:tcMar>
              <w:left w:w="28" w:type="dxa"/>
              <w:right w:w="28" w:type="dxa"/>
            </w:tcMar>
          </w:tcPr>
          <w:p w:rsidR="00DA5F85" w:rsidRPr="0053304A" w:rsidRDefault="00DA5F85" w:rsidP="007F5051">
            <w:pPr>
              <w:pStyle w:val="TableText0"/>
              <w:keepLines/>
              <w:widowControl w:val="0"/>
              <w:jc w:val="center"/>
              <w:rPr>
                <w:sz w:val="20"/>
                <w:szCs w:val="20"/>
              </w:rPr>
            </w:pPr>
            <w:r w:rsidRPr="0053304A">
              <w:rPr>
                <w:sz w:val="20"/>
                <w:szCs w:val="20"/>
              </w:rPr>
              <w:t>$</w:t>
            </w:r>
            <w:r w:rsidR="00D02986">
              <w:rPr>
                <w:noProof/>
                <w:color w:val="000000"/>
                <w:sz w:val="20"/>
                <w:szCs w:val="20"/>
                <w:highlight w:val="black"/>
              </w:rPr>
              <w:t>''''''''''''''''</w:t>
            </w:r>
            <w:r w:rsidR="0032629A">
              <w:rPr>
                <w:sz w:val="20"/>
                <w:szCs w:val="20"/>
                <w:vertAlign w:val="superscript"/>
              </w:rPr>
              <w:t>1</w:t>
            </w:r>
          </w:p>
        </w:tc>
        <w:tc>
          <w:tcPr>
            <w:tcW w:w="583" w:type="pct"/>
            <w:tcMar>
              <w:left w:w="28" w:type="dxa"/>
              <w:right w:w="28" w:type="dxa"/>
            </w:tcMar>
          </w:tcPr>
          <w:p w:rsidR="00DA5F85" w:rsidRPr="00547ABC" w:rsidRDefault="00DA5F85" w:rsidP="007F5051">
            <w:pPr>
              <w:pStyle w:val="TableText0"/>
              <w:keepLines/>
              <w:widowControl w:val="0"/>
              <w:jc w:val="center"/>
              <w:rPr>
                <w:iCs/>
                <w:sz w:val="20"/>
                <w:szCs w:val="20"/>
              </w:rPr>
            </w:pPr>
            <w:r w:rsidRPr="00547ABC">
              <w:rPr>
                <w:iCs/>
                <w:sz w:val="20"/>
                <w:szCs w:val="20"/>
              </w:rPr>
              <w:t>1%</w:t>
            </w:r>
          </w:p>
        </w:tc>
      </w:tr>
      <w:tr w:rsidR="00DA5F85" w:rsidRPr="00547ABC" w:rsidTr="00DB54EF">
        <w:trPr>
          <w:cantSplit/>
          <w:trHeight w:val="231"/>
        </w:trPr>
        <w:tc>
          <w:tcPr>
            <w:tcW w:w="854" w:type="pct"/>
            <w:vMerge w:val="restart"/>
            <w:noWrap/>
            <w:tcMar>
              <w:left w:w="28" w:type="dxa"/>
              <w:right w:w="28" w:type="dxa"/>
            </w:tcMar>
          </w:tcPr>
          <w:p w:rsidR="00DA5F85" w:rsidRPr="00547ABC" w:rsidRDefault="00DA5F85" w:rsidP="007F5051">
            <w:pPr>
              <w:pStyle w:val="TableText0"/>
              <w:keepLines/>
              <w:widowControl w:val="0"/>
              <w:rPr>
                <w:sz w:val="20"/>
                <w:szCs w:val="20"/>
              </w:rPr>
            </w:pPr>
            <w:r w:rsidRPr="00547ABC">
              <w:rPr>
                <w:sz w:val="20"/>
                <w:szCs w:val="20"/>
              </w:rPr>
              <w:t>Probability of losing remission with BOT each cycle (after year 1)</w:t>
            </w:r>
          </w:p>
        </w:tc>
        <w:tc>
          <w:tcPr>
            <w:tcW w:w="784" w:type="pct"/>
            <w:vMerge w:val="restart"/>
            <w:tcMar>
              <w:left w:w="28" w:type="dxa"/>
              <w:right w:w="28" w:type="dxa"/>
            </w:tcMar>
          </w:tcPr>
          <w:p w:rsidR="00DA5F85" w:rsidRPr="00547ABC" w:rsidRDefault="00DA5F85" w:rsidP="007F5051">
            <w:pPr>
              <w:pStyle w:val="TableText0"/>
              <w:keepLines/>
              <w:widowControl w:val="0"/>
              <w:rPr>
                <w:sz w:val="20"/>
                <w:szCs w:val="20"/>
              </w:rPr>
            </w:pPr>
            <w:r w:rsidRPr="00547ABC">
              <w:rPr>
                <w:sz w:val="20"/>
                <w:szCs w:val="20"/>
              </w:rPr>
              <w:t>4.2% each cycle</w:t>
            </w:r>
          </w:p>
        </w:tc>
        <w:tc>
          <w:tcPr>
            <w:tcW w:w="1172" w:type="pct"/>
            <w:noWrap/>
            <w:tcMar>
              <w:left w:w="28" w:type="dxa"/>
              <w:right w:w="28" w:type="dxa"/>
            </w:tcMar>
          </w:tcPr>
          <w:p w:rsidR="00DA5F85" w:rsidRPr="00547ABC" w:rsidRDefault="00DA5F85" w:rsidP="007F5051">
            <w:pPr>
              <w:pStyle w:val="TableText0"/>
              <w:keepLines/>
              <w:widowControl w:val="0"/>
              <w:rPr>
                <w:sz w:val="20"/>
                <w:szCs w:val="20"/>
              </w:rPr>
            </w:pPr>
            <w:r w:rsidRPr="00547ABC">
              <w:rPr>
                <w:sz w:val="20"/>
                <w:szCs w:val="20"/>
              </w:rPr>
              <w:t>Removed</w:t>
            </w:r>
          </w:p>
        </w:tc>
        <w:tc>
          <w:tcPr>
            <w:tcW w:w="547" w:type="pct"/>
            <w:noWrap/>
            <w:tcMar>
              <w:left w:w="28" w:type="dxa"/>
              <w:right w:w="28" w:type="dxa"/>
            </w:tcMar>
          </w:tcPr>
          <w:p w:rsidR="00DA5F85" w:rsidRPr="00547ABC" w:rsidRDefault="00DA5F85" w:rsidP="007F5051">
            <w:pPr>
              <w:pStyle w:val="TableText0"/>
              <w:keepLines/>
              <w:widowControl w:val="0"/>
              <w:jc w:val="center"/>
              <w:rPr>
                <w:sz w:val="20"/>
                <w:szCs w:val="20"/>
              </w:rPr>
            </w:pPr>
            <w:r w:rsidRPr="00547ABC">
              <w:rPr>
                <w:sz w:val="20"/>
                <w:szCs w:val="20"/>
              </w:rPr>
              <w:t>$</w:t>
            </w:r>
            <w:r w:rsidR="00D02986">
              <w:rPr>
                <w:noProof/>
                <w:color w:val="000000"/>
                <w:sz w:val="20"/>
                <w:szCs w:val="20"/>
                <w:highlight w:val="black"/>
              </w:rPr>
              <w:t>''''''''''''''''''</w:t>
            </w:r>
          </w:p>
        </w:tc>
        <w:tc>
          <w:tcPr>
            <w:tcW w:w="547" w:type="pct"/>
            <w:tcMar>
              <w:left w:w="28" w:type="dxa"/>
              <w:right w:w="28" w:type="dxa"/>
            </w:tcMar>
          </w:tcPr>
          <w:p w:rsidR="00DA5F85" w:rsidRPr="00547ABC" w:rsidRDefault="00DA5F85" w:rsidP="007F5051">
            <w:pPr>
              <w:pStyle w:val="TableText0"/>
              <w:keepLines/>
              <w:widowControl w:val="0"/>
              <w:jc w:val="center"/>
              <w:rPr>
                <w:sz w:val="20"/>
                <w:szCs w:val="20"/>
              </w:rPr>
            </w:pPr>
            <w:r w:rsidRPr="00547ABC">
              <w:rPr>
                <w:sz w:val="20"/>
                <w:szCs w:val="20"/>
              </w:rPr>
              <w:t>0.5698</w:t>
            </w:r>
          </w:p>
        </w:tc>
        <w:tc>
          <w:tcPr>
            <w:tcW w:w="513" w:type="pct"/>
            <w:noWrap/>
            <w:tcMar>
              <w:left w:w="28" w:type="dxa"/>
              <w:right w:w="28" w:type="dxa"/>
            </w:tcMar>
          </w:tcPr>
          <w:p w:rsidR="00DA5F85" w:rsidRPr="00547ABC" w:rsidRDefault="00DA5F85" w:rsidP="007F5051">
            <w:pPr>
              <w:pStyle w:val="TableText0"/>
              <w:keepLines/>
              <w:widowControl w:val="0"/>
              <w:jc w:val="center"/>
              <w:rPr>
                <w:sz w:val="20"/>
                <w:szCs w:val="20"/>
              </w:rPr>
            </w:pPr>
            <w:r w:rsidRPr="00547ABC">
              <w:rPr>
                <w:sz w:val="20"/>
                <w:szCs w:val="20"/>
              </w:rPr>
              <w:t>$</w:t>
            </w:r>
            <w:r w:rsidR="00D02986">
              <w:rPr>
                <w:noProof/>
                <w:color w:val="000000"/>
                <w:sz w:val="20"/>
                <w:szCs w:val="20"/>
                <w:highlight w:val="black"/>
              </w:rPr>
              <w:t>''''''''''''''''</w:t>
            </w:r>
            <w:r w:rsidR="0032629A">
              <w:rPr>
                <w:sz w:val="20"/>
                <w:szCs w:val="20"/>
                <w:vertAlign w:val="superscript"/>
              </w:rPr>
              <w:t>1</w:t>
            </w:r>
          </w:p>
        </w:tc>
        <w:tc>
          <w:tcPr>
            <w:tcW w:w="583" w:type="pct"/>
            <w:tcMar>
              <w:left w:w="28" w:type="dxa"/>
              <w:right w:w="28" w:type="dxa"/>
            </w:tcMar>
          </w:tcPr>
          <w:p w:rsidR="00DA5F85" w:rsidRPr="00547ABC" w:rsidRDefault="00DA5F85" w:rsidP="007F5051">
            <w:pPr>
              <w:pStyle w:val="TableText0"/>
              <w:keepLines/>
              <w:widowControl w:val="0"/>
              <w:jc w:val="center"/>
              <w:rPr>
                <w:iCs/>
                <w:sz w:val="20"/>
                <w:szCs w:val="20"/>
              </w:rPr>
            </w:pPr>
            <w:r w:rsidRPr="00547ABC">
              <w:rPr>
                <w:iCs/>
                <w:sz w:val="20"/>
                <w:szCs w:val="20"/>
              </w:rPr>
              <w:t>-3%</w:t>
            </w:r>
          </w:p>
        </w:tc>
      </w:tr>
      <w:tr w:rsidR="00DA5F85" w:rsidRPr="00547ABC" w:rsidTr="00DB54EF">
        <w:trPr>
          <w:cantSplit/>
          <w:trHeight w:val="231"/>
        </w:trPr>
        <w:tc>
          <w:tcPr>
            <w:tcW w:w="854" w:type="pct"/>
            <w:vMerge/>
            <w:noWrap/>
            <w:tcMar>
              <w:left w:w="28" w:type="dxa"/>
              <w:right w:w="28" w:type="dxa"/>
            </w:tcMar>
          </w:tcPr>
          <w:p w:rsidR="00DA5F85" w:rsidRPr="00547ABC" w:rsidRDefault="00DA5F85" w:rsidP="007F5051">
            <w:pPr>
              <w:pStyle w:val="TableText0"/>
              <w:keepLines/>
              <w:widowControl w:val="0"/>
              <w:rPr>
                <w:sz w:val="20"/>
                <w:szCs w:val="20"/>
              </w:rPr>
            </w:pPr>
          </w:p>
        </w:tc>
        <w:tc>
          <w:tcPr>
            <w:tcW w:w="784" w:type="pct"/>
            <w:vMerge/>
            <w:tcMar>
              <w:left w:w="28" w:type="dxa"/>
              <w:right w:w="28" w:type="dxa"/>
            </w:tcMar>
          </w:tcPr>
          <w:p w:rsidR="00DA5F85" w:rsidRPr="00547ABC" w:rsidRDefault="00DA5F85" w:rsidP="007F5051">
            <w:pPr>
              <w:pStyle w:val="TableText0"/>
              <w:keepLines/>
              <w:widowControl w:val="0"/>
              <w:rPr>
                <w:sz w:val="20"/>
                <w:szCs w:val="20"/>
              </w:rPr>
            </w:pPr>
          </w:p>
        </w:tc>
        <w:tc>
          <w:tcPr>
            <w:tcW w:w="1172" w:type="pct"/>
            <w:noWrap/>
            <w:tcMar>
              <w:left w:w="28" w:type="dxa"/>
              <w:right w:w="28" w:type="dxa"/>
            </w:tcMar>
          </w:tcPr>
          <w:p w:rsidR="00DA5F85" w:rsidRPr="00547ABC" w:rsidRDefault="00DA5F85" w:rsidP="007F5051">
            <w:pPr>
              <w:pStyle w:val="TableText0"/>
              <w:keepLines/>
              <w:widowControl w:val="0"/>
              <w:rPr>
                <w:sz w:val="20"/>
                <w:szCs w:val="20"/>
              </w:rPr>
            </w:pPr>
            <w:r w:rsidRPr="00547ABC">
              <w:rPr>
                <w:sz w:val="20"/>
                <w:szCs w:val="20"/>
              </w:rPr>
              <w:t>Decreased 50%</w:t>
            </w:r>
            <w:r w:rsidR="00547ABC" w:rsidRPr="00547ABC">
              <w:rPr>
                <w:sz w:val="20"/>
                <w:szCs w:val="20"/>
              </w:rPr>
              <w:t>*</w:t>
            </w:r>
          </w:p>
        </w:tc>
        <w:tc>
          <w:tcPr>
            <w:tcW w:w="547" w:type="pct"/>
            <w:noWrap/>
            <w:tcMar>
              <w:left w:w="28" w:type="dxa"/>
              <w:right w:w="28" w:type="dxa"/>
            </w:tcMar>
          </w:tcPr>
          <w:p w:rsidR="00DA5F85" w:rsidRPr="00547ABC" w:rsidRDefault="00DA5F85" w:rsidP="007F5051">
            <w:pPr>
              <w:pStyle w:val="TableText0"/>
              <w:keepLines/>
              <w:widowControl w:val="0"/>
              <w:jc w:val="center"/>
              <w:rPr>
                <w:iCs/>
                <w:sz w:val="20"/>
                <w:szCs w:val="20"/>
              </w:rPr>
            </w:pPr>
            <w:r w:rsidRPr="00547ABC">
              <w:rPr>
                <w:iCs/>
                <w:sz w:val="20"/>
                <w:szCs w:val="20"/>
              </w:rPr>
              <w:t>$</w:t>
            </w:r>
            <w:r w:rsidR="00D02986">
              <w:rPr>
                <w:noProof/>
                <w:color w:val="000000"/>
                <w:sz w:val="20"/>
                <w:szCs w:val="20"/>
                <w:highlight w:val="black"/>
              </w:rPr>
              <w:t>'''''''''''''''</w:t>
            </w:r>
            <w:r w:rsidRPr="00547ABC">
              <w:rPr>
                <w:iCs/>
                <w:sz w:val="20"/>
                <w:szCs w:val="20"/>
              </w:rPr>
              <w:t>^</w:t>
            </w:r>
          </w:p>
        </w:tc>
        <w:tc>
          <w:tcPr>
            <w:tcW w:w="547" w:type="pct"/>
            <w:tcMar>
              <w:left w:w="28" w:type="dxa"/>
              <w:right w:w="28" w:type="dxa"/>
            </w:tcMar>
          </w:tcPr>
          <w:p w:rsidR="00DA5F85" w:rsidRPr="00547ABC" w:rsidRDefault="00DA5F85" w:rsidP="007F5051">
            <w:pPr>
              <w:pStyle w:val="TableText0"/>
              <w:keepLines/>
              <w:widowControl w:val="0"/>
              <w:jc w:val="center"/>
              <w:rPr>
                <w:iCs/>
                <w:sz w:val="20"/>
                <w:szCs w:val="20"/>
              </w:rPr>
            </w:pPr>
            <w:r w:rsidRPr="00547ABC">
              <w:rPr>
                <w:iCs/>
                <w:sz w:val="20"/>
                <w:szCs w:val="20"/>
              </w:rPr>
              <w:t>0.5271^</w:t>
            </w:r>
          </w:p>
        </w:tc>
        <w:tc>
          <w:tcPr>
            <w:tcW w:w="513" w:type="pct"/>
            <w:noWrap/>
            <w:tcMar>
              <w:left w:w="28" w:type="dxa"/>
              <w:right w:w="28" w:type="dxa"/>
            </w:tcMar>
          </w:tcPr>
          <w:p w:rsidR="00DA5F85" w:rsidRPr="0032629A" w:rsidRDefault="00DA5F85" w:rsidP="007F5051">
            <w:pPr>
              <w:pStyle w:val="TableText0"/>
              <w:keepLines/>
              <w:widowControl w:val="0"/>
              <w:jc w:val="center"/>
              <w:rPr>
                <w:iCs/>
                <w:sz w:val="20"/>
                <w:szCs w:val="20"/>
                <w:vertAlign w:val="superscript"/>
              </w:rPr>
            </w:pPr>
            <w:r w:rsidRPr="00547ABC">
              <w:rPr>
                <w:iCs/>
                <w:sz w:val="20"/>
                <w:szCs w:val="20"/>
              </w:rPr>
              <w:t>$</w:t>
            </w:r>
            <w:r w:rsidR="00D02986">
              <w:rPr>
                <w:noProof/>
                <w:color w:val="000000"/>
                <w:sz w:val="20"/>
                <w:szCs w:val="20"/>
                <w:highlight w:val="black"/>
              </w:rPr>
              <w:t>''''''''''''''''</w:t>
            </w:r>
            <w:r w:rsidRPr="00547ABC">
              <w:rPr>
                <w:iCs/>
                <w:sz w:val="20"/>
                <w:szCs w:val="20"/>
              </w:rPr>
              <w:t>^</w:t>
            </w:r>
            <w:r w:rsidR="0032629A">
              <w:rPr>
                <w:iCs/>
                <w:sz w:val="20"/>
                <w:szCs w:val="20"/>
                <w:vertAlign w:val="superscript"/>
              </w:rPr>
              <w:t>,1</w:t>
            </w:r>
          </w:p>
        </w:tc>
        <w:tc>
          <w:tcPr>
            <w:tcW w:w="583" w:type="pct"/>
            <w:tcMar>
              <w:left w:w="28" w:type="dxa"/>
              <w:right w:w="28" w:type="dxa"/>
            </w:tcMar>
          </w:tcPr>
          <w:p w:rsidR="00DA5F85" w:rsidRPr="00547ABC" w:rsidRDefault="00DA5F85" w:rsidP="007F5051">
            <w:pPr>
              <w:pStyle w:val="TableText0"/>
              <w:keepLines/>
              <w:widowControl w:val="0"/>
              <w:jc w:val="center"/>
              <w:rPr>
                <w:iCs/>
                <w:sz w:val="20"/>
                <w:szCs w:val="20"/>
              </w:rPr>
            </w:pPr>
            <w:r w:rsidRPr="00547ABC">
              <w:rPr>
                <w:iCs/>
                <w:sz w:val="20"/>
                <w:szCs w:val="20"/>
              </w:rPr>
              <w:t>-2%</w:t>
            </w:r>
          </w:p>
        </w:tc>
      </w:tr>
      <w:tr w:rsidR="00DA5F85" w:rsidRPr="00547ABC" w:rsidTr="00DB54EF">
        <w:trPr>
          <w:cantSplit/>
          <w:trHeight w:val="231"/>
        </w:trPr>
        <w:tc>
          <w:tcPr>
            <w:tcW w:w="854" w:type="pct"/>
            <w:vMerge/>
            <w:noWrap/>
            <w:tcMar>
              <w:left w:w="28" w:type="dxa"/>
              <w:right w:w="28" w:type="dxa"/>
            </w:tcMar>
          </w:tcPr>
          <w:p w:rsidR="00DA5F85" w:rsidRPr="00547ABC" w:rsidRDefault="00DA5F85" w:rsidP="007F5051">
            <w:pPr>
              <w:pStyle w:val="TableText0"/>
              <w:keepLines/>
              <w:widowControl w:val="0"/>
              <w:rPr>
                <w:sz w:val="20"/>
                <w:szCs w:val="20"/>
              </w:rPr>
            </w:pPr>
          </w:p>
        </w:tc>
        <w:tc>
          <w:tcPr>
            <w:tcW w:w="784" w:type="pct"/>
            <w:vMerge/>
            <w:tcMar>
              <w:left w:w="28" w:type="dxa"/>
              <w:right w:w="28" w:type="dxa"/>
            </w:tcMar>
          </w:tcPr>
          <w:p w:rsidR="00DA5F85" w:rsidRPr="00547ABC" w:rsidRDefault="00DA5F85" w:rsidP="007F5051">
            <w:pPr>
              <w:pStyle w:val="TableText0"/>
              <w:keepLines/>
              <w:widowControl w:val="0"/>
              <w:rPr>
                <w:sz w:val="20"/>
                <w:szCs w:val="20"/>
              </w:rPr>
            </w:pPr>
          </w:p>
        </w:tc>
        <w:tc>
          <w:tcPr>
            <w:tcW w:w="1172" w:type="pct"/>
            <w:noWrap/>
            <w:tcMar>
              <w:left w:w="28" w:type="dxa"/>
              <w:right w:w="28" w:type="dxa"/>
            </w:tcMar>
          </w:tcPr>
          <w:p w:rsidR="00DA5F85" w:rsidRPr="00547ABC" w:rsidRDefault="00DA5F85" w:rsidP="007F5051">
            <w:pPr>
              <w:pStyle w:val="TableText0"/>
              <w:keepLines/>
              <w:widowControl w:val="0"/>
              <w:rPr>
                <w:sz w:val="20"/>
                <w:szCs w:val="20"/>
              </w:rPr>
            </w:pPr>
            <w:r w:rsidRPr="00547ABC">
              <w:rPr>
                <w:sz w:val="20"/>
                <w:szCs w:val="20"/>
              </w:rPr>
              <w:t>Increased 50%</w:t>
            </w:r>
            <w:r w:rsidR="00547ABC" w:rsidRPr="00547ABC">
              <w:rPr>
                <w:sz w:val="20"/>
                <w:szCs w:val="20"/>
              </w:rPr>
              <w:t>*</w:t>
            </w:r>
            <w:r w:rsidRPr="00547ABC">
              <w:rPr>
                <w:sz w:val="20"/>
                <w:szCs w:val="20"/>
              </w:rPr>
              <w:t xml:space="preserve"> </w:t>
            </w:r>
          </w:p>
        </w:tc>
        <w:tc>
          <w:tcPr>
            <w:tcW w:w="547" w:type="pct"/>
            <w:noWrap/>
            <w:tcMar>
              <w:left w:w="28" w:type="dxa"/>
              <w:right w:w="28" w:type="dxa"/>
            </w:tcMar>
          </w:tcPr>
          <w:p w:rsidR="00DA5F85" w:rsidRPr="00547ABC" w:rsidRDefault="00DA5F85" w:rsidP="007F5051">
            <w:pPr>
              <w:pStyle w:val="TableText0"/>
              <w:keepLines/>
              <w:widowControl w:val="0"/>
              <w:jc w:val="center"/>
              <w:rPr>
                <w:iCs/>
                <w:sz w:val="20"/>
                <w:szCs w:val="20"/>
              </w:rPr>
            </w:pPr>
            <w:r w:rsidRPr="00547ABC">
              <w:rPr>
                <w:iCs/>
                <w:sz w:val="20"/>
                <w:szCs w:val="20"/>
              </w:rPr>
              <w:t>$</w:t>
            </w:r>
            <w:r w:rsidR="00D02986">
              <w:rPr>
                <w:noProof/>
                <w:color w:val="000000"/>
                <w:sz w:val="20"/>
                <w:szCs w:val="20"/>
                <w:highlight w:val="black"/>
              </w:rPr>
              <w:t>'''''''''''''''''</w:t>
            </w:r>
            <w:r w:rsidRPr="00547ABC">
              <w:rPr>
                <w:iCs/>
                <w:sz w:val="20"/>
                <w:szCs w:val="20"/>
              </w:rPr>
              <w:t>^</w:t>
            </w:r>
          </w:p>
        </w:tc>
        <w:tc>
          <w:tcPr>
            <w:tcW w:w="547" w:type="pct"/>
            <w:tcMar>
              <w:left w:w="28" w:type="dxa"/>
              <w:right w:w="28" w:type="dxa"/>
            </w:tcMar>
          </w:tcPr>
          <w:p w:rsidR="00DA5F85" w:rsidRPr="00547ABC" w:rsidRDefault="00DA5F85" w:rsidP="007F5051">
            <w:pPr>
              <w:pStyle w:val="TableText0"/>
              <w:keepLines/>
              <w:widowControl w:val="0"/>
              <w:jc w:val="center"/>
              <w:rPr>
                <w:iCs/>
                <w:sz w:val="20"/>
                <w:szCs w:val="20"/>
              </w:rPr>
            </w:pPr>
            <w:r w:rsidRPr="00547ABC">
              <w:rPr>
                <w:iCs/>
                <w:sz w:val="20"/>
                <w:szCs w:val="20"/>
              </w:rPr>
              <w:t>0.4353^</w:t>
            </w:r>
          </w:p>
        </w:tc>
        <w:tc>
          <w:tcPr>
            <w:tcW w:w="513" w:type="pct"/>
            <w:noWrap/>
            <w:tcMar>
              <w:left w:w="28" w:type="dxa"/>
              <w:right w:w="28" w:type="dxa"/>
            </w:tcMar>
          </w:tcPr>
          <w:p w:rsidR="00DA5F85" w:rsidRPr="0032629A" w:rsidRDefault="00DA5F85" w:rsidP="007F5051">
            <w:pPr>
              <w:pStyle w:val="TableText0"/>
              <w:keepLines/>
              <w:widowControl w:val="0"/>
              <w:jc w:val="center"/>
              <w:rPr>
                <w:iCs/>
                <w:sz w:val="20"/>
                <w:szCs w:val="20"/>
                <w:vertAlign w:val="superscript"/>
              </w:rPr>
            </w:pPr>
            <w:r w:rsidRPr="00547ABC">
              <w:rPr>
                <w:iCs/>
                <w:sz w:val="20"/>
                <w:szCs w:val="20"/>
              </w:rPr>
              <w:t>$</w:t>
            </w:r>
            <w:r w:rsidR="00D02986">
              <w:rPr>
                <w:noProof/>
                <w:color w:val="000000"/>
                <w:sz w:val="20"/>
                <w:szCs w:val="20"/>
                <w:highlight w:val="black"/>
              </w:rPr>
              <w:t>''''''''''''''''</w:t>
            </w:r>
            <w:r w:rsidRPr="00547ABC">
              <w:rPr>
                <w:iCs/>
                <w:sz w:val="20"/>
                <w:szCs w:val="20"/>
              </w:rPr>
              <w:t>^</w:t>
            </w:r>
            <w:r w:rsidR="0032629A">
              <w:rPr>
                <w:iCs/>
                <w:sz w:val="20"/>
                <w:szCs w:val="20"/>
                <w:vertAlign w:val="superscript"/>
              </w:rPr>
              <w:t>,1</w:t>
            </w:r>
          </w:p>
        </w:tc>
        <w:tc>
          <w:tcPr>
            <w:tcW w:w="583" w:type="pct"/>
            <w:tcMar>
              <w:left w:w="28" w:type="dxa"/>
              <w:right w:w="28" w:type="dxa"/>
            </w:tcMar>
          </w:tcPr>
          <w:p w:rsidR="00DA5F85" w:rsidRPr="00547ABC" w:rsidRDefault="00DA5F85" w:rsidP="007F5051">
            <w:pPr>
              <w:pStyle w:val="TableText0"/>
              <w:keepLines/>
              <w:widowControl w:val="0"/>
              <w:jc w:val="center"/>
              <w:rPr>
                <w:iCs/>
                <w:sz w:val="20"/>
                <w:szCs w:val="20"/>
              </w:rPr>
            </w:pPr>
            <w:r w:rsidRPr="00547ABC">
              <w:rPr>
                <w:iCs/>
                <w:sz w:val="20"/>
                <w:szCs w:val="20"/>
              </w:rPr>
              <w:t>2%</w:t>
            </w:r>
          </w:p>
        </w:tc>
      </w:tr>
      <w:tr w:rsidR="00DA5F85" w:rsidRPr="00547ABC" w:rsidTr="00DB54EF">
        <w:trPr>
          <w:cantSplit/>
          <w:trHeight w:val="231"/>
        </w:trPr>
        <w:tc>
          <w:tcPr>
            <w:tcW w:w="854" w:type="pct"/>
            <w:vMerge/>
            <w:noWrap/>
            <w:tcMar>
              <w:left w:w="28" w:type="dxa"/>
              <w:right w:w="28" w:type="dxa"/>
            </w:tcMar>
          </w:tcPr>
          <w:p w:rsidR="00DA5F85" w:rsidRPr="00547ABC" w:rsidRDefault="00DA5F85" w:rsidP="00DA5F85">
            <w:pPr>
              <w:pStyle w:val="TableText0"/>
              <w:keepNext w:val="0"/>
              <w:widowControl w:val="0"/>
              <w:rPr>
                <w:sz w:val="20"/>
                <w:szCs w:val="20"/>
              </w:rPr>
            </w:pPr>
          </w:p>
        </w:tc>
        <w:tc>
          <w:tcPr>
            <w:tcW w:w="784" w:type="pct"/>
            <w:vMerge/>
            <w:tcMar>
              <w:left w:w="28" w:type="dxa"/>
              <w:right w:w="28" w:type="dxa"/>
            </w:tcMar>
          </w:tcPr>
          <w:p w:rsidR="00DA5F85" w:rsidRPr="00547ABC" w:rsidRDefault="00DA5F85" w:rsidP="00DA5F85">
            <w:pPr>
              <w:pStyle w:val="TableText0"/>
              <w:keepNext w:val="0"/>
              <w:widowControl w:val="0"/>
              <w:rPr>
                <w:sz w:val="20"/>
                <w:szCs w:val="20"/>
              </w:rPr>
            </w:pPr>
          </w:p>
        </w:tc>
        <w:tc>
          <w:tcPr>
            <w:tcW w:w="1172" w:type="pct"/>
            <w:noWrap/>
            <w:tcMar>
              <w:left w:w="28" w:type="dxa"/>
              <w:right w:w="28" w:type="dxa"/>
            </w:tcMar>
          </w:tcPr>
          <w:p w:rsidR="00DA5F85" w:rsidRPr="00547ABC" w:rsidRDefault="00DA5F85" w:rsidP="00DA5F85">
            <w:pPr>
              <w:pStyle w:val="TableText0"/>
              <w:keepNext w:val="0"/>
              <w:widowControl w:val="0"/>
              <w:rPr>
                <w:sz w:val="20"/>
                <w:szCs w:val="20"/>
              </w:rPr>
            </w:pPr>
            <w:r w:rsidRPr="00547ABC">
              <w:rPr>
                <w:sz w:val="20"/>
                <w:szCs w:val="20"/>
              </w:rPr>
              <w:t>Doubled</w:t>
            </w:r>
            <w:r w:rsidR="00547ABC" w:rsidRPr="00547ABC">
              <w:rPr>
                <w:sz w:val="20"/>
                <w:szCs w:val="20"/>
              </w:rPr>
              <w:t>*</w:t>
            </w:r>
          </w:p>
        </w:tc>
        <w:tc>
          <w:tcPr>
            <w:tcW w:w="547"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r w:rsidRPr="00547ABC">
              <w:rPr>
                <w:iCs/>
                <w:sz w:val="20"/>
                <w:szCs w:val="20"/>
              </w:rPr>
              <w:t>^</w:t>
            </w:r>
          </w:p>
        </w:tc>
        <w:tc>
          <w:tcPr>
            <w:tcW w:w="547"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0.4005^</w:t>
            </w:r>
          </w:p>
        </w:tc>
        <w:tc>
          <w:tcPr>
            <w:tcW w:w="513" w:type="pct"/>
            <w:noWrap/>
            <w:tcMar>
              <w:left w:w="28" w:type="dxa"/>
              <w:right w:w="28" w:type="dxa"/>
            </w:tcMar>
          </w:tcPr>
          <w:p w:rsidR="00DA5F85" w:rsidRPr="0032629A" w:rsidRDefault="00DA5F85" w:rsidP="00DA5F85">
            <w:pPr>
              <w:pStyle w:val="TableText0"/>
              <w:keepNext w:val="0"/>
              <w:widowControl w:val="0"/>
              <w:jc w:val="center"/>
              <w:rPr>
                <w:iCs/>
                <w:sz w:val="20"/>
                <w:szCs w:val="20"/>
                <w:vertAlign w:val="superscript"/>
              </w:rPr>
            </w:pPr>
            <w:r w:rsidRPr="00547ABC">
              <w:rPr>
                <w:iCs/>
                <w:sz w:val="20"/>
                <w:szCs w:val="20"/>
              </w:rPr>
              <w:t>$</w:t>
            </w:r>
            <w:r w:rsidR="00D02986">
              <w:rPr>
                <w:noProof/>
                <w:color w:val="000000"/>
                <w:sz w:val="20"/>
                <w:szCs w:val="20"/>
                <w:highlight w:val="black"/>
              </w:rPr>
              <w:t>''''''''''''''''</w:t>
            </w:r>
            <w:r w:rsidRPr="00547ABC">
              <w:rPr>
                <w:iCs/>
                <w:sz w:val="20"/>
                <w:szCs w:val="20"/>
              </w:rPr>
              <w:t>^</w:t>
            </w:r>
            <w:r w:rsidR="0032629A">
              <w:rPr>
                <w:iCs/>
                <w:sz w:val="20"/>
                <w:szCs w:val="20"/>
                <w:vertAlign w:val="superscript"/>
              </w:rPr>
              <w:t>,1</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4%</w:t>
            </w:r>
          </w:p>
        </w:tc>
      </w:tr>
      <w:tr w:rsidR="00DA5F85" w:rsidRPr="00547ABC" w:rsidTr="00DB54EF">
        <w:trPr>
          <w:cantSplit/>
          <w:trHeight w:val="231"/>
        </w:trPr>
        <w:tc>
          <w:tcPr>
            <w:tcW w:w="854" w:type="pct"/>
            <w:vMerge/>
            <w:noWrap/>
            <w:tcMar>
              <w:left w:w="28" w:type="dxa"/>
              <w:right w:w="28" w:type="dxa"/>
            </w:tcMar>
          </w:tcPr>
          <w:p w:rsidR="00DA5F85" w:rsidRPr="00547ABC" w:rsidRDefault="00DA5F85" w:rsidP="00DA5F85">
            <w:pPr>
              <w:pStyle w:val="TableText0"/>
              <w:keepNext w:val="0"/>
              <w:widowControl w:val="0"/>
              <w:rPr>
                <w:iCs/>
                <w:sz w:val="20"/>
                <w:szCs w:val="20"/>
              </w:rPr>
            </w:pPr>
          </w:p>
        </w:tc>
        <w:tc>
          <w:tcPr>
            <w:tcW w:w="784" w:type="pct"/>
            <w:vMerge/>
            <w:tcMar>
              <w:left w:w="28" w:type="dxa"/>
              <w:right w:w="28" w:type="dxa"/>
            </w:tcMar>
          </w:tcPr>
          <w:p w:rsidR="00DA5F85" w:rsidRPr="00547ABC" w:rsidRDefault="00DA5F85" w:rsidP="00DA5F85">
            <w:pPr>
              <w:pStyle w:val="TableText0"/>
              <w:keepNext w:val="0"/>
              <w:widowControl w:val="0"/>
              <w:rPr>
                <w:iCs/>
                <w:sz w:val="20"/>
                <w:szCs w:val="20"/>
              </w:rPr>
            </w:pPr>
          </w:p>
        </w:tc>
        <w:tc>
          <w:tcPr>
            <w:tcW w:w="1172" w:type="pct"/>
            <w:noWrap/>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Same as SOC</w:t>
            </w:r>
            <w:r w:rsidR="00547ABC" w:rsidRPr="00547ABC">
              <w:rPr>
                <w:iCs/>
                <w:sz w:val="20"/>
                <w:szCs w:val="20"/>
              </w:rPr>
              <w:t>*</w:t>
            </w:r>
          </w:p>
        </w:tc>
        <w:tc>
          <w:tcPr>
            <w:tcW w:w="547"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p>
        </w:tc>
        <w:tc>
          <w:tcPr>
            <w:tcW w:w="547"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0.1987</w:t>
            </w:r>
          </w:p>
        </w:tc>
        <w:tc>
          <w:tcPr>
            <w:tcW w:w="513"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r w:rsidR="0081164F">
              <w:rPr>
                <w:sz w:val="20"/>
                <w:szCs w:val="20"/>
                <w:vertAlign w:val="superscript"/>
              </w:rPr>
              <w:t>2</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28%</w:t>
            </w:r>
          </w:p>
        </w:tc>
      </w:tr>
      <w:tr w:rsidR="00DA5F85" w:rsidRPr="00547ABC" w:rsidTr="00DB54EF">
        <w:trPr>
          <w:cantSplit/>
          <w:trHeight w:val="231"/>
        </w:trPr>
        <w:tc>
          <w:tcPr>
            <w:tcW w:w="854" w:type="pct"/>
            <w:vMerge w:val="restart"/>
            <w:noWrap/>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Probability of losing remission with BOT each cycle during maintenance treatment</w:t>
            </w:r>
          </w:p>
        </w:tc>
        <w:tc>
          <w:tcPr>
            <w:tcW w:w="784" w:type="pct"/>
            <w:vMerge w:val="restart"/>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 xml:space="preserve">Year 1: 4.2% per cycle; Sub Years: 4.2% per cycle </w:t>
            </w:r>
          </w:p>
        </w:tc>
        <w:tc>
          <w:tcPr>
            <w:tcW w:w="1172" w:type="pct"/>
            <w:noWrap/>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Year 1: 7.5% per cycle</w:t>
            </w:r>
            <w:r w:rsidRPr="00547ABC">
              <w:rPr>
                <w:iCs/>
                <w:sz w:val="20"/>
                <w:szCs w:val="20"/>
                <w:vertAlign w:val="superscript"/>
              </w:rPr>
              <w:t>1</w:t>
            </w:r>
            <w:r w:rsidRPr="00547ABC">
              <w:rPr>
                <w:iCs/>
                <w:sz w:val="20"/>
                <w:szCs w:val="20"/>
              </w:rPr>
              <w:t>; Sub Years: 7.5% per cycle</w:t>
            </w:r>
            <w:r w:rsidR="00547ABC" w:rsidRPr="00547ABC">
              <w:rPr>
                <w:iCs/>
                <w:sz w:val="20"/>
                <w:szCs w:val="20"/>
              </w:rPr>
              <w:t>*</w:t>
            </w:r>
          </w:p>
        </w:tc>
        <w:tc>
          <w:tcPr>
            <w:tcW w:w="547"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p>
        </w:tc>
        <w:tc>
          <w:tcPr>
            <w:tcW w:w="547"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0.3726</w:t>
            </w:r>
          </w:p>
        </w:tc>
        <w:tc>
          <w:tcPr>
            <w:tcW w:w="513"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r w:rsidR="0081164F">
              <w:rPr>
                <w:sz w:val="20"/>
                <w:szCs w:val="20"/>
                <w:vertAlign w:val="superscript"/>
              </w:rPr>
              <w:t>1</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6%</w:t>
            </w:r>
          </w:p>
        </w:tc>
      </w:tr>
      <w:tr w:rsidR="00DA5F85" w:rsidRPr="00547ABC" w:rsidTr="00DB54EF">
        <w:trPr>
          <w:cantSplit/>
          <w:trHeight w:val="231"/>
        </w:trPr>
        <w:tc>
          <w:tcPr>
            <w:tcW w:w="854" w:type="pct"/>
            <w:vMerge/>
            <w:noWrap/>
            <w:tcMar>
              <w:left w:w="28" w:type="dxa"/>
              <w:right w:w="28" w:type="dxa"/>
            </w:tcMar>
          </w:tcPr>
          <w:p w:rsidR="00DA5F85" w:rsidRPr="00547ABC" w:rsidRDefault="00DA5F85" w:rsidP="00DA5F85">
            <w:pPr>
              <w:pStyle w:val="TableText0"/>
              <w:keepNext w:val="0"/>
              <w:widowControl w:val="0"/>
              <w:rPr>
                <w:iCs/>
                <w:sz w:val="20"/>
                <w:szCs w:val="20"/>
              </w:rPr>
            </w:pPr>
          </w:p>
        </w:tc>
        <w:tc>
          <w:tcPr>
            <w:tcW w:w="784" w:type="pct"/>
            <w:vMerge/>
            <w:tcMar>
              <w:left w:w="28" w:type="dxa"/>
              <w:right w:w="28" w:type="dxa"/>
            </w:tcMar>
          </w:tcPr>
          <w:p w:rsidR="00DA5F85" w:rsidRPr="00547ABC" w:rsidRDefault="00DA5F85" w:rsidP="00DA5F85">
            <w:pPr>
              <w:pStyle w:val="TableText0"/>
              <w:keepNext w:val="0"/>
              <w:widowControl w:val="0"/>
              <w:rPr>
                <w:iCs/>
                <w:sz w:val="20"/>
                <w:szCs w:val="20"/>
              </w:rPr>
            </w:pPr>
          </w:p>
        </w:tc>
        <w:tc>
          <w:tcPr>
            <w:tcW w:w="1172" w:type="pct"/>
            <w:noWrap/>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Year 1: 7.5% per cycle</w:t>
            </w:r>
            <w:r w:rsidRPr="00547ABC">
              <w:rPr>
                <w:iCs/>
                <w:sz w:val="20"/>
                <w:szCs w:val="20"/>
                <w:vertAlign w:val="superscript"/>
              </w:rPr>
              <w:t>1</w:t>
            </w:r>
            <w:r w:rsidRPr="00547ABC">
              <w:rPr>
                <w:iCs/>
                <w:sz w:val="20"/>
                <w:szCs w:val="20"/>
              </w:rPr>
              <w:t>; Sub Years: Doubled</w:t>
            </w:r>
            <w:r w:rsidR="00547ABC" w:rsidRPr="00547ABC">
              <w:rPr>
                <w:iCs/>
                <w:sz w:val="20"/>
                <w:szCs w:val="20"/>
              </w:rPr>
              <w:t>*</w:t>
            </w:r>
          </w:p>
        </w:tc>
        <w:tc>
          <w:tcPr>
            <w:tcW w:w="547"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iCs/>
                <w:noProof/>
                <w:color w:val="000000"/>
                <w:sz w:val="20"/>
                <w:szCs w:val="20"/>
                <w:highlight w:val="black"/>
              </w:rPr>
              <w:t>''''''''''''''</w:t>
            </w:r>
          </w:p>
        </w:tc>
        <w:tc>
          <w:tcPr>
            <w:tcW w:w="547"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0.2931</w:t>
            </w:r>
          </w:p>
        </w:tc>
        <w:tc>
          <w:tcPr>
            <w:tcW w:w="513"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r w:rsidR="0081164F">
              <w:rPr>
                <w:sz w:val="20"/>
                <w:szCs w:val="20"/>
                <w:vertAlign w:val="superscript"/>
              </w:rPr>
              <w:t>1</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12%</w:t>
            </w:r>
          </w:p>
        </w:tc>
      </w:tr>
      <w:tr w:rsidR="00DA5F85" w:rsidRPr="00547ABC" w:rsidTr="00DB54EF">
        <w:trPr>
          <w:cantSplit/>
          <w:trHeight w:val="231"/>
        </w:trPr>
        <w:tc>
          <w:tcPr>
            <w:tcW w:w="5000" w:type="pct"/>
            <w:gridSpan w:val="7"/>
            <w:noWrap/>
            <w:tcMar>
              <w:left w:w="28" w:type="dxa"/>
              <w:right w:w="28" w:type="dxa"/>
            </w:tcMar>
          </w:tcPr>
          <w:p w:rsidR="00DA5F85" w:rsidRPr="00547ABC" w:rsidRDefault="00DA5F85" w:rsidP="00DA5F85">
            <w:pPr>
              <w:pStyle w:val="TableText0"/>
              <w:keepNext w:val="0"/>
              <w:widowControl w:val="0"/>
              <w:rPr>
                <w:b/>
                <w:bCs w:val="0"/>
                <w:sz w:val="20"/>
                <w:szCs w:val="20"/>
              </w:rPr>
            </w:pPr>
            <w:r w:rsidRPr="00547ABC">
              <w:rPr>
                <w:b/>
                <w:bCs w:val="0"/>
                <w:sz w:val="20"/>
                <w:szCs w:val="20"/>
              </w:rPr>
              <w:t xml:space="preserve">Resource utilisation and cost inputs </w:t>
            </w:r>
          </w:p>
        </w:tc>
      </w:tr>
      <w:tr w:rsidR="00DA5F85" w:rsidRPr="00547ABC" w:rsidTr="00DB54EF">
        <w:trPr>
          <w:cantSplit/>
          <w:trHeight w:val="231"/>
        </w:trPr>
        <w:tc>
          <w:tcPr>
            <w:tcW w:w="854" w:type="pct"/>
            <w:vMerge w:val="restar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Dilation costs (endoscopy)</w:t>
            </w:r>
          </w:p>
        </w:tc>
        <w:tc>
          <w:tcPr>
            <w:tcW w:w="784" w:type="pct"/>
            <w:vMerge w:val="restart"/>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$1,938.60</w:t>
            </w: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 xml:space="preserve">Double </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0.4770</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sz w:val="20"/>
                <w:szCs w:val="20"/>
                <w:vertAlign w:val="superscript"/>
              </w:rPr>
              <w:t>3</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-24%</w:t>
            </w:r>
          </w:p>
        </w:tc>
      </w:tr>
      <w:tr w:rsidR="00DA5F85" w:rsidRPr="00547ABC" w:rsidTr="00DB54EF">
        <w:trPr>
          <w:cantSplit/>
          <w:trHeight w:val="231"/>
        </w:trPr>
        <w:tc>
          <w:tcPr>
            <w:tcW w:w="854" w:type="pct"/>
            <w:vMerge/>
            <w:noWrap/>
            <w:tcMar>
              <w:left w:w="28" w:type="dxa"/>
              <w:right w:w="28" w:type="dxa"/>
            </w:tcMar>
          </w:tcPr>
          <w:p w:rsidR="00DA5F85" w:rsidRPr="0053304A" w:rsidRDefault="00DA5F85" w:rsidP="00DA5F85">
            <w:pPr>
              <w:pStyle w:val="TableText0"/>
              <w:keepNext w:val="0"/>
              <w:widowControl w:val="0"/>
              <w:rPr>
                <w:sz w:val="20"/>
                <w:szCs w:val="20"/>
              </w:rPr>
            </w:pPr>
          </w:p>
        </w:tc>
        <w:tc>
          <w:tcPr>
            <w:tcW w:w="784" w:type="pct"/>
            <w:vMerge/>
            <w:tcMar>
              <w:left w:w="28" w:type="dxa"/>
              <w:right w:w="28" w:type="dxa"/>
            </w:tcMar>
          </w:tcPr>
          <w:p w:rsidR="00DA5F85" w:rsidRPr="0053304A" w:rsidRDefault="00DA5F85" w:rsidP="00DA5F85">
            <w:pPr>
              <w:pStyle w:val="TableText0"/>
              <w:keepNext w:val="0"/>
              <w:widowControl w:val="0"/>
              <w:rPr>
                <w:sz w:val="20"/>
                <w:szCs w:val="20"/>
              </w:rPr>
            </w:pP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Increased 50%</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0.4770</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sz w:val="20"/>
                <w:szCs w:val="20"/>
                <w:vertAlign w:val="superscript"/>
              </w:rPr>
              <w:t>3</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-12%</w:t>
            </w:r>
          </w:p>
        </w:tc>
      </w:tr>
      <w:tr w:rsidR="00DA5F85" w:rsidRPr="00547ABC" w:rsidTr="00DB54EF">
        <w:trPr>
          <w:cantSplit/>
          <w:trHeight w:val="231"/>
        </w:trPr>
        <w:tc>
          <w:tcPr>
            <w:tcW w:w="854" w:type="pct"/>
            <w:vMerge/>
            <w:noWrap/>
            <w:tcMar>
              <w:left w:w="28" w:type="dxa"/>
              <w:right w:w="28" w:type="dxa"/>
            </w:tcMar>
          </w:tcPr>
          <w:p w:rsidR="00DA5F85" w:rsidRPr="0053304A" w:rsidRDefault="00DA5F85" w:rsidP="00DA5F85">
            <w:pPr>
              <w:pStyle w:val="TableText0"/>
              <w:keepNext w:val="0"/>
              <w:widowControl w:val="0"/>
              <w:rPr>
                <w:sz w:val="20"/>
                <w:szCs w:val="20"/>
              </w:rPr>
            </w:pPr>
          </w:p>
        </w:tc>
        <w:tc>
          <w:tcPr>
            <w:tcW w:w="784" w:type="pct"/>
            <w:vMerge/>
            <w:tcMar>
              <w:left w:w="28" w:type="dxa"/>
              <w:right w:w="28" w:type="dxa"/>
            </w:tcMar>
          </w:tcPr>
          <w:p w:rsidR="00DA5F85" w:rsidRPr="0053304A" w:rsidRDefault="00DA5F85" w:rsidP="00DA5F85">
            <w:pPr>
              <w:pStyle w:val="TableText0"/>
              <w:keepNext w:val="0"/>
              <w:widowControl w:val="0"/>
              <w:rPr>
                <w:sz w:val="20"/>
                <w:szCs w:val="20"/>
              </w:rPr>
            </w:pP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 xml:space="preserve">Decreased 50% </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0.4770</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sz w:val="20"/>
                <w:szCs w:val="20"/>
                <w:vertAlign w:val="superscript"/>
              </w:rPr>
              <w:t>1</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12%</w:t>
            </w:r>
          </w:p>
        </w:tc>
      </w:tr>
      <w:tr w:rsidR="00DA5F85" w:rsidRPr="00547ABC" w:rsidTr="00DB54EF">
        <w:trPr>
          <w:cantSplit/>
          <w:trHeight w:val="231"/>
        </w:trPr>
        <w:tc>
          <w:tcPr>
            <w:tcW w:w="854" w:type="pct"/>
            <w:vMerge/>
            <w:noWrap/>
            <w:tcMar>
              <w:left w:w="28" w:type="dxa"/>
              <w:right w:w="28" w:type="dxa"/>
            </w:tcMar>
          </w:tcPr>
          <w:p w:rsidR="00DA5F85" w:rsidRPr="0053304A" w:rsidRDefault="00DA5F85" w:rsidP="00DA5F85">
            <w:pPr>
              <w:pStyle w:val="TableText0"/>
              <w:keepNext w:val="0"/>
              <w:widowControl w:val="0"/>
              <w:rPr>
                <w:sz w:val="20"/>
                <w:szCs w:val="20"/>
              </w:rPr>
            </w:pPr>
          </w:p>
        </w:tc>
        <w:tc>
          <w:tcPr>
            <w:tcW w:w="784" w:type="pct"/>
            <w:vMerge/>
            <w:tcMar>
              <w:left w:w="28" w:type="dxa"/>
              <w:right w:w="28" w:type="dxa"/>
            </w:tcMar>
          </w:tcPr>
          <w:p w:rsidR="00DA5F85" w:rsidRPr="0053304A" w:rsidRDefault="00DA5F85" w:rsidP="00DA5F85">
            <w:pPr>
              <w:pStyle w:val="TableText0"/>
              <w:keepNext w:val="0"/>
              <w:widowControl w:val="0"/>
              <w:rPr>
                <w:sz w:val="20"/>
                <w:szCs w:val="20"/>
              </w:rPr>
            </w:pP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Removed</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0.4770</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sz w:val="20"/>
                <w:szCs w:val="20"/>
                <w:vertAlign w:val="superscript"/>
              </w:rPr>
              <w:t>1</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24%</w:t>
            </w:r>
          </w:p>
        </w:tc>
      </w:tr>
      <w:tr w:rsidR="00DA5F85" w:rsidRPr="00547ABC" w:rsidTr="00DB54EF">
        <w:trPr>
          <w:cantSplit/>
          <w:trHeight w:val="231"/>
        </w:trPr>
        <w:tc>
          <w:tcPr>
            <w:tcW w:w="854" w:type="pct"/>
            <w:noWrap/>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Dilation utilisation</w:t>
            </w:r>
          </w:p>
        </w:tc>
        <w:tc>
          <w:tcPr>
            <w:tcW w:w="784" w:type="pct"/>
            <w:tcMar>
              <w:left w:w="28" w:type="dxa"/>
              <w:right w:w="28" w:type="dxa"/>
            </w:tcMar>
          </w:tcPr>
          <w:p w:rsidR="00DA5F85" w:rsidRPr="00547ABC" w:rsidRDefault="00DA5F85" w:rsidP="00DA5F85">
            <w:pPr>
              <w:pStyle w:val="TableText0"/>
              <w:keepNext w:val="0"/>
              <w:widowControl w:val="0"/>
              <w:rPr>
                <w:sz w:val="20"/>
                <w:szCs w:val="20"/>
              </w:rPr>
            </w:pPr>
            <w:r w:rsidRPr="00547ABC">
              <w:rPr>
                <w:iCs/>
                <w:sz w:val="20"/>
                <w:szCs w:val="20"/>
              </w:rPr>
              <w:t>Applied to 30% of patients</w:t>
            </w:r>
          </w:p>
        </w:tc>
        <w:tc>
          <w:tcPr>
            <w:tcW w:w="1172" w:type="pct"/>
            <w:noWrap/>
            <w:tcMar>
              <w:left w:w="28" w:type="dxa"/>
              <w:right w:w="28" w:type="dxa"/>
            </w:tcMar>
          </w:tcPr>
          <w:p w:rsidR="00DA5F85" w:rsidRPr="00547ABC" w:rsidRDefault="00DA5F85" w:rsidP="00DA5F85">
            <w:pPr>
              <w:pStyle w:val="TableText0"/>
              <w:keepNext w:val="0"/>
              <w:widowControl w:val="0"/>
              <w:rPr>
                <w:sz w:val="20"/>
                <w:szCs w:val="20"/>
              </w:rPr>
            </w:pPr>
            <w:r w:rsidRPr="00547ABC">
              <w:rPr>
                <w:iCs/>
                <w:sz w:val="20"/>
                <w:szCs w:val="20"/>
              </w:rPr>
              <w:t>Removed 30%</w:t>
            </w:r>
            <w:r w:rsidR="00547ABC" w:rsidRPr="00547ABC">
              <w:rPr>
                <w:iCs/>
                <w:sz w:val="20"/>
                <w:szCs w:val="20"/>
              </w:rPr>
              <w:t>*</w:t>
            </w:r>
          </w:p>
        </w:tc>
        <w:tc>
          <w:tcPr>
            <w:tcW w:w="547" w:type="pct"/>
            <w:noWrap/>
            <w:tcMar>
              <w:left w:w="28" w:type="dxa"/>
              <w:right w:w="28" w:type="dxa"/>
            </w:tcMar>
          </w:tcPr>
          <w:p w:rsidR="00DA5F85" w:rsidRPr="00547ABC" w:rsidRDefault="00DA5F85" w:rsidP="00DA5F85">
            <w:pPr>
              <w:pStyle w:val="TableText0"/>
              <w:keepNext w:val="0"/>
              <w:widowControl w:val="0"/>
              <w:jc w:val="center"/>
              <w:rPr>
                <w:sz w:val="20"/>
                <w:szCs w:val="20"/>
              </w:rPr>
            </w:pPr>
            <w:r w:rsidRPr="00547ABC">
              <w:rPr>
                <w:iCs/>
                <w:sz w:val="20"/>
                <w:szCs w:val="20"/>
              </w:rPr>
              <w:t>$</w:t>
            </w:r>
            <w:r w:rsidR="00D02986">
              <w:rPr>
                <w:iCs/>
                <w:noProof/>
                <w:color w:val="000000"/>
                <w:sz w:val="20"/>
                <w:szCs w:val="20"/>
                <w:highlight w:val="black"/>
              </w:rPr>
              <w:t>''''''''''''</w:t>
            </w:r>
          </w:p>
        </w:tc>
        <w:tc>
          <w:tcPr>
            <w:tcW w:w="547" w:type="pct"/>
            <w:tcMar>
              <w:left w:w="28" w:type="dxa"/>
              <w:right w:w="28" w:type="dxa"/>
            </w:tcMar>
          </w:tcPr>
          <w:p w:rsidR="00DA5F85" w:rsidRPr="00547ABC" w:rsidRDefault="00DA5F85" w:rsidP="00DA5F85">
            <w:pPr>
              <w:pStyle w:val="TableText0"/>
              <w:keepNext w:val="0"/>
              <w:widowControl w:val="0"/>
              <w:jc w:val="center"/>
              <w:rPr>
                <w:sz w:val="20"/>
                <w:szCs w:val="20"/>
              </w:rPr>
            </w:pPr>
            <w:r w:rsidRPr="00547ABC">
              <w:rPr>
                <w:iCs/>
                <w:sz w:val="20"/>
                <w:szCs w:val="20"/>
              </w:rPr>
              <w:t>0.4770</w:t>
            </w:r>
          </w:p>
        </w:tc>
        <w:tc>
          <w:tcPr>
            <w:tcW w:w="513" w:type="pct"/>
            <w:noWrap/>
            <w:tcMar>
              <w:left w:w="28" w:type="dxa"/>
              <w:right w:w="28" w:type="dxa"/>
            </w:tcMar>
          </w:tcPr>
          <w:p w:rsidR="00DA5F85" w:rsidRPr="00547ABC" w:rsidRDefault="00DA5F85" w:rsidP="00DA5F85">
            <w:pPr>
              <w:pStyle w:val="TableText0"/>
              <w:keepNext w:val="0"/>
              <w:widowControl w:val="0"/>
              <w:jc w:val="center"/>
              <w:rPr>
                <w:sz w:val="20"/>
                <w:szCs w:val="20"/>
              </w:rPr>
            </w:pPr>
            <w:r w:rsidRPr="00547ABC">
              <w:rPr>
                <w:iCs/>
                <w:sz w:val="20"/>
                <w:szCs w:val="20"/>
              </w:rPr>
              <w:t>$</w:t>
            </w:r>
            <w:r w:rsidR="00D02986">
              <w:rPr>
                <w:noProof/>
                <w:color w:val="000000"/>
                <w:sz w:val="20"/>
                <w:szCs w:val="20"/>
                <w:highlight w:val="black"/>
              </w:rPr>
              <w:t>'''''''''''''''''</w:t>
            </w:r>
            <w:r w:rsidR="0081164F">
              <w:rPr>
                <w:sz w:val="20"/>
                <w:szCs w:val="20"/>
                <w:vertAlign w:val="superscript"/>
              </w:rPr>
              <w:t>4</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-55%</w:t>
            </w:r>
          </w:p>
        </w:tc>
      </w:tr>
      <w:tr w:rsidR="00DA5F85" w:rsidRPr="00547ABC" w:rsidTr="00DB54EF">
        <w:trPr>
          <w:cantSplit/>
          <w:trHeight w:val="231"/>
        </w:trPr>
        <w:tc>
          <w:tcPr>
            <w:tcW w:w="5000" w:type="pct"/>
            <w:gridSpan w:val="7"/>
            <w:noWrap/>
            <w:tcMar>
              <w:left w:w="28" w:type="dxa"/>
              <w:right w:w="28" w:type="dxa"/>
            </w:tcMar>
          </w:tcPr>
          <w:p w:rsidR="00DA5F85" w:rsidRPr="00547ABC" w:rsidRDefault="00DA5F85" w:rsidP="00DA5F85">
            <w:pPr>
              <w:pStyle w:val="TableText0"/>
              <w:keepNext w:val="0"/>
              <w:widowControl w:val="0"/>
              <w:rPr>
                <w:b/>
                <w:bCs w:val="0"/>
                <w:sz w:val="20"/>
                <w:szCs w:val="20"/>
              </w:rPr>
            </w:pPr>
            <w:r w:rsidRPr="00547ABC">
              <w:rPr>
                <w:b/>
                <w:bCs w:val="0"/>
                <w:sz w:val="20"/>
                <w:szCs w:val="20"/>
              </w:rPr>
              <w:t xml:space="preserve">Utility inputs </w:t>
            </w:r>
          </w:p>
        </w:tc>
      </w:tr>
      <w:tr w:rsidR="00DA5F85" w:rsidRPr="00547ABC" w:rsidTr="00DB54EF">
        <w:trPr>
          <w:cantSplit/>
          <w:trHeight w:val="434"/>
        </w:trPr>
        <w:tc>
          <w:tcPr>
            <w:tcW w:w="854" w:type="pct"/>
            <w:vMerge w:val="restar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 xml:space="preserve">Utility estimates </w:t>
            </w:r>
          </w:p>
        </w:tc>
        <w:tc>
          <w:tcPr>
            <w:tcW w:w="784" w:type="pct"/>
            <w:vMerge w:val="restart"/>
            <w:tcMar>
              <w:left w:w="28" w:type="dxa"/>
              <w:right w:w="28" w:type="dxa"/>
            </w:tcMar>
          </w:tcPr>
          <w:p w:rsidR="00DA5F85" w:rsidRPr="00547ABC" w:rsidRDefault="00DA5F85" w:rsidP="00DA5F85">
            <w:pPr>
              <w:pStyle w:val="TableText0"/>
              <w:keepNext w:val="0"/>
              <w:widowControl w:val="0"/>
              <w:rPr>
                <w:sz w:val="20"/>
                <w:szCs w:val="20"/>
              </w:rPr>
            </w:pPr>
            <w:r w:rsidRPr="00547ABC">
              <w:rPr>
                <w:iCs/>
                <w:sz w:val="20"/>
                <w:szCs w:val="20"/>
              </w:rPr>
              <w:t>0.609</w:t>
            </w:r>
            <w:r w:rsidRPr="00547ABC">
              <w:rPr>
                <w:iCs/>
                <w:sz w:val="20"/>
                <w:szCs w:val="20"/>
                <w:vertAlign w:val="superscript"/>
              </w:rPr>
              <w:t>a</w:t>
            </w:r>
            <w:r w:rsidRPr="00547ABC">
              <w:rPr>
                <w:sz w:val="20"/>
                <w:szCs w:val="20"/>
              </w:rPr>
              <w:t xml:space="preserve"> and </w:t>
            </w:r>
            <w:r w:rsidRPr="00547ABC">
              <w:rPr>
                <w:iCs/>
                <w:sz w:val="20"/>
                <w:szCs w:val="20"/>
              </w:rPr>
              <w:t>0.780</w:t>
            </w:r>
            <w:r w:rsidRPr="00547ABC">
              <w:rPr>
                <w:iCs/>
                <w:sz w:val="20"/>
                <w:szCs w:val="20"/>
                <w:vertAlign w:val="superscript"/>
              </w:rPr>
              <w:t>a</w:t>
            </w:r>
            <w:r w:rsidRPr="00547ABC">
              <w:rPr>
                <w:sz w:val="20"/>
                <w:szCs w:val="20"/>
                <w:vertAlign w:val="superscript"/>
              </w:rPr>
              <w:t xml:space="preserve"> </w:t>
            </w:r>
            <w:r w:rsidRPr="00547ABC">
              <w:rPr>
                <w:sz w:val="20"/>
                <w:szCs w:val="20"/>
              </w:rPr>
              <w:t>(EoE survey sex adjusted)</w:t>
            </w: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0.70 and 0.95 (Cotton 2015)</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0.6974</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sz w:val="20"/>
                <w:szCs w:val="20"/>
                <w:vertAlign w:val="superscript"/>
              </w:rPr>
              <w:t>3</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-32%</w:t>
            </w:r>
          </w:p>
        </w:tc>
      </w:tr>
      <w:tr w:rsidR="00DA5F85" w:rsidRPr="00547ABC" w:rsidTr="00DB54EF">
        <w:trPr>
          <w:cantSplit/>
          <w:trHeight w:val="434"/>
        </w:trPr>
        <w:tc>
          <w:tcPr>
            <w:tcW w:w="854" w:type="pct"/>
            <w:vMerge/>
            <w:noWrap/>
            <w:tcMar>
              <w:left w:w="28" w:type="dxa"/>
              <w:right w:w="28" w:type="dxa"/>
            </w:tcMar>
          </w:tcPr>
          <w:p w:rsidR="00DA5F85" w:rsidRPr="0053304A" w:rsidRDefault="00DA5F85" w:rsidP="00DA5F85">
            <w:pPr>
              <w:pStyle w:val="TableText0"/>
              <w:keepNext w:val="0"/>
              <w:widowControl w:val="0"/>
              <w:rPr>
                <w:sz w:val="20"/>
                <w:szCs w:val="20"/>
              </w:rPr>
            </w:pPr>
          </w:p>
        </w:tc>
        <w:tc>
          <w:tcPr>
            <w:tcW w:w="784" w:type="pct"/>
            <w:vMerge/>
            <w:tcMar>
              <w:left w:w="28" w:type="dxa"/>
              <w:right w:w="28" w:type="dxa"/>
            </w:tcMar>
          </w:tcPr>
          <w:p w:rsidR="00DA5F85" w:rsidRPr="0053304A" w:rsidRDefault="00DA5F85" w:rsidP="00DA5F85">
            <w:pPr>
              <w:pStyle w:val="TableText0"/>
              <w:keepNext w:val="0"/>
              <w:widowControl w:val="0"/>
              <w:rPr>
                <w:sz w:val="20"/>
                <w:szCs w:val="20"/>
              </w:rPr>
            </w:pP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0.89 and 0.93 (Cotton 2017)</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0.1116</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sz w:val="20"/>
                <w:szCs w:val="20"/>
                <w:vertAlign w:val="superscript"/>
              </w:rPr>
              <w:t>5</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327%</w:t>
            </w:r>
          </w:p>
        </w:tc>
      </w:tr>
      <w:tr w:rsidR="00DA5F85" w:rsidRPr="00547ABC" w:rsidTr="00DB54EF">
        <w:trPr>
          <w:cantSplit/>
          <w:trHeight w:val="449"/>
        </w:trPr>
        <w:tc>
          <w:tcPr>
            <w:tcW w:w="854" w:type="pct"/>
            <w:vMerge/>
            <w:noWrap/>
            <w:tcMar>
              <w:left w:w="28" w:type="dxa"/>
              <w:right w:w="28" w:type="dxa"/>
            </w:tcMar>
          </w:tcPr>
          <w:p w:rsidR="00DA5F85" w:rsidRPr="0053304A" w:rsidRDefault="00DA5F85" w:rsidP="00DA5F85">
            <w:pPr>
              <w:pStyle w:val="TableText0"/>
              <w:keepNext w:val="0"/>
              <w:widowControl w:val="0"/>
              <w:rPr>
                <w:sz w:val="20"/>
                <w:szCs w:val="20"/>
              </w:rPr>
            </w:pPr>
          </w:p>
        </w:tc>
        <w:tc>
          <w:tcPr>
            <w:tcW w:w="784" w:type="pct"/>
            <w:vMerge/>
            <w:tcMar>
              <w:left w:w="28" w:type="dxa"/>
              <w:right w:w="28" w:type="dxa"/>
            </w:tcMar>
          </w:tcPr>
          <w:p w:rsidR="00DA5F85" w:rsidRPr="0053304A" w:rsidRDefault="00DA5F85" w:rsidP="00DA5F85">
            <w:pPr>
              <w:pStyle w:val="TableText0"/>
              <w:keepNext w:val="0"/>
              <w:widowControl w:val="0"/>
              <w:rPr>
                <w:sz w:val="20"/>
                <w:szCs w:val="20"/>
              </w:rPr>
            </w:pP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0.94 and 1.00 (Miller 2011)</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0.1674</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sz w:val="20"/>
                <w:szCs w:val="20"/>
                <w:vertAlign w:val="superscript"/>
              </w:rPr>
              <w:t>6</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185%</w:t>
            </w:r>
          </w:p>
        </w:tc>
      </w:tr>
      <w:tr w:rsidR="00DA5F85" w:rsidRPr="00547ABC" w:rsidTr="00DB54EF">
        <w:trPr>
          <w:cantSplit/>
          <w:trHeight w:val="653"/>
        </w:trPr>
        <w:tc>
          <w:tcPr>
            <w:tcW w:w="854" w:type="pct"/>
            <w:vMerge/>
            <w:noWrap/>
            <w:tcMar>
              <w:left w:w="28" w:type="dxa"/>
              <w:right w:w="28" w:type="dxa"/>
            </w:tcMar>
          </w:tcPr>
          <w:p w:rsidR="00DA5F85" w:rsidRPr="0053304A" w:rsidRDefault="00DA5F85" w:rsidP="00DA5F85">
            <w:pPr>
              <w:pStyle w:val="TableText0"/>
              <w:keepNext w:val="0"/>
              <w:widowControl w:val="0"/>
              <w:rPr>
                <w:sz w:val="20"/>
                <w:szCs w:val="20"/>
              </w:rPr>
            </w:pPr>
          </w:p>
        </w:tc>
        <w:tc>
          <w:tcPr>
            <w:tcW w:w="784" w:type="pct"/>
            <w:vMerge/>
            <w:tcMar>
              <w:left w:w="28" w:type="dxa"/>
              <w:right w:w="28" w:type="dxa"/>
            </w:tcMar>
          </w:tcPr>
          <w:p w:rsidR="00DA5F85" w:rsidRPr="0053304A" w:rsidRDefault="00DA5F85" w:rsidP="00DA5F85">
            <w:pPr>
              <w:pStyle w:val="TableText0"/>
              <w:keepNext w:val="0"/>
              <w:widowControl w:val="0"/>
              <w:rPr>
                <w:sz w:val="20"/>
                <w:szCs w:val="20"/>
              </w:rPr>
            </w:pP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0.543 and 0.798 (EoE survey crude)</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0.7114</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sz w:val="20"/>
                <w:szCs w:val="20"/>
                <w:vertAlign w:val="superscript"/>
              </w:rPr>
              <w:t>3</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-33%</w:t>
            </w:r>
          </w:p>
        </w:tc>
      </w:tr>
      <w:tr w:rsidR="00DA5F85" w:rsidRPr="00547ABC" w:rsidTr="00DB54EF">
        <w:trPr>
          <w:cantSplit/>
          <w:trHeight w:val="449"/>
        </w:trPr>
        <w:tc>
          <w:tcPr>
            <w:tcW w:w="854" w:type="pct"/>
            <w:vMerge/>
            <w:noWrap/>
            <w:tcMar>
              <w:left w:w="28" w:type="dxa"/>
              <w:right w:w="28" w:type="dxa"/>
            </w:tcMar>
          </w:tcPr>
          <w:p w:rsidR="00DA5F85" w:rsidRPr="0053304A" w:rsidRDefault="00DA5F85" w:rsidP="00DA5F85">
            <w:pPr>
              <w:pStyle w:val="TableText0"/>
              <w:keepNext w:val="0"/>
              <w:widowControl w:val="0"/>
              <w:rPr>
                <w:sz w:val="20"/>
                <w:szCs w:val="20"/>
              </w:rPr>
            </w:pPr>
          </w:p>
        </w:tc>
        <w:tc>
          <w:tcPr>
            <w:tcW w:w="784" w:type="pct"/>
            <w:vMerge/>
            <w:tcMar>
              <w:left w:w="28" w:type="dxa"/>
              <w:right w:w="28" w:type="dxa"/>
            </w:tcMar>
          </w:tcPr>
          <w:p w:rsidR="00DA5F85" w:rsidRPr="0053304A" w:rsidRDefault="00DA5F85" w:rsidP="00DA5F85">
            <w:pPr>
              <w:pStyle w:val="TableText0"/>
              <w:keepNext w:val="0"/>
              <w:widowControl w:val="0"/>
              <w:rPr>
                <w:sz w:val="20"/>
                <w:szCs w:val="20"/>
              </w:rPr>
            </w:pP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0.907 and 0.971 (Goodwin 2020)</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0.1785</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iCs/>
                <w:sz w:val="20"/>
                <w:szCs w:val="20"/>
                <w:vertAlign w:val="superscript"/>
              </w:rPr>
              <w:t>7</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167%</w:t>
            </w:r>
          </w:p>
        </w:tc>
      </w:tr>
      <w:tr w:rsidR="00DA5F85" w:rsidRPr="00547ABC" w:rsidTr="00DB54EF">
        <w:trPr>
          <w:cantSplit/>
          <w:trHeight w:val="231"/>
        </w:trPr>
        <w:tc>
          <w:tcPr>
            <w:tcW w:w="5000" w:type="pct"/>
            <w:gridSpan w:val="7"/>
            <w:noWrap/>
            <w:tcMar>
              <w:left w:w="28" w:type="dxa"/>
              <w:right w:w="28" w:type="dxa"/>
            </w:tcMar>
          </w:tcPr>
          <w:p w:rsidR="00DA5F85" w:rsidRPr="00547ABC" w:rsidRDefault="00DA5F85" w:rsidP="00DA5F85">
            <w:pPr>
              <w:pStyle w:val="TableText0"/>
              <w:keepNext w:val="0"/>
              <w:widowControl w:val="0"/>
              <w:rPr>
                <w:b/>
                <w:bCs w:val="0"/>
                <w:sz w:val="20"/>
                <w:szCs w:val="20"/>
              </w:rPr>
            </w:pPr>
            <w:r w:rsidRPr="00547ABC">
              <w:rPr>
                <w:b/>
                <w:bCs w:val="0"/>
                <w:sz w:val="20"/>
                <w:szCs w:val="20"/>
              </w:rPr>
              <w:t>Other inputs</w:t>
            </w:r>
          </w:p>
        </w:tc>
      </w:tr>
      <w:tr w:rsidR="00DA5F85" w:rsidRPr="00547ABC" w:rsidTr="00DB54EF">
        <w:trPr>
          <w:cantSplit/>
          <w:trHeight w:val="231"/>
        </w:trPr>
        <w:tc>
          <w:tcPr>
            <w:tcW w:w="854" w:type="pct"/>
            <w:vMerge w:val="restar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Model duration</w:t>
            </w:r>
          </w:p>
        </w:tc>
        <w:tc>
          <w:tcPr>
            <w:tcW w:w="784" w:type="pct"/>
            <w:vMerge w:val="restart"/>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5 years</w:t>
            </w: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1 year</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0.1239</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sz w:val="20"/>
                <w:szCs w:val="20"/>
                <w:vertAlign w:val="superscript"/>
              </w:rPr>
              <w:t>2</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56%</w:t>
            </w:r>
          </w:p>
        </w:tc>
      </w:tr>
      <w:tr w:rsidR="00DA5F85" w:rsidRPr="00547ABC" w:rsidTr="00DB54EF">
        <w:trPr>
          <w:cantSplit/>
          <w:trHeight w:val="245"/>
        </w:trPr>
        <w:tc>
          <w:tcPr>
            <w:tcW w:w="854" w:type="pct"/>
            <w:vMerge/>
            <w:noWrap/>
            <w:tcMar>
              <w:left w:w="28" w:type="dxa"/>
              <w:right w:w="28" w:type="dxa"/>
            </w:tcMar>
          </w:tcPr>
          <w:p w:rsidR="00DA5F85" w:rsidRPr="0053304A" w:rsidRDefault="00DA5F85" w:rsidP="00DA5F85">
            <w:pPr>
              <w:pStyle w:val="TableText0"/>
              <w:keepNext w:val="0"/>
              <w:widowControl w:val="0"/>
              <w:rPr>
                <w:szCs w:val="20"/>
              </w:rPr>
            </w:pPr>
          </w:p>
        </w:tc>
        <w:tc>
          <w:tcPr>
            <w:tcW w:w="784" w:type="pct"/>
            <w:vMerge/>
            <w:tcMar>
              <w:left w:w="28" w:type="dxa"/>
              <w:right w:w="28" w:type="dxa"/>
            </w:tcMar>
          </w:tcPr>
          <w:p w:rsidR="00DA5F85" w:rsidRPr="0053304A" w:rsidRDefault="00DA5F85" w:rsidP="00DA5F85">
            <w:pPr>
              <w:pStyle w:val="TableText0"/>
              <w:keepNext w:val="0"/>
              <w:widowControl w:val="0"/>
              <w:rPr>
                <w:szCs w:val="20"/>
              </w:rPr>
            </w:pPr>
          </w:p>
        </w:tc>
        <w:tc>
          <w:tcPr>
            <w:tcW w:w="1172" w:type="pct"/>
            <w:noWrap/>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2 years</w:t>
            </w:r>
            <w:r w:rsidR="00547ABC" w:rsidRPr="00547ABC">
              <w:rPr>
                <w:iCs/>
                <w:sz w:val="20"/>
                <w:szCs w:val="20"/>
              </w:rPr>
              <w:t>*</w:t>
            </w:r>
          </w:p>
        </w:tc>
        <w:tc>
          <w:tcPr>
            <w:tcW w:w="547"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iCs/>
                <w:noProof/>
                <w:color w:val="000000"/>
                <w:sz w:val="20"/>
                <w:szCs w:val="20"/>
                <w:highlight w:val="black"/>
              </w:rPr>
              <w:t>'''''''''''''</w:t>
            </w:r>
          </w:p>
        </w:tc>
        <w:tc>
          <w:tcPr>
            <w:tcW w:w="547"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0.2434</w:t>
            </w:r>
          </w:p>
        </w:tc>
        <w:tc>
          <w:tcPr>
            <w:tcW w:w="513"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r w:rsidR="0081164F">
              <w:rPr>
                <w:sz w:val="20"/>
                <w:szCs w:val="20"/>
                <w:vertAlign w:val="superscript"/>
              </w:rPr>
              <w:t>1</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19%</w:t>
            </w:r>
          </w:p>
        </w:tc>
      </w:tr>
      <w:tr w:rsidR="00DA5F85" w:rsidRPr="00547ABC" w:rsidTr="00DB54EF">
        <w:trPr>
          <w:cantSplit/>
          <w:trHeight w:val="245"/>
        </w:trPr>
        <w:tc>
          <w:tcPr>
            <w:tcW w:w="854" w:type="pct"/>
            <w:vMerge/>
            <w:noWrap/>
            <w:tcMar>
              <w:left w:w="28" w:type="dxa"/>
              <w:right w:w="28" w:type="dxa"/>
            </w:tcMar>
          </w:tcPr>
          <w:p w:rsidR="00DA5F85" w:rsidRPr="0053304A" w:rsidRDefault="00DA5F85" w:rsidP="00DA5F85">
            <w:pPr>
              <w:pStyle w:val="TableText0"/>
              <w:keepNext w:val="0"/>
              <w:widowControl w:val="0"/>
              <w:rPr>
                <w:szCs w:val="20"/>
              </w:rPr>
            </w:pPr>
          </w:p>
        </w:tc>
        <w:tc>
          <w:tcPr>
            <w:tcW w:w="784" w:type="pct"/>
            <w:vMerge/>
            <w:tcMar>
              <w:left w:w="28" w:type="dxa"/>
              <w:right w:w="28" w:type="dxa"/>
            </w:tcMar>
          </w:tcPr>
          <w:p w:rsidR="00DA5F85" w:rsidRPr="0053304A" w:rsidRDefault="00DA5F85" w:rsidP="00DA5F85">
            <w:pPr>
              <w:pStyle w:val="TableText0"/>
              <w:keepNext w:val="0"/>
              <w:widowControl w:val="0"/>
              <w:rPr>
                <w:szCs w:val="20"/>
              </w:rPr>
            </w:pPr>
          </w:p>
        </w:tc>
        <w:tc>
          <w:tcPr>
            <w:tcW w:w="1172" w:type="pct"/>
            <w:noWrap/>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3 years</w:t>
            </w:r>
            <w:r w:rsidR="00547ABC" w:rsidRPr="00547ABC">
              <w:rPr>
                <w:iCs/>
                <w:sz w:val="20"/>
                <w:szCs w:val="20"/>
              </w:rPr>
              <w:t>*</w:t>
            </w:r>
            <w:r w:rsidRPr="00547ABC">
              <w:rPr>
                <w:iCs/>
                <w:sz w:val="20"/>
                <w:szCs w:val="20"/>
              </w:rPr>
              <w:t xml:space="preserve"> </w:t>
            </w:r>
          </w:p>
        </w:tc>
        <w:tc>
          <w:tcPr>
            <w:tcW w:w="547"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iCs/>
                <w:noProof/>
                <w:color w:val="000000"/>
                <w:sz w:val="20"/>
                <w:szCs w:val="20"/>
                <w:highlight w:val="black"/>
              </w:rPr>
              <w:t>''''''''''''''''</w:t>
            </w:r>
          </w:p>
        </w:tc>
        <w:tc>
          <w:tcPr>
            <w:tcW w:w="547"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0.3391</w:t>
            </w:r>
          </w:p>
        </w:tc>
        <w:tc>
          <w:tcPr>
            <w:tcW w:w="513"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r w:rsidR="0081164F">
              <w:rPr>
                <w:sz w:val="20"/>
                <w:szCs w:val="20"/>
                <w:vertAlign w:val="superscript"/>
              </w:rPr>
              <w:t>1</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8%</w:t>
            </w:r>
          </w:p>
        </w:tc>
      </w:tr>
      <w:tr w:rsidR="00DA5F85" w:rsidRPr="00547ABC" w:rsidTr="00DB54EF">
        <w:trPr>
          <w:cantSplit/>
          <w:trHeight w:val="245"/>
        </w:trPr>
        <w:tc>
          <w:tcPr>
            <w:tcW w:w="854" w:type="pct"/>
            <w:vMerge/>
            <w:noWrap/>
            <w:tcMar>
              <w:left w:w="28" w:type="dxa"/>
              <w:right w:w="28" w:type="dxa"/>
            </w:tcMar>
          </w:tcPr>
          <w:p w:rsidR="00DA5F85" w:rsidRPr="0053304A" w:rsidRDefault="00DA5F85" w:rsidP="00DA5F85">
            <w:pPr>
              <w:pStyle w:val="TableText0"/>
              <w:keepNext w:val="0"/>
              <w:widowControl w:val="0"/>
              <w:rPr>
                <w:szCs w:val="20"/>
              </w:rPr>
            </w:pPr>
          </w:p>
        </w:tc>
        <w:tc>
          <w:tcPr>
            <w:tcW w:w="784" w:type="pct"/>
            <w:vMerge/>
            <w:tcMar>
              <w:left w:w="28" w:type="dxa"/>
              <w:right w:w="28" w:type="dxa"/>
            </w:tcMar>
          </w:tcPr>
          <w:p w:rsidR="00DA5F85" w:rsidRPr="0053304A" w:rsidRDefault="00DA5F85" w:rsidP="00DA5F85">
            <w:pPr>
              <w:pStyle w:val="TableText0"/>
              <w:keepNext w:val="0"/>
              <w:widowControl w:val="0"/>
              <w:rPr>
                <w:szCs w:val="20"/>
              </w:rPr>
            </w:pPr>
          </w:p>
        </w:tc>
        <w:tc>
          <w:tcPr>
            <w:tcW w:w="1172" w:type="pct"/>
            <w:noWrap/>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4 years</w:t>
            </w:r>
            <w:r w:rsidR="00547ABC" w:rsidRPr="00547ABC">
              <w:rPr>
                <w:iCs/>
                <w:sz w:val="20"/>
                <w:szCs w:val="20"/>
              </w:rPr>
              <w:t>*</w:t>
            </w:r>
          </w:p>
        </w:tc>
        <w:tc>
          <w:tcPr>
            <w:tcW w:w="547"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iCs/>
                <w:noProof/>
                <w:color w:val="000000"/>
                <w:sz w:val="20"/>
                <w:szCs w:val="20"/>
                <w:highlight w:val="black"/>
              </w:rPr>
              <w:t>''''''''''''''''''</w:t>
            </w:r>
          </w:p>
        </w:tc>
        <w:tc>
          <w:tcPr>
            <w:tcW w:w="547"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0.4157</w:t>
            </w:r>
          </w:p>
        </w:tc>
        <w:tc>
          <w:tcPr>
            <w:tcW w:w="513"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r w:rsidR="0081164F">
              <w:rPr>
                <w:sz w:val="20"/>
                <w:szCs w:val="20"/>
                <w:vertAlign w:val="superscript"/>
              </w:rPr>
              <w:t>1</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3%</w:t>
            </w:r>
          </w:p>
        </w:tc>
      </w:tr>
      <w:tr w:rsidR="00DA5F85" w:rsidRPr="00547ABC" w:rsidTr="00DB54EF">
        <w:trPr>
          <w:cantSplit/>
          <w:trHeight w:val="245"/>
        </w:trPr>
        <w:tc>
          <w:tcPr>
            <w:tcW w:w="854" w:type="pct"/>
            <w:vMerge/>
            <w:noWrap/>
            <w:tcMar>
              <w:left w:w="28" w:type="dxa"/>
              <w:right w:w="28" w:type="dxa"/>
            </w:tcMar>
          </w:tcPr>
          <w:p w:rsidR="00DA5F85" w:rsidRPr="0053304A" w:rsidRDefault="00DA5F85" w:rsidP="00DA5F85">
            <w:pPr>
              <w:pStyle w:val="TableText0"/>
              <w:keepNext w:val="0"/>
              <w:widowControl w:val="0"/>
              <w:rPr>
                <w:sz w:val="20"/>
                <w:szCs w:val="20"/>
              </w:rPr>
            </w:pPr>
          </w:p>
        </w:tc>
        <w:tc>
          <w:tcPr>
            <w:tcW w:w="784" w:type="pct"/>
            <w:vMerge/>
            <w:tcMar>
              <w:left w:w="28" w:type="dxa"/>
              <w:right w:w="28" w:type="dxa"/>
            </w:tcMar>
          </w:tcPr>
          <w:p w:rsidR="00DA5F85" w:rsidRPr="0053304A" w:rsidRDefault="00DA5F85" w:rsidP="00DA5F85">
            <w:pPr>
              <w:pStyle w:val="TableText0"/>
              <w:keepNext w:val="0"/>
              <w:widowControl w:val="0"/>
              <w:rPr>
                <w:sz w:val="20"/>
                <w:szCs w:val="20"/>
              </w:rPr>
            </w:pPr>
          </w:p>
        </w:tc>
        <w:tc>
          <w:tcPr>
            <w:tcW w:w="1172" w:type="pct"/>
            <w:noWrap/>
            <w:tcMar>
              <w:left w:w="28" w:type="dxa"/>
              <w:right w:w="28" w:type="dxa"/>
            </w:tcMar>
          </w:tcPr>
          <w:p w:rsidR="00DA5F85" w:rsidRPr="0053304A" w:rsidRDefault="00DA5F85" w:rsidP="00DA5F85">
            <w:pPr>
              <w:pStyle w:val="TableText0"/>
              <w:keepNext w:val="0"/>
              <w:widowControl w:val="0"/>
              <w:rPr>
                <w:sz w:val="20"/>
                <w:szCs w:val="20"/>
              </w:rPr>
            </w:pPr>
            <w:r w:rsidRPr="0053304A">
              <w:rPr>
                <w:sz w:val="20"/>
                <w:szCs w:val="20"/>
              </w:rPr>
              <w:t>10 years</w:t>
            </w:r>
          </w:p>
        </w:tc>
        <w:tc>
          <w:tcPr>
            <w:tcW w:w="547"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iCs/>
                <w:noProof/>
                <w:color w:val="000000"/>
                <w:sz w:val="20"/>
                <w:szCs w:val="20"/>
                <w:highlight w:val="black"/>
              </w:rPr>
              <w:t>'''''''''''''''''</w:t>
            </w:r>
          </w:p>
        </w:tc>
        <w:tc>
          <w:tcPr>
            <w:tcW w:w="547" w:type="pct"/>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0.6422</w:t>
            </w:r>
          </w:p>
        </w:tc>
        <w:tc>
          <w:tcPr>
            <w:tcW w:w="513" w:type="pct"/>
            <w:noWrap/>
            <w:tcMar>
              <w:left w:w="28" w:type="dxa"/>
              <w:right w:w="28" w:type="dxa"/>
            </w:tcMar>
          </w:tcPr>
          <w:p w:rsidR="00DA5F85" w:rsidRPr="0053304A" w:rsidRDefault="00DA5F85" w:rsidP="00DA5F85">
            <w:pPr>
              <w:pStyle w:val="TableText0"/>
              <w:keepNext w:val="0"/>
              <w:widowControl w:val="0"/>
              <w:jc w:val="center"/>
              <w:rPr>
                <w:sz w:val="20"/>
                <w:szCs w:val="20"/>
              </w:rPr>
            </w:pPr>
            <w:r w:rsidRPr="0053304A">
              <w:rPr>
                <w:sz w:val="20"/>
                <w:szCs w:val="20"/>
              </w:rPr>
              <w:t>$</w:t>
            </w:r>
            <w:r w:rsidR="00D02986">
              <w:rPr>
                <w:noProof/>
                <w:color w:val="000000"/>
                <w:sz w:val="20"/>
                <w:szCs w:val="20"/>
                <w:highlight w:val="black"/>
              </w:rPr>
              <w:t>''''''''''''''''</w:t>
            </w:r>
            <w:r w:rsidR="0081164F">
              <w:rPr>
                <w:sz w:val="20"/>
                <w:szCs w:val="20"/>
                <w:vertAlign w:val="superscript"/>
              </w:rPr>
              <w:t>1</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-5%</w:t>
            </w:r>
          </w:p>
        </w:tc>
      </w:tr>
      <w:tr w:rsidR="00DA5F85" w:rsidRPr="00547ABC" w:rsidTr="00DB54EF">
        <w:trPr>
          <w:cantSplit/>
          <w:trHeight w:val="245"/>
        </w:trPr>
        <w:tc>
          <w:tcPr>
            <w:tcW w:w="5000" w:type="pct"/>
            <w:gridSpan w:val="7"/>
            <w:noWrap/>
            <w:tcMar>
              <w:left w:w="28" w:type="dxa"/>
              <w:right w:w="28" w:type="dxa"/>
            </w:tcMar>
          </w:tcPr>
          <w:p w:rsidR="00DA5F85" w:rsidRPr="00547ABC" w:rsidRDefault="00DA5F85" w:rsidP="00DA5F85">
            <w:pPr>
              <w:pStyle w:val="TableText0"/>
              <w:keepNext w:val="0"/>
              <w:widowControl w:val="0"/>
              <w:rPr>
                <w:b/>
                <w:bCs w:val="0"/>
                <w:iCs/>
                <w:sz w:val="20"/>
                <w:szCs w:val="20"/>
              </w:rPr>
            </w:pPr>
            <w:r w:rsidRPr="00547ABC">
              <w:rPr>
                <w:b/>
                <w:bCs w:val="0"/>
                <w:iCs/>
                <w:sz w:val="20"/>
                <w:szCs w:val="20"/>
              </w:rPr>
              <w:t>Multivariate analysis</w:t>
            </w:r>
          </w:p>
        </w:tc>
      </w:tr>
      <w:tr w:rsidR="00DA5F85" w:rsidRPr="00547ABC" w:rsidTr="00DB54EF">
        <w:trPr>
          <w:cantSplit/>
          <w:trHeight w:val="245"/>
        </w:trPr>
        <w:tc>
          <w:tcPr>
            <w:tcW w:w="854" w:type="pct"/>
            <w:noWrap/>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Multivariate analysis</w:t>
            </w:r>
          </w:p>
        </w:tc>
        <w:tc>
          <w:tcPr>
            <w:tcW w:w="1956" w:type="pct"/>
            <w:gridSpan w:val="2"/>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u w:val="single"/>
              </w:rPr>
              <w:t>Sensitivity analysis</w:t>
            </w:r>
            <w:r w:rsidRPr="00547ABC">
              <w:rPr>
                <w:iCs/>
                <w:sz w:val="20"/>
                <w:szCs w:val="20"/>
              </w:rPr>
              <w:t>: Probability H remission only becomes CH (removed), Probability losing remission with BOT each cycle during maintenance (7.5% Year 1 and Sub Years), Food impaction removal utilisation (CH: 0.007 per cycle; No remission and H only: 0.017 per cycle),</w:t>
            </w:r>
            <w:r w:rsidR="006A50CD" w:rsidRPr="00547ABC">
              <w:rPr>
                <w:iCs/>
                <w:sz w:val="20"/>
                <w:szCs w:val="20"/>
              </w:rPr>
              <w:t xml:space="preserve"> </w:t>
            </w:r>
            <w:r w:rsidRPr="00547ABC">
              <w:rPr>
                <w:iCs/>
                <w:sz w:val="20"/>
                <w:szCs w:val="20"/>
              </w:rPr>
              <w:t>Utility estimates (Goodwin 2020), Adverse events costs (included), Probability of BOT discontinuation (3.3% per cycle)</w:t>
            </w:r>
            <w:r w:rsidR="00547ABC" w:rsidRPr="00547ABC">
              <w:rPr>
                <w:iCs/>
                <w:sz w:val="20"/>
                <w:szCs w:val="20"/>
              </w:rPr>
              <w:t>*</w:t>
            </w:r>
            <w:r w:rsidRPr="00547ABC">
              <w:rPr>
                <w:iCs/>
                <w:sz w:val="20"/>
                <w:szCs w:val="20"/>
              </w:rPr>
              <w:t xml:space="preserve"> </w:t>
            </w:r>
          </w:p>
        </w:tc>
        <w:tc>
          <w:tcPr>
            <w:tcW w:w="547" w:type="pct"/>
            <w:noWrap/>
            <w:tcMar>
              <w:left w:w="28" w:type="dxa"/>
              <w:right w:w="28" w:type="dxa"/>
            </w:tcMar>
          </w:tcPr>
          <w:p w:rsidR="00DA5F85" w:rsidRPr="007F5051" w:rsidRDefault="00DA5F85" w:rsidP="00DA5F85">
            <w:pPr>
              <w:pStyle w:val="TableText0"/>
              <w:keepNext w:val="0"/>
              <w:widowControl w:val="0"/>
              <w:jc w:val="center"/>
              <w:rPr>
                <w:iCs/>
                <w:sz w:val="20"/>
                <w:szCs w:val="20"/>
              </w:rPr>
            </w:pPr>
            <w:r w:rsidRPr="007F5051">
              <w:rPr>
                <w:iCs/>
                <w:sz w:val="20"/>
                <w:szCs w:val="20"/>
              </w:rPr>
              <w:t>$</w:t>
            </w:r>
            <w:r w:rsidR="00D02986">
              <w:rPr>
                <w:iCs/>
                <w:noProof/>
                <w:color w:val="000000"/>
                <w:sz w:val="20"/>
                <w:szCs w:val="20"/>
                <w:highlight w:val="black"/>
              </w:rPr>
              <w:t>'''''''''''''</w:t>
            </w:r>
          </w:p>
        </w:tc>
        <w:tc>
          <w:tcPr>
            <w:tcW w:w="547" w:type="pct"/>
            <w:tcMar>
              <w:left w:w="28" w:type="dxa"/>
              <w:right w:w="28" w:type="dxa"/>
            </w:tcMar>
          </w:tcPr>
          <w:p w:rsidR="00DA5F85" w:rsidRPr="007F5051" w:rsidRDefault="00DA5F85" w:rsidP="00DA5F85">
            <w:pPr>
              <w:pStyle w:val="TableText0"/>
              <w:keepNext w:val="0"/>
              <w:widowControl w:val="0"/>
              <w:jc w:val="center"/>
              <w:rPr>
                <w:iCs/>
                <w:sz w:val="20"/>
                <w:szCs w:val="20"/>
              </w:rPr>
            </w:pPr>
            <w:r w:rsidRPr="007F5051">
              <w:rPr>
                <w:iCs/>
                <w:sz w:val="20"/>
                <w:szCs w:val="20"/>
              </w:rPr>
              <w:t>0.1101</w:t>
            </w:r>
          </w:p>
        </w:tc>
        <w:tc>
          <w:tcPr>
            <w:tcW w:w="513" w:type="pct"/>
            <w:noWrap/>
            <w:tcMar>
              <w:left w:w="28" w:type="dxa"/>
              <w:right w:w="28" w:type="dxa"/>
            </w:tcMar>
          </w:tcPr>
          <w:p w:rsidR="00DA5F85" w:rsidRPr="007F5051" w:rsidRDefault="00DA5F85" w:rsidP="00DA5F85">
            <w:pPr>
              <w:pStyle w:val="TableText0"/>
              <w:keepNext w:val="0"/>
              <w:widowControl w:val="0"/>
              <w:jc w:val="center"/>
              <w:rPr>
                <w:iCs/>
                <w:sz w:val="20"/>
                <w:szCs w:val="20"/>
              </w:rPr>
            </w:pPr>
            <w:r w:rsidRPr="007F5051">
              <w:rPr>
                <w:iCs/>
                <w:sz w:val="20"/>
                <w:szCs w:val="20"/>
              </w:rPr>
              <w:t>$</w:t>
            </w:r>
            <w:r w:rsidR="00D02986">
              <w:rPr>
                <w:noProof/>
                <w:color w:val="000000"/>
                <w:sz w:val="20"/>
                <w:szCs w:val="20"/>
                <w:highlight w:val="black"/>
              </w:rPr>
              <w:t>'''''''''''''''</w:t>
            </w:r>
            <w:r w:rsidR="0081164F">
              <w:rPr>
                <w:sz w:val="20"/>
                <w:szCs w:val="20"/>
                <w:vertAlign w:val="superscript"/>
              </w:rPr>
              <w:t>6</w:t>
            </w:r>
          </w:p>
        </w:tc>
        <w:tc>
          <w:tcPr>
            <w:tcW w:w="583" w:type="pct"/>
            <w:tcMar>
              <w:left w:w="28" w:type="dxa"/>
              <w:right w:w="28" w:type="dxa"/>
            </w:tcMar>
          </w:tcPr>
          <w:p w:rsidR="00DA5F85" w:rsidRPr="007F5051" w:rsidRDefault="00DA5F85" w:rsidP="00DA5F85">
            <w:pPr>
              <w:pStyle w:val="TableText0"/>
              <w:keepNext w:val="0"/>
              <w:widowControl w:val="0"/>
              <w:jc w:val="center"/>
              <w:rPr>
                <w:iCs/>
                <w:sz w:val="20"/>
                <w:szCs w:val="20"/>
              </w:rPr>
            </w:pPr>
            <w:r w:rsidRPr="007F5051">
              <w:rPr>
                <w:iCs/>
                <w:sz w:val="20"/>
                <w:szCs w:val="20"/>
              </w:rPr>
              <w:t>209%</w:t>
            </w:r>
          </w:p>
        </w:tc>
      </w:tr>
      <w:tr w:rsidR="00DA5F85" w:rsidRPr="00547ABC" w:rsidTr="00DB54EF">
        <w:trPr>
          <w:cantSplit/>
          <w:trHeight w:val="245"/>
        </w:trPr>
        <w:tc>
          <w:tcPr>
            <w:tcW w:w="854" w:type="pct"/>
            <w:noWrap/>
            <w:tcMar>
              <w:left w:w="28" w:type="dxa"/>
              <w:right w:w="28" w:type="dxa"/>
            </w:tcMar>
          </w:tcPr>
          <w:p w:rsidR="00DA5F85" w:rsidRPr="00547ABC" w:rsidRDefault="00DA5F85" w:rsidP="00DA5F85">
            <w:pPr>
              <w:pStyle w:val="TableText0"/>
              <w:keepNext w:val="0"/>
              <w:widowControl w:val="0"/>
              <w:rPr>
                <w:iCs/>
                <w:sz w:val="20"/>
                <w:szCs w:val="20"/>
              </w:rPr>
            </w:pPr>
            <w:r w:rsidRPr="00547ABC">
              <w:rPr>
                <w:iCs/>
                <w:sz w:val="20"/>
                <w:szCs w:val="20"/>
              </w:rPr>
              <w:t>Multivariate (row 17) + remove dilation and impaction</w:t>
            </w:r>
          </w:p>
        </w:tc>
        <w:tc>
          <w:tcPr>
            <w:tcW w:w="1956" w:type="pct"/>
            <w:gridSpan w:val="2"/>
            <w:tcMar>
              <w:left w:w="28" w:type="dxa"/>
              <w:right w:w="28" w:type="dxa"/>
            </w:tcMar>
          </w:tcPr>
          <w:p w:rsidR="00DA5F85" w:rsidRPr="00547ABC" w:rsidRDefault="00DA5F85" w:rsidP="00DA5F85">
            <w:pPr>
              <w:pStyle w:val="TableText0"/>
              <w:keepNext w:val="0"/>
              <w:widowControl w:val="0"/>
              <w:rPr>
                <w:iCs/>
                <w:sz w:val="20"/>
                <w:szCs w:val="20"/>
                <w:u w:val="single"/>
              </w:rPr>
            </w:pPr>
            <w:r w:rsidRPr="00547ABC">
              <w:rPr>
                <w:iCs/>
                <w:sz w:val="20"/>
                <w:szCs w:val="20"/>
                <w:u w:val="single"/>
              </w:rPr>
              <w:t>Sensitivity analysis</w:t>
            </w:r>
            <w:r w:rsidRPr="00547ABC">
              <w:rPr>
                <w:iCs/>
                <w:sz w:val="20"/>
                <w:szCs w:val="20"/>
              </w:rPr>
              <w:t>: As above plus remove dilation and impaction costs</w:t>
            </w:r>
            <w:r w:rsidR="00547ABC" w:rsidRPr="00547ABC">
              <w:rPr>
                <w:iCs/>
                <w:sz w:val="20"/>
                <w:szCs w:val="20"/>
              </w:rPr>
              <w:t>*</w:t>
            </w:r>
          </w:p>
        </w:tc>
        <w:tc>
          <w:tcPr>
            <w:tcW w:w="547"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p>
        </w:tc>
        <w:tc>
          <w:tcPr>
            <w:tcW w:w="547" w:type="pct"/>
            <w:tcMar>
              <w:left w:w="28" w:type="dxa"/>
              <w:right w:w="28" w:type="dxa"/>
            </w:tcMar>
          </w:tcPr>
          <w:p w:rsidR="00DA5F85" w:rsidRPr="0081164F" w:rsidRDefault="00DA5F85" w:rsidP="0081164F">
            <w:pPr>
              <w:pStyle w:val="TableText0"/>
              <w:keepNext w:val="0"/>
              <w:widowControl w:val="0"/>
              <w:jc w:val="center"/>
              <w:rPr>
                <w:iCs/>
                <w:sz w:val="20"/>
                <w:szCs w:val="20"/>
                <w:vertAlign w:val="superscript"/>
              </w:rPr>
            </w:pPr>
            <w:r w:rsidRPr="00547ABC">
              <w:rPr>
                <w:iCs/>
                <w:sz w:val="20"/>
                <w:szCs w:val="20"/>
              </w:rPr>
              <w:t>0.1101</w:t>
            </w:r>
          </w:p>
        </w:tc>
        <w:tc>
          <w:tcPr>
            <w:tcW w:w="513" w:type="pct"/>
            <w:noWrap/>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w:t>
            </w:r>
            <w:r w:rsidR="00D02986">
              <w:rPr>
                <w:noProof/>
                <w:color w:val="000000"/>
                <w:sz w:val="20"/>
                <w:szCs w:val="20"/>
                <w:highlight w:val="black"/>
              </w:rPr>
              <w:t>''''''''''''''''''</w:t>
            </w:r>
            <w:r w:rsidR="0081164F">
              <w:rPr>
                <w:iCs/>
                <w:sz w:val="20"/>
                <w:szCs w:val="20"/>
                <w:vertAlign w:val="superscript"/>
              </w:rPr>
              <w:t>8</w:t>
            </w:r>
          </w:p>
        </w:tc>
        <w:tc>
          <w:tcPr>
            <w:tcW w:w="583" w:type="pct"/>
            <w:tcMar>
              <w:left w:w="28" w:type="dxa"/>
              <w:right w:w="28" w:type="dxa"/>
            </w:tcMar>
          </w:tcPr>
          <w:p w:rsidR="00DA5F85" w:rsidRPr="00547ABC" w:rsidRDefault="00DA5F85" w:rsidP="00DA5F85">
            <w:pPr>
              <w:pStyle w:val="TableText0"/>
              <w:keepNext w:val="0"/>
              <w:widowControl w:val="0"/>
              <w:jc w:val="center"/>
              <w:rPr>
                <w:iCs/>
                <w:sz w:val="20"/>
                <w:szCs w:val="20"/>
              </w:rPr>
            </w:pPr>
            <w:r w:rsidRPr="00547ABC">
              <w:rPr>
                <w:iCs/>
                <w:sz w:val="20"/>
                <w:szCs w:val="20"/>
              </w:rPr>
              <w:t>275%</w:t>
            </w:r>
          </w:p>
        </w:tc>
      </w:tr>
    </w:tbl>
    <w:p w:rsidR="00DA5F85" w:rsidRDefault="00DA5F85" w:rsidP="00DA5F85">
      <w:pPr>
        <w:pStyle w:val="TableFigureFooter"/>
      </w:pPr>
      <w:r>
        <w:t xml:space="preserve">Source: Table 3-24, pp223-224 </w:t>
      </w:r>
      <w:r w:rsidRPr="00D13A3E">
        <w:t xml:space="preserve">of the </w:t>
      </w:r>
      <w:r>
        <w:t>submission.</w:t>
      </w:r>
      <w:r w:rsidRPr="00CF61BD">
        <w:t xml:space="preserve"> </w:t>
      </w:r>
    </w:p>
    <w:p w:rsidR="00DA5F85" w:rsidRDefault="00DA5F85" w:rsidP="00DA5F85">
      <w:pPr>
        <w:pStyle w:val="TableFigureFooter"/>
      </w:pPr>
      <w:r>
        <w:t>Abbreviations: BOT = budesonide orally disintegrating tablets; CH = clinicohistologic; EoE = eosinophilic oesophagitis; H = histologic; HS = health state; ICER = incremental cost-effectiveness ratio; LCL = lower confidence level; QALY = quality adjusted life year; Sub = subsequent; UCL = upper confidence level; Var = variable</w:t>
      </w:r>
    </w:p>
    <w:p w:rsidR="00DA5F85" w:rsidRPr="00547ABC" w:rsidRDefault="00DA5F85" w:rsidP="00DA5F85">
      <w:pPr>
        <w:pStyle w:val="TableFigureFooter"/>
        <w:rPr>
          <w:iCs/>
        </w:rPr>
      </w:pPr>
      <w:r w:rsidRPr="00547ABC">
        <w:t xml:space="preserve">Notes: </w:t>
      </w:r>
      <w:r w:rsidR="00547ABC" w:rsidRPr="00547ABC">
        <w:t>*</w:t>
      </w:r>
      <w:r w:rsidR="00547ABC" w:rsidRPr="00547ABC">
        <w:rPr>
          <w:iCs/>
        </w:rPr>
        <w:t>Sensitivity analyses</w:t>
      </w:r>
      <w:r w:rsidRPr="00547ABC">
        <w:rPr>
          <w:iCs/>
        </w:rPr>
        <w:t xml:space="preserve"> conducted during the evaluation using TreeAge. Per cycle rates generated using the ProbToProb function, where applicable.</w:t>
      </w:r>
    </w:p>
    <w:p w:rsidR="00DA5F85" w:rsidRPr="00547ABC" w:rsidRDefault="00DA5F85" w:rsidP="00DA5F85">
      <w:pPr>
        <w:pStyle w:val="TableFigureFooter"/>
        <w:rPr>
          <w:iCs/>
        </w:rPr>
      </w:pPr>
      <w:r w:rsidRPr="00547ABC">
        <w:rPr>
          <w:iCs/>
        </w:rPr>
        <w:t>^ Corrected error in the root definition for “p_Rem_CH_loseCH” - _stage&lt;5 (applied over 4 cycles in Year 1) instead of _stage&lt;=5 (applied over 5 cycles in Year 1).</w:t>
      </w:r>
    </w:p>
    <w:p w:rsidR="00DA5F85" w:rsidRPr="00547ABC" w:rsidRDefault="00DA5F85" w:rsidP="00DA5F85">
      <w:pPr>
        <w:pStyle w:val="TableFigureFooter"/>
      </w:pPr>
      <w:r w:rsidRPr="00547ABC">
        <w:rPr>
          <w:iCs/>
        </w:rPr>
        <w:t>a Typographical error identified during the evaluation; corrected based on values included in TreeAge and Attachment 7</w:t>
      </w:r>
    </w:p>
    <w:p w:rsidR="00DA5F85" w:rsidRDefault="00DA5F85" w:rsidP="00DA5F85">
      <w:pPr>
        <w:pStyle w:val="TableFigureFooter"/>
      </w:pPr>
      <w:r>
        <w:t>1 Based on the percentage of patients who</w:t>
      </w:r>
      <w:r w:rsidRPr="009D7110">
        <w:t xml:space="preserve"> failed to maintain clinicohistologic remission after 48 weeks of treatment</w:t>
      </w:r>
      <w:r>
        <w:t xml:space="preserve"> in EOS-2 (25%; 17/68)</w:t>
      </w:r>
    </w:p>
    <w:p w:rsidR="0032629A" w:rsidRPr="009868C4" w:rsidRDefault="0032629A" w:rsidP="0032629A">
      <w:pPr>
        <w:pStyle w:val="TableFigureFooter"/>
        <w:spacing w:after="0"/>
        <w:contextualSpacing w:val="0"/>
      </w:pPr>
      <w:r w:rsidRPr="009868C4">
        <w:rPr>
          <w:i/>
        </w:rPr>
        <w:t>The redacted values correspond to the following ranges</w:t>
      </w:r>
      <w:r>
        <w:rPr>
          <w:i/>
        </w:rPr>
        <w:t xml:space="preserve">: </w:t>
      </w:r>
    </w:p>
    <w:p w:rsidR="0032629A" w:rsidRPr="0032629A" w:rsidRDefault="0032629A" w:rsidP="0032629A">
      <w:pPr>
        <w:pStyle w:val="TableFigureFooter"/>
        <w:rPr>
          <w:i/>
        </w:rPr>
      </w:pPr>
      <w:r>
        <w:rPr>
          <w:i/>
          <w:vertAlign w:val="superscript"/>
        </w:rPr>
        <w:t xml:space="preserve">1 </w:t>
      </w:r>
      <w:r w:rsidRPr="0032629A">
        <w:rPr>
          <w:i/>
        </w:rPr>
        <w:t>$25,000 to &lt; $35,000</w:t>
      </w:r>
    </w:p>
    <w:p w:rsidR="0032629A" w:rsidRPr="0032629A" w:rsidRDefault="0032629A" w:rsidP="0032629A">
      <w:pPr>
        <w:pStyle w:val="TableFigureFooter"/>
        <w:rPr>
          <w:i/>
        </w:rPr>
      </w:pPr>
      <w:r>
        <w:rPr>
          <w:i/>
          <w:vertAlign w:val="superscript"/>
        </w:rPr>
        <w:t xml:space="preserve">2 </w:t>
      </w:r>
      <w:r w:rsidRPr="0032629A">
        <w:rPr>
          <w:i/>
        </w:rPr>
        <w:t>$35,000 to &lt; $45,000</w:t>
      </w:r>
    </w:p>
    <w:p w:rsidR="0032629A" w:rsidRPr="0032629A" w:rsidRDefault="0032629A" w:rsidP="0032629A">
      <w:pPr>
        <w:pStyle w:val="TableFigureFooter"/>
        <w:rPr>
          <w:i/>
        </w:rPr>
      </w:pPr>
      <w:r>
        <w:rPr>
          <w:i/>
          <w:vertAlign w:val="superscript"/>
        </w:rPr>
        <w:t xml:space="preserve">3 </w:t>
      </w:r>
      <w:r w:rsidRPr="0032629A">
        <w:rPr>
          <w:i/>
        </w:rPr>
        <w:t>$15,000 to &lt; $25,000</w:t>
      </w:r>
    </w:p>
    <w:p w:rsidR="0032629A" w:rsidRPr="0032629A" w:rsidRDefault="0032629A" w:rsidP="0032629A">
      <w:pPr>
        <w:pStyle w:val="TableFigureFooter"/>
        <w:rPr>
          <w:i/>
        </w:rPr>
      </w:pPr>
      <w:r>
        <w:rPr>
          <w:i/>
          <w:vertAlign w:val="superscript"/>
        </w:rPr>
        <w:t xml:space="preserve">4 </w:t>
      </w:r>
      <w:r w:rsidRPr="0032629A">
        <w:rPr>
          <w:i/>
        </w:rPr>
        <w:t>$5,000 to &lt; $15,000</w:t>
      </w:r>
    </w:p>
    <w:p w:rsidR="0032629A" w:rsidRPr="0032629A" w:rsidRDefault="0032629A" w:rsidP="0032629A">
      <w:pPr>
        <w:pStyle w:val="TableFigureFooter"/>
        <w:rPr>
          <w:i/>
        </w:rPr>
      </w:pPr>
      <w:r>
        <w:rPr>
          <w:i/>
          <w:vertAlign w:val="superscript"/>
        </w:rPr>
        <w:t xml:space="preserve">5 </w:t>
      </w:r>
      <w:r w:rsidRPr="0032629A">
        <w:rPr>
          <w:i/>
        </w:rPr>
        <w:t>$115,000 to &lt; $135,000</w:t>
      </w:r>
    </w:p>
    <w:p w:rsidR="0032629A" w:rsidRDefault="0032629A" w:rsidP="0032629A">
      <w:pPr>
        <w:pStyle w:val="TableFigureFooter"/>
        <w:rPr>
          <w:i/>
        </w:rPr>
      </w:pPr>
      <w:r>
        <w:rPr>
          <w:i/>
          <w:vertAlign w:val="superscript"/>
        </w:rPr>
        <w:t xml:space="preserve">6 </w:t>
      </w:r>
      <w:r w:rsidRPr="0032629A">
        <w:rPr>
          <w:i/>
        </w:rPr>
        <w:t>$75,000 to &lt; $95,000</w:t>
      </w:r>
    </w:p>
    <w:p w:rsidR="0081164F" w:rsidRPr="0032629A" w:rsidRDefault="0081164F" w:rsidP="0032629A">
      <w:pPr>
        <w:pStyle w:val="TableFigureFooter"/>
        <w:rPr>
          <w:i/>
        </w:rPr>
      </w:pPr>
      <w:r>
        <w:rPr>
          <w:i/>
          <w:vertAlign w:val="superscript"/>
        </w:rPr>
        <w:t xml:space="preserve">7 </w:t>
      </w:r>
      <w:r w:rsidRPr="0081164F">
        <w:rPr>
          <w:i/>
        </w:rPr>
        <w:t>$55,000 to &lt; $75,000</w:t>
      </w:r>
    </w:p>
    <w:p w:rsidR="0032629A" w:rsidRPr="0032629A" w:rsidRDefault="0081164F" w:rsidP="0032629A">
      <w:pPr>
        <w:pStyle w:val="TableFigureFooter"/>
        <w:rPr>
          <w:i/>
        </w:rPr>
      </w:pPr>
      <w:r>
        <w:rPr>
          <w:i/>
          <w:vertAlign w:val="superscript"/>
        </w:rPr>
        <w:t>8</w:t>
      </w:r>
      <w:r w:rsidR="0032629A">
        <w:rPr>
          <w:i/>
          <w:vertAlign w:val="superscript"/>
        </w:rPr>
        <w:t xml:space="preserve"> </w:t>
      </w:r>
      <w:r w:rsidR="0032629A" w:rsidRPr="0032629A">
        <w:rPr>
          <w:i/>
        </w:rPr>
        <w:t>$95,000 to &lt; $115,000</w:t>
      </w:r>
    </w:p>
    <w:p w:rsidR="001D1FA2" w:rsidRDefault="001D1FA2" w:rsidP="00DA5F85">
      <w:pPr>
        <w:pStyle w:val="TableFigureFooter"/>
      </w:pPr>
    </w:p>
    <w:p w:rsidR="00B4126C" w:rsidRPr="00911428" w:rsidRDefault="00B4126C" w:rsidP="0081164F">
      <w:pPr>
        <w:pStyle w:val="3-BodyText"/>
      </w:pPr>
      <w:r w:rsidRPr="00547ABC">
        <w:t xml:space="preserve">When considering BOT as induction therapy only, the ICER decreased to </w:t>
      </w:r>
      <w:r w:rsidR="0081164F">
        <w:rPr>
          <w:iCs/>
        </w:rPr>
        <w:t>$5,000 to &lt; $15,000</w:t>
      </w:r>
      <w:r w:rsidRPr="00547ABC">
        <w:t xml:space="preserve">/QALY over a 5-year time horizon. </w:t>
      </w:r>
      <w:r w:rsidR="00696C2B" w:rsidRPr="00547ABC">
        <w:t>The model results</w:t>
      </w:r>
      <w:r w:rsidR="00A47A29" w:rsidRPr="00547ABC">
        <w:t xml:space="preserve"> for BOT induction only</w:t>
      </w:r>
      <w:r w:rsidR="00696C2B" w:rsidRPr="00547ABC">
        <w:t xml:space="preserve"> were most sensitive to the utility estimates and endoscopy costs for treatment evaluation. </w:t>
      </w:r>
      <w:r w:rsidRPr="00547ABC">
        <w:t xml:space="preserve">As previously noted, the model excluded the cost of endoscopy for treatment evaluation in the BOT induction only algorithm (including this cost increased the ICER from </w:t>
      </w:r>
      <w:r w:rsidR="0081164F">
        <w:t>$5,000 to &lt; $15,000</w:t>
      </w:r>
      <w:r w:rsidRPr="00547ABC">
        <w:t xml:space="preserve">/QALY to </w:t>
      </w:r>
      <w:r w:rsidR="0081164F" w:rsidRPr="0081164F">
        <w:t>$25,000 to &lt; $35,000</w:t>
      </w:r>
      <w:r w:rsidRPr="00547ABC">
        <w:t>/QALY).</w:t>
      </w:r>
      <w:r w:rsidR="00376CAA" w:rsidRPr="00802BF8">
        <w:t xml:space="preserve"> </w:t>
      </w:r>
      <w:r w:rsidR="00802BF8" w:rsidRPr="00911428">
        <w:t xml:space="preserve">The PSCR stated exclusion of endoscopy costs from the BOT induction only scenario was considered reasonable given that undergoing an endoscopy for treatment evaluation, in the context of having no effective PBS listed drug for maintenance therapy, would not provide any utility in decisions regarding subsequent maintenance treatment. As a result, it would not be considered a cost-effective use of endoscopy resources. </w:t>
      </w:r>
      <w:r w:rsidR="0048430A" w:rsidRPr="00911428">
        <w:t xml:space="preserve">The PSCR acknowledged that </w:t>
      </w:r>
      <w:r w:rsidR="00802BF8" w:rsidRPr="00911428">
        <w:t xml:space="preserve">it is feasible that </w:t>
      </w:r>
      <w:r w:rsidR="0048430A" w:rsidRPr="00911428">
        <w:t xml:space="preserve">BOT as induction therapy only </w:t>
      </w:r>
      <w:r w:rsidR="00802BF8" w:rsidRPr="00911428">
        <w:t>would be associated with higher costs (and disruptions to QoL) related to endoscopies, due to not only the requirement for this procedure for treatment evaluation, but also to determine whether the patient meets the proposed eligibility criteria for each BOT induction cycle. T</w:t>
      </w:r>
      <w:r w:rsidR="0048430A" w:rsidRPr="00911428">
        <w:t>he PSCR stated t</w:t>
      </w:r>
      <w:r w:rsidR="00802BF8" w:rsidRPr="00911428">
        <w:t>his is a particularly important consideration given that the vast majority of subjects in the placebo arm of the EOS-2 trial relapsed within 12 months.</w:t>
      </w:r>
      <w:r w:rsidR="0048430A" w:rsidRPr="00911428">
        <w:t xml:space="preserve"> </w:t>
      </w:r>
      <w:r w:rsidR="0048430A" w:rsidRPr="00911428">
        <w:rPr>
          <w:lang w:val="en-US"/>
        </w:rPr>
        <w:t>The ESC reiterated its concerns that the model is not well suited to considering BOT as induction therapy only (see paragraph 6.3</w:t>
      </w:r>
      <w:r w:rsidR="00690641">
        <w:rPr>
          <w:lang w:val="en-US"/>
        </w:rPr>
        <w:t>5</w:t>
      </w:r>
      <w:r w:rsidR="0048430A" w:rsidRPr="00911428">
        <w:rPr>
          <w:lang w:val="en-US"/>
        </w:rPr>
        <w:t>).</w:t>
      </w:r>
      <w:r w:rsidR="00E77CE0">
        <w:rPr>
          <w:lang w:val="en-US"/>
        </w:rPr>
        <w:t xml:space="preserve"> The pre-PBAC response argued that the economic model is adequate to evaluate the cost-effectiveness of a single induction cycle of BOT. </w:t>
      </w:r>
    </w:p>
    <w:p w:rsidR="00DA5F85" w:rsidRDefault="00DA5F85" w:rsidP="00BB732D">
      <w:pPr>
        <w:pStyle w:val="4-SubsectionHeading"/>
      </w:pPr>
      <w:bookmarkStart w:id="24" w:name="_Toc22898858"/>
      <w:bookmarkStart w:id="25" w:name="_Toc62047626"/>
      <w:r w:rsidRPr="002C2775">
        <w:t>Drug cost/patient/year</w:t>
      </w:r>
      <w:bookmarkEnd w:id="24"/>
      <w:bookmarkEnd w:id="25"/>
    </w:p>
    <w:p w:rsidR="00DA5F85" w:rsidRPr="00ED1AE2" w:rsidRDefault="00DA5F85" w:rsidP="00DA5F85">
      <w:pPr>
        <w:pStyle w:val="3-BodyText"/>
      </w:pPr>
      <w:r>
        <w:t xml:space="preserve">The drug cost per patient per year is presented in </w:t>
      </w:r>
      <w:r w:rsidRPr="00676E44">
        <w:t xml:space="preserve">Table </w:t>
      </w:r>
      <w:r w:rsidR="00DB7264">
        <w:t>17</w:t>
      </w:r>
      <w:r>
        <w:t xml:space="preserve">. </w:t>
      </w:r>
      <w:r w:rsidRPr="00547ABC">
        <w:rPr>
          <w:iCs/>
        </w:rPr>
        <w:t xml:space="preserve">The estimates applied in the financial model were consistent with those applied in the economic model. Both the economic and financial models assumed full compliance (100%) for BOT treatment. </w:t>
      </w:r>
      <w:r w:rsidR="009F18B2" w:rsidRPr="00547ABC">
        <w:rPr>
          <w:iCs/>
        </w:rPr>
        <w:t>T</w:t>
      </w:r>
      <w:r w:rsidRPr="00547ABC">
        <w:rPr>
          <w:iCs/>
        </w:rPr>
        <w:t>reatment compliance of BOT 1 mg BID reported in the clinical evidence was 98% for induction treatment (EOS-1) and 94.7% for maintenance treatment (EOS-2).</w:t>
      </w:r>
    </w:p>
    <w:p w:rsidR="00DA5F85" w:rsidRPr="00BB732D" w:rsidRDefault="00DA5F85" w:rsidP="00BB732D">
      <w:pPr>
        <w:pStyle w:val="TableFigureHeading"/>
        <w:rPr>
          <w:rStyle w:val="CommentReference"/>
          <w:b/>
          <w:szCs w:val="24"/>
        </w:rPr>
      </w:pPr>
      <w:bookmarkStart w:id="26" w:name="_Hlk58250245"/>
      <w:r w:rsidRPr="00676E44">
        <w:rPr>
          <w:rStyle w:val="CommentReference"/>
          <w:b/>
          <w:szCs w:val="24"/>
        </w:rPr>
        <w:t xml:space="preserve">Table </w:t>
      </w:r>
      <w:r w:rsidR="00DB7264">
        <w:rPr>
          <w:rStyle w:val="CommentReference"/>
          <w:b/>
          <w:szCs w:val="24"/>
        </w:rPr>
        <w:t>17</w:t>
      </w:r>
      <w:r w:rsidRPr="00676E44">
        <w:rPr>
          <w:rStyle w:val="CommentReference"/>
          <w:b/>
          <w:szCs w:val="24"/>
        </w:rPr>
        <w:t>:</w:t>
      </w:r>
      <w:r w:rsidRPr="00BB732D">
        <w:rPr>
          <w:rStyle w:val="CommentReference"/>
          <w:b/>
          <w:szCs w:val="24"/>
        </w:rPr>
        <w:t xml:space="preserve"> Drug cost per patient for </w:t>
      </w:r>
      <w:r>
        <w:rPr>
          <w:rStyle w:val="CommentReference"/>
          <w:b/>
          <w:szCs w:val="24"/>
        </w:rPr>
        <w:t>BOT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0"/>
        <w:gridCol w:w="3401"/>
        <w:gridCol w:w="1958"/>
        <w:gridCol w:w="1686"/>
        <w:gridCol w:w="1692"/>
      </w:tblGrid>
      <w:tr w:rsidR="00DB54EF" w:rsidRPr="00E2771E" w:rsidTr="00DB54EF">
        <w:trPr>
          <w:cantSplit/>
          <w:tblHeader/>
          <w:jc w:val="center"/>
        </w:trPr>
        <w:tc>
          <w:tcPr>
            <w:tcW w:w="2041" w:type="pct"/>
            <w:gridSpan w:val="2"/>
          </w:tcPr>
          <w:p w:rsidR="00DB54EF" w:rsidRPr="00E2771E" w:rsidRDefault="00DB54EF" w:rsidP="00BB732D">
            <w:pPr>
              <w:pStyle w:val="In-tableHeading"/>
              <w:jc w:val="center"/>
            </w:pPr>
          </w:p>
        </w:tc>
        <w:tc>
          <w:tcPr>
            <w:tcW w:w="1086" w:type="pct"/>
            <w:shd w:val="clear" w:color="auto" w:fill="auto"/>
            <w:vAlign w:val="center"/>
          </w:tcPr>
          <w:p w:rsidR="00DB54EF" w:rsidRPr="00E2771E" w:rsidRDefault="00DB54EF" w:rsidP="00BB732D">
            <w:pPr>
              <w:pStyle w:val="In-tableHeading"/>
              <w:jc w:val="center"/>
            </w:pPr>
            <w:r>
              <w:t>BOT</w:t>
            </w:r>
          </w:p>
          <w:p w:rsidR="00DB54EF" w:rsidRPr="00F65EAA" w:rsidRDefault="00DB54EF" w:rsidP="00BB732D">
            <w:pPr>
              <w:pStyle w:val="In-tableHeading"/>
              <w:jc w:val="center"/>
            </w:pPr>
            <w:r w:rsidRPr="00F65EAA">
              <w:t>Trial</w:t>
            </w:r>
            <w:r>
              <w:t xml:space="preserve"> </w:t>
            </w:r>
            <w:r w:rsidRPr="00F65EAA">
              <w:t>dos</w:t>
            </w:r>
            <w:r>
              <w:t>e</w:t>
            </w:r>
            <w:r w:rsidRPr="00F65EAA">
              <w:t xml:space="preserve"> and duration</w:t>
            </w:r>
          </w:p>
        </w:tc>
        <w:tc>
          <w:tcPr>
            <w:tcW w:w="935" w:type="pct"/>
            <w:shd w:val="clear" w:color="auto" w:fill="auto"/>
            <w:vAlign w:val="center"/>
          </w:tcPr>
          <w:p w:rsidR="00DB54EF" w:rsidRDefault="00DB54EF" w:rsidP="00BB732D">
            <w:pPr>
              <w:pStyle w:val="In-tableHeading"/>
              <w:jc w:val="center"/>
            </w:pPr>
            <w:r>
              <w:t>BOT</w:t>
            </w:r>
          </w:p>
          <w:p w:rsidR="00DB54EF" w:rsidRPr="00E2771E" w:rsidRDefault="00DB54EF" w:rsidP="00BB732D">
            <w:pPr>
              <w:pStyle w:val="In-tableHeading"/>
              <w:jc w:val="center"/>
            </w:pPr>
            <w:r>
              <w:t>Model</w:t>
            </w:r>
          </w:p>
        </w:tc>
        <w:tc>
          <w:tcPr>
            <w:tcW w:w="938" w:type="pct"/>
            <w:shd w:val="clear" w:color="auto" w:fill="auto"/>
            <w:vAlign w:val="center"/>
          </w:tcPr>
          <w:p w:rsidR="00DB54EF" w:rsidRDefault="00DB54EF" w:rsidP="00BB732D">
            <w:pPr>
              <w:pStyle w:val="In-tableHeading"/>
              <w:jc w:val="center"/>
            </w:pPr>
            <w:r>
              <w:t>BOT</w:t>
            </w:r>
          </w:p>
          <w:p w:rsidR="00DB54EF" w:rsidRPr="00E2771E" w:rsidRDefault="00DB54EF" w:rsidP="00BB732D">
            <w:pPr>
              <w:pStyle w:val="In-tableHeading"/>
              <w:jc w:val="center"/>
            </w:pPr>
            <w:r>
              <w:t>Financial estimates</w:t>
            </w:r>
          </w:p>
        </w:tc>
      </w:tr>
      <w:tr w:rsidR="00DA5F85" w:rsidRPr="00E2771E" w:rsidTr="00DB54EF">
        <w:trPr>
          <w:cantSplit/>
          <w:jc w:val="center"/>
        </w:trPr>
        <w:tc>
          <w:tcPr>
            <w:tcW w:w="155" w:type="pct"/>
            <w:vAlign w:val="center"/>
          </w:tcPr>
          <w:p w:rsidR="00DA5F85" w:rsidRPr="001F5BDA" w:rsidRDefault="00DA5F85" w:rsidP="00DB54EF">
            <w:pPr>
              <w:pStyle w:val="TableText0"/>
              <w:jc w:val="center"/>
              <w:rPr>
                <w:lang w:val="en-US"/>
              </w:rPr>
            </w:pPr>
            <w:r>
              <w:rPr>
                <w:lang w:val="en-US"/>
              </w:rPr>
              <w:t>A</w:t>
            </w:r>
          </w:p>
        </w:tc>
        <w:tc>
          <w:tcPr>
            <w:tcW w:w="1886" w:type="pct"/>
            <w:shd w:val="clear" w:color="auto" w:fill="auto"/>
            <w:vAlign w:val="center"/>
          </w:tcPr>
          <w:p w:rsidR="00DA5F85" w:rsidRPr="001F5BDA" w:rsidRDefault="00DA5F85" w:rsidP="00BB732D">
            <w:pPr>
              <w:pStyle w:val="TableText0"/>
              <w:rPr>
                <w:lang w:val="en-US"/>
              </w:rPr>
            </w:pPr>
            <w:r w:rsidRPr="001F5BDA">
              <w:rPr>
                <w:lang w:val="en-US"/>
              </w:rPr>
              <w:t>Mean dose</w:t>
            </w:r>
            <w:r>
              <w:rPr>
                <w:lang w:val="en-US"/>
              </w:rPr>
              <w:t xml:space="preserve"> (daily)</w:t>
            </w:r>
          </w:p>
        </w:tc>
        <w:tc>
          <w:tcPr>
            <w:tcW w:w="1086" w:type="pct"/>
            <w:shd w:val="clear" w:color="auto" w:fill="auto"/>
            <w:vAlign w:val="center"/>
          </w:tcPr>
          <w:p w:rsidR="00DA5F85" w:rsidRDefault="00DA5F85" w:rsidP="00BB732D">
            <w:pPr>
              <w:pStyle w:val="TableText0"/>
              <w:jc w:val="center"/>
              <w:rPr>
                <w:bCs w:val="0"/>
                <w:lang w:val="en-US"/>
              </w:rPr>
            </w:pPr>
            <w:r>
              <w:rPr>
                <w:bCs w:val="0"/>
                <w:lang w:val="en-US"/>
              </w:rPr>
              <w:t>1 mg twice daily</w:t>
            </w:r>
          </w:p>
          <w:p w:rsidR="00DA5F85" w:rsidRPr="004E557A" w:rsidRDefault="00DA5F85" w:rsidP="00BB732D">
            <w:pPr>
              <w:pStyle w:val="TableText0"/>
              <w:jc w:val="center"/>
              <w:rPr>
                <w:bCs w:val="0"/>
                <w:lang w:val="en-US"/>
              </w:rPr>
            </w:pPr>
            <w:r>
              <w:rPr>
                <w:bCs w:val="0"/>
                <w:lang w:val="en-US"/>
              </w:rPr>
              <w:t>(2 mg daily)</w:t>
            </w:r>
          </w:p>
        </w:tc>
        <w:tc>
          <w:tcPr>
            <w:tcW w:w="935" w:type="pct"/>
            <w:shd w:val="clear" w:color="auto" w:fill="auto"/>
            <w:vAlign w:val="center"/>
          </w:tcPr>
          <w:p w:rsidR="00DA5F85" w:rsidRDefault="00DA5F85" w:rsidP="00DA5F85">
            <w:pPr>
              <w:pStyle w:val="TableText0"/>
              <w:jc w:val="center"/>
              <w:rPr>
                <w:bCs w:val="0"/>
                <w:lang w:val="en-US"/>
              </w:rPr>
            </w:pPr>
            <w:r>
              <w:rPr>
                <w:bCs w:val="0"/>
                <w:lang w:val="en-US"/>
              </w:rPr>
              <w:t>1 mg twice daily</w:t>
            </w:r>
          </w:p>
          <w:p w:rsidR="00DA5F85" w:rsidRPr="004E557A" w:rsidRDefault="00DA5F85" w:rsidP="00DA5F85">
            <w:pPr>
              <w:pStyle w:val="TableText0"/>
              <w:jc w:val="center"/>
              <w:rPr>
                <w:bCs w:val="0"/>
                <w:lang w:val="en-US"/>
              </w:rPr>
            </w:pPr>
            <w:r>
              <w:rPr>
                <w:bCs w:val="0"/>
                <w:lang w:val="en-US"/>
              </w:rPr>
              <w:t>(2 mg daily)</w:t>
            </w:r>
          </w:p>
        </w:tc>
        <w:tc>
          <w:tcPr>
            <w:tcW w:w="938" w:type="pct"/>
            <w:shd w:val="clear" w:color="auto" w:fill="auto"/>
            <w:vAlign w:val="center"/>
          </w:tcPr>
          <w:p w:rsidR="00DA5F85" w:rsidRDefault="00DA5F85" w:rsidP="00DA5F85">
            <w:pPr>
              <w:pStyle w:val="TableText0"/>
              <w:jc w:val="center"/>
              <w:rPr>
                <w:bCs w:val="0"/>
                <w:lang w:val="en-US"/>
              </w:rPr>
            </w:pPr>
            <w:r>
              <w:rPr>
                <w:bCs w:val="0"/>
                <w:lang w:val="en-US"/>
              </w:rPr>
              <w:t>1 mg twice daily</w:t>
            </w:r>
          </w:p>
          <w:p w:rsidR="00DA5F85" w:rsidRPr="004E557A" w:rsidRDefault="00DA5F85" w:rsidP="00DA5F85">
            <w:pPr>
              <w:pStyle w:val="TableText0"/>
              <w:jc w:val="center"/>
              <w:rPr>
                <w:bCs w:val="0"/>
                <w:lang w:val="en-US"/>
              </w:rPr>
            </w:pPr>
            <w:r>
              <w:rPr>
                <w:bCs w:val="0"/>
                <w:lang w:val="en-US"/>
              </w:rPr>
              <w:t>(2 mg daily)</w:t>
            </w:r>
          </w:p>
        </w:tc>
      </w:tr>
      <w:tr w:rsidR="00DA5F85" w:rsidRPr="00E2771E" w:rsidTr="00DB54EF">
        <w:trPr>
          <w:cantSplit/>
          <w:jc w:val="center"/>
        </w:trPr>
        <w:tc>
          <w:tcPr>
            <w:tcW w:w="155" w:type="pct"/>
            <w:vAlign w:val="center"/>
          </w:tcPr>
          <w:p w:rsidR="00DA5F85" w:rsidRDefault="00DA5F85" w:rsidP="00DB54EF">
            <w:pPr>
              <w:pStyle w:val="TableText0"/>
              <w:jc w:val="center"/>
              <w:rPr>
                <w:lang w:val="en-US"/>
              </w:rPr>
            </w:pPr>
            <w:r>
              <w:rPr>
                <w:lang w:val="en-US"/>
              </w:rPr>
              <w:t>B</w:t>
            </w:r>
          </w:p>
        </w:tc>
        <w:tc>
          <w:tcPr>
            <w:tcW w:w="1886" w:type="pct"/>
            <w:shd w:val="clear" w:color="auto" w:fill="auto"/>
            <w:vAlign w:val="center"/>
          </w:tcPr>
          <w:p w:rsidR="00DA5F85" w:rsidRDefault="00DA5F85" w:rsidP="00DA5F85">
            <w:pPr>
              <w:pStyle w:val="TableText0"/>
              <w:rPr>
                <w:lang w:val="en-US"/>
              </w:rPr>
            </w:pPr>
            <w:r>
              <w:rPr>
                <w:lang w:val="en-US"/>
              </w:rPr>
              <w:t>Cost/pack BOT 1 mg tablet, 60’s (DPMQ)</w:t>
            </w:r>
            <w:r w:rsidR="009F18B2" w:rsidRPr="009F18B2">
              <w:rPr>
                <w:vertAlign w:val="superscript"/>
                <w:lang w:val="en-US"/>
              </w:rPr>
              <w:t>a</w:t>
            </w:r>
          </w:p>
        </w:tc>
        <w:tc>
          <w:tcPr>
            <w:tcW w:w="1086" w:type="pct"/>
            <w:shd w:val="clear" w:color="auto" w:fill="auto"/>
            <w:vAlign w:val="center"/>
          </w:tcPr>
          <w:p w:rsidR="00DA5F85" w:rsidRPr="00D02986" w:rsidRDefault="00D02986" w:rsidP="00DA5F85">
            <w:pPr>
              <w:pStyle w:val="TableText0"/>
              <w:jc w:val="center"/>
              <w:rPr>
                <w:bCs w:val="0"/>
                <w:i/>
                <w:iCs/>
                <w:highlight w:val="black"/>
                <w:lang w:val="en-US"/>
              </w:rPr>
            </w:pPr>
            <w:r>
              <w:rPr>
                <w:noProof/>
                <w:color w:val="000000"/>
                <w:highlight w:val="black"/>
              </w:rPr>
              <w:t>''''''''''''''''''</w:t>
            </w:r>
          </w:p>
        </w:tc>
        <w:tc>
          <w:tcPr>
            <w:tcW w:w="935" w:type="pct"/>
            <w:shd w:val="clear" w:color="auto" w:fill="auto"/>
            <w:vAlign w:val="center"/>
          </w:tcPr>
          <w:p w:rsidR="00DA5F85" w:rsidRPr="00A42F2D" w:rsidRDefault="00DA5F85" w:rsidP="00DA5F85">
            <w:pPr>
              <w:pStyle w:val="TableText0"/>
              <w:jc w:val="center"/>
              <w:rPr>
                <w:bCs w:val="0"/>
                <w:i/>
                <w:iCs/>
                <w:lang w:val="en-US"/>
              </w:rPr>
            </w:pPr>
            <w:r>
              <w:t>$</w:t>
            </w:r>
            <w:r w:rsidR="00D02986">
              <w:rPr>
                <w:noProof/>
                <w:color w:val="000000"/>
                <w:highlight w:val="black"/>
              </w:rPr>
              <w:t>''''''''''''''''</w:t>
            </w:r>
          </w:p>
        </w:tc>
        <w:tc>
          <w:tcPr>
            <w:tcW w:w="938" w:type="pct"/>
            <w:shd w:val="clear" w:color="auto" w:fill="auto"/>
            <w:vAlign w:val="center"/>
          </w:tcPr>
          <w:p w:rsidR="00DA5F85" w:rsidRPr="00A42F2D" w:rsidRDefault="00DA5F85" w:rsidP="00DA5F85">
            <w:pPr>
              <w:pStyle w:val="TableText0"/>
              <w:jc w:val="center"/>
              <w:rPr>
                <w:bCs w:val="0"/>
                <w:i/>
                <w:iCs/>
                <w:lang w:val="en-US"/>
              </w:rPr>
            </w:pPr>
            <w:r>
              <w:t>$</w:t>
            </w:r>
            <w:r w:rsidR="00D02986">
              <w:rPr>
                <w:noProof/>
                <w:color w:val="000000"/>
                <w:highlight w:val="black"/>
              </w:rPr>
              <w:t>''''''''''''''''</w:t>
            </w:r>
          </w:p>
        </w:tc>
      </w:tr>
      <w:tr w:rsidR="00DA5F85" w:rsidRPr="00E2771E" w:rsidTr="00DB54EF">
        <w:trPr>
          <w:cantSplit/>
          <w:jc w:val="center"/>
        </w:trPr>
        <w:tc>
          <w:tcPr>
            <w:tcW w:w="155" w:type="pct"/>
            <w:vAlign w:val="center"/>
          </w:tcPr>
          <w:p w:rsidR="00DA5F85" w:rsidRDefault="00DA5F85" w:rsidP="00DB54EF">
            <w:pPr>
              <w:pStyle w:val="TableText0"/>
              <w:jc w:val="center"/>
              <w:rPr>
                <w:lang w:val="en-US"/>
              </w:rPr>
            </w:pPr>
            <w:r>
              <w:rPr>
                <w:lang w:val="en-US"/>
              </w:rPr>
              <w:t>C</w:t>
            </w:r>
          </w:p>
        </w:tc>
        <w:tc>
          <w:tcPr>
            <w:tcW w:w="1886" w:type="pct"/>
            <w:shd w:val="clear" w:color="auto" w:fill="auto"/>
            <w:vAlign w:val="center"/>
          </w:tcPr>
          <w:p w:rsidR="00DA5F85" w:rsidRDefault="00DA5F85" w:rsidP="00DA5F85">
            <w:pPr>
              <w:pStyle w:val="TableText0"/>
              <w:rPr>
                <w:lang w:val="en-US"/>
              </w:rPr>
            </w:pPr>
            <w:r>
              <w:rPr>
                <w:lang w:val="en-US"/>
              </w:rPr>
              <w:t>Cost/mg (= B/60)</w:t>
            </w:r>
          </w:p>
        </w:tc>
        <w:tc>
          <w:tcPr>
            <w:tcW w:w="1086" w:type="pct"/>
            <w:shd w:val="clear" w:color="auto" w:fill="auto"/>
            <w:vAlign w:val="center"/>
          </w:tcPr>
          <w:p w:rsidR="00DA5F85" w:rsidRPr="00547ABC" w:rsidRDefault="00DA5F85" w:rsidP="00DA5F85">
            <w:pPr>
              <w:pStyle w:val="TableText0"/>
              <w:jc w:val="center"/>
              <w:rPr>
                <w:iCs/>
              </w:rPr>
            </w:pPr>
            <w:r w:rsidRPr="00547ABC">
              <w:rPr>
                <w:iCs/>
              </w:rPr>
              <w:t>$</w:t>
            </w:r>
            <w:r w:rsidR="00D02986">
              <w:rPr>
                <w:iCs/>
                <w:noProof/>
                <w:color w:val="000000"/>
                <w:highlight w:val="black"/>
              </w:rPr>
              <w:t>'''''''''''</w:t>
            </w:r>
          </w:p>
        </w:tc>
        <w:tc>
          <w:tcPr>
            <w:tcW w:w="935" w:type="pct"/>
            <w:shd w:val="clear" w:color="auto" w:fill="auto"/>
            <w:vAlign w:val="center"/>
          </w:tcPr>
          <w:p w:rsidR="00DA5F85" w:rsidRPr="00547ABC" w:rsidRDefault="00DA5F85" w:rsidP="00DA5F85">
            <w:pPr>
              <w:pStyle w:val="TableText0"/>
              <w:jc w:val="center"/>
              <w:rPr>
                <w:iCs/>
              </w:rPr>
            </w:pPr>
            <w:r w:rsidRPr="00547ABC">
              <w:rPr>
                <w:iCs/>
              </w:rPr>
              <w:t>$</w:t>
            </w:r>
            <w:r w:rsidR="00D02986">
              <w:rPr>
                <w:iCs/>
                <w:noProof/>
                <w:color w:val="000000"/>
                <w:highlight w:val="black"/>
              </w:rPr>
              <w:t>''''''''''''</w:t>
            </w:r>
          </w:p>
        </w:tc>
        <w:tc>
          <w:tcPr>
            <w:tcW w:w="938" w:type="pct"/>
            <w:shd w:val="clear" w:color="auto" w:fill="auto"/>
            <w:vAlign w:val="center"/>
          </w:tcPr>
          <w:p w:rsidR="00DA5F85" w:rsidRPr="00547ABC" w:rsidRDefault="00DA5F85" w:rsidP="00DA5F85">
            <w:pPr>
              <w:pStyle w:val="TableText0"/>
              <w:jc w:val="center"/>
              <w:rPr>
                <w:iCs/>
              </w:rPr>
            </w:pPr>
            <w:r w:rsidRPr="00547ABC">
              <w:rPr>
                <w:iCs/>
              </w:rPr>
              <w:t>$</w:t>
            </w:r>
            <w:r w:rsidR="00D02986">
              <w:rPr>
                <w:iCs/>
                <w:noProof/>
                <w:color w:val="000000"/>
                <w:highlight w:val="black"/>
              </w:rPr>
              <w:t>''''''''''</w:t>
            </w:r>
          </w:p>
        </w:tc>
      </w:tr>
      <w:tr w:rsidR="00DA5F85" w:rsidRPr="00E2771E" w:rsidTr="00DB54EF">
        <w:trPr>
          <w:cantSplit/>
          <w:jc w:val="center"/>
        </w:trPr>
        <w:tc>
          <w:tcPr>
            <w:tcW w:w="155" w:type="pct"/>
            <w:vAlign w:val="center"/>
          </w:tcPr>
          <w:p w:rsidR="00DA5F85" w:rsidRDefault="00DA5F85" w:rsidP="00DB54EF">
            <w:pPr>
              <w:pStyle w:val="TableText0"/>
              <w:jc w:val="center"/>
              <w:rPr>
                <w:lang w:val="en-US"/>
              </w:rPr>
            </w:pPr>
            <w:r>
              <w:rPr>
                <w:lang w:val="en-US"/>
              </w:rPr>
              <w:t>D</w:t>
            </w:r>
          </w:p>
        </w:tc>
        <w:tc>
          <w:tcPr>
            <w:tcW w:w="1886" w:type="pct"/>
            <w:shd w:val="clear" w:color="auto" w:fill="auto"/>
            <w:vAlign w:val="center"/>
          </w:tcPr>
          <w:p w:rsidR="00DA5F85" w:rsidRDefault="00DA5F85" w:rsidP="00DA5F85">
            <w:pPr>
              <w:pStyle w:val="TableText0"/>
              <w:rPr>
                <w:lang w:val="en-US"/>
              </w:rPr>
            </w:pPr>
            <w:r>
              <w:rPr>
                <w:lang w:val="en-US"/>
              </w:rPr>
              <w:t>Treatment compliance</w:t>
            </w:r>
          </w:p>
        </w:tc>
        <w:tc>
          <w:tcPr>
            <w:tcW w:w="1086" w:type="pct"/>
            <w:shd w:val="clear" w:color="auto" w:fill="auto"/>
            <w:vAlign w:val="center"/>
          </w:tcPr>
          <w:p w:rsidR="00DA5F85" w:rsidRPr="00547ABC" w:rsidRDefault="00DA5F85" w:rsidP="00DA5F85">
            <w:pPr>
              <w:pStyle w:val="TableText0"/>
              <w:jc w:val="center"/>
              <w:rPr>
                <w:bCs w:val="0"/>
                <w:iCs/>
                <w:lang w:val="en-US"/>
              </w:rPr>
            </w:pPr>
            <w:r w:rsidRPr="00547ABC">
              <w:rPr>
                <w:bCs w:val="0"/>
                <w:lang w:val="en-US"/>
              </w:rPr>
              <w:t>94.7%</w:t>
            </w:r>
          </w:p>
        </w:tc>
        <w:tc>
          <w:tcPr>
            <w:tcW w:w="935" w:type="pct"/>
            <w:shd w:val="clear" w:color="auto" w:fill="auto"/>
            <w:vAlign w:val="center"/>
          </w:tcPr>
          <w:p w:rsidR="00DA5F85" w:rsidRPr="00547ABC" w:rsidRDefault="00DA5F85" w:rsidP="00DA5F85">
            <w:pPr>
              <w:pStyle w:val="TableText0"/>
              <w:jc w:val="center"/>
              <w:rPr>
                <w:bCs w:val="0"/>
                <w:iCs/>
                <w:lang w:val="en-US"/>
              </w:rPr>
            </w:pPr>
            <w:r w:rsidRPr="00547ABC">
              <w:rPr>
                <w:bCs w:val="0"/>
                <w:lang w:val="en-US"/>
              </w:rPr>
              <w:t>100%</w:t>
            </w:r>
          </w:p>
        </w:tc>
        <w:tc>
          <w:tcPr>
            <w:tcW w:w="938" w:type="pct"/>
            <w:shd w:val="clear" w:color="auto" w:fill="auto"/>
            <w:vAlign w:val="center"/>
          </w:tcPr>
          <w:p w:rsidR="00DA5F85" w:rsidRPr="00547ABC" w:rsidRDefault="00DA5F85" w:rsidP="00DA5F85">
            <w:pPr>
              <w:pStyle w:val="TableText0"/>
              <w:jc w:val="center"/>
              <w:rPr>
                <w:bCs w:val="0"/>
                <w:iCs/>
                <w:lang w:val="en-US"/>
              </w:rPr>
            </w:pPr>
            <w:r w:rsidRPr="00547ABC">
              <w:rPr>
                <w:bCs w:val="0"/>
                <w:lang w:val="en-US"/>
              </w:rPr>
              <w:t>100%</w:t>
            </w:r>
          </w:p>
        </w:tc>
      </w:tr>
      <w:tr w:rsidR="00DA5F85" w:rsidRPr="00E2771E" w:rsidTr="00DB54EF">
        <w:trPr>
          <w:cantSplit/>
          <w:jc w:val="center"/>
        </w:trPr>
        <w:tc>
          <w:tcPr>
            <w:tcW w:w="155" w:type="pct"/>
            <w:vAlign w:val="center"/>
          </w:tcPr>
          <w:p w:rsidR="00DA5F85" w:rsidRDefault="00DA5F85" w:rsidP="00DB54EF">
            <w:pPr>
              <w:pStyle w:val="TableText0"/>
              <w:jc w:val="center"/>
              <w:rPr>
                <w:lang w:val="en-US"/>
              </w:rPr>
            </w:pPr>
            <w:r>
              <w:rPr>
                <w:lang w:val="en-US"/>
              </w:rPr>
              <w:t>E</w:t>
            </w:r>
          </w:p>
        </w:tc>
        <w:tc>
          <w:tcPr>
            <w:tcW w:w="1886" w:type="pct"/>
            <w:shd w:val="clear" w:color="auto" w:fill="auto"/>
            <w:vAlign w:val="center"/>
          </w:tcPr>
          <w:p w:rsidR="00DA5F85" w:rsidRDefault="00DA5F85" w:rsidP="00DA5F85">
            <w:pPr>
              <w:pStyle w:val="TableText0"/>
              <w:rPr>
                <w:lang w:val="en-US"/>
              </w:rPr>
            </w:pPr>
            <w:r>
              <w:rPr>
                <w:lang w:val="en-US"/>
              </w:rPr>
              <w:t>Cost/patient/year (chronic)</w:t>
            </w:r>
          </w:p>
          <w:p w:rsidR="00DA5F85" w:rsidRPr="00E2771E" w:rsidRDefault="00DA5F85" w:rsidP="00DA5F85">
            <w:pPr>
              <w:pStyle w:val="TableText0"/>
              <w:rPr>
                <w:lang w:val="en-US"/>
              </w:rPr>
            </w:pPr>
            <w:r>
              <w:rPr>
                <w:lang w:val="en-US"/>
              </w:rPr>
              <w:t xml:space="preserve">(= A*C*D*365) </w:t>
            </w:r>
          </w:p>
        </w:tc>
        <w:tc>
          <w:tcPr>
            <w:tcW w:w="1086" w:type="pct"/>
            <w:shd w:val="clear" w:color="auto" w:fill="auto"/>
            <w:vAlign w:val="center"/>
          </w:tcPr>
          <w:p w:rsidR="00DA5F85" w:rsidRPr="00547ABC" w:rsidRDefault="00DA5F85" w:rsidP="00DA5F85">
            <w:pPr>
              <w:pStyle w:val="TableText0"/>
              <w:jc w:val="center"/>
              <w:rPr>
                <w:bCs w:val="0"/>
                <w:iCs/>
                <w:lang w:val="en-US"/>
              </w:rPr>
            </w:pPr>
            <w:r w:rsidRPr="00547ABC">
              <w:rPr>
                <w:bCs w:val="0"/>
                <w:iCs/>
                <w:lang w:val="en-US"/>
              </w:rPr>
              <w:t>$</w:t>
            </w:r>
            <w:r w:rsidR="00D02986">
              <w:rPr>
                <w:bCs w:val="0"/>
                <w:iCs/>
                <w:noProof/>
                <w:color w:val="000000"/>
                <w:highlight w:val="black"/>
                <w:lang w:val="en-US"/>
              </w:rPr>
              <w:t>''''''''''''''''''''</w:t>
            </w:r>
            <w:r w:rsidR="009F18B2" w:rsidRPr="00547ABC">
              <w:rPr>
                <w:bCs w:val="0"/>
                <w:iCs/>
                <w:vertAlign w:val="superscript"/>
                <w:lang w:val="en-US"/>
              </w:rPr>
              <w:t>b</w:t>
            </w:r>
          </w:p>
        </w:tc>
        <w:tc>
          <w:tcPr>
            <w:tcW w:w="935" w:type="pct"/>
            <w:shd w:val="clear" w:color="auto" w:fill="auto"/>
            <w:vAlign w:val="center"/>
          </w:tcPr>
          <w:p w:rsidR="00DA5F85" w:rsidRPr="00547ABC" w:rsidRDefault="00DA5F85" w:rsidP="00DA5F85">
            <w:pPr>
              <w:pStyle w:val="TableText0"/>
              <w:jc w:val="center"/>
              <w:rPr>
                <w:bCs w:val="0"/>
                <w:iCs/>
                <w:vertAlign w:val="superscript"/>
                <w:lang w:val="en-US"/>
              </w:rPr>
            </w:pPr>
            <w:r w:rsidRPr="00547ABC">
              <w:rPr>
                <w:bCs w:val="0"/>
                <w:iCs/>
                <w:lang w:val="en-US"/>
              </w:rPr>
              <w:t>$</w:t>
            </w:r>
            <w:r w:rsidR="00D02986">
              <w:rPr>
                <w:bCs w:val="0"/>
                <w:iCs/>
                <w:noProof/>
                <w:color w:val="000000"/>
                <w:highlight w:val="black"/>
                <w:lang w:val="en-US"/>
              </w:rPr>
              <w:t>'''''''''''''''''''''''</w:t>
            </w:r>
            <w:r w:rsidR="009F18B2" w:rsidRPr="00547ABC">
              <w:rPr>
                <w:bCs w:val="0"/>
                <w:iCs/>
                <w:vertAlign w:val="superscript"/>
                <w:lang w:val="en-US"/>
              </w:rPr>
              <w:t>c</w:t>
            </w:r>
          </w:p>
        </w:tc>
        <w:tc>
          <w:tcPr>
            <w:tcW w:w="938" w:type="pct"/>
            <w:shd w:val="clear" w:color="auto" w:fill="auto"/>
            <w:vAlign w:val="center"/>
          </w:tcPr>
          <w:p w:rsidR="00DA5F85" w:rsidRPr="00547ABC" w:rsidRDefault="00DA5F85" w:rsidP="00DA5F85">
            <w:pPr>
              <w:pStyle w:val="TableText0"/>
              <w:jc w:val="center"/>
              <w:rPr>
                <w:bCs w:val="0"/>
                <w:iCs/>
                <w:vertAlign w:val="superscript"/>
                <w:lang w:val="en-US"/>
              </w:rPr>
            </w:pPr>
            <w:r w:rsidRPr="00547ABC">
              <w:rPr>
                <w:bCs w:val="0"/>
                <w:iCs/>
                <w:lang w:val="en-US"/>
              </w:rPr>
              <w:t>$</w:t>
            </w:r>
            <w:r w:rsidR="00D02986">
              <w:rPr>
                <w:bCs w:val="0"/>
                <w:iCs/>
                <w:noProof/>
                <w:color w:val="000000"/>
                <w:highlight w:val="black"/>
                <w:lang w:val="en-US"/>
              </w:rPr>
              <w:t>'''''''''''''''''''</w:t>
            </w:r>
            <w:r w:rsidR="009F18B2" w:rsidRPr="00547ABC">
              <w:rPr>
                <w:bCs w:val="0"/>
                <w:iCs/>
                <w:vertAlign w:val="superscript"/>
                <w:lang w:val="en-US"/>
              </w:rPr>
              <w:t>c</w:t>
            </w:r>
          </w:p>
        </w:tc>
      </w:tr>
    </w:tbl>
    <w:p w:rsidR="00DA5F85" w:rsidRDefault="00DA5F85" w:rsidP="00C94053">
      <w:pPr>
        <w:pStyle w:val="TableFigureFooter"/>
      </w:pPr>
      <w:r w:rsidRPr="007F1017">
        <w:t xml:space="preserve">Source: </w:t>
      </w:r>
      <w:r>
        <w:t xml:space="preserve">p148 </w:t>
      </w:r>
      <w:r w:rsidRPr="007F1017">
        <w:t xml:space="preserve">of </w:t>
      </w:r>
      <w:r>
        <w:t>EOS-2</w:t>
      </w:r>
      <w:r w:rsidRPr="007F1017">
        <w:t xml:space="preserve"> trial repor</w:t>
      </w:r>
      <w:r>
        <w:t xml:space="preserve">t; p219 of the submission; TreeAge; sheet 3a and 3b of the utilisation-and-cost-model workbook. </w:t>
      </w:r>
    </w:p>
    <w:p w:rsidR="00DA5F85" w:rsidRDefault="00DA5F85" w:rsidP="00C94053">
      <w:pPr>
        <w:pStyle w:val="TableFigureFooter"/>
      </w:pPr>
      <w:r w:rsidRPr="00B22545">
        <w:t>Abbreviations: BOT = budesonide orally disintegrating tablets;</w:t>
      </w:r>
      <w:r>
        <w:t xml:space="preserve"> DPMQ = dispensed price for maximum quantity</w:t>
      </w:r>
    </w:p>
    <w:p w:rsidR="00DA5F85" w:rsidRDefault="00DA5F85" w:rsidP="00C94053">
      <w:pPr>
        <w:pStyle w:val="TableFigureFooter"/>
      </w:pPr>
      <w:r>
        <w:t>Notes: Calculated based on cost of BOT maintenance treatment</w:t>
      </w:r>
    </w:p>
    <w:p w:rsidR="009F18B2" w:rsidRDefault="00DA5F85" w:rsidP="00C94053">
      <w:pPr>
        <w:pStyle w:val="TableFigureFooter"/>
      </w:pPr>
      <w:r>
        <w:t xml:space="preserve">a </w:t>
      </w:r>
      <w:r w:rsidR="009F18B2">
        <w:t>Pricing according to the pack of 60 tablets has been applied to reflect the ongoing, steady state, nature of treatment.</w:t>
      </w:r>
    </w:p>
    <w:p w:rsidR="00DA5F85" w:rsidRDefault="009F18B2" w:rsidP="00C94053">
      <w:pPr>
        <w:pStyle w:val="TableFigureFooter"/>
      </w:pPr>
      <w:r>
        <w:t xml:space="preserve">b </w:t>
      </w:r>
      <w:r w:rsidR="00DA5F85">
        <w:t>Treatment compliance applied based on BOT 1 mg BID arm of EOS-2 (i.e. $</w:t>
      </w:r>
      <w:r w:rsidR="00D02986">
        <w:rPr>
          <w:noProof/>
          <w:color w:val="000000"/>
          <w:highlight w:val="black"/>
        </w:rPr>
        <w:t>'''''''''''''''''</w:t>
      </w:r>
      <w:r w:rsidR="00DA5F85">
        <w:t>/60 * 2 * 365 * 94.7%).</w:t>
      </w:r>
    </w:p>
    <w:p w:rsidR="00DA5F85" w:rsidRDefault="009F18B2" w:rsidP="00C94053">
      <w:pPr>
        <w:pStyle w:val="TableFigureFooter"/>
      </w:pPr>
      <w:r>
        <w:t>c</w:t>
      </w:r>
      <w:r w:rsidR="00DA5F85">
        <w:t xml:space="preserve"> Assumed full treatment compliance (100%; i.e. $</w:t>
      </w:r>
      <w:r w:rsidR="00D02986">
        <w:rPr>
          <w:noProof/>
          <w:color w:val="000000"/>
          <w:highlight w:val="black"/>
        </w:rPr>
        <w:t>''''''''''''''''</w:t>
      </w:r>
      <w:r w:rsidR="00DA5F85">
        <w:t>/</w:t>
      </w:r>
      <w:r w:rsidR="00DA5F85" w:rsidRPr="007D135E">
        <w:t>60</w:t>
      </w:r>
      <w:r w:rsidR="00DA5F85">
        <w:t xml:space="preserve"> * </w:t>
      </w:r>
      <w:r w:rsidR="00DA5F85" w:rsidRPr="007D135E">
        <w:t>2</w:t>
      </w:r>
      <w:r w:rsidR="00DA5F85">
        <w:t xml:space="preserve"> * 365). </w:t>
      </w:r>
      <w:r w:rsidR="00E85817">
        <w:t>T</w:t>
      </w:r>
      <w:r w:rsidR="00DA5F85">
        <w:t>he submission estimated the cost/patient/year to be $</w:t>
      </w:r>
      <w:r w:rsidR="00D02986">
        <w:rPr>
          <w:noProof/>
          <w:color w:val="000000"/>
          <w:highlight w:val="black"/>
        </w:rPr>
        <w:t>'''''''''''''''''''''</w:t>
      </w:r>
      <w:r w:rsidR="00DA5F85">
        <w:t xml:space="preserve"> (at full compliance). The minor difference was due to rounding.</w:t>
      </w:r>
    </w:p>
    <w:p w:rsidR="00DA5F85" w:rsidRPr="00C9624D" w:rsidRDefault="00DA5F85" w:rsidP="002B05A1">
      <w:pPr>
        <w:pStyle w:val="4-SubsectionHeading"/>
      </w:pPr>
      <w:bookmarkStart w:id="27" w:name="_Toc22898859"/>
      <w:bookmarkStart w:id="28" w:name="_Toc62047627"/>
      <w:bookmarkEnd w:id="26"/>
      <w:r w:rsidRPr="00C9624D">
        <w:t>Estimated PBS usage &amp; financial implications</w:t>
      </w:r>
      <w:bookmarkEnd w:id="27"/>
      <w:bookmarkEnd w:id="28"/>
    </w:p>
    <w:p w:rsidR="000C5BE8" w:rsidRPr="00120230" w:rsidRDefault="000C5BE8" w:rsidP="000C5BE8">
      <w:pPr>
        <w:pStyle w:val="3-BodyText"/>
        <w:rPr>
          <w:color w:val="0066FF"/>
        </w:rPr>
      </w:pPr>
      <w:r>
        <w:t>This submission was considered by DUSC</w:t>
      </w:r>
      <w:r w:rsidRPr="00B50DB8">
        <w:rPr>
          <w:color w:val="0070C0"/>
        </w:rPr>
        <w:t>.</w:t>
      </w:r>
      <w:r w:rsidRPr="00DD2BA5">
        <w:t xml:space="preserve"> The submission used an epidemiological approach to estimate the expected use and associated financial implications of BOT</w:t>
      </w:r>
      <w:r w:rsidR="0043777B">
        <w:t xml:space="preserve"> </w:t>
      </w:r>
      <w:r>
        <w:t>1 mg BID (induction and maintenance therapy)</w:t>
      </w:r>
      <w:r w:rsidRPr="00DD2BA5">
        <w:t>.</w:t>
      </w:r>
      <w:r>
        <w:t xml:space="preserve"> </w:t>
      </w:r>
      <w:r w:rsidRPr="00676E44">
        <w:t xml:space="preserve">The key inputs used by the submission </w:t>
      </w:r>
      <w:r>
        <w:t>to inform</w:t>
      </w:r>
      <w:r w:rsidRPr="00676E44">
        <w:t xml:space="preserve"> the financial estimates are summarised in Table 1</w:t>
      </w:r>
      <w:r>
        <w:t>8</w:t>
      </w:r>
      <w:r w:rsidRPr="00676E44">
        <w:t>.</w:t>
      </w:r>
    </w:p>
    <w:p w:rsidR="000C5BE8" w:rsidRDefault="000C5BE8" w:rsidP="000C5BE8">
      <w:pPr>
        <w:jc w:val="left"/>
        <w:rPr>
          <w:rFonts w:asciiTheme="minorHAnsi" w:hAnsiTheme="minorHAnsi"/>
          <w:snapToGrid w:val="0"/>
        </w:rPr>
      </w:pPr>
      <w:r>
        <w:br w:type="page"/>
      </w:r>
    </w:p>
    <w:p w:rsidR="000C5BE8" w:rsidRPr="007925DF" w:rsidRDefault="000C5BE8" w:rsidP="000C5BE8">
      <w:pPr>
        <w:pStyle w:val="TableFigureHeading"/>
        <w:rPr>
          <w:rStyle w:val="CommentReference"/>
          <w:b/>
          <w:szCs w:val="24"/>
        </w:rPr>
      </w:pPr>
      <w:r w:rsidRPr="00676E44">
        <w:rPr>
          <w:rStyle w:val="CommentReference"/>
          <w:b/>
          <w:szCs w:val="24"/>
        </w:rPr>
        <w:t xml:space="preserve">Table </w:t>
      </w:r>
      <w:r>
        <w:rPr>
          <w:rStyle w:val="CommentReference"/>
          <w:b/>
          <w:szCs w:val="24"/>
        </w:rPr>
        <w:t>18</w:t>
      </w:r>
      <w:r w:rsidRPr="00676E44">
        <w:rPr>
          <w:rStyle w:val="CommentReference"/>
          <w:b/>
          <w:szCs w:val="24"/>
        </w:rPr>
        <w:t>:</w:t>
      </w:r>
      <w:r w:rsidRPr="007925DF">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59"/>
        <w:gridCol w:w="2835"/>
        <w:gridCol w:w="2239"/>
      </w:tblGrid>
      <w:tr w:rsidR="000C5BE8" w:rsidRPr="00914C77" w:rsidTr="00DB54EF">
        <w:trPr>
          <w:tblHeader/>
        </w:trPr>
        <w:tc>
          <w:tcPr>
            <w:tcW w:w="2547" w:type="dxa"/>
            <w:tcMar>
              <w:left w:w="28" w:type="dxa"/>
              <w:right w:w="28" w:type="dxa"/>
            </w:tcMar>
            <w:vAlign w:val="center"/>
          </w:tcPr>
          <w:p w:rsidR="000C5BE8" w:rsidRPr="00914C77" w:rsidRDefault="000C5BE8" w:rsidP="003417A4">
            <w:pPr>
              <w:pStyle w:val="In-tableHeading"/>
              <w:keepNext w:val="0"/>
              <w:jc w:val="center"/>
            </w:pPr>
            <w:r w:rsidRPr="00914C77">
              <w:t>Data</w:t>
            </w:r>
          </w:p>
        </w:tc>
        <w:tc>
          <w:tcPr>
            <w:tcW w:w="1559" w:type="dxa"/>
            <w:tcMar>
              <w:left w:w="28" w:type="dxa"/>
              <w:right w:w="28" w:type="dxa"/>
            </w:tcMar>
            <w:vAlign w:val="center"/>
          </w:tcPr>
          <w:p w:rsidR="000C5BE8" w:rsidRPr="00914C77" w:rsidRDefault="000C5BE8" w:rsidP="003417A4">
            <w:pPr>
              <w:pStyle w:val="In-tableHeading"/>
              <w:keepNext w:val="0"/>
              <w:jc w:val="center"/>
            </w:pPr>
            <w:r w:rsidRPr="00914C77">
              <w:t>Value</w:t>
            </w:r>
          </w:p>
        </w:tc>
        <w:tc>
          <w:tcPr>
            <w:tcW w:w="2835" w:type="dxa"/>
            <w:tcMar>
              <w:left w:w="28" w:type="dxa"/>
              <w:right w:w="28" w:type="dxa"/>
            </w:tcMar>
            <w:vAlign w:val="center"/>
          </w:tcPr>
          <w:p w:rsidR="000C5BE8" w:rsidRPr="00914C77" w:rsidRDefault="000C5BE8" w:rsidP="003417A4">
            <w:pPr>
              <w:pStyle w:val="In-tableHeading"/>
              <w:keepNext w:val="0"/>
              <w:jc w:val="center"/>
            </w:pPr>
            <w:r w:rsidRPr="00914C77">
              <w:t>Source</w:t>
            </w:r>
          </w:p>
        </w:tc>
        <w:tc>
          <w:tcPr>
            <w:tcW w:w="2239" w:type="dxa"/>
            <w:tcMar>
              <w:left w:w="28" w:type="dxa"/>
              <w:right w:w="28" w:type="dxa"/>
            </w:tcMar>
            <w:vAlign w:val="center"/>
          </w:tcPr>
          <w:p w:rsidR="000C5BE8" w:rsidRPr="00914C77" w:rsidRDefault="000C5BE8" w:rsidP="003417A4">
            <w:pPr>
              <w:pStyle w:val="In-tableHeading"/>
              <w:keepNext w:val="0"/>
              <w:jc w:val="center"/>
            </w:pPr>
            <w:r w:rsidRPr="00914C77">
              <w:t>Comment</w:t>
            </w:r>
          </w:p>
        </w:tc>
      </w:tr>
      <w:tr w:rsidR="000C5BE8" w:rsidTr="00DB54EF">
        <w:tc>
          <w:tcPr>
            <w:tcW w:w="2547" w:type="dxa"/>
            <w:tcMar>
              <w:left w:w="28" w:type="dxa"/>
              <w:right w:w="28" w:type="dxa"/>
            </w:tcMar>
            <w:vAlign w:val="center"/>
          </w:tcPr>
          <w:p w:rsidR="000C5BE8" w:rsidRPr="00747088" w:rsidRDefault="000C5BE8" w:rsidP="00747088">
            <w:pPr>
              <w:pStyle w:val="TableText0"/>
              <w:keepNext w:val="0"/>
              <w:rPr>
                <w:vertAlign w:val="superscript"/>
              </w:rPr>
            </w:pPr>
            <w:r>
              <w:t>Prevalent patients</w:t>
            </w:r>
          </w:p>
        </w:tc>
        <w:tc>
          <w:tcPr>
            <w:tcW w:w="1559" w:type="dxa"/>
            <w:tcMar>
              <w:left w:w="28" w:type="dxa"/>
              <w:right w:w="28" w:type="dxa"/>
            </w:tcMar>
            <w:vAlign w:val="center"/>
          </w:tcPr>
          <w:p w:rsidR="000C5BE8" w:rsidRPr="00747088" w:rsidRDefault="000C5BE8" w:rsidP="003417A4">
            <w:pPr>
              <w:pStyle w:val="TableText0"/>
              <w:keepNext w:val="0"/>
              <w:rPr>
                <w:vertAlign w:val="superscript"/>
              </w:rPr>
            </w:pPr>
            <w:r>
              <w:t xml:space="preserve">Yr 1: </w:t>
            </w:r>
            <w:r w:rsidR="00D02986">
              <w:rPr>
                <w:noProof/>
                <w:color w:val="000000"/>
                <w:highlight w:val="black"/>
              </w:rPr>
              <w:t>''''''''''''</w:t>
            </w:r>
            <w:r w:rsidR="00747088">
              <w:rPr>
                <w:vertAlign w:val="superscript"/>
              </w:rPr>
              <w:t>1</w:t>
            </w:r>
          </w:p>
          <w:p w:rsidR="000C5BE8" w:rsidRDefault="000C5BE8" w:rsidP="003417A4">
            <w:pPr>
              <w:pStyle w:val="TableText0"/>
              <w:keepNext w:val="0"/>
            </w:pPr>
            <w:r>
              <w:t>Yr 2</w:t>
            </w:r>
            <w:r w:rsidRPr="00747088">
              <w:t xml:space="preserve">: </w:t>
            </w:r>
            <w:r w:rsidR="00D02986">
              <w:rPr>
                <w:noProof/>
                <w:color w:val="000000"/>
                <w:highlight w:val="black"/>
              </w:rPr>
              <w:t>''''''''''''''</w:t>
            </w:r>
            <w:r w:rsidR="00747088">
              <w:rPr>
                <w:vertAlign w:val="superscript"/>
              </w:rPr>
              <w:t>1</w:t>
            </w:r>
          </w:p>
          <w:p w:rsidR="000C5BE8" w:rsidRDefault="000C5BE8" w:rsidP="003417A4">
            <w:pPr>
              <w:pStyle w:val="TableText0"/>
              <w:keepNext w:val="0"/>
            </w:pPr>
            <w:r>
              <w:t xml:space="preserve">Yr 3: </w:t>
            </w:r>
            <w:r w:rsidR="00D02986">
              <w:rPr>
                <w:noProof/>
                <w:color w:val="000000"/>
                <w:highlight w:val="black"/>
              </w:rPr>
              <w:t>'''''''''''''''</w:t>
            </w:r>
            <w:r w:rsidR="00747088">
              <w:rPr>
                <w:vertAlign w:val="superscript"/>
              </w:rPr>
              <w:t>1</w:t>
            </w:r>
          </w:p>
          <w:p w:rsidR="000C5BE8" w:rsidRDefault="000C5BE8" w:rsidP="003417A4">
            <w:pPr>
              <w:pStyle w:val="TableText0"/>
              <w:keepNext w:val="0"/>
            </w:pPr>
            <w:r>
              <w:t xml:space="preserve">Yr 4: </w:t>
            </w:r>
            <w:r w:rsidR="00D02986">
              <w:rPr>
                <w:noProof/>
                <w:color w:val="000000"/>
                <w:highlight w:val="black"/>
              </w:rPr>
              <w:t>''''''''''''</w:t>
            </w:r>
            <w:r w:rsidR="00747088">
              <w:rPr>
                <w:vertAlign w:val="superscript"/>
              </w:rPr>
              <w:t>1</w:t>
            </w:r>
          </w:p>
          <w:p w:rsidR="000C5BE8" w:rsidRDefault="000C5BE8" w:rsidP="003417A4">
            <w:pPr>
              <w:pStyle w:val="TableText0"/>
              <w:keepNext w:val="0"/>
            </w:pPr>
            <w:r>
              <w:t xml:space="preserve">Yr 5: </w:t>
            </w:r>
            <w:r w:rsidR="00D02986">
              <w:rPr>
                <w:noProof/>
                <w:color w:val="000000"/>
                <w:highlight w:val="black"/>
              </w:rPr>
              <w:t>'''''''''''''</w:t>
            </w:r>
            <w:r w:rsidR="00747088">
              <w:rPr>
                <w:vertAlign w:val="superscript"/>
              </w:rPr>
              <w:t>1</w:t>
            </w:r>
          </w:p>
          <w:p w:rsidR="000C5BE8" w:rsidRDefault="000C5BE8" w:rsidP="003417A4">
            <w:pPr>
              <w:pStyle w:val="TableText0"/>
              <w:keepNext w:val="0"/>
            </w:pPr>
            <w:r>
              <w:t xml:space="preserve">Yr 6: </w:t>
            </w:r>
            <w:r w:rsidR="00D02986">
              <w:rPr>
                <w:noProof/>
                <w:color w:val="000000"/>
                <w:highlight w:val="black"/>
              </w:rPr>
              <w:t>''''''''''''</w:t>
            </w:r>
            <w:r w:rsidR="00747088">
              <w:rPr>
                <w:vertAlign w:val="superscript"/>
              </w:rPr>
              <w:t>1</w:t>
            </w:r>
          </w:p>
        </w:tc>
        <w:tc>
          <w:tcPr>
            <w:tcW w:w="2835" w:type="dxa"/>
            <w:tcMar>
              <w:left w:w="28" w:type="dxa"/>
              <w:right w:w="28" w:type="dxa"/>
            </w:tcMar>
            <w:vAlign w:val="center"/>
          </w:tcPr>
          <w:p w:rsidR="000C5BE8" w:rsidRDefault="000C5BE8" w:rsidP="003417A4">
            <w:pPr>
              <w:pStyle w:val="TableText0"/>
              <w:keepNext w:val="0"/>
            </w:pPr>
            <w:r w:rsidRPr="00B56346">
              <w:t>ABS population - 3222.0 Series B (as provided in the Utilisation and Cost Model Workbook)</w:t>
            </w:r>
            <w:r>
              <w:t xml:space="preserve">. Prevalence rate (42.2 per 100,000) informed by </w:t>
            </w:r>
            <w:r w:rsidRPr="003E5DF8">
              <w:t>Navarro 2019 (systematic review</w:t>
            </w:r>
            <w:r>
              <w:t>).</w:t>
            </w:r>
          </w:p>
        </w:tc>
        <w:tc>
          <w:tcPr>
            <w:tcW w:w="2239" w:type="dxa"/>
            <w:tcMar>
              <w:left w:w="28" w:type="dxa"/>
              <w:right w:w="28" w:type="dxa"/>
            </w:tcMar>
            <w:vAlign w:val="center"/>
          </w:tcPr>
          <w:p w:rsidR="000C5BE8" w:rsidRPr="0043777B" w:rsidRDefault="000C5BE8" w:rsidP="00A03944">
            <w:pPr>
              <w:pStyle w:val="TableText0"/>
              <w:keepNext w:val="0"/>
              <w:rPr>
                <w:iCs/>
              </w:rPr>
            </w:pPr>
            <w:r w:rsidRPr="0043777B">
              <w:rPr>
                <w:iCs/>
              </w:rPr>
              <w:t>Uncertain pooled prevalence rate (likely overestimated)</w:t>
            </w:r>
          </w:p>
        </w:tc>
      </w:tr>
      <w:tr w:rsidR="000C5BE8" w:rsidTr="00DB54EF">
        <w:tc>
          <w:tcPr>
            <w:tcW w:w="2547" w:type="dxa"/>
            <w:tcMar>
              <w:left w:w="28" w:type="dxa"/>
              <w:right w:w="28" w:type="dxa"/>
            </w:tcMar>
            <w:vAlign w:val="center"/>
          </w:tcPr>
          <w:p w:rsidR="000C5BE8" w:rsidRDefault="000C5BE8" w:rsidP="003417A4">
            <w:pPr>
              <w:pStyle w:val="TableText0"/>
              <w:keepNext w:val="0"/>
            </w:pPr>
            <w:r>
              <w:t>Uptake rate</w:t>
            </w:r>
          </w:p>
        </w:tc>
        <w:tc>
          <w:tcPr>
            <w:tcW w:w="1559" w:type="dxa"/>
            <w:tcMar>
              <w:left w:w="28" w:type="dxa"/>
              <w:right w:w="28" w:type="dxa"/>
            </w:tcMar>
            <w:vAlign w:val="center"/>
          </w:tcPr>
          <w:p w:rsidR="000C5BE8" w:rsidRDefault="000C5BE8" w:rsidP="003417A4">
            <w:pPr>
              <w:pStyle w:val="TableText0"/>
              <w:keepNext w:val="0"/>
            </w:pPr>
            <w:r>
              <w:t>Yr 1-6: 10%</w:t>
            </w:r>
          </w:p>
        </w:tc>
        <w:tc>
          <w:tcPr>
            <w:tcW w:w="2835" w:type="dxa"/>
            <w:tcMar>
              <w:left w:w="28" w:type="dxa"/>
              <w:right w:w="28" w:type="dxa"/>
            </w:tcMar>
            <w:vAlign w:val="center"/>
          </w:tcPr>
          <w:p w:rsidR="000C5BE8" w:rsidRDefault="000C5BE8" w:rsidP="003417A4">
            <w:pPr>
              <w:pStyle w:val="TableText0"/>
              <w:keepNext w:val="0"/>
            </w:pPr>
            <w:r>
              <w:t>Assumption</w:t>
            </w:r>
          </w:p>
        </w:tc>
        <w:tc>
          <w:tcPr>
            <w:tcW w:w="2239" w:type="dxa"/>
            <w:tcMar>
              <w:left w:w="28" w:type="dxa"/>
              <w:right w:w="28" w:type="dxa"/>
            </w:tcMar>
            <w:vAlign w:val="center"/>
          </w:tcPr>
          <w:p w:rsidR="000C5BE8" w:rsidRPr="0043777B" w:rsidRDefault="000C5BE8" w:rsidP="003417A4">
            <w:pPr>
              <w:pStyle w:val="TableText0"/>
              <w:keepNext w:val="0"/>
              <w:rPr>
                <w:iCs/>
              </w:rPr>
            </w:pPr>
            <w:r w:rsidRPr="0043777B">
              <w:rPr>
                <w:iCs/>
              </w:rPr>
              <w:t>Likely underestimated</w:t>
            </w:r>
          </w:p>
        </w:tc>
      </w:tr>
      <w:tr w:rsidR="000C5BE8" w:rsidTr="00DB54EF">
        <w:tc>
          <w:tcPr>
            <w:tcW w:w="2547" w:type="dxa"/>
            <w:tcMar>
              <w:left w:w="28" w:type="dxa"/>
              <w:right w:w="28" w:type="dxa"/>
            </w:tcMar>
            <w:vAlign w:val="center"/>
          </w:tcPr>
          <w:p w:rsidR="000C5BE8" w:rsidRPr="00984019" w:rsidRDefault="000C5BE8" w:rsidP="00984019">
            <w:pPr>
              <w:pStyle w:val="TableText0"/>
              <w:keepNext w:val="0"/>
              <w:rPr>
                <w:vertAlign w:val="superscript"/>
              </w:rPr>
            </w:pPr>
            <w:r>
              <w:t>Treatment response at 90 days (~13 weeks)</w:t>
            </w:r>
          </w:p>
        </w:tc>
        <w:tc>
          <w:tcPr>
            <w:tcW w:w="1559" w:type="dxa"/>
            <w:tcMar>
              <w:left w:w="28" w:type="dxa"/>
              <w:right w:w="28" w:type="dxa"/>
            </w:tcMar>
            <w:vAlign w:val="center"/>
          </w:tcPr>
          <w:p w:rsidR="000C5BE8" w:rsidRDefault="000C5BE8" w:rsidP="003417A4">
            <w:pPr>
              <w:pStyle w:val="TableText0"/>
              <w:keepNext w:val="0"/>
            </w:pPr>
            <w:r>
              <w:t>93.22% (=</w:t>
            </w:r>
            <w:r w:rsidRPr="00B3497E">
              <w:t>55</w:t>
            </w:r>
            <w:r>
              <w:t>/</w:t>
            </w:r>
            <w:r w:rsidRPr="00B3497E">
              <w:t>59</w:t>
            </w:r>
            <w:r>
              <w:t>)</w:t>
            </w:r>
          </w:p>
        </w:tc>
        <w:tc>
          <w:tcPr>
            <w:tcW w:w="2835" w:type="dxa"/>
            <w:tcMar>
              <w:left w:w="28" w:type="dxa"/>
              <w:right w:w="28" w:type="dxa"/>
            </w:tcMar>
            <w:vAlign w:val="center"/>
          </w:tcPr>
          <w:p w:rsidR="000C5BE8" w:rsidRDefault="000C5BE8" w:rsidP="00B3497E">
            <w:pPr>
              <w:pStyle w:val="TableText0"/>
              <w:keepNext w:val="0"/>
            </w:pPr>
            <w:r>
              <w:t>EOS-1 trial</w:t>
            </w:r>
            <w:r w:rsidRPr="007E178C">
              <w:t xml:space="preserve">; </w:t>
            </w:r>
            <w:r w:rsidRPr="00B3497E">
              <w:t>55</w:t>
            </w:r>
            <w:r w:rsidRPr="007E178C">
              <w:t xml:space="preserve"> out of </w:t>
            </w:r>
            <w:r w:rsidRPr="00B3497E">
              <w:t>59</w:t>
            </w:r>
            <w:r w:rsidRPr="007E178C">
              <w:t xml:space="preserve"> patients respond at 6 weeks. Taken as a response observed on the PBS after 90 days (this was 13 weeks in the cost-effectiveness model; approximation)</w:t>
            </w:r>
          </w:p>
        </w:tc>
        <w:tc>
          <w:tcPr>
            <w:tcW w:w="2239" w:type="dxa"/>
            <w:tcMar>
              <w:left w:w="28" w:type="dxa"/>
              <w:right w:w="28" w:type="dxa"/>
            </w:tcMar>
            <w:vAlign w:val="center"/>
          </w:tcPr>
          <w:p w:rsidR="000C5BE8" w:rsidRPr="0043777B" w:rsidRDefault="000C5BE8" w:rsidP="003417A4">
            <w:pPr>
              <w:pStyle w:val="TableText0"/>
              <w:keepNext w:val="0"/>
              <w:rPr>
                <w:iCs/>
              </w:rPr>
            </w:pPr>
            <w:r w:rsidRPr="0043777B">
              <w:rPr>
                <w:iCs/>
              </w:rPr>
              <w:t>Reasonable</w:t>
            </w:r>
          </w:p>
        </w:tc>
      </w:tr>
      <w:tr w:rsidR="000C5BE8" w:rsidTr="00DB54EF">
        <w:tc>
          <w:tcPr>
            <w:tcW w:w="2547" w:type="dxa"/>
            <w:tcMar>
              <w:left w:w="28" w:type="dxa"/>
              <w:right w:w="28" w:type="dxa"/>
            </w:tcMar>
            <w:vAlign w:val="center"/>
          </w:tcPr>
          <w:p w:rsidR="000C5BE8" w:rsidRDefault="000C5BE8" w:rsidP="003417A4">
            <w:pPr>
              <w:pStyle w:val="TableText0"/>
              <w:keepNext w:val="0"/>
            </w:pPr>
            <w:r w:rsidRPr="00557603">
              <w:t xml:space="preserve">Treatment discontinuation (any cause) at the end of Year 1 (over 275 days or </w:t>
            </w:r>
            <w:r>
              <w:t>~</w:t>
            </w:r>
            <w:r w:rsidRPr="00557603">
              <w:t>39 weeks after the response evaluation)</w:t>
            </w:r>
          </w:p>
        </w:tc>
        <w:tc>
          <w:tcPr>
            <w:tcW w:w="1559" w:type="dxa"/>
            <w:tcMar>
              <w:left w:w="28" w:type="dxa"/>
              <w:right w:w="28" w:type="dxa"/>
            </w:tcMar>
            <w:vAlign w:val="center"/>
          </w:tcPr>
          <w:p w:rsidR="000C5BE8" w:rsidRDefault="000C5BE8" w:rsidP="003417A4">
            <w:pPr>
              <w:pStyle w:val="TableText0"/>
              <w:keepNext w:val="0"/>
            </w:pPr>
            <w:r>
              <w:t>12.18%</w:t>
            </w:r>
          </w:p>
        </w:tc>
        <w:tc>
          <w:tcPr>
            <w:tcW w:w="2835" w:type="dxa"/>
            <w:vMerge w:val="restart"/>
            <w:tcMar>
              <w:left w:w="28" w:type="dxa"/>
              <w:right w:w="28" w:type="dxa"/>
            </w:tcMar>
            <w:vAlign w:val="center"/>
          </w:tcPr>
          <w:p w:rsidR="000C5BE8" w:rsidRDefault="000C5BE8" w:rsidP="00B3497E">
            <w:pPr>
              <w:pStyle w:val="TableText0"/>
              <w:keepNext w:val="0"/>
            </w:pPr>
            <w:r w:rsidRPr="005E00AD">
              <w:t>EOS-2 trial; a probability of discontinuation 14.71% over 48 weeks (</w:t>
            </w:r>
            <w:r w:rsidRPr="00B3497E">
              <w:t>10</w:t>
            </w:r>
            <w:r w:rsidRPr="005E00AD">
              <w:t xml:space="preserve"> out of </w:t>
            </w:r>
            <w:r w:rsidRPr="00B3497E">
              <w:t>68</w:t>
            </w:r>
            <w:r w:rsidRPr="005E00AD">
              <w:t xml:space="preserve"> patients receiving BOT 1 mg BID), translating to an annualised probability of 15.83%.</w:t>
            </w:r>
          </w:p>
        </w:tc>
        <w:tc>
          <w:tcPr>
            <w:tcW w:w="2239" w:type="dxa"/>
            <w:vMerge w:val="restart"/>
            <w:tcMar>
              <w:left w:w="28" w:type="dxa"/>
              <w:right w:w="28" w:type="dxa"/>
            </w:tcMar>
            <w:vAlign w:val="center"/>
          </w:tcPr>
          <w:p w:rsidR="000C5BE8" w:rsidRPr="0043777B" w:rsidRDefault="000C5BE8" w:rsidP="003417A4">
            <w:pPr>
              <w:pStyle w:val="TableText0"/>
              <w:keepNext w:val="0"/>
              <w:rPr>
                <w:iCs/>
              </w:rPr>
            </w:pPr>
            <w:r w:rsidRPr="0043777B">
              <w:rPr>
                <w:iCs/>
              </w:rPr>
              <w:t>Likely underestimated</w:t>
            </w:r>
          </w:p>
        </w:tc>
      </w:tr>
      <w:tr w:rsidR="000C5BE8" w:rsidTr="00DB54EF">
        <w:tc>
          <w:tcPr>
            <w:tcW w:w="2547" w:type="dxa"/>
            <w:tcMar>
              <w:left w:w="28" w:type="dxa"/>
              <w:right w:w="28" w:type="dxa"/>
            </w:tcMar>
            <w:vAlign w:val="center"/>
          </w:tcPr>
          <w:p w:rsidR="000C5BE8" w:rsidRPr="00557603" w:rsidRDefault="000C5BE8" w:rsidP="003417A4">
            <w:pPr>
              <w:pStyle w:val="TableText0"/>
              <w:keepNext w:val="0"/>
            </w:pPr>
            <w:r w:rsidRPr="009311D4">
              <w:t>Annualised treatment discontinuation (any cause) each year in Year 2</w:t>
            </w:r>
            <w:r>
              <w:t>+</w:t>
            </w:r>
          </w:p>
        </w:tc>
        <w:tc>
          <w:tcPr>
            <w:tcW w:w="1559" w:type="dxa"/>
            <w:tcMar>
              <w:left w:w="28" w:type="dxa"/>
              <w:right w:w="28" w:type="dxa"/>
            </w:tcMar>
            <w:vAlign w:val="center"/>
          </w:tcPr>
          <w:p w:rsidR="000C5BE8" w:rsidRDefault="000C5BE8" w:rsidP="003417A4">
            <w:pPr>
              <w:pStyle w:val="TableText0"/>
              <w:keepNext w:val="0"/>
            </w:pPr>
            <w:r>
              <w:t>15.83%</w:t>
            </w:r>
          </w:p>
        </w:tc>
        <w:tc>
          <w:tcPr>
            <w:tcW w:w="2835" w:type="dxa"/>
            <w:vMerge/>
            <w:tcMar>
              <w:left w:w="28" w:type="dxa"/>
              <w:right w:w="28" w:type="dxa"/>
            </w:tcMar>
            <w:vAlign w:val="center"/>
          </w:tcPr>
          <w:p w:rsidR="000C5BE8" w:rsidRDefault="000C5BE8" w:rsidP="003417A4">
            <w:pPr>
              <w:pStyle w:val="TableText0"/>
              <w:keepNext w:val="0"/>
            </w:pPr>
          </w:p>
        </w:tc>
        <w:tc>
          <w:tcPr>
            <w:tcW w:w="2239" w:type="dxa"/>
            <w:vMerge/>
            <w:tcMar>
              <w:left w:w="28" w:type="dxa"/>
              <w:right w:w="28" w:type="dxa"/>
            </w:tcMar>
            <w:vAlign w:val="center"/>
          </w:tcPr>
          <w:p w:rsidR="000C5BE8" w:rsidRPr="0043777B" w:rsidRDefault="000C5BE8" w:rsidP="003417A4">
            <w:pPr>
              <w:pStyle w:val="TableText0"/>
              <w:keepNext w:val="0"/>
              <w:rPr>
                <w:iCs/>
              </w:rPr>
            </w:pPr>
          </w:p>
        </w:tc>
      </w:tr>
      <w:tr w:rsidR="000C5BE8" w:rsidTr="00DB54EF">
        <w:tc>
          <w:tcPr>
            <w:tcW w:w="2547" w:type="dxa"/>
            <w:tcMar>
              <w:left w:w="28" w:type="dxa"/>
              <w:right w:w="28" w:type="dxa"/>
            </w:tcMar>
            <w:vAlign w:val="center"/>
          </w:tcPr>
          <w:p w:rsidR="000C5BE8" w:rsidRPr="009311D4" w:rsidRDefault="000C5BE8" w:rsidP="003417A4">
            <w:pPr>
              <w:pStyle w:val="TableText0"/>
              <w:keepNext w:val="0"/>
            </w:pPr>
            <w:r>
              <w:t>BOT – initiation treatment (i.e. induction)</w:t>
            </w:r>
          </w:p>
        </w:tc>
        <w:tc>
          <w:tcPr>
            <w:tcW w:w="1559" w:type="dxa"/>
            <w:tcMar>
              <w:left w:w="28" w:type="dxa"/>
              <w:right w:w="28" w:type="dxa"/>
            </w:tcMar>
            <w:vAlign w:val="center"/>
          </w:tcPr>
          <w:p w:rsidR="000C5BE8" w:rsidRDefault="000C5BE8" w:rsidP="003417A4">
            <w:pPr>
              <w:pStyle w:val="TableText0"/>
              <w:keepNext w:val="0"/>
            </w:pPr>
            <w:r>
              <w:t>$</w:t>
            </w:r>
            <w:r w:rsidR="00D02986">
              <w:rPr>
                <w:noProof/>
                <w:color w:val="000000"/>
                <w:highlight w:val="black"/>
              </w:rPr>
              <w:t>''''''''''''''''</w:t>
            </w:r>
          </w:p>
        </w:tc>
        <w:tc>
          <w:tcPr>
            <w:tcW w:w="2835" w:type="dxa"/>
            <w:tcMar>
              <w:left w:w="28" w:type="dxa"/>
              <w:right w:w="28" w:type="dxa"/>
            </w:tcMar>
            <w:vAlign w:val="center"/>
          </w:tcPr>
          <w:p w:rsidR="000C5BE8" w:rsidRDefault="000C5BE8" w:rsidP="003417A4">
            <w:pPr>
              <w:pStyle w:val="TableText0"/>
              <w:keepNext w:val="0"/>
            </w:pPr>
            <w:r>
              <w:t>Requested price (DPMQ) for pack of 45 tablets, BOT 1 mg</w:t>
            </w:r>
          </w:p>
        </w:tc>
        <w:tc>
          <w:tcPr>
            <w:tcW w:w="2239" w:type="dxa"/>
            <w:tcMar>
              <w:left w:w="28" w:type="dxa"/>
              <w:right w:w="28" w:type="dxa"/>
            </w:tcMar>
            <w:vAlign w:val="center"/>
          </w:tcPr>
          <w:p w:rsidR="000C5BE8" w:rsidRPr="0043777B" w:rsidRDefault="00A03944" w:rsidP="003417A4">
            <w:pPr>
              <w:pStyle w:val="TableText0"/>
              <w:keepNext w:val="0"/>
              <w:rPr>
                <w:iCs/>
              </w:rPr>
            </w:pPr>
            <w:r>
              <w:rPr>
                <w:iCs/>
              </w:rPr>
              <w:t xml:space="preserve">- </w:t>
            </w:r>
          </w:p>
        </w:tc>
      </w:tr>
      <w:tr w:rsidR="000C5BE8" w:rsidTr="00DB54EF">
        <w:tc>
          <w:tcPr>
            <w:tcW w:w="2547" w:type="dxa"/>
            <w:tcMar>
              <w:left w:w="28" w:type="dxa"/>
              <w:right w:w="28" w:type="dxa"/>
            </w:tcMar>
            <w:vAlign w:val="center"/>
          </w:tcPr>
          <w:p w:rsidR="000C5BE8" w:rsidRPr="009311D4" w:rsidRDefault="000C5BE8" w:rsidP="003417A4">
            <w:pPr>
              <w:pStyle w:val="TableText0"/>
              <w:keepNext w:val="0"/>
            </w:pPr>
            <w:r>
              <w:t>BOT – continuation treatment (i.e. maintenance)</w:t>
            </w:r>
          </w:p>
        </w:tc>
        <w:tc>
          <w:tcPr>
            <w:tcW w:w="1559" w:type="dxa"/>
            <w:tcMar>
              <w:left w:w="28" w:type="dxa"/>
              <w:right w:w="28" w:type="dxa"/>
            </w:tcMar>
            <w:vAlign w:val="center"/>
          </w:tcPr>
          <w:p w:rsidR="000C5BE8" w:rsidRDefault="000C5BE8" w:rsidP="003417A4">
            <w:pPr>
              <w:pStyle w:val="TableText0"/>
              <w:keepNext w:val="0"/>
            </w:pPr>
            <w:r>
              <w:t>$</w:t>
            </w:r>
            <w:r w:rsidR="00D02986">
              <w:rPr>
                <w:noProof/>
                <w:color w:val="000000"/>
                <w:highlight w:val="black"/>
              </w:rPr>
              <w:t>''''''''''''''''</w:t>
            </w:r>
          </w:p>
        </w:tc>
        <w:tc>
          <w:tcPr>
            <w:tcW w:w="2835" w:type="dxa"/>
            <w:tcMar>
              <w:left w:w="28" w:type="dxa"/>
              <w:right w:w="28" w:type="dxa"/>
            </w:tcMar>
            <w:vAlign w:val="center"/>
          </w:tcPr>
          <w:p w:rsidR="000C5BE8" w:rsidRDefault="000C5BE8" w:rsidP="003417A4">
            <w:pPr>
              <w:pStyle w:val="TableText0"/>
              <w:keepNext w:val="0"/>
            </w:pPr>
            <w:r>
              <w:t>Requested price (DPMQ) for pack of 30 tablets, BOT 1 mg</w:t>
            </w:r>
          </w:p>
        </w:tc>
        <w:tc>
          <w:tcPr>
            <w:tcW w:w="2239" w:type="dxa"/>
            <w:tcMar>
              <w:left w:w="28" w:type="dxa"/>
              <w:right w:w="28" w:type="dxa"/>
            </w:tcMar>
            <w:vAlign w:val="center"/>
          </w:tcPr>
          <w:p w:rsidR="000C5BE8" w:rsidRPr="0043777B" w:rsidRDefault="00A03944" w:rsidP="003417A4">
            <w:pPr>
              <w:pStyle w:val="TableText0"/>
              <w:keepNext w:val="0"/>
              <w:rPr>
                <w:iCs/>
              </w:rPr>
            </w:pPr>
            <w:r>
              <w:rPr>
                <w:iCs/>
              </w:rPr>
              <w:t xml:space="preserve">- </w:t>
            </w:r>
          </w:p>
        </w:tc>
      </w:tr>
      <w:tr w:rsidR="000C5BE8" w:rsidTr="00DB54EF">
        <w:tc>
          <w:tcPr>
            <w:tcW w:w="2547" w:type="dxa"/>
            <w:tcMar>
              <w:left w:w="28" w:type="dxa"/>
              <w:right w:w="28" w:type="dxa"/>
            </w:tcMar>
            <w:vAlign w:val="center"/>
          </w:tcPr>
          <w:p w:rsidR="000C5BE8" w:rsidRDefault="000C5BE8" w:rsidP="003417A4">
            <w:pPr>
              <w:pStyle w:val="TableText0"/>
              <w:keepNext w:val="0"/>
            </w:pPr>
            <w:r>
              <w:t>Endoscopy (treatment evaluation)</w:t>
            </w:r>
          </w:p>
        </w:tc>
        <w:tc>
          <w:tcPr>
            <w:tcW w:w="1559" w:type="dxa"/>
            <w:tcMar>
              <w:left w:w="28" w:type="dxa"/>
              <w:right w:w="28" w:type="dxa"/>
            </w:tcMar>
            <w:vAlign w:val="center"/>
          </w:tcPr>
          <w:p w:rsidR="000C5BE8" w:rsidRDefault="000C5BE8" w:rsidP="003417A4">
            <w:pPr>
              <w:pStyle w:val="TableText0"/>
              <w:keepNext w:val="0"/>
            </w:pPr>
            <w:r>
              <w:t>$1,242.81</w:t>
            </w:r>
          </w:p>
        </w:tc>
        <w:tc>
          <w:tcPr>
            <w:tcW w:w="2835" w:type="dxa"/>
            <w:tcMar>
              <w:left w:w="28" w:type="dxa"/>
              <w:right w:w="28" w:type="dxa"/>
            </w:tcMar>
            <w:vAlign w:val="center"/>
          </w:tcPr>
          <w:p w:rsidR="000C5BE8" w:rsidRDefault="000C5BE8" w:rsidP="003417A4">
            <w:pPr>
              <w:pStyle w:val="TableText0"/>
              <w:keepNext w:val="0"/>
            </w:pPr>
            <w:r w:rsidRPr="00736D57">
              <w:t>NHCDC Round 22 (2017-2018) Non-admitted care Tier 2 "1006 Endoscopy - Gastrointestinal"</w:t>
            </w:r>
          </w:p>
        </w:tc>
        <w:tc>
          <w:tcPr>
            <w:tcW w:w="2239" w:type="dxa"/>
            <w:tcMar>
              <w:left w:w="28" w:type="dxa"/>
              <w:right w:w="28" w:type="dxa"/>
            </w:tcMar>
            <w:vAlign w:val="center"/>
          </w:tcPr>
          <w:p w:rsidR="000C5BE8" w:rsidRPr="0043777B" w:rsidRDefault="000C5BE8" w:rsidP="003417A4">
            <w:pPr>
              <w:pStyle w:val="TableText0"/>
              <w:keepNext w:val="0"/>
              <w:rPr>
                <w:iCs/>
              </w:rPr>
            </w:pPr>
            <w:r w:rsidRPr="0043777B">
              <w:rPr>
                <w:iCs/>
              </w:rPr>
              <w:t>Appropriate</w:t>
            </w:r>
          </w:p>
        </w:tc>
      </w:tr>
      <w:tr w:rsidR="000C5BE8" w:rsidTr="00DB54EF">
        <w:tc>
          <w:tcPr>
            <w:tcW w:w="2547" w:type="dxa"/>
            <w:tcMar>
              <w:left w:w="28" w:type="dxa"/>
              <w:right w:w="28" w:type="dxa"/>
            </w:tcMar>
            <w:vAlign w:val="center"/>
          </w:tcPr>
          <w:p w:rsidR="000C5BE8" w:rsidRDefault="000C5BE8" w:rsidP="003417A4">
            <w:pPr>
              <w:pStyle w:val="TableText0"/>
              <w:keepNext w:val="0"/>
            </w:pPr>
            <w:r>
              <w:t>Dilation (endoscopy)</w:t>
            </w:r>
          </w:p>
        </w:tc>
        <w:tc>
          <w:tcPr>
            <w:tcW w:w="1559" w:type="dxa"/>
            <w:tcMar>
              <w:left w:w="28" w:type="dxa"/>
              <w:right w:w="28" w:type="dxa"/>
            </w:tcMar>
            <w:vAlign w:val="center"/>
          </w:tcPr>
          <w:p w:rsidR="000C5BE8" w:rsidRDefault="000C5BE8" w:rsidP="003417A4">
            <w:pPr>
              <w:pStyle w:val="TableText0"/>
              <w:keepNext w:val="0"/>
            </w:pPr>
            <w:r>
              <w:t>$1,938.60</w:t>
            </w:r>
          </w:p>
        </w:tc>
        <w:tc>
          <w:tcPr>
            <w:tcW w:w="2835" w:type="dxa"/>
            <w:tcMar>
              <w:left w:w="28" w:type="dxa"/>
              <w:right w:w="28" w:type="dxa"/>
            </w:tcMar>
            <w:vAlign w:val="center"/>
          </w:tcPr>
          <w:p w:rsidR="000C5BE8" w:rsidRDefault="000C5BE8" w:rsidP="003417A4">
            <w:pPr>
              <w:pStyle w:val="TableText0"/>
              <w:keepNext w:val="0"/>
            </w:pPr>
            <w:r w:rsidRPr="00736D57">
              <w:t>AR-DRG v10 "G47C Gastroscopy, MINC"</w:t>
            </w:r>
          </w:p>
        </w:tc>
        <w:tc>
          <w:tcPr>
            <w:tcW w:w="2239" w:type="dxa"/>
            <w:tcMar>
              <w:left w:w="28" w:type="dxa"/>
              <w:right w:w="28" w:type="dxa"/>
            </w:tcMar>
            <w:vAlign w:val="center"/>
          </w:tcPr>
          <w:p w:rsidR="000C5BE8" w:rsidRPr="0043777B" w:rsidRDefault="000C5BE8" w:rsidP="003417A4">
            <w:pPr>
              <w:pStyle w:val="TableText0"/>
              <w:keepNext w:val="0"/>
              <w:rPr>
                <w:iCs/>
              </w:rPr>
            </w:pPr>
            <w:r w:rsidRPr="0043777B">
              <w:rPr>
                <w:iCs/>
              </w:rPr>
              <w:t>Appropriate</w:t>
            </w:r>
          </w:p>
        </w:tc>
      </w:tr>
      <w:tr w:rsidR="000C5BE8" w:rsidTr="00DB54EF">
        <w:tc>
          <w:tcPr>
            <w:tcW w:w="2547" w:type="dxa"/>
            <w:tcMar>
              <w:left w:w="28" w:type="dxa"/>
              <w:right w:w="28" w:type="dxa"/>
            </w:tcMar>
            <w:vAlign w:val="center"/>
          </w:tcPr>
          <w:p w:rsidR="000C5BE8" w:rsidRDefault="000C5BE8" w:rsidP="003417A4">
            <w:pPr>
              <w:pStyle w:val="TableText0"/>
              <w:keepNext w:val="0"/>
            </w:pPr>
            <w:r>
              <w:t>Food bolus impactions requiring endoscopic removal</w:t>
            </w:r>
          </w:p>
        </w:tc>
        <w:tc>
          <w:tcPr>
            <w:tcW w:w="1559" w:type="dxa"/>
            <w:tcMar>
              <w:left w:w="28" w:type="dxa"/>
              <w:right w:w="28" w:type="dxa"/>
            </w:tcMar>
            <w:vAlign w:val="center"/>
          </w:tcPr>
          <w:p w:rsidR="000C5BE8" w:rsidRDefault="000C5BE8" w:rsidP="003417A4">
            <w:pPr>
              <w:pStyle w:val="TableText0"/>
              <w:keepNext w:val="0"/>
            </w:pPr>
            <w:r>
              <w:t>$1,344.60</w:t>
            </w:r>
          </w:p>
        </w:tc>
        <w:tc>
          <w:tcPr>
            <w:tcW w:w="2835" w:type="dxa"/>
            <w:tcMar>
              <w:left w:w="28" w:type="dxa"/>
              <w:right w:w="28" w:type="dxa"/>
            </w:tcMar>
            <w:vAlign w:val="center"/>
          </w:tcPr>
          <w:p w:rsidR="000C5BE8" w:rsidRDefault="000C5BE8" w:rsidP="003417A4">
            <w:pPr>
              <w:pStyle w:val="TableText0"/>
              <w:keepNext w:val="0"/>
            </w:pPr>
            <w:r w:rsidRPr="00736D57">
              <w:t>Emergency care URG v.1.45; URG 11</w:t>
            </w:r>
          </w:p>
        </w:tc>
        <w:tc>
          <w:tcPr>
            <w:tcW w:w="2239" w:type="dxa"/>
            <w:tcMar>
              <w:left w:w="28" w:type="dxa"/>
              <w:right w:w="28" w:type="dxa"/>
            </w:tcMar>
            <w:vAlign w:val="center"/>
          </w:tcPr>
          <w:p w:rsidR="000C5BE8" w:rsidRPr="0043777B" w:rsidRDefault="000C5BE8" w:rsidP="003417A4">
            <w:pPr>
              <w:pStyle w:val="TableText0"/>
              <w:keepNext w:val="0"/>
              <w:rPr>
                <w:iCs/>
              </w:rPr>
            </w:pPr>
            <w:r w:rsidRPr="0043777B">
              <w:rPr>
                <w:iCs/>
              </w:rPr>
              <w:t>Appropriate</w:t>
            </w:r>
          </w:p>
        </w:tc>
      </w:tr>
    </w:tbl>
    <w:p w:rsidR="000C5BE8" w:rsidRDefault="000C5BE8" w:rsidP="000C5BE8">
      <w:pPr>
        <w:pStyle w:val="TableFigureFooter"/>
      </w:pPr>
      <w:r>
        <w:t>Source: Table 4-1</w:t>
      </w:r>
      <w:r w:rsidR="007D135E">
        <w:t>,</w:t>
      </w:r>
      <w:r>
        <w:t xml:space="preserve"> Table 4-2</w:t>
      </w:r>
      <w:r w:rsidR="007D135E">
        <w:t xml:space="preserve"> and</w:t>
      </w:r>
      <w:r>
        <w:t xml:space="preserve"> Table 4-4 </w:t>
      </w:r>
      <w:r w:rsidRPr="00D13A3E">
        <w:t xml:space="preserve">of the </w:t>
      </w:r>
      <w:r>
        <w:t xml:space="preserve">submission. </w:t>
      </w:r>
    </w:p>
    <w:p w:rsidR="000C5BE8" w:rsidRPr="00881E38" w:rsidRDefault="000C5BE8" w:rsidP="000C5BE8">
      <w:pPr>
        <w:pStyle w:val="TableFigureFooter"/>
      </w:pPr>
      <w:r w:rsidRPr="00041D82">
        <w:t xml:space="preserve">Abbreviations: </w:t>
      </w:r>
      <w:r w:rsidRPr="005A5B4A">
        <w:t>AR-DRG = Australian refined diagnosis-related groups</w:t>
      </w:r>
      <w:r>
        <w:t>;</w:t>
      </w:r>
      <w:r w:rsidRPr="005A5B4A">
        <w:t xml:space="preserve"> </w:t>
      </w:r>
      <w:r w:rsidRPr="00041D82">
        <w:t xml:space="preserve">BOT = budesonide orally disintegrating tablet; DPMQ = dispensed price </w:t>
      </w:r>
      <w:r>
        <w:t>for maximum quantity; EoE = eosinophilic oesophagitis</w:t>
      </w:r>
      <w:r w:rsidRPr="00041D82">
        <w:t xml:space="preserve">; NHCDC = National Hospital Cost Data Collection; </w:t>
      </w:r>
      <w:r>
        <w:t>URG = urgency related group</w:t>
      </w:r>
    </w:p>
    <w:p w:rsidR="000C5BE8" w:rsidRDefault="000C5BE8" w:rsidP="000C5BE8">
      <w:pPr>
        <w:pStyle w:val="TableFigureFooter"/>
      </w:pPr>
      <w:r>
        <w:t>Note: No MBS items nor drug cost-offsets were applied in the financial estimates</w:t>
      </w:r>
    </w:p>
    <w:p w:rsidR="00747088" w:rsidRPr="00747088" w:rsidRDefault="00747088" w:rsidP="00747088">
      <w:pPr>
        <w:pStyle w:val="TableFigureFooter"/>
        <w:spacing w:after="0"/>
        <w:contextualSpacing w:val="0"/>
        <w:rPr>
          <w:i/>
        </w:rPr>
      </w:pPr>
      <w:r w:rsidRPr="00747088">
        <w:rPr>
          <w:i/>
        </w:rPr>
        <w:t xml:space="preserve">The redacted values correspond to the following ranges: </w:t>
      </w:r>
    </w:p>
    <w:p w:rsidR="00747088" w:rsidRDefault="00747088" w:rsidP="000C5BE8">
      <w:pPr>
        <w:pStyle w:val="TableFigureFooter"/>
        <w:rPr>
          <w:i/>
        </w:rPr>
      </w:pPr>
      <w:r>
        <w:rPr>
          <w:i/>
          <w:vertAlign w:val="superscript"/>
        </w:rPr>
        <w:t xml:space="preserve">1 </w:t>
      </w:r>
      <w:r w:rsidRPr="00747088">
        <w:rPr>
          <w:i/>
        </w:rPr>
        <w:t>5,000 to &lt; 10,000</w:t>
      </w:r>
    </w:p>
    <w:p w:rsidR="000C5BE8" w:rsidRPr="000C5BE8" w:rsidRDefault="000C5BE8" w:rsidP="000C5BE8">
      <w:pPr>
        <w:pStyle w:val="3-BodyText"/>
      </w:pPr>
      <w:r w:rsidRPr="00EF7A28">
        <w:t xml:space="preserve">The submission relied on a recent systematic review by Navarro (2019) to determine the number of prevalent patients eligible for BOT treatment. </w:t>
      </w:r>
      <w:r w:rsidRPr="000C5BE8">
        <w:rPr>
          <w:iCs/>
        </w:rPr>
        <w:t>The pooled prevalence rate (42.2; 95% CI, 31.1‐55) was uncertain (likely overestimated) due to methodological issues identified in two of the nine pooled adult studies. It appears that two of the studies (Molina-Infante 2018b and Arias 2019) accumulated annual incident cases over time to derive the annual prevalence rates, resulting in an overestimation of the prevalence during the study period. The percentage of patient contributions from these studies to the overall pooled results was not reported. Based on the uncertainty in patient numbers, the sponsor indicated a willingness to discuss a risk-sharing arrangement.</w:t>
      </w:r>
    </w:p>
    <w:p w:rsidR="000C5BE8" w:rsidRPr="000C5BE8" w:rsidRDefault="000C5BE8" w:rsidP="000C5BE8">
      <w:pPr>
        <w:pStyle w:val="3-BodyText"/>
      </w:pPr>
      <w:r w:rsidRPr="00EF7A28">
        <w:t>The submission stated that the uptake rate of BOT was expected to be gradual and modest (10% of newly initiating patients each year over the six-year forward estimates</w:t>
      </w:r>
      <w:r w:rsidRPr="000C5BE8">
        <w:t xml:space="preserve">). </w:t>
      </w:r>
      <w:r w:rsidRPr="000C5BE8">
        <w:rPr>
          <w:iCs/>
        </w:rPr>
        <w:t xml:space="preserve">No justification was provided for this assumption. This may be underestimated as BOT would be the first TGA-registered treatment for EoE listed on the PBS, if recommended. The uptake rate was applied to the estimated prevalent pool of patients each year without adjusting for patients who had commenced BOT treatment in previous years (i.e. replacement approach). </w:t>
      </w:r>
      <w:r w:rsidR="00293123">
        <w:rPr>
          <w:iCs/>
        </w:rPr>
        <w:t xml:space="preserve">The pre-PBAC </w:t>
      </w:r>
      <w:r w:rsidR="00D932B7">
        <w:rPr>
          <w:iCs/>
        </w:rPr>
        <w:t>response argued</w:t>
      </w:r>
      <w:r w:rsidR="00293123">
        <w:rPr>
          <w:iCs/>
        </w:rPr>
        <w:t xml:space="preserve"> that while BOT would be the first TGA registered treatment, many prevalent patients are being successfully managed on unregistered treatments and would therefore be reluctant to switch in the short term. The PBAC noted the comments from consumers highlighting the </w:t>
      </w:r>
      <w:r w:rsidR="00293123">
        <w:rPr>
          <w:iCs/>
          <w:snapToGrid/>
          <w:lang w:val="en-US"/>
        </w:rPr>
        <w:t>compounding issues and the confusion that can arise when medicines indicated for asthma are used for EoE</w:t>
      </w:r>
      <w:r w:rsidR="0083376C">
        <w:rPr>
          <w:iCs/>
          <w:snapToGrid/>
          <w:lang w:val="en-US"/>
        </w:rPr>
        <w:t>. As such, the PBAC</w:t>
      </w:r>
      <w:r w:rsidR="00293123">
        <w:rPr>
          <w:iCs/>
          <w:snapToGrid/>
          <w:lang w:val="en-US"/>
        </w:rPr>
        <w:t xml:space="preserve"> considered it </w:t>
      </w:r>
      <w:r w:rsidR="0083376C">
        <w:rPr>
          <w:iCs/>
          <w:snapToGrid/>
          <w:lang w:val="en-US"/>
        </w:rPr>
        <w:t xml:space="preserve">highly likely that patients would switch from unregistered treatments to BOT. </w:t>
      </w:r>
    </w:p>
    <w:p w:rsidR="000C5BE8" w:rsidRPr="000C5BE8" w:rsidRDefault="000C5BE8" w:rsidP="00984019">
      <w:pPr>
        <w:pStyle w:val="3-BodyText"/>
      </w:pPr>
      <w:r w:rsidRPr="00EF7A28">
        <w:t xml:space="preserve">To estimate the number of patients receiving maintenance treatment, the submission applied the probability of treatment response at 90 days based on the percentage of BOT patients in histologic remission at Week 6 in EOS-1 (93.2%; 55/59). </w:t>
      </w:r>
      <w:r w:rsidRPr="000C5BE8">
        <w:rPr>
          <w:iCs/>
        </w:rPr>
        <w:t>This was a combination of the probabilities of clinicohistologic (84.7%) and histologic remission only (8.5%) in EOS-1, as applied in the economic model. While this reflects the intended use on the PBS, eligibility for maintenance therapy in the EOS-2 study was determined by clinicohistologic remission only.</w:t>
      </w:r>
    </w:p>
    <w:p w:rsidR="000C5BE8" w:rsidRPr="000C5BE8" w:rsidRDefault="000C5BE8" w:rsidP="000C5BE8">
      <w:pPr>
        <w:pStyle w:val="3-BodyText"/>
      </w:pPr>
      <w:r w:rsidRPr="000C5BE8">
        <w:t xml:space="preserve">The submission applied the same assumption regarding treatment discontinuation (any cause) during maintenance treatment as applied in </w:t>
      </w:r>
      <w:r w:rsidR="000838FD">
        <w:t>the economic model</w:t>
      </w:r>
      <w:r w:rsidRPr="000C5BE8">
        <w:t xml:space="preserve"> (14.71%). </w:t>
      </w:r>
      <w:r w:rsidRPr="000C5BE8">
        <w:rPr>
          <w:iCs/>
        </w:rPr>
        <w:t>This probability is likely an underestimate as it has not taken into account other causes of treatment discontinuation such as clinical relapse or withdrawal due to adverse events. In EOS-2, treatment failure (i.e. treatment discontinuation) was 25% in the BOT arm.</w:t>
      </w:r>
    </w:p>
    <w:p w:rsidR="000C5BE8" w:rsidRPr="000C5BE8" w:rsidRDefault="000C5BE8" w:rsidP="000C5BE8">
      <w:pPr>
        <w:pStyle w:val="3-BodyText"/>
        <w:rPr>
          <w:iCs/>
        </w:rPr>
      </w:pPr>
      <w:r w:rsidRPr="000C5BE8">
        <w:rPr>
          <w:iCs/>
        </w:rPr>
        <w:t>Overall, the estimated number of patients was uncertain. While the uptake rate was likely an underestimate, the prevalence rate and the probability of patients continuing maintenance treatment were likely an overestimate.</w:t>
      </w:r>
    </w:p>
    <w:p w:rsidR="000C5BE8" w:rsidRPr="000C5BE8" w:rsidRDefault="000C5BE8" w:rsidP="000C5BE8">
      <w:pPr>
        <w:pStyle w:val="3-BodyText"/>
        <w:rPr>
          <w:iCs/>
        </w:rPr>
      </w:pPr>
      <w:r w:rsidRPr="00A30411">
        <w:t xml:space="preserve">The submission stated that there </w:t>
      </w:r>
      <w:r>
        <w:t>are</w:t>
      </w:r>
      <w:r w:rsidRPr="00A30411">
        <w:t xml:space="preserve"> no substitution-related cost-offsets to the PBS since BOT represents the first TGA-registered treatment for EoE in Australia</w:t>
      </w:r>
      <w:r w:rsidRPr="000C5BE8">
        <w:t>.</w:t>
      </w:r>
      <w:r w:rsidRPr="000C5BE8">
        <w:rPr>
          <w:iCs/>
        </w:rPr>
        <w:t xml:space="preserve"> This was reasonable as it is unclear what proportion of off-label PPIs and STCs are being dispensed for EoE under the PBS.</w:t>
      </w:r>
    </w:p>
    <w:p w:rsidR="000C5BE8" w:rsidRDefault="000C5BE8" w:rsidP="007D135E">
      <w:pPr>
        <w:pStyle w:val="3-BodyText"/>
      </w:pPr>
      <w:r>
        <w:t xml:space="preserve">The estimated use and financial implications of BOT are presented in </w:t>
      </w:r>
      <w:r w:rsidRPr="00676E44">
        <w:t xml:space="preserve">Table </w:t>
      </w:r>
      <w:r>
        <w:t>19.</w:t>
      </w:r>
      <w:r w:rsidRPr="005E7497">
        <w:t xml:space="preserve"> The total cost to the PBS/RPBS of listing BOT was estimated to be </w:t>
      </w:r>
      <w:r w:rsidR="007D135E" w:rsidRPr="007D135E">
        <w:t>$10 million to &lt; $20 million</w:t>
      </w:r>
      <w:r w:rsidR="007D135E">
        <w:t xml:space="preserve"> </w:t>
      </w:r>
      <w:r w:rsidRPr="005E7497">
        <w:t xml:space="preserve">in Year 6, and a total of </w:t>
      </w:r>
      <w:r w:rsidR="007D135E" w:rsidRPr="007D135E">
        <w:t>$60 million to &lt; $70 million</w:t>
      </w:r>
      <w:r w:rsidR="007D135E">
        <w:t xml:space="preserve"> </w:t>
      </w:r>
      <w:r w:rsidRPr="005E7497">
        <w:t>in the first 6 years of listing.</w:t>
      </w:r>
    </w:p>
    <w:p w:rsidR="000C5BE8" w:rsidRPr="00606FBA" w:rsidRDefault="000C5BE8" w:rsidP="000C5BE8">
      <w:pPr>
        <w:pStyle w:val="TableFigureHeading"/>
        <w:keepLines/>
      </w:pPr>
      <w:r w:rsidRPr="00676E44">
        <w:rPr>
          <w:rStyle w:val="CommentReference"/>
          <w:b/>
          <w:szCs w:val="24"/>
        </w:rPr>
        <w:t xml:space="preserve">Table </w:t>
      </w:r>
      <w:r>
        <w:rPr>
          <w:rStyle w:val="CommentReference"/>
          <w:b/>
          <w:szCs w:val="24"/>
        </w:rPr>
        <w:t>19</w:t>
      </w:r>
      <w:r w:rsidRPr="00676E44">
        <w:rPr>
          <w:rStyle w:val="CommentReference"/>
          <w:b/>
          <w:szCs w:val="24"/>
        </w:rPr>
        <w:t>:</w:t>
      </w:r>
      <w:r w:rsidRPr="00606FBA">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0C5BE8" w:rsidRPr="00D1078F" w:rsidTr="003417A4">
        <w:trPr>
          <w:tblHeader/>
        </w:trPr>
        <w:tc>
          <w:tcPr>
            <w:tcW w:w="1116" w:type="pct"/>
            <w:shd w:val="clear" w:color="auto" w:fill="auto"/>
            <w:vAlign w:val="center"/>
          </w:tcPr>
          <w:p w:rsidR="000C5BE8" w:rsidRPr="003639A6" w:rsidRDefault="000C5BE8" w:rsidP="003417A4">
            <w:pPr>
              <w:pStyle w:val="In-tableHeading"/>
              <w:keepLines/>
              <w:jc w:val="center"/>
            </w:pPr>
          </w:p>
        </w:tc>
        <w:tc>
          <w:tcPr>
            <w:tcW w:w="647" w:type="pct"/>
            <w:shd w:val="clear" w:color="auto" w:fill="auto"/>
            <w:vAlign w:val="center"/>
          </w:tcPr>
          <w:p w:rsidR="000C5BE8" w:rsidRPr="00D1078F" w:rsidRDefault="000C5BE8" w:rsidP="003417A4">
            <w:pPr>
              <w:pStyle w:val="In-tableHeading"/>
              <w:keepLines/>
              <w:jc w:val="center"/>
            </w:pPr>
            <w:r w:rsidRPr="00D1078F">
              <w:t>Year 1</w:t>
            </w:r>
          </w:p>
        </w:tc>
        <w:tc>
          <w:tcPr>
            <w:tcW w:w="647" w:type="pct"/>
            <w:shd w:val="clear" w:color="auto" w:fill="auto"/>
            <w:vAlign w:val="center"/>
          </w:tcPr>
          <w:p w:rsidR="000C5BE8" w:rsidRPr="00D1078F" w:rsidRDefault="000C5BE8" w:rsidP="003417A4">
            <w:pPr>
              <w:pStyle w:val="In-tableHeading"/>
              <w:keepLines/>
              <w:jc w:val="center"/>
            </w:pPr>
            <w:r w:rsidRPr="00D1078F">
              <w:t>Year 2</w:t>
            </w:r>
          </w:p>
        </w:tc>
        <w:tc>
          <w:tcPr>
            <w:tcW w:w="647" w:type="pct"/>
            <w:shd w:val="clear" w:color="auto" w:fill="auto"/>
            <w:vAlign w:val="center"/>
          </w:tcPr>
          <w:p w:rsidR="000C5BE8" w:rsidRPr="00D1078F" w:rsidRDefault="000C5BE8" w:rsidP="003417A4">
            <w:pPr>
              <w:pStyle w:val="In-tableHeading"/>
              <w:keepLines/>
              <w:jc w:val="center"/>
            </w:pPr>
            <w:r w:rsidRPr="00D1078F">
              <w:t>Year 3</w:t>
            </w:r>
          </w:p>
        </w:tc>
        <w:tc>
          <w:tcPr>
            <w:tcW w:w="647" w:type="pct"/>
            <w:shd w:val="clear" w:color="auto" w:fill="auto"/>
            <w:vAlign w:val="center"/>
          </w:tcPr>
          <w:p w:rsidR="000C5BE8" w:rsidRPr="00D1078F" w:rsidRDefault="000C5BE8" w:rsidP="003417A4">
            <w:pPr>
              <w:pStyle w:val="In-tableHeading"/>
              <w:keepLines/>
              <w:jc w:val="center"/>
            </w:pPr>
            <w:r w:rsidRPr="00D1078F">
              <w:t>Year 4</w:t>
            </w:r>
          </w:p>
        </w:tc>
        <w:tc>
          <w:tcPr>
            <w:tcW w:w="647" w:type="pct"/>
            <w:shd w:val="clear" w:color="auto" w:fill="auto"/>
            <w:vAlign w:val="center"/>
          </w:tcPr>
          <w:p w:rsidR="000C5BE8" w:rsidRPr="00D1078F" w:rsidRDefault="000C5BE8" w:rsidP="003417A4">
            <w:pPr>
              <w:pStyle w:val="In-tableHeading"/>
              <w:keepLines/>
              <w:jc w:val="center"/>
            </w:pPr>
            <w:r w:rsidRPr="00D1078F">
              <w:t>Year 5</w:t>
            </w:r>
          </w:p>
        </w:tc>
        <w:tc>
          <w:tcPr>
            <w:tcW w:w="649" w:type="pct"/>
          </w:tcPr>
          <w:p w:rsidR="000C5BE8" w:rsidRPr="00D1078F" w:rsidRDefault="000C5BE8" w:rsidP="003417A4">
            <w:pPr>
              <w:pStyle w:val="In-tableHeading"/>
              <w:keepLines/>
              <w:jc w:val="center"/>
            </w:pPr>
            <w:r w:rsidRPr="00D1078F">
              <w:t>Year 6</w:t>
            </w:r>
          </w:p>
        </w:tc>
      </w:tr>
      <w:tr w:rsidR="000C5BE8" w:rsidRPr="00D1078F" w:rsidTr="003417A4">
        <w:tc>
          <w:tcPr>
            <w:tcW w:w="5000" w:type="pct"/>
            <w:gridSpan w:val="7"/>
            <w:shd w:val="clear" w:color="auto" w:fill="auto"/>
            <w:vAlign w:val="center"/>
          </w:tcPr>
          <w:p w:rsidR="000C5BE8" w:rsidRPr="00D1078F" w:rsidRDefault="000C5BE8" w:rsidP="003417A4">
            <w:pPr>
              <w:pStyle w:val="In-tableHeading"/>
              <w:keepLines/>
              <w:rPr>
                <w:bCs/>
                <w:color w:val="000000"/>
              </w:rPr>
            </w:pPr>
            <w:r w:rsidRPr="00D1078F">
              <w:rPr>
                <w:bCs/>
                <w:color w:val="000000"/>
              </w:rPr>
              <w:t>Estimated extent of use</w:t>
            </w:r>
            <w:r>
              <w:rPr>
                <w:bCs/>
                <w:color w:val="000000"/>
              </w:rPr>
              <w:t xml:space="preserve"> (number of patients treated)</w:t>
            </w:r>
          </w:p>
        </w:tc>
      </w:tr>
      <w:tr w:rsidR="000C5BE8" w:rsidRPr="003639A6" w:rsidTr="003417A4">
        <w:tc>
          <w:tcPr>
            <w:tcW w:w="1116" w:type="pct"/>
            <w:shd w:val="clear" w:color="auto" w:fill="auto"/>
            <w:vAlign w:val="center"/>
          </w:tcPr>
          <w:p w:rsidR="000C5BE8" w:rsidRPr="00747088" w:rsidRDefault="000C5BE8" w:rsidP="00747088">
            <w:pPr>
              <w:pStyle w:val="TableText0"/>
              <w:keepLines/>
              <w:rPr>
                <w:rFonts w:ascii="Times" w:hAnsi="Times"/>
                <w:vertAlign w:val="superscript"/>
              </w:rPr>
            </w:pPr>
            <w:r>
              <w:t>Initiators</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3</w:t>
            </w:r>
          </w:p>
        </w:tc>
        <w:tc>
          <w:tcPr>
            <w:tcW w:w="649" w:type="pct"/>
            <w:vAlign w:val="center"/>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3</w:t>
            </w:r>
          </w:p>
        </w:tc>
      </w:tr>
      <w:tr w:rsidR="000C5BE8" w:rsidRPr="003639A6" w:rsidTr="003417A4">
        <w:tc>
          <w:tcPr>
            <w:tcW w:w="1116" w:type="pct"/>
            <w:shd w:val="clear" w:color="auto" w:fill="auto"/>
            <w:vAlign w:val="center"/>
          </w:tcPr>
          <w:p w:rsidR="000C5BE8" w:rsidRPr="003639A6" w:rsidRDefault="000C5BE8" w:rsidP="003417A4">
            <w:pPr>
              <w:pStyle w:val="TableText0"/>
              <w:keepLines/>
              <w:rPr>
                <w:rFonts w:ascii="Times" w:hAnsi="Times"/>
              </w:rPr>
            </w:pPr>
            <w:r>
              <w:t>Continuers</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rPr>
              <w:t>'''''''''</w:t>
            </w:r>
            <w:r w:rsidR="000C5BE8" w:rsidRPr="00133A31">
              <w:rPr>
                <w:szCs w:val="20"/>
                <w:vertAlign w:val="superscript"/>
              </w:rPr>
              <w:t>a</w:t>
            </w:r>
            <w:r w:rsidR="00747088">
              <w:rPr>
                <w:szCs w:val="20"/>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rPr>
              <w:t>'''''''''''''</w:t>
            </w:r>
            <w:r w:rsidR="000C5BE8" w:rsidRPr="00133A31">
              <w:rPr>
                <w:szCs w:val="20"/>
                <w:vertAlign w:val="superscript"/>
              </w:rPr>
              <w:t>b</w:t>
            </w:r>
            <w:r w:rsidR="00747088">
              <w:rPr>
                <w:szCs w:val="20"/>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3</w:t>
            </w:r>
          </w:p>
        </w:tc>
        <w:tc>
          <w:tcPr>
            <w:tcW w:w="649" w:type="pct"/>
            <w:vAlign w:val="center"/>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3</w:t>
            </w:r>
          </w:p>
        </w:tc>
      </w:tr>
      <w:tr w:rsidR="000C5BE8" w:rsidRPr="003639A6" w:rsidTr="003417A4">
        <w:tc>
          <w:tcPr>
            <w:tcW w:w="5000" w:type="pct"/>
            <w:gridSpan w:val="7"/>
            <w:shd w:val="clear" w:color="auto" w:fill="auto"/>
            <w:vAlign w:val="center"/>
          </w:tcPr>
          <w:p w:rsidR="000C5BE8" w:rsidRPr="00D02986" w:rsidRDefault="00D02986" w:rsidP="003417A4">
            <w:pPr>
              <w:pStyle w:val="TableText0"/>
              <w:keepLines/>
              <w:rPr>
                <w:b/>
                <w:bCs w:val="0"/>
                <w:color w:val="000000"/>
                <w:highlight w:val="black"/>
              </w:rPr>
            </w:pPr>
            <w:r>
              <w:rPr>
                <w:b/>
                <w:bCs w:val="0"/>
                <w:noProof/>
                <w:color w:val="000000"/>
                <w:highlight w:val="black"/>
              </w:rPr>
              <w:t>''''''''''''''''''''' '''''''''''''' '''' '''''''' '''''''''''''''''' '''' ''''''''''''' ''''''''''''''''''''''''''</w:t>
            </w:r>
          </w:p>
        </w:tc>
      </w:tr>
      <w:tr w:rsidR="000C5BE8" w:rsidRPr="003639A6" w:rsidTr="003417A4">
        <w:tc>
          <w:tcPr>
            <w:tcW w:w="1116" w:type="pct"/>
            <w:shd w:val="clear" w:color="auto" w:fill="auto"/>
          </w:tcPr>
          <w:p w:rsidR="000C5BE8" w:rsidRPr="00107C36" w:rsidRDefault="000C5BE8" w:rsidP="003417A4">
            <w:pPr>
              <w:pStyle w:val="TableText0"/>
              <w:keepLines/>
            </w:pPr>
            <w:r w:rsidRPr="00107C36">
              <w:rPr>
                <w:szCs w:val="20"/>
                <w:lang w:val="en-US"/>
              </w:rPr>
              <w:t>BOT</w:t>
            </w:r>
            <w:r w:rsidRPr="00107C36">
              <w:rPr>
                <w:szCs w:val="20"/>
                <w:vertAlign w:val="superscript"/>
                <w:lang w:val="en-US"/>
              </w:rPr>
              <w:t xml:space="preserve"> </w:t>
            </w:r>
            <w:r w:rsidRPr="00107C36">
              <w:rPr>
                <w:szCs w:val="20"/>
                <w:lang w:val="en-US"/>
              </w:rPr>
              <w:t>initiation scripts</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3</w:t>
            </w:r>
          </w:p>
        </w:tc>
        <w:tc>
          <w:tcPr>
            <w:tcW w:w="649" w:type="pct"/>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3</w:t>
            </w:r>
          </w:p>
        </w:tc>
      </w:tr>
      <w:tr w:rsidR="000C5BE8" w:rsidRPr="003639A6" w:rsidTr="003417A4">
        <w:tc>
          <w:tcPr>
            <w:tcW w:w="1116" w:type="pct"/>
            <w:shd w:val="clear" w:color="auto" w:fill="auto"/>
          </w:tcPr>
          <w:p w:rsidR="000C5BE8" w:rsidRPr="00107C36" w:rsidRDefault="000C5BE8" w:rsidP="003417A4">
            <w:pPr>
              <w:pStyle w:val="TableText0"/>
              <w:keepLines/>
            </w:pPr>
            <w:r w:rsidRPr="00107C36">
              <w:rPr>
                <w:szCs w:val="20"/>
                <w:lang w:val="en-US"/>
              </w:rPr>
              <w:t>BOT</w:t>
            </w:r>
            <w:r w:rsidRPr="00107C36">
              <w:rPr>
                <w:szCs w:val="20"/>
                <w:vertAlign w:val="superscript"/>
                <w:lang w:val="en-US"/>
              </w:rPr>
              <w:t xml:space="preserve"> </w:t>
            </w:r>
            <w:r w:rsidRPr="00107C36">
              <w:rPr>
                <w:szCs w:val="20"/>
                <w:lang w:val="en-US"/>
              </w:rPr>
              <w:t>continuation scripts, first</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4</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4</w:t>
            </w:r>
          </w:p>
        </w:tc>
        <w:tc>
          <w:tcPr>
            <w:tcW w:w="649" w:type="pct"/>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4</w:t>
            </w:r>
          </w:p>
        </w:tc>
      </w:tr>
      <w:tr w:rsidR="000C5BE8" w:rsidRPr="003639A6" w:rsidTr="003417A4">
        <w:tc>
          <w:tcPr>
            <w:tcW w:w="1116" w:type="pct"/>
            <w:shd w:val="clear" w:color="auto" w:fill="auto"/>
          </w:tcPr>
          <w:p w:rsidR="000C5BE8" w:rsidRPr="00107C36" w:rsidRDefault="000C5BE8" w:rsidP="003417A4">
            <w:pPr>
              <w:pStyle w:val="TableText0"/>
              <w:keepLines/>
            </w:pPr>
            <w:r w:rsidRPr="00107C36">
              <w:rPr>
                <w:szCs w:val="20"/>
                <w:lang w:val="en-US"/>
              </w:rPr>
              <w:t>BOT</w:t>
            </w:r>
            <w:r w:rsidRPr="00107C36">
              <w:rPr>
                <w:szCs w:val="20"/>
                <w:vertAlign w:val="superscript"/>
                <w:lang w:val="en-US"/>
              </w:rPr>
              <w:t xml:space="preserve"> </w:t>
            </w:r>
            <w:r w:rsidRPr="00107C36">
              <w:rPr>
                <w:szCs w:val="20"/>
                <w:lang w:val="en-US"/>
              </w:rPr>
              <w:t>continuation scripts, subsequent</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3</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5</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5</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6</w:t>
            </w:r>
          </w:p>
        </w:tc>
        <w:tc>
          <w:tcPr>
            <w:tcW w:w="647" w:type="pct"/>
            <w:shd w:val="clear" w:color="auto" w:fill="auto"/>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7</w:t>
            </w:r>
          </w:p>
        </w:tc>
        <w:tc>
          <w:tcPr>
            <w:tcW w:w="649" w:type="pct"/>
            <w:vAlign w:val="center"/>
          </w:tcPr>
          <w:p w:rsidR="000C5BE8" w:rsidRPr="00D02986" w:rsidRDefault="00D02986" w:rsidP="003417A4">
            <w:pPr>
              <w:pStyle w:val="TableText0"/>
              <w:keepLines/>
              <w:jc w:val="center"/>
              <w:rPr>
                <w:color w:val="000000"/>
              </w:rPr>
            </w:pPr>
            <w:r>
              <w:rPr>
                <w:noProof/>
                <w:color w:val="000000"/>
                <w:szCs w:val="20"/>
                <w:highlight w:val="black"/>
                <w:lang w:val="en-US"/>
              </w:rPr>
              <w:t>''''''''''''''''''</w:t>
            </w:r>
            <w:r w:rsidR="00747088">
              <w:rPr>
                <w:vertAlign w:val="superscript"/>
              </w:rPr>
              <w:t>7</w:t>
            </w:r>
          </w:p>
        </w:tc>
      </w:tr>
      <w:tr w:rsidR="000C5BE8" w:rsidRPr="003639A6" w:rsidTr="003417A4">
        <w:tc>
          <w:tcPr>
            <w:tcW w:w="1116" w:type="pct"/>
            <w:shd w:val="clear" w:color="auto" w:fill="auto"/>
          </w:tcPr>
          <w:p w:rsidR="000C5BE8" w:rsidRPr="00107C36" w:rsidRDefault="000C5BE8" w:rsidP="003417A4">
            <w:pPr>
              <w:pStyle w:val="TableText0"/>
              <w:keepLines/>
            </w:pPr>
            <w:r w:rsidRPr="00107C36">
              <w:rPr>
                <w:szCs w:val="20"/>
                <w:lang w:val="en-US"/>
              </w:rPr>
              <w:t>Total BOT scripts</w:t>
            </w:r>
          </w:p>
        </w:tc>
        <w:tc>
          <w:tcPr>
            <w:tcW w:w="647" w:type="pct"/>
            <w:shd w:val="clear" w:color="auto" w:fill="auto"/>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4</w:t>
            </w:r>
          </w:p>
        </w:tc>
        <w:tc>
          <w:tcPr>
            <w:tcW w:w="647" w:type="pct"/>
            <w:shd w:val="clear" w:color="auto" w:fill="auto"/>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5</w:t>
            </w:r>
          </w:p>
        </w:tc>
        <w:tc>
          <w:tcPr>
            <w:tcW w:w="647" w:type="pct"/>
            <w:shd w:val="clear" w:color="auto" w:fill="auto"/>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6</w:t>
            </w:r>
          </w:p>
        </w:tc>
        <w:tc>
          <w:tcPr>
            <w:tcW w:w="647" w:type="pct"/>
            <w:shd w:val="clear" w:color="auto" w:fill="auto"/>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7</w:t>
            </w:r>
          </w:p>
        </w:tc>
        <w:tc>
          <w:tcPr>
            <w:tcW w:w="647" w:type="pct"/>
            <w:shd w:val="clear" w:color="auto" w:fill="auto"/>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7</w:t>
            </w:r>
          </w:p>
        </w:tc>
        <w:tc>
          <w:tcPr>
            <w:tcW w:w="649" w:type="pct"/>
          </w:tcPr>
          <w:p w:rsidR="000C5BE8" w:rsidRPr="00D02986" w:rsidRDefault="00D02986" w:rsidP="003417A4">
            <w:pPr>
              <w:pStyle w:val="TableText0"/>
              <w:keepLines/>
              <w:jc w:val="center"/>
              <w:rPr>
                <w:color w:val="000000"/>
              </w:rPr>
            </w:pPr>
            <w:r>
              <w:rPr>
                <w:noProof/>
                <w:color w:val="000000"/>
                <w:szCs w:val="20"/>
                <w:highlight w:val="black"/>
              </w:rPr>
              <w:t>'''''''''''''''''</w:t>
            </w:r>
            <w:r w:rsidR="00747088">
              <w:rPr>
                <w:vertAlign w:val="superscript"/>
              </w:rPr>
              <w:t>8</w:t>
            </w:r>
          </w:p>
        </w:tc>
      </w:tr>
      <w:tr w:rsidR="000C5BE8" w:rsidRPr="00D1078F" w:rsidTr="003417A4">
        <w:tc>
          <w:tcPr>
            <w:tcW w:w="5000" w:type="pct"/>
            <w:gridSpan w:val="7"/>
            <w:shd w:val="clear" w:color="auto" w:fill="auto"/>
            <w:vAlign w:val="center"/>
          </w:tcPr>
          <w:p w:rsidR="000C5BE8" w:rsidRPr="00D1078F" w:rsidRDefault="000C5BE8" w:rsidP="003417A4">
            <w:pPr>
              <w:pStyle w:val="In-tableHeading"/>
              <w:keepLines/>
            </w:pPr>
            <w:r w:rsidRPr="00D1078F">
              <w:t xml:space="preserve">Estimated </w:t>
            </w:r>
            <w:r>
              <w:t>financial implications of BOT</w:t>
            </w:r>
          </w:p>
        </w:tc>
      </w:tr>
      <w:tr w:rsidR="000C5BE8" w:rsidRPr="003639A6" w:rsidTr="003417A4">
        <w:tc>
          <w:tcPr>
            <w:tcW w:w="1116" w:type="pct"/>
            <w:shd w:val="clear" w:color="auto" w:fill="auto"/>
            <w:vAlign w:val="center"/>
          </w:tcPr>
          <w:p w:rsidR="000C5BE8" w:rsidRDefault="000C5BE8" w:rsidP="003417A4">
            <w:pPr>
              <w:pStyle w:val="TableText0"/>
              <w:keepLines/>
              <w:rPr>
                <w:sz w:val="19"/>
                <w:szCs w:val="19"/>
              </w:rPr>
            </w:pPr>
            <w:r>
              <w:rPr>
                <w:sz w:val="19"/>
                <w:szCs w:val="19"/>
              </w:rPr>
              <w:t>Cost to PBS/RPBS less copayments</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9</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9</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10</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10</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0A6F3E">
              <w:rPr>
                <w:noProof/>
                <w:color w:val="000000"/>
                <w:szCs w:val="20"/>
                <w:highlight w:val="black"/>
              </w:rPr>
              <w:t>'''''''''''''''''</w:t>
            </w:r>
            <w:r w:rsidR="00D02986">
              <w:rPr>
                <w:noProof/>
                <w:color w:val="000000"/>
                <w:szCs w:val="20"/>
                <w:highlight w:val="black"/>
              </w:rPr>
              <w:t>'''''''''''</w:t>
            </w:r>
            <w:r w:rsidR="00747088">
              <w:rPr>
                <w:vertAlign w:val="superscript"/>
              </w:rPr>
              <w:t>10</w:t>
            </w:r>
          </w:p>
        </w:tc>
        <w:tc>
          <w:tcPr>
            <w:tcW w:w="649" w:type="pct"/>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10</w:t>
            </w:r>
          </w:p>
        </w:tc>
      </w:tr>
      <w:tr w:rsidR="000C5BE8" w:rsidRPr="00FC22AB" w:rsidTr="003417A4">
        <w:tc>
          <w:tcPr>
            <w:tcW w:w="5000" w:type="pct"/>
            <w:gridSpan w:val="7"/>
            <w:shd w:val="clear" w:color="auto" w:fill="auto"/>
            <w:vAlign w:val="center"/>
          </w:tcPr>
          <w:p w:rsidR="000C5BE8" w:rsidRPr="00D02986" w:rsidRDefault="00D02986" w:rsidP="003417A4">
            <w:pPr>
              <w:pStyle w:val="In-tableHeading"/>
              <w:keepLines/>
              <w:rPr>
                <w:highlight w:val="black"/>
              </w:rPr>
            </w:pPr>
            <w:r>
              <w:rPr>
                <w:noProof/>
                <w:color w:val="000000"/>
                <w:highlight w:val="black"/>
              </w:rPr>
              <w:t>''''''' '''''''''''''''' ''''''''''''''''''''''''''</w:t>
            </w:r>
          </w:p>
        </w:tc>
      </w:tr>
      <w:tr w:rsidR="000C5BE8" w:rsidRPr="003639A6" w:rsidTr="003417A4">
        <w:tc>
          <w:tcPr>
            <w:tcW w:w="1116" w:type="pct"/>
            <w:shd w:val="clear" w:color="auto" w:fill="auto"/>
            <w:vAlign w:val="center"/>
          </w:tcPr>
          <w:p w:rsidR="000C5BE8" w:rsidRDefault="000C5BE8" w:rsidP="003417A4">
            <w:pPr>
              <w:pStyle w:val="TableText0"/>
              <w:keepLines/>
              <w:rPr>
                <w:sz w:val="19"/>
                <w:szCs w:val="19"/>
              </w:rPr>
            </w:pPr>
            <w:r>
              <w:rPr>
                <w:sz w:val="19"/>
                <w:szCs w:val="19"/>
              </w:rPr>
              <w:t>Net cost to PBS/RPBS</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9</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9</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10</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0A6F3E">
              <w:rPr>
                <w:noProof/>
                <w:color w:val="000000"/>
                <w:szCs w:val="20"/>
                <w:highlight w:val="black"/>
              </w:rPr>
              <w:t>''''''''''''''''''</w:t>
            </w:r>
            <w:r w:rsidR="00D02986">
              <w:rPr>
                <w:noProof/>
                <w:color w:val="000000"/>
                <w:szCs w:val="20"/>
                <w:highlight w:val="black"/>
              </w:rPr>
              <w:t>''''''''''</w:t>
            </w:r>
            <w:r w:rsidR="00747088">
              <w:rPr>
                <w:vertAlign w:val="superscript"/>
              </w:rPr>
              <w:t>10</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10</w:t>
            </w:r>
          </w:p>
        </w:tc>
        <w:tc>
          <w:tcPr>
            <w:tcW w:w="649" w:type="pct"/>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10</w:t>
            </w:r>
          </w:p>
        </w:tc>
      </w:tr>
      <w:tr w:rsidR="000C5BE8" w:rsidRPr="003639A6" w:rsidTr="003417A4">
        <w:tc>
          <w:tcPr>
            <w:tcW w:w="1116" w:type="pct"/>
            <w:shd w:val="clear" w:color="auto" w:fill="auto"/>
            <w:vAlign w:val="center"/>
          </w:tcPr>
          <w:p w:rsidR="000C5BE8" w:rsidRPr="00B31443" w:rsidRDefault="000C5BE8" w:rsidP="003417A4">
            <w:pPr>
              <w:pStyle w:val="TableText0"/>
              <w:keepLines/>
              <w:rPr>
                <w:rFonts w:ascii="Times" w:hAnsi="Times"/>
                <w:vertAlign w:val="superscript"/>
              </w:rPr>
            </w:pPr>
            <w:r>
              <w:rPr>
                <w:sz w:val="19"/>
                <w:szCs w:val="19"/>
              </w:rPr>
              <w:t>Net cost of other resource use</w:t>
            </w:r>
            <w:r>
              <w:rPr>
                <w:sz w:val="19"/>
                <w:szCs w:val="19"/>
                <w:vertAlign w:val="superscript"/>
              </w:rPr>
              <w:t>2</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D02986">
              <w:rPr>
                <w:noProof/>
                <w:color w:val="000000"/>
                <w:szCs w:val="20"/>
                <w:highlight w:val="black"/>
              </w:rPr>
              <w:t>'''''''''''''''''''</w:t>
            </w:r>
            <w:r w:rsidR="00747088">
              <w:rPr>
                <w:vertAlign w:val="superscript"/>
              </w:rPr>
              <w:t>9</w:t>
            </w:r>
          </w:p>
        </w:tc>
        <w:tc>
          <w:tcPr>
            <w:tcW w:w="647" w:type="pct"/>
            <w:shd w:val="clear" w:color="auto" w:fill="auto"/>
            <w:vAlign w:val="center"/>
          </w:tcPr>
          <w:p w:rsidR="000C5BE8" w:rsidRPr="00D02986" w:rsidRDefault="000C5BE8" w:rsidP="003417A4">
            <w:pPr>
              <w:pStyle w:val="TableText0"/>
              <w:keepLines/>
              <w:jc w:val="center"/>
            </w:pPr>
            <w:r w:rsidRPr="00133A31">
              <w:rPr>
                <w:szCs w:val="20"/>
              </w:rPr>
              <w:t>-$</w:t>
            </w:r>
            <w:r w:rsidR="00D02986">
              <w:rPr>
                <w:iCs/>
                <w:noProof/>
                <w:color w:val="000000"/>
                <w:szCs w:val="20"/>
                <w:highlight w:val="black"/>
              </w:rPr>
              <w:t>''''''''''''''''''''</w:t>
            </w:r>
            <w:r w:rsidR="000838FD" w:rsidRPr="00133A31">
              <w:rPr>
                <w:iCs/>
                <w:szCs w:val="20"/>
                <w:vertAlign w:val="superscript"/>
              </w:rPr>
              <w:t>c</w:t>
            </w:r>
            <w:r w:rsidR="00747088">
              <w:rPr>
                <w:iCs/>
                <w:szCs w:val="20"/>
                <w:vertAlign w:val="superscript"/>
              </w:rPr>
              <w:t>,9</w:t>
            </w:r>
          </w:p>
        </w:tc>
        <w:tc>
          <w:tcPr>
            <w:tcW w:w="647" w:type="pct"/>
            <w:shd w:val="clear" w:color="auto" w:fill="auto"/>
            <w:vAlign w:val="center"/>
          </w:tcPr>
          <w:p w:rsidR="000C5BE8" w:rsidRPr="00D02986" w:rsidRDefault="000C5BE8" w:rsidP="003417A4">
            <w:pPr>
              <w:pStyle w:val="TableText0"/>
              <w:keepLines/>
              <w:jc w:val="center"/>
              <w:rPr>
                <w:vertAlign w:val="superscript"/>
              </w:rPr>
            </w:pPr>
            <w:r w:rsidRPr="00133A31">
              <w:rPr>
                <w:szCs w:val="20"/>
              </w:rPr>
              <w:t>-$</w:t>
            </w:r>
            <w:r w:rsidR="00D02986">
              <w:rPr>
                <w:iCs/>
                <w:noProof/>
                <w:color w:val="000000"/>
                <w:szCs w:val="20"/>
                <w:highlight w:val="black"/>
              </w:rPr>
              <w:t>'''''''''''''''''''</w:t>
            </w:r>
            <w:r w:rsidR="000838FD" w:rsidRPr="00133A31">
              <w:rPr>
                <w:iCs/>
                <w:szCs w:val="20"/>
                <w:vertAlign w:val="superscript"/>
              </w:rPr>
              <w:t>c</w:t>
            </w:r>
            <w:r w:rsidR="00747088">
              <w:rPr>
                <w:iCs/>
                <w:szCs w:val="20"/>
                <w:vertAlign w:val="superscript"/>
              </w:rPr>
              <w:t>,9</w:t>
            </w:r>
          </w:p>
        </w:tc>
        <w:tc>
          <w:tcPr>
            <w:tcW w:w="647" w:type="pct"/>
            <w:shd w:val="clear" w:color="auto" w:fill="auto"/>
            <w:vAlign w:val="center"/>
          </w:tcPr>
          <w:p w:rsidR="000C5BE8" w:rsidRPr="00D02986" w:rsidRDefault="000C5BE8" w:rsidP="003417A4">
            <w:pPr>
              <w:pStyle w:val="TableText0"/>
              <w:keepLines/>
              <w:jc w:val="center"/>
              <w:rPr>
                <w:vertAlign w:val="superscript"/>
              </w:rPr>
            </w:pPr>
            <w:r w:rsidRPr="00133A31">
              <w:rPr>
                <w:szCs w:val="20"/>
              </w:rPr>
              <w:t>-$</w:t>
            </w:r>
            <w:r w:rsidR="00D02986">
              <w:rPr>
                <w:iCs/>
                <w:noProof/>
                <w:color w:val="000000"/>
                <w:szCs w:val="20"/>
                <w:highlight w:val="black"/>
              </w:rPr>
              <w:t>'''''''''''''''''''''''''</w:t>
            </w:r>
            <w:r w:rsidR="000838FD" w:rsidRPr="00133A31">
              <w:rPr>
                <w:iCs/>
                <w:szCs w:val="20"/>
                <w:vertAlign w:val="superscript"/>
              </w:rPr>
              <w:t>c</w:t>
            </w:r>
            <w:r w:rsidR="00747088">
              <w:rPr>
                <w:iCs/>
                <w:szCs w:val="20"/>
                <w:vertAlign w:val="superscript"/>
              </w:rPr>
              <w:t>,9</w:t>
            </w:r>
          </w:p>
        </w:tc>
        <w:tc>
          <w:tcPr>
            <w:tcW w:w="647" w:type="pct"/>
            <w:shd w:val="clear" w:color="auto" w:fill="auto"/>
            <w:vAlign w:val="center"/>
          </w:tcPr>
          <w:p w:rsidR="000C5BE8" w:rsidRPr="00D02986" w:rsidRDefault="000C5BE8" w:rsidP="003417A4">
            <w:pPr>
              <w:pStyle w:val="TableText0"/>
              <w:keepLines/>
              <w:jc w:val="center"/>
              <w:rPr>
                <w:vertAlign w:val="superscript"/>
              </w:rPr>
            </w:pPr>
            <w:r w:rsidRPr="00133A31">
              <w:rPr>
                <w:szCs w:val="20"/>
              </w:rPr>
              <w:t>-$</w:t>
            </w:r>
            <w:r w:rsidR="00D02986">
              <w:rPr>
                <w:iCs/>
                <w:noProof/>
                <w:color w:val="000000"/>
                <w:szCs w:val="20"/>
                <w:highlight w:val="black"/>
              </w:rPr>
              <w:t>'''''''''''''''''''''</w:t>
            </w:r>
            <w:r w:rsidR="000838FD" w:rsidRPr="00133A31">
              <w:rPr>
                <w:iCs/>
                <w:szCs w:val="20"/>
                <w:vertAlign w:val="superscript"/>
              </w:rPr>
              <w:t>c</w:t>
            </w:r>
            <w:r w:rsidR="00747088">
              <w:rPr>
                <w:iCs/>
                <w:szCs w:val="20"/>
                <w:vertAlign w:val="superscript"/>
              </w:rPr>
              <w:t>,9</w:t>
            </w:r>
          </w:p>
        </w:tc>
        <w:tc>
          <w:tcPr>
            <w:tcW w:w="649" w:type="pct"/>
            <w:vAlign w:val="center"/>
          </w:tcPr>
          <w:p w:rsidR="000C5BE8" w:rsidRPr="00D02986" w:rsidRDefault="000C5BE8" w:rsidP="003417A4">
            <w:pPr>
              <w:pStyle w:val="TableText0"/>
              <w:keepLines/>
              <w:jc w:val="center"/>
              <w:rPr>
                <w:vertAlign w:val="superscript"/>
              </w:rPr>
            </w:pPr>
            <w:r w:rsidRPr="00133A31">
              <w:rPr>
                <w:szCs w:val="20"/>
              </w:rPr>
              <w:t>-$</w:t>
            </w:r>
            <w:r w:rsidR="00D02986">
              <w:rPr>
                <w:iCs/>
                <w:noProof/>
                <w:color w:val="000000"/>
                <w:szCs w:val="20"/>
                <w:highlight w:val="black"/>
              </w:rPr>
              <w:t>'''''''''''''''''''''''</w:t>
            </w:r>
            <w:r w:rsidR="000838FD" w:rsidRPr="00133A31">
              <w:rPr>
                <w:iCs/>
                <w:szCs w:val="20"/>
                <w:vertAlign w:val="superscript"/>
              </w:rPr>
              <w:t>c</w:t>
            </w:r>
            <w:r w:rsidR="00747088">
              <w:rPr>
                <w:iCs/>
                <w:szCs w:val="20"/>
                <w:vertAlign w:val="superscript"/>
              </w:rPr>
              <w:t>,9</w:t>
            </w:r>
          </w:p>
        </w:tc>
      </w:tr>
      <w:tr w:rsidR="000C5BE8" w:rsidRPr="003639A6" w:rsidTr="003417A4">
        <w:tc>
          <w:tcPr>
            <w:tcW w:w="1116" w:type="pct"/>
            <w:shd w:val="clear" w:color="auto" w:fill="auto"/>
            <w:vAlign w:val="center"/>
          </w:tcPr>
          <w:p w:rsidR="000C5BE8" w:rsidRDefault="000C5BE8" w:rsidP="003417A4">
            <w:pPr>
              <w:pStyle w:val="TableText0"/>
              <w:keepLines/>
              <w:rPr>
                <w:sz w:val="19"/>
                <w:szCs w:val="19"/>
              </w:rPr>
            </w:pPr>
            <w:r>
              <w:rPr>
                <w:sz w:val="19"/>
                <w:szCs w:val="19"/>
              </w:rPr>
              <w:t>Net cost to PBS/RPBS/ other resource use</w:t>
            </w:r>
          </w:p>
        </w:tc>
        <w:tc>
          <w:tcPr>
            <w:tcW w:w="647" w:type="pct"/>
            <w:shd w:val="clear" w:color="auto" w:fill="auto"/>
            <w:vAlign w:val="center"/>
          </w:tcPr>
          <w:p w:rsidR="000C5BE8" w:rsidRPr="00D02986" w:rsidRDefault="000C5BE8" w:rsidP="003417A4">
            <w:pPr>
              <w:pStyle w:val="TableText0"/>
              <w:keepLines/>
              <w:jc w:val="center"/>
              <w:rPr>
                <w:szCs w:val="20"/>
                <w:vertAlign w:val="superscript"/>
              </w:rPr>
            </w:pPr>
            <w:r w:rsidRPr="00133A31">
              <w:rPr>
                <w:szCs w:val="20"/>
              </w:rPr>
              <w:t>$</w:t>
            </w:r>
            <w:r w:rsidR="00D02986">
              <w:rPr>
                <w:noProof/>
                <w:color w:val="000000"/>
                <w:szCs w:val="20"/>
                <w:highlight w:val="black"/>
              </w:rPr>
              <w:t>''''''''''''''''''''''</w:t>
            </w:r>
            <w:r w:rsidR="000838FD" w:rsidRPr="00133A31">
              <w:rPr>
                <w:szCs w:val="20"/>
                <w:vertAlign w:val="superscript"/>
              </w:rPr>
              <w:t>c</w:t>
            </w:r>
            <w:r w:rsidR="00747088">
              <w:rPr>
                <w:szCs w:val="20"/>
                <w:vertAlign w:val="superscript"/>
              </w:rPr>
              <w:t>,9</w:t>
            </w:r>
          </w:p>
        </w:tc>
        <w:tc>
          <w:tcPr>
            <w:tcW w:w="647" w:type="pct"/>
            <w:shd w:val="clear" w:color="auto" w:fill="auto"/>
            <w:vAlign w:val="center"/>
          </w:tcPr>
          <w:p w:rsidR="000C5BE8" w:rsidRPr="00D02986" w:rsidRDefault="000C5BE8" w:rsidP="003417A4">
            <w:pPr>
              <w:pStyle w:val="TableText0"/>
              <w:keepLines/>
              <w:jc w:val="center"/>
              <w:rPr>
                <w:iCs/>
                <w:szCs w:val="20"/>
                <w:vertAlign w:val="superscript"/>
              </w:rPr>
            </w:pPr>
            <w:r w:rsidRPr="00133A31">
              <w:rPr>
                <w:szCs w:val="20"/>
              </w:rPr>
              <w:t>$</w:t>
            </w:r>
            <w:r w:rsidR="00D02986">
              <w:rPr>
                <w:iCs/>
                <w:noProof/>
                <w:color w:val="000000"/>
                <w:szCs w:val="20"/>
                <w:highlight w:val="black"/>
              </w:rPr>
              <w:t>''''''''''''''''''''''''</w:t>
            </w:r>
            <w:r w:rsidR="000838FD" w:rsidRPr="00133A31">
              <w:rPr>
                <w:iCs/>
                <w:szCs w:val="20"/>
                <w:vertAlign w:val="superscript"/>
              </w:rPr>
              <w:t>c</w:t>
            </w:r>
            <w:r w:rsidR="00747088">
              <w:rPr>
                <w:iCs/>
                <w:szCs w:val="20"/>
                <w:vertAlign w:val="superscript"/>
              </w:rPr>
              <w:t>,9</w:t>
            </w:r>
          </w:p>
        </w:tc>
        <w:tc>
          <w:tcPr>
            <w:tcW w:w="647" w:type="pct"/>
            <w:shd w:val="clear" w:color="auto" w:fill="auto"/>
            <w:vAlign w:val="center"/>
          </w:tcPr>
          <w:p w:rsidR="000C5BE8" w:rsidRPr="00D02986" w:rsidRDefault="000C5BE8" w:rsidP="003417A4">
            <w:pPr>
              <w:pStyle w:val="TableText0"/>
              <w:keepLines/>
              <w:jc w:val="center"/>
              <w:rPr>
                <w:iCs/>
                <w:szCs w:val="20"/>
                <w:vertAlign w:val="superscript"/>
              </w:rPr>
            </w:pPr>
            <w:r w:rsidRPr="00133A31">
              <w:rPr>
                <w:iCs/>
                <w:szCs w:val="20"/>
              </w:rPr>
              <w:t>$</w:t>
            </w:r>
            <w:r w:rsidR="00D02986">
              <w:rPr>
                <w:iCs/>
                <w:noProof/>
                <w:color w:val="000000"/>
                <w:szCs w:val="20"/>
                <w:highlight w:val="black"/>
              </w:rPr>
              <w:t>''''''''''''''''''''''</w:t>
            </w:r>
            <w:r w:rsidR="000838FD" w:rsidRPr="00133A31">
              <w:rPr>
                <w:iCs/>
                <w:szCs w:val="20"/>
                <w:vertAlign w:val="superscript"/>
              </w:rPr>
              <w:t>c</w:t>
            </w:r>
            <w:r w:rsidR="00747088">
              <w:rPr>
                <w:iCs/>
                <w:szCs w:val="20"/>
                <w:vertAlign w:val="superscript"/>
              </w:rPr>
              <w:t>,9</w:t>
            </w:r>
          </w:p>
        </w:tc>
        <w:tc>
          <w:tcPr>
            <w:tcW w:w="647" w:type="pct"/>
            <w:shd w:val="clear" w:color="auto" w:fill="auto"/>
            <w:vAlign w:val="center"/>
          </w:tcPr>
          <w:p w:rsidR="000C5BE8" w:rsidRPr="00D02986" w:rsidRDefault="00D02986" w:rsidP="003417A4">
            <w:pPr>
              <w:pStyle w:val="TableText0"/>
              <w:keepLines/>
              <w:jc w:val="center"/>
              <w:rPr>
                <w:iCs/>
                <w:szCs w:val="20"/>
                <w:vertAlign w:val="superscript"/>
              </w:rPr>
            </w:pPr>
            <w:r>
              <w:rPr>
                <w:iCs/>
                <w:noProof/>
                <w:color w:val="000000"/>
                <w:szCs w:val="20"/>
                <w:highlight w:val="black"/>
              </w:rPr>
              <w:t>'''''''''</w:t>
            </w:r>
            <w:r w:rsidR="000A6F3E">
              <w:rPr>
                <w:iCs/>
                <w:noProof/>
                <w:color w:val="000000"/>
                <w:szCs w:val="20"/>
                <w:highlight w:val="black"/>
              </w:rPr>
              <w:t>'''''''''</w:t>
            </w:r>
            <w:r>
              <w:rPr>
                <w:iCs/>
                <w:noProof/>
                <w:color w:val="000000"/>
                <w:szCs w:val="20"/>
                <w:highlight w:val="black"/>
              </w:rPr>
              <w:t>'''''''''</w:t>
            </w:r>
            <w:r w:rsidR="000838FD" w:rsidRPr="00133A31">
              <w:rPr>
                <w:iCs/>
                <w:szCs w:val="20"/>
                <w:vertAlign w:val="superscript"/>
              </w:rPr>
              <w:t>c</w:t>
            </w:r>
            <w:r w:rsidR="00747088">
              <w:rPr>
                <w:iCs/>
                <w:szCs w:val="20"/>
                <w:vertAlign w:val="superscript"/>
              </w:rPr>
              <w:t>,10</w:t>
            </w:r>
          </w:p>
        </w:tc>
        <w:tc>
          <w:tcPr>
            <w:tcW w:w="647" w:type="pct"/>
            <w:shd w:val="clear" w:color="auto" w:fill="auto"/>
            <w:vAlign w:val="center"/>
          </w:tcPr>
          <w:p w:rsidR="000C5BE8" w:rsidRPr="00D02986" w:rsidRDefault="000C5BE8" w:rsidP="003417A4">
            <w:pPr>
              <w:pStyle w:val="TableText0"/>
              <w:keepLines/>
              <w:jc w:val="center"/>
              <w:rPr>
                <w:iCs/>
                <w:szCs w:val="20"/>
                <w:vertAlign w:val="superscript"/>
              </w:rPr>
            </w:pPr>
            <w:r w:rsidRPr="00133A31">
              <w:rPr>
                <w:iCs/>
                <w:szCs w:val="20"/>
              </w:rPr>
              <w:t>$</w:t>
            </w:r>
            <w:r w:rsidR="00D02986">
              <w:rPr>
                <w:iCs/>
                <w:noProof/>
                <w:color w:val="000000"/>
                <w:szCs w:val="20"/>
                <w:highlight w:val="black"/>
              </w:rPr>
              <w:t>''''''''''''''''''''''''''</w:t>
            </w:r>
            <w:r w:rsidR="000838FD" w:rsidRPr="00133A31">
              <w:rPr>
                <w:iCs/>
                <w:szCs w:val="20"/>
                <w:vertAlign w:val="superscript"/>
              </w:rPr>
              <w:t>c</w:t>
            </w:r>
            <w:r w:rsidR="00747088">
              <w:rPr>
                <w:iCs/>
                <w:szCs w:val="20"/>
                <w:vertAlign w:val="superscript"/>
              </w:rPr>
              <w:t>,10</w:t>
            </w:r>
          </w:p>
        </w:tc>
        <w:tc>
          <w:tcPr>
            <w:tcW w:w="649" w:type="pct"/>
            <w:vAlign w:val="center"/>
          </w:tcPr>
          <w:p w:rsidR="000C5BE8" w:rsidRPr="00D02986" w:rsidRDefault="000C5BE8" w:rsidP="003417A4">
            <w:pPr>
              <w:pStyle w:val="TableText0"/>
              <w:keepLines/>
              <w:jc w:val="center"/>
              <w:rPr>
                <w:iCs/>
                <w:szCs w:val="20"/>
                <w:vertAlign w:val="superscript"/>
              </w:rPr>
            </w:pPr>
            <w:r w:rsidRPr="00133A31">
              <w:rPr>
                <w:iCs/>
                <w:szCs w:val="20"/>
              </w:rPr>
              <w:t>$</w:t>
            </w:r>
            <w:r w:rsidR="000A6F3E">
              <w:rPr>
                <w:iCs/>
                <w:noProof/>
                <w:color w:val="000000"/>
                <w:szCs w:val="20"/>
                <w:highlight w:val="black"/>
              </w:rPr>
              <w:t>''''''''''''''''</w:t>
            </w:r>
            <w:r w:rsidR="00D02986">
              <w:rPr>
                <w:iCs/>
                <w:noProof/>
                <w:color w:val="000000"/>
                <w:szCs w:val="20"/>
                <w:highlight w:val="black"/>
              </w:rPr>
              <w:t>''''''''''</w:t>
            </w:r>
            <w:r w:rsidR="000838FD" w:rsidRPr="00133A31">
              <w:rPr>
                <w:iCs/>
                <w:szCs w:val="20"/>
                <w:vertAlign w:val="superscript"/>
              </w:rPr>
              <w:t>c</w:t>
            </w:r>
            <w:r w:rsidR="00747088">
              <w:rPr>
                <w:iCs/>
                <w:szCs w:val="20"/>
                <w:vertAlign w:val="superscript"/>
              </w:rPr>
              <w:t>,10</w:t>
            </w:r>
          </w:p>
        </w:tc>
      </w:tr>
    </w:tbl>
    <w:p w:rsidR="000C5BE8" w:rsidRDefault="000C5BE8" w:rsidP="000C5BE8">
      <w:pPr>
        <w:pStyle w:val="TableFigureFooter"/>
        <w:keepNext/>
        <w:keepLines/>
      </w:pPr>
      <w:r>
        <w:t xml:space="preserve">Source: </w:t>
      </w:r>
      <w:bookmarkStart w:id="29" w:name="_Hlk58406171"/>
      <w:r>
        <w:t xml:space="preserve">compiled during the evaluation from </w:t>
      </w:r>
      <w:r w:rsidRPr="001A546D">
        <w:t>sheet</w:t>
      </w:r>
      <w:r>
        <w:t xml:space="preserve"> 3a, 5, Dr Falk BIM </w:t>
      </w:r>
      <w:r w:rsidRPr="001A546D">
        <w:t>of the utilisation-and-cost-model</w:t>
      </w:r>
      <w:bookmarkEnd w:id="29"/>
      <w:r>
        <w:t xml:space="preserve"> workbook;</w:t>
      </w:r>
      <w:r w:rsidRPr="001A546D">
        <w:t xml:space="preserve"> </w:t>
      </w:r>
      <w:r>
        <w:t>Table 4-7</w:t>
      </w:r>
      <w:r w:rsidR="00133A31">
        <w:t>,</w:t>
      </w:r>
      <w:r>
        <w:t xml:space="preserve"> Table 4-8</w:t>
      </w:r>
      <w:r w:rsidR="00133A31">
        <w:t xml:space="preserve"> and</w:t>
      </w:r>
      <w:r w:rsidRPr="00107C36">
        <w:t xml:space="preserve"> Table 4-10</w:t>
      </w:r>
      <w:r w:rsidR="00133A31">
        <w:t xml:space="preserve"> </w:t>
      </w:r>
      <w:r w:rsidRPr="00107C36">
        <w:t xml:space="preserve">of the submission. </w:t>
      </w:r>
    </w:p>
    <w:p w:rsidR="000C5BE8" w:rsidRDefault="000C5BE8" w:rsidP="000C5BE8">
      <w:pPr>
        <w:pStyle w:val="TableFigureFooter"/>
        <w:keepNext/>
        <w:keepLines/>
      </w:pPr>
      <w:r>
        <w:t>Abbreviations: BOT = budesonide orally disintegrating tablet</w:t>
      </w:r>
    </w:p>
    <w:p w:rsidR="000C5BE8" w:rsidRDefault="000C5BE8" w:rsidP="000C5BE8">
      <w:pPr>
        <w:pStyle w:val="TableFigureFooter"/>
        <w:keepNext/>
        <w:keepLines/>
      </w:pPr>
      <w:r>
        <w:t xml:space="preserve">Notes: a </w:t>
      </w:r>
      <w:r w:rsidR="00D02986">
        <w:rPr>
          <w:noProof/>
          <w:color w:val="000000"/>
          <w:highlight w:val="black"/>
        </w:rPr>
        <w:t>'''''''''</w:t>
      </w:r>
      <w:r w:rsidR="00747088">
        <w:rPr>
          <w:vertAlign w:val="superscript"/>
        </w:rPr>
        <w:t>3</w:t>
      </w:r>
      <w:r>
        <w:t xml:space="preserve"> x 93.22% (= Year 1 initiators who successfully respond at 90 days)</w:t>
      </w:r>
    </w:p>
    <w:p w:rsidR="000C5BE8" w:rsidRDefault="000C5BE8" w:rsidP="000C5BE8">
      <w:pPr>
        <w:pStyle w:val="TableFigureFooter"/>
        <w:keepNext/>
        <w:keepLines/>
      </w:pPr>
      <w:r>
        <w:t xml:space="preserve">b </w:t>
      </w:r>
      <w:r w:rsidR="00D02986">
        <w:rPr>
          <w:noProof/>
          <w:color w:val="000000"/>
          <w:highlight w:val="black"/>
        </w:rPr>
        <w:t>''''''''</w:t>
      </w:r>
      <w:r w:rsidR="00747088">
        <w:rPr>
          <w:vertAlign w:val="superscript"/>
        </w:rPr>
        <w:t>3</w:t>
      </w:r>
      <w:r>
        <w:t xml:space="preserve"> initiating and responding at 90 days in Year 2 PLUS </w:t>
      </w:r>
      <w:r w:rsidR="00D02986">
        <w:rPr>
          <w:noProof/>
          <w:color w:val="000000"/>
          <w:highlight w:val="black"/>
        </w:rPr>
        <w:t>'''''''''</w:t>
      </w:r>
      <w:r w:rsidR="00747088">
        <w:rPr>
          <w:vertAlign w:val="superscript"/>
        </w:rPr>
        <w:t>3</w:t>
      </w:r>
      <w:r>
        <w:t xml:space="preserve"> patients continuing on from Year 1</w:t>
      </w:r>
    </w:p>
    <w:p w:rsidR="00BF2575" w:rsidRDefault="00BF2575" w:rsidP="000C5BE8">
      <w:pPr>
        <w:pStyle w:val="TableFigureFooter"/>
        <w:keepNext/>
        <w:keepLines/>
      </w:pPr>
      <w:r>
        <w:t xml:space="preserve">c </w:t>
      </w:r>
      <w:r w:rsidRPr="00BF2575">
        <w:rPr>
          <w:iCs/>
        </w:rPr>
        <w:t>Corrected errors identified during th</w:t>
      </w:r>
      <w:r>
        <w:rPr>
          <w:iCs/>
        </w:rPr>
        <w:t>e evaluation</w:t>
      </w:r>
      <w:r w:rsidRPr="00BF2575">
        <w:rPr>
          <w:iCs/>
        </w:rPr>
        <w:t>. The model inappropriately applied the same number of patients from Year 1 to estimate utilisation in subsequent years. The number of patients receiving BOT in subsequent years (after factoring in treatment persistence/discontinuation) should have been used instead. Further, cells F160-J160 and cells F169-J169 in Dr Falk BIM sheet did not account for patients initiating in Year 1.</w:t>
      </w:r>
    </w:p>
    <w:p w:rsidR="000C5BE8" w:rsidRDefault="000C5BE8" w:rsidP="000C5BE8">
      <w:pPr>
        <w:pStyle w:val="TableFigureFooter"/>
        <w:keepNext/>
        <w:keepLines/>
      </w:pPr>
      <w:r>
        <w:t>1 E</w:t>
      </w:r>
      <w:r w:rsidRPr="00107C36">
        <w:t>stimated by applying the number of scripts required per initiator</w:t>
      </w:r>
      <w:r>
        <w:t xml:space="preserve"> (with continuation rate and treatment persistence incorporated)</w:t>
      </w:r>
      <w:r w:rsidRPr="00107C36">
        <w:t xml:space="preserve"> to the number of initiators</w:t>
      </w:r>
      <w:r>
        <w:t xml:space="preserve"> (Initiation: 2; Continuation, first: 5.59; Continuation, subsequent: Yr 1: 2.95, Yr 2: 9.96, Yr 3: 8.38, Yr 4: 7.06; Yr 5: 5.94; Yr 6: 5.00) </w:t>
      </w:r>
    </w:p>
    <w:p w:rsidR="000838FD" w:rsidRDefault="000C5BE8" w:rsidP="000C5BE8">
      <w:pPr>
        <w:pStyle w:val="TableFigureFooter"/>
        <w:keepNext/>
        <w:keepLines/>
      </w:pPr>
      <w:r>
        <w:t>2 Consist of</w:t>
      </w:r>
      <w:r w:rsidRPr="00B31443">
        <w:t xml:space="preserve"> endoscopy + biopsy procedures for response assessment and efficacy monitoring, oesophageal dilation for symptomatic relief and endoscopic removal of food impaction.</w:t>
      </w:r>
      <w:r>
        <w:t xml:space="preserve"> </w:t>
      </w:r>
    </w:p>
    <w:p w:rsidR="00747088" w:rsidRPr="00381BF6" w:rsidRDefault="00747088" w:rsidP="00747088">
      <w:pPr>
        <w:pStyle w:val="TableFigureFooter"/>
        <w:spacing w:after="0"/>
        <w:contextualSpacing w:val="0"/>
        <w:rPr>
          <w:i/>
        </w:rPr>
      </w:pPr>
      <w:r w:rsidRPr="009868C4">
        <w:rPr>
          <w:i/>
        </w:rPr>
        <w:t>The redacted values correspond to the following ranges</w:t>
      </w:r>
      <w:r>
        <w:rPr>
          <w:i/>
        </w:rPr>
        <w:t xml:space="preserve">: </w:t>
      </w:r>
    </w:p>
    <w:p w:rsidR="00747088" w:rsidRPr="00381BF6" w:rsidRDefault="00747088" w:rsidP="00747088">
      <w:pPr>
        <w:rPr>
          <w:rFonts w:ascii="Arial Narrow" w:hAnsi="Arial Narrow"/>
          <w:i/>
          <w:snapToGrid w:val="0"/>
          <w:sz w:val="18"/>
        </w:rPr>
      </w:pPr>
      <w:r>
        <w:rPr>
          <w:rFonts w:ascii="Arial Narrow" w:hAnsi="Arial Narrow"/>
          <w:i/>
          <w:snapToGrid w:val="0"/>
          <w:sz w:val="18"/>
          <w:vertAlign w:val="superscript"/>
        </w:rPr>
        <w:t xml:space="preserve">3 </w:t>
      </w:r>
      <w:r w:rsidRPr="00381BF6">
        <w:rPr>
          <w:rFonts w:ascii="Arial Narrow" w:hAnsi="Arial Narrow"/>
          <w:i/>
          <w:snapToGrid w:val="0"/>
          <w:sz w:val="18"/>
        </w:rPr>
        <w:t>500 to &lt; 5,000</w:t>
      </w:r>
    </w:p>
    <w:p w:rsidR="00747088" w:rsidRPr="00381BF6" w:rsidRDefault="00747088" w:rsidP="00747088">
      <w:pPr>
        <w:rPr>
          <w:rFonts w:ascii="Arial Narrow" w:hAnsi="Arial Narrow"/>
          <w:i/>
          <w:snapToGrid w:val="0"/>
          <w:sz w:val="18"/>
        </w:rPr>
      </w:pPr>
      <w:r>
        <w:rPr>
          <w:rFonts w:ascii="Arial Narrow" w:hAnsi="Arial Narrow"/>
          <w:i/>
          <w:snapToGrid w:val="0"/>
          <w:sz w:val="18"/>
          <w:vertAlign w:val="superscript"/>
        </w:rPr>
        <w:t xml:space="preserve">4 </w:t>
      </w:r>
      <w:r w:rsidRPr="00381BF6">
        <w:rPr>
          <w:rFonts w:ascii="Arial Narrow" w:hAnsi="Arial Narrow"/>
          <w:i/>
          <w:snapToGrid w:val="0"/>
          <w:sz w:val="18"/>
        </w:rPr>
        <w:t>5,000 to &lt; 10,000</w:t>
      </w:r>
    </w:p>
    <w:p w:rsidR="00747088" w:rsidRPr="00381BF6" w:rsidRDefault="00747088" w:rsidP="00747088">
      <w:pPr>
        <w:rPr>
          <w:rFonts w:ascii="Arial Narrow" w:hAnsi="Arial Narrow"/>
          <w:i/>
          <w:snapToGrid w:val="0"/>
          <w:sz w:val="18"/>
        </w:rPr>
      </w:pPr>
      <w:r>
        <w:rPr>
          <w:rFonts w:ascii="Arial Narrow" w:hAnsi="Arial Narrow"/>
          <w:i/>
          <w:snapToGrid w:val="0"/>
          <w:sz w:val="18"/>
          <w:vertAlign w:val="superscript"/>
        </w:rPr>
        <w:t xml:space="preserve">5 </w:t>
      </w:r>
      <w:r w:rsidRPr="00381BF6">
        <w:rPr>
          <w:rFonts w:ascii="Arial Narrow" w:hAnsi="Arial Narrow"/>
          <w:i/>
          <w:snapToGrid w:val="0"/>
          <w:sz w:val="18"/>
        </w:rPr>
        <w:t>10,000 to &lt; 20,000</w:t>
      </w:r>
    </w:p>
    <w:p w:rsidR="00747088" w:rsidRPr="00381BF6" w:rsidRDefault="00747088" w:rsidP="00747088">
      <w:pPr>
        <w:rPr>
          <w:rFonts w:ascii="Arial Narrow" w:hAnsi="Arial Narrow"/>
          <w:i/>
          <w:snapToGrid w:val="0"/>
          <w:sz w:val="18"/>
        </w:rPr>
      </w:pPr>
      <w:r>
        <w:rPr>
          <w:rFonts w:ascii="Arial Narrow" w:hAnsi="Arial Narrow"/>
          <w:i/>
          <w:snapToGrid w:val="0"/>
          <w:sz w:val="18"/>
          <w:vertAlign w:val="superscript"/>
        </w:rPr>
        <w:t xml:space="preserve">6 </w:t>
      </w:r>
      <w:r w:rsidRPr="00381BF6">
        <w:rPr>
          <w:rFonts w:ascii="Arial Narrow" w:hAnsi="Arial Narrow"/>
          <w:i/>
          <w:snapToGrid w:val="0"/>
          <w:sz w:val="18"/>
        </w:rPr>
        <w:t>20,000 to &lt; 30,000</w:t>
      </w:r>
    </w:p>
    <w:p w:rsidR="00747088" w:rsidRPr="00381BF6" w:rsidRDefault="00747088" w:rsidP="00747088">
      <w:pPr>
        <w:rPr>
          <w:rFonts w:ascii="Arial Narrow" w:hAnsi="Arial Narrow"/>
          <w:i/>
          <w:snapToGrid w:val="0"/>
          <w:sz w:val="18"/>
        </w:rPr>
      </w:pPr>
      <w:r>
        <w:rPr>
          <w:rFonts w:ascii="Arial Narrow" w:hAnsi="Arial Narrow"/>
          <w:i/>
          <w:snapToGrid w:val="0"/>
          <w:sz w:val="18"/>
          <w:vertAlign w:val="superscript"/>
        </w:rPr>
        <w:t xml:space="preserve">7 </w:t>
      </w:r>
      <w:r w:rsidRPr="00381BF6">
        <w:rPr>
          <w:rFonts w:ascii="Arial Narrow" w:hAnsi="Arial Narrow"/>
          <w:i/>
          <w:snapToGrid w:val="0"/>
          <w:sz w:val="18"/>
        </w:rPr>
        <w:t>30,000 to &lt; 40,000</w:t>
      </w:r>
    </w:p>
    <w:p w:rsidR="00747088" w:rsidRDefault="00747088" w:rsidP="00747088">
      <w:pPr>
        <w:rPr>
          <w:rFonts w:ascii="Arial Narrow" w:hAnsi="Arial Narrow"/>
          <w:i/>
          <w:snapToGrid w:val="0"/>
          <w:sz w:val="18"/>
        </w:rPr>
      </w:pPr>
      <w:r>
        <w:rPr>
          <w:rFonts w:ascii="Arial Narrow" w:hAnsi="Arial Narrow"/>
          <w:i/>
          <w:snapToGrid w:val="0"/>
          <w:sz w:val="18"/>
          <w:vertAlign w:val="superscript"/>
        </w:rPr>
        <w:t xml:space="preserve">8 </w:t>
      </w:r>
      <w:r w:rsidRPr="00381BF6">
        <w:rPr>
          <w:rFonts w:ascii="Arial Narrow" w:hAnsi="Arial Narrow"/>
          <w:i/>
          <w:snapToGrid w:val="0"/>
          <w:sz w:val="18"/>
        </w:rPr>
        <w:t>40,000 to &lt; 50,000</w:t>
      </w:r>
    </w:p>
    <w:p w:rsidR="00747088" w:rsidRPr="00747088" w:rsidRDefault="00747088" w:rsidP="00747088">
      <w:pPr>
        <w:rPr>
          <w:rFonts w:ascii="Arial Narrow" w:hAnsi="Arial Narrow"/>
          <w:i/>
          <w:snapToGrid w:val="0"/>
          <w:sz w:val="18"/>
        </w:rPr>
      </w:pPr>
      <w:r>
        <w:rPr>
          <w:rFonts w:ascii="Arial Narrow" w:hAnsi="Arial Narrow"/>
          <w:i/>
          <w:snapToGrid w:val="0"/>
          <w:sz w:val="18"/>
          <w:vertAlign w:val="superscript"/>
        </w:rPr>
        <w:t xml:space="preserve">9 </w:t>
      </w:r>
      <w:r w:rsidRPr="00747088">
        <w:rPr>
          <w:rFonts w:ascii="Arial Narrow" w:hAnsi="Arial Narrow"/>
          <w:i/>
          <w:snapToGrid w:val="0"/>
          <w:sz w:val="18"/>
        </w:rPr>
        <w:t>$0 to &lt; $10 million</w:t>
      </w:r>
    </w:p>
    <w:p w:rsidR="00747088" w:rsidRPr="00381BF6" w:rsidRDefault="00747088" w:rsidP="00747088">
      <w:pPr>
        <w:rPr>
          <w:rFonts w:ascii="Arial Narrow" w:hAnsi="Arial Narrow"/>
          <w:i/>
          <w:snapToGrid w:val="0"/>
          <w:sz w:val="18"/>
        </w:rPr>
      </w:pPr>
      <w:r>
        <w:rPr>
          <w:rFonts w:ascii="Arial Narrow" w:hAnsi="Arial Narrow"/>
          <w:i/>
          <w:snapToGrid w:val="0"/>
          <w:sz w:val="18"/>
          <w:vertAlign w:val="superscript"/>
        </w:rPr>
        <w:t xml:space="preserve">10 </w:t>
      </w:r>
      <w:r w:rsidRPr="00747088">
        <w:rPr>
          <w:rFonts w:ascii="Arial Narrow" w:hAnsi="Arial Narrow"/>
          <w:i/>
          <w:snapToGrid w:val="0"/>
          <w:sz w:val="18"/>
        </w:rPr>
        <w:t>$10 million to &lt; $20 million</w:t>
      </w:r>
    </w:p>
    <w:p w:rsidR="00747088" w:rsidRDefault="00747088" w:rsidP="000C5BE8">
      <w:pPr>
        <w:pStyle w:val="TableFigureFooter"/>
        <w:keepNext/>
        <w:keepLines/>
      </w:pPr>
    </w:p>
    <w:p w:rsidR="000C5BE8" w:rsidRPr="00C56599" w:rsidRDefault="000C5BE8" w:rsidP="000C5BE8">
      <w:pPr>
        <w:pStyle w:val="3-BodyText"/>
        <w:rPr>
          <w:iCs/>
        </w:rPr>
      </w:pPr>
      <w:r w:rsidRPr="00C56599">
        <w:rPr>
          <w:iCs/>
        </w:rPr>
        <w:t xml:space="preserve">The extent of other resource costs (i.e. endoscopy + biopsy procedures for response assessment and efficacy monitoring, oesophageal dilation for symptomatic relief and endoscopic removal of food impaction) was calculated based on the estimates from the economic model and thus reflect the same concerns regarding how the estimates were formed. </w:t>
      </w:r>
    </w:p>
    <w:p w:rsidR="000C5BE8" w:rsidRPr="007D135E" w:rsidRDefault="000C5BE8" w:rsidP="007D135E">
      <w:pPr>
        <w:pStyle w:val="3-BodyText"/>
        <w:rPr>
          <w:iCs/>
        </w:rPr>
      </w:pPr>
      <w:r w:rsidRPr="00C56599">
        <w:t>The results of the sensitivity analyses conducted during the evaluation are presented in Table 20. The estimates were most sensitive to changes in the assumed uptake rate (varied from 10% to 15%), resulting in an increase in the estimated net cost to the PBS/RPBS (</w:t>
      </w:r>
      <w:r w:rsidR="007D135E" w:rsidRPr="007D135E">
        <w:rPr>
          <w:iCs/>
        </w:rPr>
        <w:t>$0 to &lt; $10 million</w:t>
      </w:r>
      <w:r w:rsidR="007D135E">
        <w:rPr>
          <w:iCs/>
        </w:rPr>
        <w:t xml:space="preserve"> </w:t>
      </w:r>
      <w:r w:rsidRPr="007D135E">
        <w:rPr>
          <w:iCs/>
        </w:rPr>
        <w:t xml:space="preserve">in Year 1 increasing to </w:t>
      </w:r>
      <w:r w:rsidR="007D135E" w:rsidRPr="007D135E">
        <w:rPr>
          <w:iCs/>
        </w:rPr>
        <w:t>$20 million to &lt; $30 million</w:t>
      </w:r>
      <w:r w:rsidR="007D135E">
        <w:rPr>
          <w:iCs/>
        </w:rPr>
        <w:t xml:space="preserve"> </w:t>
      </w:r>
      <w:r w:rsidRPr="007D135E">
        <w:rPr>
          <w:iCs/>
        </w:rPr>
        <w:t>in Year 6).</w:t>
      </w:r>
    </w:p>
    <w:p w:rsidR="000C5BE8" w:rsidRPr="005E7497" w:rsidRDefault="000C5BE8" w:rsidP="000C5BE8">
      <w:pPr>
        <w:pStyle w:val="TableFigureHeading"/>
        <w:keepLines/>
      </w:pPr>
      <w:r w:rsidRPr="00676E44">
        <w:t xml:space="preserve">Table </w:t>
      </w:r>
      <w:r>
        <w:t>20</w:t>
      </w:r>
      <w:r w:rsidRPr="00676E44">
        <w:t>:</w:t>
      </w:r>
      <w:r w:rsidRPr="005E7497">
        <w:t xml:space="preserve"> Results of the sensitivity analyses conducted during the evaluation</w:t>
      </w:r>
    </w:p>
    <w:tbl>
      <w:tblPr>
        <w:tblStyle w:val="newstyle12"/>
        <w:tblW w:w="0" w:type="auto"/>
        <w:tblLook w:val="04A0" w:firstRow="1" w:lastRow="0" w:firstColumn="1" w:lastColumn="0" w:noHBand="0" w:noVBand="1"/>
        <w:tblCaption w:val="Table 20: Results of the sensitivity analyses conducted during the evaluation"/>
      </w:tblPr>
      <w:tblGrid>
        <w:gridCol w:w="1469"/>
        <w:gridCol w:w="1185"/>
        <w:gridCol w:w="1279"/>
        <w:gridCol w:w="1279"/>
        <w:gridCol w:w="1247"/>
        <w:gridCol w:w="1279"/>
        <w:gridCol w:w="1279"/>
      </w:tblGrid>
      <w:tr w:rsidR="000C5BE8" w:rsidRPr="00C531A0" w:rsidTr="00FD4B99">
        <w:trPr>
          <w:tblHeader/>
        </w:trPr>
        <w:tc>
          <w:tcPr>
            <w:tcW w:w="2047" w:type="dxa"/>
          </w:tcPr>
          <w:p w:rsidR="000C5BE8" w:rsidRPr="00C531A0" w:rsidRDefault="000C5BE8" w:rsidP="003417A4">
            <w:pPr>
              <w:pStyle w:val="In-tableHeading"/>
              <w:keepLines/>
              <w:rPr>
                <w:sz w:val="20"/>
                <w:szCs w:val="20"/>
              </w:rPr>
            </w:pPr>
            <w:r w:rsidRPr="00C531A0">
              <w:rPr>
                <w:sz w:val="20"/>
                <w:szCs w:val="20"/>
              </w:rPr>
              <w:t>Year</w:t>
            </w:r>
          </w:p>
        </w:tc>
        <w:tc>
          <w:tcPr>
            <w:tcW w:w="1154" w:type="dxa"/>
            <w:vAlign w:val="center"/>
          </w:tcPr>
          <w:p w:rsidR="000C5BE8" w:rsidRPr="00C531A0" w:rsidRDefault="000C5BE8" w:rsidP="003417A4">
            <w:pPr>
              <w:pStyle w:val="In-tableHeading"/>
              <w:keepLines/>
              <w:jc w:val="center"/>
              <w:rPr>
                <w:sz w:val="20"/>
                <w:szCs w:val="20"/>
              </w:rPr>
            </w:pPr>
            <w:r w:rsidRPr="00C531A0">
              <w:rPr>
                <w:sz w:val="20"/>
                <w:szCs w:val="20"/>
              </w:rPr>
              <w:t>2021</w:t>
            </w:r>
          </w:p>
        </w:tc>
        <w:tc>
          <w:tcPr>
            <w:tcW w:w="1154" w:type="dxa"/>
            <w:vAlign w:val="center"/>
          </w:tcPr>
          <w:p w:rsidR="000C5BE8" w:rsidRPr="00C531A0" w:rsidRDefault="000C5BE8" w:rsidP="003417A4">
            <w:pPr>
              <w:pStyle w:val="In-tableHeading"/>
              <w:keepLines/>
              <w:jc w:val="center"/>
              <w:rPr>
                <w:sz w:val="20"/>
                <w:szCs w:val="20"/>
              </w:rPr>
            </w:pPr>
            <w:r w:rsidRPr="00C531A0">
              <w:rPr>
                <w:sz w:val="20"/>
                <w:szCs w:val="20"/>
              </w:rPr>
              <w:t>2022</w:t>
            </w:r>
          </w:p>
        </w:tc>
        <w:tc>
          <w:tcPr>
            <w:tcW w:w="1165" w:type="dxa"/>
            <w:vAlign w:val="center"/>
          </w:tcPr>
          <w:p w:rsidR="000C5BE8" w:rsidRPr="00C531A0" w:rsidRDefault="000C5BE8" w:rsidP="003417A4">
            <w:pPr>
              <w:pStyle w:val="In-tableHeading"/>
              <w:keepLines/>
              <w:jc w:val="center"/>
              <w:rPr>
                <w:sz w:val="20"/>
                <w:szCs w:val="20"/>
              </w:rPr>
            </w:pPr>
            <w:r w:rsidRPr="00C531A0">
              <w:rPr>
                <w:sz w:val="20"/>
                <w:szCs w:val="20"/>
              </w:rPr>
              <w:t>2023</w:t>
            </w:r>
          </w:p>
        </w:tc>
        <w:tc>
          <w:tcPr>
            <w:tcW w:w="1165" w:type="dxa"/>
            <w:vAlign w:val="center"/>
          </w:tcPr>
          <w:p w:rsidR="000C5BE8" w:rsidRPr="00C531A0" w:rsidRDefault="000C5BE8" w:rsidP="003417A4">
            <w:pPr>
              <w:pStyle w:val="In-tableHeading"/>
              <w:keepLines/>
              <w:jc w:val="center"/>
              <w:rPr>
                <w:sz w:val="20"/>
                <w:szCs w:val="20"/>
              </w:rPr>
            </w:pPr>
            <w:r w:rsidRPr="00C531A0">
              <w:rPr>
                <w:sz w:val="20"/>
                <w:szCs w:val="20"/>
              </w:rPr>
              <w:t>2024</w:t>
            </w:r>
          </w:p>
        </w:tc>
        <w:tc>
          <w:tcPr>
            <w:tcW w:w="1165" w:type="dxa"/>
            <w:vAlign w:val="center"/>
          </w:tcPr>
          <w:p w:rsidR="000C5BE8" w:rsidRPr="00C531A0" w:rsidRDefault="000C5BE8" w:rsidP="003417A4">
            <w:pPr>
              <w:pStyle w:val="In-tableHeading"/>
              <w:keepLines/>
              <w:jc w:val="center"/>
              <w:rPr>
                <w:sz w:val="20"/>
                <w:szCs w:val="20"/>
              </w:rPr>
            </w:pPr>
            <w:r w:rsidRPr="00C531A0">
              <w:rPr>
                <w:sz w:val="20"/>
                <w:szCs w:val="20"/>
              </w:rPr>
              <w:t>2025</w:t>
            </w:r>
          </w:p>
        </w:tc>
        <w:tc>
          <w:tcPr>
            <w:tcW w:w="1166" w:type="dxa"/>
            <w:vAlign w:val="center"/>
          </w:tcPr>
          <w:p w:rsidR="000C5BE8" w:rsidRPr="00C531A0" w:rsidRDefault="000C5BE8" w:rsidP="003417A4">
            <w:pPr>
              <w:pStyle w:val="In-tableHeading"/>
              <w:keepLines/>
              <w:jc w:val="center"/>
              <w:rPr>
                <w:sz w:val="20"/>
                <w:szCs w:val="20"/>
              </w:rPr>
            </w:pPr>
            <w:r w:rsidRPr="00C531A0">
              <w:rPr>
                <w:sz w:val="20"/>
                <w:szCs w:val="20"/>
              </w:rPr>
              <w:t>2026</w:t>
            </w:r>
          </w:p>
        </w:tc>
      </w:tr>
      <w:tr w:rsidR="000C5BE8" w:rsidRPr="00C531A0" w:rsidTr="003417A4">
        <w:tc>
          <w:tcPr>
            <w:tcW w:w="9016" w:type="dxa"/>
            <w:gridSpan w:val="7"/>
          </w:tcPr>
          <w:p w:rsidR="000C5BE8" w:rsidRPr="00C531A0" w:rsidRDefault="000C5BE8" w:rsidP="003417A4">
            <w:pPr>
              <w:pStyle w:val="TableText0"/>
              <w:keepLines/>
              <w:rPr>
                <w:b/>
                <w:bCs w:val="0"/>
                <w:sz w:val="20"/>
                <w:szCs w:val="20"/>
                <w:lang w:val="en-US"/>
              </w:rPr>
            </w:pPr>
            <w:r>
              <w:rPr>
                <w:b/>
                <w:bCs w:val="0"/>
                <w:sz w:val="20"/>
                <w:szCs w:val="20"/>
                <w:lang w:val="en-US"/>
              </w:rPr>
              <w:t>Net cost to PBS/RPBS</w:t>
            </w:r>
          </w:p>
        </w:tc>
      </w:tr>
      <w:tr w:rsidR="000C5BE8" w:rsidRPr="00C531A0" w:rsidTr="003417A4">
        <w:tc>
          <w:tcPr>
            <w:tcW w:w="2047" w:type="dxa"/>
          </w:tcPr>
          <w:p w:rsidR="000C5BE8" w:rsidRPr="007C5BC0" w:rsidRDefault="000C5BE8" w:rsidP="003417A4">
            <w:pPr>
              <w:pStyle w:val="TableText0"/>
              <w:keepLines/>
              <w:rPr>
                <w:sz w:val="20"/>
                <w:szCs w:val="20"/>
                <w:lang w:val="en-US"/>
              </w:rPr>
            </w:pPr>
            <w:r w:rsidRPr="007C5BC0">
              <w:rPr>
                <w:sz w:val="20"/>
                <w:szCs w:val="20"/>
                <w:lang w:val="en-US"/>
              </w:rPr>
              <w:t>Base case</w:t>
            </w:r>
          </w:p>
        </w:tc>
        <w:tc>
          <w:tcPr>
            <w:tcW w:w="1154" w:type="dxa"/>
            <w:vAlign w:val="center"/>
          </w:tcPr>
          <w:p w:rsidR="000C5BE8" w:rsidRPr="00D02986" w:rsidRDefault="000C5BE8" w:rsidP="003417A4">
            <w:pPr>
              <w:pStyle w:val="TableText0"/>
              <w:keepLines/>
              <w:jc w:val="center"/>
              <w:rPr>
                <w:sz w:val="20"/>
                <w:szCs w:val="20"/>
                <w:lang w:val="en-US"/>
              </w:rPr>
            </w:pPr>
            <w:r w:rsidRPr="007D135E">
              <w:rPr>
                <w:sz w:val="20"/>
                <w:szCs w:val="20"/>
              </w:rPr>
              <w:t>$</w:t>
            </w:r>
            <w:r w:rsidR="00D02986">
              <w:rPr>
                <w:noProof/>
                <w:color w:val="000000"/>
                <w:sz w:val="20"/>
                <w:szCs w:val="20"/>
                <w:highlight w:val="black"/>
              </w:rPr>
              <w:t>'''''''''''''''''''''''''</w:t>
            </w:r>
            <w:r w:rsidR="007D135E">
              <w:rPr>
                <w:sz w:val="20"/>
                <w:szCs w:val="20"/>
                <w:vertAlign w:val="superscript"/>
              </w:rPr>
              <w:t>1</w:t>
            </w:r>
          </w:p>
        </w:tc>
        <w:tc>
          <w:tcPr>
            <w:tcW w:w="1154" w:type="dxa"/>
            <w:vAlign w:val="center"/>
          </w:tcPr>
          <w:p w:rsidR="000C5BE8" w:rsidRPr="00D02986" w:rsidRDefault="000C5BE8" w:rsidP="003417A4">
            <w:pPr>
              <w:pStyle w:val="TableText0"/>
              <w:keepLines/>
              <w:jc w:val="center"/>
              <w:rPr>
                <w:sz w:val="20"/>
                <w:szCs w:val="20"/>
                <w:lang w:val="en-US"/>
              </w:rPr>
            </w:pPr>
            <w:r w:rsidRPr="007D135E">
              <w:rPr>
                <w:sz w:val="20"/>
                <w:szCs w:val="20"/>
              </w:rPr>
              <w:t>$</w:t>
            </w:r>
            <w:r w:rsidR="00D02986">
              <w:rPr>
                <w:noProof/>
                <w:color w:val="000000"/>
                <w:sz w:val="20"/>
                <w:szCs w:val="20"/>
                <w:highlight w:val="black"/>
              </w:rPr>
              <w:t>'''''''''''''''''''''''</w:t>
            </w:r>
            <w:r w:rsidR="007D135E">
              <w:rPr>
                <w:sz w:val="20"/>
                <w:szCs w:val="20"/>
                <w:vertAlign w:val="superscript"/>
              </w:rPr>
              <w:t>1</w:t>
            </w:r>
          </w:p>
        </w:tc>
        <w:tc>
          <w:tcPr>
            <w:tcW w:w="1165" w:type="dxa"/>
            <w:vAlign w:val="center"/>
          </w:tcPr>
          <w:p w:rsidR="000C5BE8" w:rsidRPr="00D02986" w:rsidRDefault="000C5BE8" w:rsidP="003417A4">
            <w:pPr>
              <w:pStyle w:val="TableText0"/>
              <w:keepLines/>
              <w:jc w:val="center"/>
              <w:rPr>
                <w:sz w:val="20"/>
                <w:szCs w:val="20"/>
                <w:lang w:val="en-US"/>
              </w:rPr>
            </w:pPr>
            <w:r w:rsidRPr="007D135E">
              <w:rPr>
                <w:sz w:val="20"/>
                <w:szCs w:val="20"/>
              </w:rPr>
              <w:t>$</w:t>
            </w:r>
            <w:r w:rsidR="00D02986">
              <w:rPr>
                <w:noProof/>
                <w:color w:val="000000"/>
                <w:sz w:val="20"/>
                <w:szCs w:val="20"/>
                <w:highlight w:val="black"/>
              </w:rPr>
              <w:t>'''''''''''''''''''''''''''''</w:t>
            </w:r>
            <w:r w:rsidR="00133A31">
              <w:rPr>
                <w:sz w:val="20"/>
                <w:szCs w:val="20"/>
                <w:vertAlign w:val="superscript"/>
              </w:rPr>
              <w:t>2</w:t>
            </w:r>
          </w:p>
        </w:tc>
        <w:tc>
          <w:tcPr>
            <w:tcW w:w="1165" w:type="dxa"/>
            <w:vAlign w:val="center"/>
          </w:tcPr>
          <w:p w:rsidR="000C5BE8" w:rsidRPr="00D02986" w:rsidRDefault="000C5BE8" w:rsidP="003417A4">
            <w:pPr>
              <w:pStyle w:val="TableText0"/>
              <w:keepLines/>
              <w:jc w:val="center"/>
              <w:rPr>
                <w:sz w:val="20"/>
                <w:szCs w:val="20"/>
                <w:lang w:val="en-US"/>
              </w:rPr>
            </w:pPr>
            <w:r w:rsidRPr="007D135E">
              <w:rPr>
                <w:sz w:val="20"/>
                <w:szCs w:val="20"/>
              </w:rPr>
              <w:t>$</w:t>
            </w:r>
            <w:r w:rsidR="00D02986">
              <w:rPr>
                <w:noProof/>
                <w:color w:val="000000"/>
                <w:sz w:val="20"/>
                <w:szCs w:val="20"/>
                <w:highlight w:val="black"/>
              </w:rPr>
              <w:t>''''''''''''''''''''''''</w:t>
            </w:r>
            <w:r w:rsidR="00133A31">
              <w:rPr>
                <w:sz w:val="20"/>
                <w:szCs w:val="20"/>
                <w:vertAlign w:val="superscript"/>
              </w:rPr>
              <w:t>2</w:t>
            </w:r>
          </w:p>
        </w:tc>
        <w:tc>
          <w:tcPr>
            <w:tcW w:w="1165" w:type="dxa"/>
            <w:vAlign w:val="center"/>
          </w:tcPr>
          <w:p w:rsidR="000C5BE8" w:rsidRPr="00D02986" w:rsidRDefault="000C5BE8" w:rsidP="003417A4">
            <w:pPr>
              <w:pStyle w:val="TableText0"/>
              <w:keepLines/>
              <w:jc w:val="center"/>
              <w:rPr>
                <w:sz w:val="20"/>
                <w:szCs w:val="20"/>
                <w:lang w:val="en-US"/>
              </w:rPr>
            </w:pPr>
            <w:r w:rsidRPr="007D135E">
              <w:rPr>
                <w:sz w:val="20"/>
                <w:szCs w:val="20"/>
              </w:rPr>
              <w:t>$</w:t>
            </w:r>
            <w:r w:rsidR="00D02986">
              <w:rPr>
                <w:noProof/>
                <w:color w:val="000000"/>
                <w:sz w:val="20"/>
                <w:szCs w:val="20"/>
                <w:highlight w:val="black"/>
              </w:rPr>
              <w:t>'''''''''''''''''''''''''''''</w:t>
            </w:r>
            <w:r w:rsidR="00133A31">
              <w:rPr>
                <w:sz w:val="20"/>
                <w:szCs w:val="20"/>
                <w:vertAlign w:val="superscript"/>
              </w:rPr>
              <w:t>2</w:t>
            </w:r>
          </w:p>
        </w:tc>
        <w:tc>
          <w:tcPr>
            <w:tcW w:w="1166" w:type="dxa"/>
            <w:vAlign w:val="center"/>
          </w:tcPr>
          <w:p w:rsidR="000C5BE8" w:rsidRPr="00D02986" w:rsidRDefault="000C5BE8" w:rsidP="003417A4">
            <w:pPr>
              <w:pStyle w:val="TableText0"/>
              <w:keepLines/>
              <w:jc w:val="center"/>
              <w:rPr>
                <w:sz w:val="20"/>
                <w:szCs w:val="20"/>
                <w:lang w:val="en-US"/>
              </w:rPr>
            </w:pPr>
            <w:r w:rsidRPr="007D135E">
              <w:rPr>
                <w:sz w:val="20"/>
                <w:szCs w:val="20"/>
              </w:rPr>
              <w:t>$</w:t>
            </w:r>
            <w:r w:rsidR="00D02986">
              <w:rPr>
                <w:noProof/>
                <w:color w:val="000000"/>
                <w:sz w:val="20"/>
                <w:szCs w:val="20"/>
                <w:highlight w:val="black"/>
              </w:rPr>
              <w:t>''''''''''''''''''''''''</w:t>
            </w:r>
            <w:r w:rsidR="00133A31">
              <w:rPr>
                <w:sz w:val="20"/>
                <w:szCs w:val="20"/>
                <w:vertAlign w:val="superscript"/>
              </w:rPr>
              <w:t>2</w:t>
            </w:r>
          </w:p>
        </w:tc>
      </w:tr>
      <w:tr w:rsidR="000C5BE8" w:rsidRPr="00C531A0" w:rsidTr="003417A4">
        <w:tc>
          <w:tcPr>
            <w:tcW w:w="2047" w:type="dxa"/>
          </w:tcPr>
          <w:p w:rsidR="000C5BE8" w:rsidRPr="00B22545" w:rsidRDefault="000C5BE8" w:rsidP="003417A4">
            <w:pPr>
              <w:pStyle w:val="TableText0"/>
              <w:keepLines/>
              <w:rPr>
                <w:sz w:val="20"/>
                <w:szCs w:val="20"/>
                <w:lang w:val="en-US"/>
              </w:rPr>
            </w:pPr>
            <w:r w:rsidRPr="00B22545">
              <w:rPr>
                <w:sz w:val="20"/>
                <w:szCs w:val="20"/>
                <w:lang w:val="en-US"/>
              </w:rPr>
              <w:t>Prevalence rate</w:t>
            </w:r>
            <w:r w:rsidRPr="00B22545">
              <w:rPr>
                <w:sz w:val="20"/>
                <w:szCs w:val="20"/>
                <w:vertAlign w:val="superscript"/>
                <w:lang w:val="en-US"/>
              </w:rPr>
              <w:t>1</w:t>
            </w:r>
            <w:r w:rsidRPr="00B22545">
              <w:rPr>
                <w:sz w:val="20"/>
                <w:szCs w:val="20"/>
                <w:lang w:val="en-US"/>
              </w:rPr>
              <w:t xml:space="preserve"> – 31.8 per 100,000</w:t>
            </w:r>
          </w:p>
        </w:tc>
        <w:tc>
          <w:tcPr>
            <w:tcW w:w="1154"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54"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6"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r>
      <w:tr w:rsidR="000C5BE8" w:rsidRPr="00C531A0" w:rsidTr="003417A4">
        <w:tc>
          <w:tcPr>
            <w:tcW w:w="2047" w:type="dxa"/>
          </w:tcPr>
          <w:p w:rsidR="000C5BE8" w:rsidRPr="00B22545" w:rsidRDefault="000C5BE8" w:rsidP="003417A4">
            <w:pPr>
              <w:pStyle w:val="TableText0"/>
              <w:keepLines/>
              <w:rPr>
                <w:sz w:val="20"/>
                <w:szCs w:val="20"/>
                <w:lang w:val="en-US"/>
              </w:rPr>
            </w:pPr>
            <w:r w:rsidRPr="00B22545">
              <w:rPr>
                <w:sz w:val="20"/>
                <w:szCs w:val="20"/>
                <w:lang w:val="en-US"/>
              </w:rPr>
              <w:t>Prevalence rate</w:t>
            </w:r>
            <w:r w:rsidRPr="00B22545">
              <w:rPr>
                <w:sz w:val="20"/>
                <w:szCs w:val="20"/>
                <w:vertAlign w:val="superscript"/>
                <w:lang w:val="en-US"/>
              </w:rPr>
              <w:t>1</w:t>
            </w:r>
            <w:r w:rsidRPr="00B22545">
              <w:rPr>
                <w:sz w:val="20"/>
                <w:szCs w:val="20"/>
                <w:lang w:val="en-US"/>
              </w:rPr>
              <w:t xml:space="preserve"> – 55 per 100,000</w:t>
            </w:r>
          </w:p>
        </w:tc>
        <w:tc>
          <w:tcPr>
            <w:tcW w:w="1154"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54"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6"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3</w:t>
            </w:r>
          </w:p>
        </w:tc>
      </w:tr>
      <w:tr w:rsidR="000C5BE8" w:rsidRPr="00C531A0" w:rsidTr="003417A4">
        <w:tc>
          <w:tcPr>
            <w:tcW w:w="2047" w:type="dxa"/>
          </w:tcPr>
          <w:p w:rsidR="000C5BE8" w:rsidRPr="00B22545" w:rsidRDefault="000C5BE8" w:rsidP="003417A4">
            <w:pPr>
              <w:pStyle w:val="TableText0"/>
              <w:keepLines/>
              <w:rPr>
                <w:sz w:val="20"/>
                <w:szCs w:val="20"/>
                <w:lang w:val="en-US"/>
              </w:rPr>
            </w:pPr>
            <w:r w:rsidRPr="00B22545">
              <w:rPr>
                <w:sz w:val="20"/>
                <w:szCs w:val="20"/>
                <w:lang w:val="en-US"/>
              </w:rPr>
              <w:t>Uptake rate</w:t>
            </w:r>
            <w:r w:rsidRPr="00B22545">
              <w:rPr>
                <w:sz w:val="20"/>
                <w:szCs w:val="20"/>
                <w:vertAlign w:val="superscript"/>
                <w:lang w:val="en-US"/>
              </w:rPr>
              <w:t>2</w:t>
            </w:r>
            <w:r w:rsidRPr="00B22545">
              <w:rPr>
                <w:sz w:val="20"/>
                <w:szCs w:val="20"/>
                <w:lang w:val="en-US"/>
              </w:rPr>
              <w:t xml:space="preserve"> – 15%</w:t>
            </w:r>
          </w:p>
        </w:tc>
        <w:tc>
          <w:tcPr>
            <w:tcW w:w="1154"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54"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3</w:t>
            </w:r>
          </w:p>
        </w:tc>
        <w:tc>
          <w:tcPr>
            <w:tcW w:w="1166"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3</w:t>
            </w:r>
          </w:p>
        </w:tc>
      </w:tr>
      <w:tr w:rsidR="000C5BE8" w:rsidRPr="00C531A0" w:rsidTr="003417A4">
        <w:tc>
          <w:tcPr>
            <w:tcW w:w="2047" w:type="dxa"/>
          </w:tcPr>
          <w:p w:rsidR="000C5BE8" w:rsidRPr="00B22545" w:rsidRDefault="000C5BE8" w:rsidP="003417A4">
            <w:pPr>
              <w:pStyle w:val="TableText0"/>
              <w:keepLines/>
              <w:rPr>
                <w:sz w:val="20"/>
                <w:szCs w:val="20"/>
                <w:lang w:val="en-US"/>
              </w:rPr>
            </w:pPr>
            <w:r w:rsidRPr="00B22545">
              <w:rPr>
                <w:sz w:val="20"/>
                <w:szCs w:val="20"/>
                <w:lang w:val="en-US"/>
              </w:rPr>
              <w:t>Treatment response</w:t>
            </w:r>
            <w:r w:rsidRPr="00B22545">
              <w:rPr>
                <w:sz w:val="20"/>
                <w:szCs w:val="20"/>
                <w:vertAlign w:val="superscript"/>
                <w:lang w:val="en-US"/>
              </w:rPr>
              <w:t>3</w:t>
            </w:r>
            <w:r w:rsidRPr="00B22545">
              <w:rPr>
                <w:szCs w:val="20"/>
                <w:lang w:val="en-US"/>
              </w:rPr>
              <w:t xml:space="preserve"> –</w:t>
            </w:r>
            <w:r w:rsidRPr="00B22545">
              <w:rPr>
                <w:sz w:val="20"/>
                <w:szCs w:val="20"/>
                <w:lang w:val="en-US"/>
              </w:rPr>
              <w:t xml:space="preserve"> 84.7%</w:t>
            </w:r>
          </w:p>
        </w:tc>
        <w:tc>
          <w:tcPr>
            <w:tcW w:w="1154"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54"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6"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r>
      <w:tr w:rsidR="000C5BE8" w:rsidRPr="00C531A0" w:rsidTr="003417A4">
        <w:tc>
          <w:tcPr>
            <w:tcW w:w="2047" w:type="dxa"/>
          </w:tcPr>
          <w:p w:rsidR="000C5BE8" w:rsidRPr="00B22545" w:rsidRDefault="000C5BE8" w:rsidP="003417A4">
            <w:pPr>
              <w:pStyle w:val="TableText0"/>
              <w:keepLines/>
              <w:rPr>
                <w:sz w:val="20"/>
                <w:szCs w:val="20"/>
                <w:lang w:val="en-US"/>
              </w:rPr>
            </w:pPr>
            <w:r w:rsidRPr="00B22545">
              <w:rPr>
                <w:sz w:val="20"/>
                <w:szCs w:val="20"/>
                <w:lang w:val="en-US"/>
              </w:rPr>
              <w:t>Treatment discontinuation</w:t>
            </w:r>
            <w:r w:rsidRPr="00B22545">
              <w:rPr>
                <w:sz w:val="20"/>
                <w:szCs w:val="20"/>
                <w:vertAlign w:val="superscript"/>
                <w:lang w:val="en-US"/>
              </w:rPr>
              <w:t>4</w:t>
            </w:r>
            <w:r w:rsidRPr="00B22545">
              <w:rPr>
                <w:sz w:val="20"/>
                <w:szCs w:val="20"/>
                <w:lang w:val="en-US"/>
              </w:rPr>
              <w:t xml:space="preserve"> – 25%</w:t>
            </w:r>
          </w:p>
        </w:tc>
        <w:tc>
          <w:tcPr>
            <w:tcW w:w="1154"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54"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7D135E">
              <w:rPr>
                <w:sz w:val="20"/>
                <w:szCs w:val="20"/>
                <w:vertAlign w:val="superscript"/>
              </w:rPr>
              <w:t>1</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5"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c>
          <w:tcPr>
            <w:tcW w:w="1166" w:type="dxa"/>
            <w:vAlign w:val="center"/>
          </w:tcPr>
          <w:p w:rsidR="000C5BE8" w:rsidRPr="00D02986" w:rsidRDefault="000C5BE8" w:rsidP="003417A4">
            <w:pPr>
              <w:pStyle w:val="TableText0"/>
              <w:keepLines/>
              <w:jc w:val="center"/>
              <w:rPr>
                <w:iCs/>
                <w:sz w:val="20"/>
                <w:szCs w:val="20"/>
              </w:rPr>
            </w:pPr>
            <w:r w:rsidRPr="007D135E">
              <w:rPr>
                <w:sz w:val="20"/>
                <w:szCs w:val="20"/>
              </w:rPr>
              <w:t>$</w:t>
            </w:r>
            <w:r w:rsidR="00D02986">
              <w:rPr>
                <w:iCs/>
                <w:noProof/>
                <w:color w:val="000000"/>
                <w:sz w:val="20"/>
                <w:szCs w:val="20"/>
                <w:highlight w:val="black"/>
              </w:rPr>
              <w:t>''''''''''''''''''''''''''</w:t>
            </w:r>
            <w:r w:rsidR="00133A31">
              <w:rPr>
                <w:sz w:val="20"/>
                <w:szCs w:val="20"/>
                <w:vertAlign w:val="superscript"/>
              </w:rPr>
              <w:t>2</w:t>
            </w:r>
          </w:p>
        </w:tc>
      </w:tr>
    </w:tbl>
    <w:p w:rsidR="000C5BE8" w:rsidRDefault="000C5BE8" w:rsidP="000C5BE8">
      <w:pPr>
        <w:pStyle w:val="TableFigureFooter"/>
        <w:keepNext/>
        <w:keepLines/>
      </w:pPr>
      <w:r>
        <w:t xml:space="preserve">Source: </w:t>
      </w:r>
      <w:r w:rsidR="00BF2575">
        <w:t xml:space="preserve">Sensitivity analyses </w:t>
      </w:r>
      <w:r>
        <w:t>calculated during the evaluation</w:t>
      </w:r>
      <w:r w:rsidRPr="001A546D">
        <w:t xml:space="preserve"> </w:t>
      </w:r>
      <w:r>
        <w:t>using</w:t>
      </w:r>
      <w:r w:rsidRPr="001A546D">
        <w:t xml:space="preserve"> sheet Dr Falk BIM of the utilisation-and-cost-model</w:t>
      </w:r>
      <w:r>
        <w:t xml:space="preserve"> workbook</w:t>
      </w:r>
    </w:p>
    <w:p w:rsidR="000C5BE8" w:rsidRDefault="00BF2575" w:rsidP="000C5BE8">
      <w:pPr>
        <w:pStyle w:val="TableFigureFooter"/>
        <w:keepNext/>
        <w:keepLines/>
      </w:pPr>
      <w:r>
        <w:t xml:space="preserve">Notes: </w:t>
      </w:r>
      <w:r w:rsidR="000C5BE8">
        <w:t xml:space="preserve">1 Modified cell C20 in Dr Falk BIM sheet of </w:t>
      </w:r>
      <w:r w:rsidR="000C5BE8" w:rsidRPr="00677760">
        <w:t>JORVEZA for EoE_Section4_BIM</w:t>
      </w:r>
    </w:p>
    <w:p w:rsidR="000C5BE8" w:rsidRDefault="000C5BE8" w:rsidP="000C5BE8">
      <w:pPr>
        <w:pStyle w:val="TableFigureFooter"/>
        <w:keepNext/>
        <w:keepLines/>
      </w:pPr>
      <w:r>
        <w:t xml:space="preserve">2 Modified cells D24 (15%) and I24 (90%) using Goal Seek function (resulting in 15% annually; cells D25 to I25) in Dr Falk BIM sheet of </w:t>
      </w:r>
      <w:r w:rsidRPr="00677760">
        <w:t>JORVEZA for EoE_Section4_BIM</w:t>
      </w:r>
      <w:bookmarkStart w:id="30" w:name="_GoBack"/>
      <w:bookmarkEnd w:id="30"/>
    </w:p>
    <w:p w:rsidR="000C5BE8" w:rsidRDefault="000C5BE8" w:rsidP="000C5BE8">
      <w:pPr>
        <w:pStyle w:val="TableFigureFooter"/>
        <w:keepNext/>
        <w:keepLines/>
      </w:pPr>
      <w:r>
        <w:t xml:space="preserve">3 Modified cell C30 in Dr Falk BIM sheet of </w:t>
      </w:r>
      <w:r w:rsidRPr="00677760">
        <w:t>JORVEZA for EoE_Section4_BIM</w:t>
      </w:r>
    </w:p>
    <w:p w:rsidR="000C5BE8" w:rsidRDefault="000C5BE8" w:rsidP="000C5BE8">
      <w:pPr>
        <w:pStyle w:val="TableFigureFooter"/>
        <w:keepNext/>
        <w:keepLines/>
      </w:pPr>
      <w:r>
        <w:t xml:space="preserve">4 </w:t>
      </w:r>
      <w:r w:rsidRPr="00F50CA7">
        <w:t xml:space="preserve">Modified cell </w:t>
      </w:r>
      <w:r>
        <w:t>D32</w:t>
      </w:r>
      <w:r w:rsidRPr="00F50CA7">
        <w:t xml:space="preserve"> in Dr Falk BIM sheet of JORVEZA for EoE_Section4_BIM</w:t>
      </w:r>
    </w:p>
    <w:p w:rsidR="007D135E" w:rsidRPr="009868C4" w:rsidRDefault="007D135E" w:rsidP="007D135E">
      <w:pPr>
        <w:pStyle w:val="TableFigureFooter"/>
        <w:spacing w:after="0"/>
        <w:contextualSpacing w:val="0"/>
      </w:pPr>
      <w:r w:rsidRPr="009868C4">
        <w:rPr>
          <w:i/>
        </w:rPr>
        <w:t>The redacted values correspond to the following ranges</w:t>
      </w:r>
      <w:r>
        <w:rPr>
          <w:i/>
        </w:rPr>
        <w:t xml:space="preserve">: </w:t>
      </w:r>
    </w:p>
    <w:p w:rsidR="007D135E" w:rsidRPr="00133A31" w:rsidRDefault="00133A31" w:rsidP="000C5BE8">
      <w:pPr>
        <w:pStyle w:val="TableFigureFooter"/>
        <w:keepNext/>
        <w:keepLines/>
        <w:rPr>
          <w:i/>
        </w:rPr>
      </w:pPr>
      <w:r>
        <w:rPr>
          <w:i/>
          <w:vertAlign w:val="superscript"/>
        </w:rPr>
        <w:t xml:space="preserve">1 </w:t>
      </w:r>
      <w:r w:rsidRPr="00133A31">
        <w:rPr>
          <w:i/>
        </w:rPr>
        <w:t>$0 to &lt; $10 million</w:t>
      </w:r>
    </w:p>
    <w:p w:rsidR="00133A31" w:rsidRPr="00133A31" w:rsidRDefault="00133A31" w:rsidP="000C5BE8">
      <w:pPr>
        <w:pStyle w:val="TableFigureFooter"/>
        <w:keepNext/>
        <w:keepLines/>
        <w:rPr>
          <w:i/>
        </w:rPr>
      </w:pPr>
      <w:r>
        <w:rPr>
          <w:i/>
          <w:vertAlign w:val="superscript"/>
        </w:rPr>
        <w:t xml:space="preserve">2 </w:t>
      </w:r>
      <w:r w:rsidRPr="00133A31">
        <w:rPr>
          <w:i/>
        </w:rPr>
        <w:t>$10 million to &lt; $20 million</w:t>
      </w:r>
    </w:p>
    <w:p w:rsidR="00133A31" w:rsidRPr="00133A31" w:rsidRDefault="00133A31" w:rsidP="000C5BE8">
      <w:pPr>
        <w:pStyle w:val="TableFigureFooter"/>
        <w:keepNext/>
        <w:keepLines/>
        <w:rPr>
          <w:i/>
        </w:rPr>
      </w:pPr>
      <w:r>
        <w:rPr>
          <w:i/>
          <w:vertAlign w:val="superscript"/>
        </w:rPr>
        <w:t xml:space="preserve">3 </w:t>
      </w:r>
      <w:r w:rsidRPr="00133A31">
        <w:rPr>
          <w:i/>
        </w:rPr>
        <w:t>$20 million to &lt; $30 million</w:t>
      </w:r>
    </w:p>
    <w:p w:rsidR="00C56599" w:rsidRPr="00133A31" w:rsidRDefault="00C56599" w:rsidP="000C5BE8">
      <w:pPr>
        <w:pStyle w:val="TableFigureFooter"/>
        <w:keepNext/>
        <w:keepLines/>
        <w:rPr>
          <w:i/>
        </w:rPr>
      </w:pPr>
    </w:p>
    <w:p w:rsidR="00C56599" w:rsidRPr="00C56599" w:rsidRDefault="00C56599" w:rsidP="00C56599">
      <w:pPr>
        <w:pStyle w:val="3-BodyText"/>
        <w:rPr>
          <w:iCs/>
        </w:rPr>
      </w:pPr>
      <w:r>
        <w:rPr>
          <w:iCs/>
        </w:rPr>
        <w:t>DUSC considered</w:t>
      </w:r>
      <w:r w:rsidRPr="00C56599">
        <w:rPr>
          <w:iCs/>
        </w:rPr>
        <w:t xml:space="preserve"> the estimates presented in the submission to be underestimated. </w:t>
      </w:r>
      <w:r>
        <w:rPr>
          <w:iCs/>
        </w:rPr>
        <w:t>The main issues we</w:t>
      </w:r>
      <w:r w:rsidRPr="00C56599">
        <w:rPr>
          <w:iCs/>
        </w:rPr>
        <w:t>re:</w:t>
      </w:r>
    </w:p>
    <w:p w:rsidR="00C56599" w:rsidRPr="00C80A41" w:rsidRDefault="00C56599" w:rsidP="00C56599">
      <w:pPr>
        <w:pStyle w:val="ListParagraph"/>
        <w:ind w:left="1134"/>
      </w:pPr>
      <w:r w:rsidRPr="00C80A41">
        <w:t>The uptake is likely to be underestimated as it is the first TGA registered treatment for</w:t>
      </w:r>
      <w:r w:rsidR="00BF2575">
        <w:t xml:space="preserve"> EoE</w:t>
      </w:r>
      <w:r w:rsidRPr="00C80A41">
        <w:t xml:space="preserve">. The financial estimates are most sensitive to the uptake rates as patients are compounded </w:t>
      </w:r>
      <w:r>
        <w:t xml:space="preserve">year on year as patients </w:t>
      </w:r>
      <w:r w:rsidRPr="00C80A41">
        <w:t>continue treatment in subsequent years.</w:t>
      </w:r>
    </w:p>
    <w:p w:rsidR="00C56599" w:rsidRPr="00C56599" w:rsidRDefault="00C56599" w:rsidP="00C56599">
      <w:pPr>
        <w:pStyle w:val="ListParagraph"/>
        <w:ind w:left="1134"/>
      </w:pPr>
      <w:r w:rsidRPr="00C56599">
        <w:t xml:space="preserve">The prevalence of the disease is uncertain due to the range of study locations and settings included in the systematic review, it is unclear how the prevalence rate would apply in Australia. The increase in prevalence rate is due to the change in diagnostic criteria and increased awareness of </w:t>
      </w:r>
      <w:r w:rsidR="00BF2575">
        <w:t xml:space="preserve">EoE </w:t>
      </w:r>
      <w:r w:rsidRPr="00C56599">
        <w:t>over time.</w:t>
      </w:r>
    </w:p>
    <w:p w:rsidR="00C56599" w:rsidRPr="00C56599" w:rsidRDefault="00C56599" w:rsidP="00C56599">
      <w:pPr>
        <w:pStyle w:val="ListParagraph"/>
        <w:ind w:left="1134"/>
      </w:pPr>
      <w:r w:rsidRPr="00C56599">
        <w:t xml:space="preserve">No stopping rule or the potential for treatment breaks were included in the restriction, despite European therapeutic guidelines stating </w:t>
      </w:r>
      <w:r w:rsidR="00BF2575">
        <w:t xml:space="preserve">EoE </w:t>
      </w:r>
      <w:r w:rsidRPr="00C56599">
        <w:t xml:space="preserve">may only occur seasonally.  </w:t>
      </w:r>
    </w:p>
    <w:p w:rsidR="00C56599" w:rsidRPr="00C56599" w:rsidRDefault="00C56599" w:rsidP="00C56599">
      <w:pPr>
        <w:pStyle w:val="ListParagraph"/>
        <w:ind w:left="1134"/>
      </w:pPr>
      <w:r w:rsidRPr="00C56599">
        <w:t xml:space="preserve">It is difficult to estimate usage when the bulk of potential treatment is currently off-label. </w:t>
      </w:r>
    </w:p>
    <w:p w:rsidR="00C56599" w:rsidRPr="00C56599" w:rsidRDefault="00C56599" w:rsidP="00C56599">
      <w:pPr>
        <w:pStyle w:val="ListParagraph"/>
        <w:ind w:left="1134"/>
      </w:pPr>
      <w:r w:rsidRPr="00C56599">
        <w:t xml:space="preserve">There is a potential for </w:t>
      </w:r>
      <w:r w:rsidR="00BF2575">
        <w:t>use</w:t>
      </w:r>
      <w:r w:rsidR="00BF2575" w:rsidRPr="00C56599">
        <w:t xml:space="preserve"> </w:t>
      </w:r>
      <w:r w:rsidRPr="00C56599">
        <w:t xml:space="preserve">of this treatment in children. </w:t>
      </w:r>
    </w:p>
    <w:p w:rsidR="00DA5F85" w:rsidRPr="00C9624D" w:rsidRDefault="00DA5F85" w:rsidP="00606FBA">
      <w:pPr>
        <w:pStyle w:val="4-SubsectionHeading"/>
      </w:pPr>
      <w:bookmarkStart w:id="31" w:name="_Toc22898860"/>
      <w:bookmarkStart w:id="32" w:name="_Toc62047628"/>
      <w:r w:rsidRPr="00C9624D">
        <w:t>Quality Use of Medicines</w:t>
      </w:r>
      <w:bookmarkEnd w:id="31"/>
      <w:bookmarkEnd w:id="32"/>
    </w:p>
    <w:p w:rsidR="00DA5F85" w:rsidRPr="00C56599" w:rsidRDefault="00DA5F85" w:rsidP="00606FBA">
      <w:pPr>
        <w:pStyle w:val="3-BodyText"/>
      </w:pPr>
      <w:r w:rsidRPr="005E7497">
        <w:t xml:space="preserve">No quality use of medicines (QUM) information was provided in the submission. </w:t>
      </w:r>
      <w:r w:rsidRPr="00677746">
        <w:rPr>
          <w:iCs/>
        </w:rPr>
        <w:t>The submission considered th</w:t>
      </w:r>
      <w:r w:rsidR="003F694F" w:rsidRPr="00677746">
        <w:rPr>
          <w:iCs/>
        </w:rPr>
        <w:t>at th</w:t>
      </w:r>
      <w:r w:rsidRPr="00677746">
        <w:rPr>
          <w:iCs/>
        </w:rPr>
        <w:t>e current off-label use of PPIs and STC therapies in the Australian EoE treatment setting represents a significant QUM issue, given that quality clinical trial evidence is lacking to support dose optimisation, efficacy and safety. However, the submission did not propose any educational activities for healthcare professionals or monitoring to ensure that QUM is being achieved with the availability of BOT.</w:t>
      </w:r>
    </w:p>
    <w:p w:rsidR="00C56599" w:rsidRPr="00BF2575" w:rsidRDefault="00C56599" w:rsidP="00606FBA">
      <w:pPr>
        <w:pStyle w:val="3-BodyText"/>
      </w:pPr>
      <w:r w:rsidRPr="00BF2575">
        <w:t>DUSC considered the following were QUM issues:</w:t>
      </w:r>
    </w:p>
    <w:p w:rsidR="00C56599" w:rsidRPr="00BF2575" w:rsidRDefault="00C56599" w:rsidP="00C56599">
      <w:pPr>
        <w:pStyle w:val="ListParagraph"/>
        <w:ind w:left="1134"/>
      </w:pPr>
      <w:r w:rsidRPr="00BF2575">
        <w:t xml:space="preserve">As no stopping criteria was provided in the restriction, there are concerns with the safety due to the long term steroid usage and potential for damage to the oesophageal lining. There is a potential for sublingual administration. </w:t>
      </w:r>
    </w:p>
    <w:p w:rsidR="00C56599" w:rsidRPr="00BF2575" w:rsidRDefault="00C56599" w:rsidP="00C56599">
      <w:pPr>
        <w:pStyle w:val="ListParagraph"/>
        <w:ind w:left="1134"/>
      </w:pPr>
      <w:r w:rsidRPr="00BF2575">
        <w:t>The submission did not provide advice regarding the use of concomitant treatments such as PPIs or other treatments such as systemic or topical glucocorticosteroids, biologics, or immunosuppressants, despite all patients in trials restricted from the concurrent use of these treatments.</w:t>
      </w:r>
    </w:p>
    <w:p w:rsidR="00DA5F85" w:rsidRPr="00C9624D" w:rsidRDefault="00DA5F85" w:rsidP="00606FBA">
      <w:pPr>
        <w:pStyle w:val="4-SubsectionHeading"/>
      </w:pPr>
      <w:bookmarkStart w:id="33" w:name="_Toc22898861"/>
      <w:bookmarkStart w:id="34" w:name="_Toc62047629"/>
      <w:r w:rsidRPr="00C9624D">
        <w:t>Financial Management – Risk Sharing Arrangements</w:t>
      </w:r>
      <w:bookmarkEnd w:id="33"/>
      <w:bookmarkEnd w:id="34"/>
    </w:p>
    <w:p w:rsidR="00911428" w:rsidRDefault="00DA5F85" w:rsidP="00911428">
      <w:pPr>
        <w:pStyle w:val="3-BodyText"/>
      </w:pPr>
      <w:r w:rsidRPr="005E7497">
        <w:t xml:space="preserve">No risk-sharing arrangements were proposed in the submission. </w:t>
      </w:r>
      <w:r w:rsidRPr="003F694F">
        <w:t>However, the sponsor indicated a willingness to discuss a risk-sharing arrangement to address any uncertainties to the PBS budget.</w:t>
      </w:r>
      <w:r w:rsidR="0042448E">
        <w:t xml:space="preserve"> </w:t>
      </w:r>
    </w:p>
    <w:p w:rsidR="001262A9" w:rsidRPr="00911428" w:rsidRDefault="00911428" w:rsidP="00911428">
      <w:pPr>
        <w:pStyle w:val="3-BodyText"/>
        <w:numPr>
          <w:ilvl w:val="0"/>
          <w:numId w:val="0"/>
        </w:numPr>
        <w:ind w:left="720"/>
      </w:pPr>
      <w:r w:rsidRPr="00911428">
        <w:rPr>
          <w:rFonts w:cs="Calibri"/>
          <w:i/>
          <w:iCs/>
        </w:rPr>
        <w:t>For more detail on PBAC’s view, see section 7 PBAC outcome.</w:t>
      </w:r>
    </w:p>
    <w:p w:rsidR="000C5BE8" w:rsidRPr="000C5BE8" w:rsidRDefault="000C5BE8" w:rsidP="000C5BE8">
      <w:pPr>
        <w:pStyle w:val="2-SectionHeading"/>
      </w:pPr>
      <w:r w:rsidRPr="000C5BE8">
        <w:t>PBAC Outcome</w:t>
      </w:r>
    </w:p>
    <w:p w:rsidR="000C5BE8" w:rsidRPr="0042448E" w:rsidRDefault="000C5BE8" w:rsidP="00A61203">
      <w:pPr>
        <w:pStyle w:val="3-BodyText"/>
        <w:rPr>
          <w:iCs/>
        </w:rPr>
      </w:pPr>
      <w:r w:rsidRPr="0042448E">
        <w:rPr>
          <w:iCs/>
        </w:rPr>
        <w:t>The PBAC did not recommend</w:t>
      </w:r>
      <w:r w:rsidR="000714FE" w:rsidRPr="0042448E">
        <w:rPr>
          <w:iCs/>
        </w:rPr>
        <w:t xml:space="preserve"> budesonide orally disintegrating tablets (BOT) for the treatment of eosinophilic oesophagitis (EoE). The PBAC considered the clinical claim of superiority of BOT compared to placebo for both induction and maintenance therapy to be well supported by the evidence. However, </w:t>
      </w:r>
      <w:r w:rsidR="00D616B7">
        <w:rPr>
          <w:iCs/>
        </w:rPr>
        <w:t xml:space="preserve">the PBAC considered </w:t>
      </w:r>
      <w:r w:rsidR="00A61203" w:rsidRPr="0042448E">
        <w:rPr>
          <w:iCs/>
        </w:rPr>
        <w:t xml:space="preserve">PBS listing for use in the maintenance </w:t>
      </w:r>
      <w:r w:rsidR="0042448E">
        <w:rPr>
          <w:iCs/>
        </w:rPr>
        <w:t xml:space="preserve">therapy </w:t>
      </w:r>
      <w:r w:rsidR="00A61203" w:rsidRPr="0042448E">
        <w:rPr>
          <w:iCs/>
        </w:rPr>
        <w:t xml:space="preserve">setting is beyond the maximum duration of treatment reflected in the current approved product information (PI). </w:t>
      </w:r>
      <w:r w:rsidR="001057E9" w:rsidRPr="0042448E">
        <w:rPr>
          <w:iCs/>
        </w:rPr>
        <w:t xml:space="preserve">The PBAC considered the cost-effectiveness of induction therapy </w:t>
      </w:r>
      <w:r w:rsidR="0042448E" w:rsidRPr="0042448E">
        <w:rPr>
          <w:iCs/>
        </w:rPr>
        <w:t xml:space="preserve">alone </w:t>
      </w:r>
      <w:r w:rsidR="001057E9" w:rsidRPr="0042448E">
        <w:rPr>
          <w:iCs/>
        </w:rPr>
        <w:t>to be uncertain</w:t>
      </w:r>
      <w:r w:rsidR="0042448E" w:rsidRPr="0042448E">
        <w:rPr>
          <w:iCs/>
        </w:rPr>
        <w:t xml:space="preserve"> and the </w:t>
      </w:r>
      <w:r w:rsidR="0042448E" w:rsidRPr="0042448E">
        <w:t xml:space="preserve">incremental cost-effectiveness ratio (ICER) for both induction and maintenance therapy to be high and uncertain at the proposed price. </w:t>
      </w:r>
    </w:p>
    <w:p w:rsidR="00A61203" w:rsidRPr="00222A07" w:rsidRDefault="00222A07" w:rsidP="00A61203">
      <w:pPr>
        <w:pStyle w:val="3-BodyText"/>
        <w:rPr>
          <w:iCs/>
        </w:rPr>
      </w:pPr>
      <w:r w:rsidRPr="0042448E">
        <w:t>The PBAC noted the input from individuals, health care professionals and organisa</w:t>
      </w:r>
      <w:r w:rsidR="00491DE9" w:rsidRPr="0042448E">
        <w:t>tions which highlighted the high</w:t>
      </w:r>
      <w:r w:rsidRPr="0042448E">
        <w:t xml:space="preserve"> clinical need for EoE specific treatment</w:t>
      </w:r>
      <w:r>
        <w:t xml:space="preserve"> options.</w:t>
      </w:r>
    </w:p>
    <w:p w:rsidR="00222A07" w:rsidRPr="00222A07" w:rsidRDefault="00222A07" w:rsidP="00A61203">
      <w:pPr>
        <w:pStyle w:val="3-BodyText"/>
        <w:rPr>
          <w:iCs/>
        </w:rPr>
      </w:pPr>
      <w:r>
        <w:t xml:space="preserve">The PBAC considered </w:t>
      </w:r>
      <w:r w:rsidRPr="00B3590A">
        <w:rPr>
          <w:snapToGrid/>
          <w:lang w:val="en-US"/>
        </w:rPr>
        <w:t>placebo as a proxy for standard of care (SOC)</w:t>
      </w:r>
      <w:r>
        <w:rPr>
          <w:snapToGrid/>
          <w:lang w:val="en-US"/>
        </w:rPr>
        <w:t xml:space="preserve"> an</w:t>
      </w:r>
      <w:r w:rsidR="00DB259F">
        <w:rPr>
          <w:snapToGrid/>
          <w:lang w:val="en-US"/>
        </w:rPr>
        <w:t xml:space="preserve"> acceptable</w:t>
      </w:r>
      <w:r>
        <w:rPr>
          <w:snapToGrid/>
          <w:lang w:val="en-US"/>
        </w:rPr>
        <w:t xml:space="preserve"> comparator. </w:t>
      </w:r>
    </w:p>
    <w:p w:rsidR="00B24239" w:rsidRPr="004A6D6A" w:rsidRDefault="00D616B7" w:rsidP="00984019">
      <w:pPr>
        <w:pStyle w:val="3-BodyText"/>
      </w:pPr>
      <w:r>
        <w:t xml:space="preserve">The PBAC noted </w:t>
      </w:r>
      <w:r w:rsidR="00513ACF">
        <w:t>the claim of superior comparative effectiveness compared to placebo was based on the EOS-1 and EOS-2 trials for induction of remission and maintenance therapy respectively. In terms of induction of remission, the PBAC noted that the p</w:t>
      </w:r>
      <w:r w:rsidR="00513ACF" w:rsidRPr="008302DD">
        <w:t>ercentage of patients in clinicohistologic remission at 6 weeks</w:t>
      </w:r>
      <w:r w:rsidR="00513ACF">
        <w:t xml:space="preserve"> was </w:t>
      </w:r>
      <w:r w:rsidR="00513ACF" w:rsidRPr="008302DD">
        <w:t>57.6% (34/59</w:t>
      </w:r>
      <w:r w:rsidR="00513ACF">
        <w:t xml:space="preserve">) in </w:t>
      </w:r>
      <w:r w:rsidR="00513ACF" w:rsidRPr="008302DD">
        <w:t xml:space="preserve">the BOT </w:t>
      </w:r>
      <w:r w:rsidR="008F20A5">
        <w:t>arm</w:t>
      </w:r>
      <w:r w:rsidR="00513ACF" w:rsidRPr="008302DD">
        <w:t xml:space="preserve"> and 0.0% (0/29) in the placebo</w:t>
      </w:r>
      <w:r w:rsidR="008F20A5">
        <w:t xml:space="preserve"> arm of EOS-1</w:t>
      </w:r>
      <w:r w:rsidR="00513ACF" w:rsidRPr="008302DD" w:rsidDel="00682800">
        <w:t xml:space="preserve"> </w:t>
      </w:r>
      <w:r w:rsidR="00513ACF" w:rsidRPr="008302DD">
        <w:t>(difference=57.63%; 95% RCI: 38.22%, 71.97%</w:t>
      </w:r>
      <w:r w:rsidR="00513ACF">
        <w:t>, p&lt;0.0001</w:t>
      </w:r>
      <w:r w:rsidR="00513ACF" w:rsidRPr="008302DD">
        <w:t>).</w:t>
      </w:r>
      <w:r w:rsidR="00513ACF">
        <w:t xml:space="preserve"> </w:t>
      </w:r>
      <w:r w:rsidR="008F20A5">
        <w:t xml:space="preserve">Acknowledging the open-label </w:t>
      </w:r>
      <w:r w:rsidR="00B24239">
        <w:t xml:space="preserve">nature of treatment between 6 and 12 weeks for </w:t>
      </w:r>
      <w:r w:rsidR="008F20A5">
        <w:t>patients who had not adequately responded, the PBAC noted t</w:t>
      </w:r>
      <w:r w:rsidR="00B24239">
        <w:t xml:space="preserve">he </w:t>
      </w:r>
      <w:r w:rsidR="008F20A5">
        <w:t xml:space="preserve">percentage of patients in clinicohistologic remission </w:t>
      </w:r>
      <w:r w:rsidR="00B24239">
        <w:t xml:space="preserve">in the BOT arm </w:t>
      </w:r>
      <w:r w:rsidR="008F20A5">
        <w:t xml:space="preserve">increased to 84.7% (50/59)(see paragraph 6.14). </w:t>
      </w:r>
      <w:r w:rsidR="004A6D6A">
        <w:t>With respect to maintenance therapy the PBAC noted the percentage of patients maintaining clinicohistologic remission after 48 weeks in EOS-2 was 75</w:t>
      </w:r>
      <w:r>
        <w:t>.0</w:t>
      </w:r>
      <w:r w:rsidR="004A6D6A">
        <w:t xml:space="preserve">% (51/68) in the BOT 1 mg BID group and 4.4% (3/68) in the placebo group. The PBAC agreed with the ESC that the claim of superiority </w:t>
      </w:r>
      <w:r w:rsidR="00395306">
        <w:t xml:space="preserve">at both 6 weeks and 48 weeks </w:t>
      </w:r>
      <w:r w:rsidR="004A6D6A">
        <w:t xml:space="preserve">was well supported by the evidence. </w:t>
      </w:r>
    </w:p>
    <w:p w:rsidR="004A6D6A" w:rsidRPr="004570E5" w:rsidRDefault="004A6D6A" w:rsidP="00984019">
      <w:pPr>
        <w:pStyle w:val="3-BodyText"/>
        <w:rPr>
          <w:iCs/>
        </w:rPr>
      </w:pPr>
      <w:r>
        <w:t xml:space="preserve">The PBAC noted that in EOS-1 there were no adverse events leading to discontinuation but the frequency of treatment related adverse events </w:t>
      </w:r>
      <w:r w:rsidR="00793705">
        <w:t xml:space="preserve">(TEAE) </w:t>
      </w:r>
      <w:r>
        <w:t xml:space="preserve">was higher for BOT with the vast majority of mild or moderate severity. </w:t>
      </w:r>
      <w:r w:rsidR="004570E5">
        <w:t xml:space="preserve">In the EOS-2 trial the difference in frequency of study drug </w:t>
      </w:r>
      <w:r w:rsidR="00793705">
        <w:t xml:space="preserve">related TEAEs </w:t>
      </w:r>
      <w:r w:rsidR="004570E5">
        <w:t xml:space="preserve">between the BOT treatment group and the placebo group was statistically in favour of placebo. </w:t>
      </w:r>
      <w:r w:rsidR="00793705">
        <w:t xml:space="preserve">However, 60.3% (41/68) of patients in the placebo group experienced a TEAE leading to withdrawal from the study with ‘condition aggravated’ the major reason for discontinuation. </w:t>
      </w:r>
      <w:r w:rsidR="004570E5">
        <w:t xml:space="preserve">The PBAC considered the claim of inferior safety compared to placebo was reasonable. </w:t>
      </w:r>
    </w:p>
    <w:p w:rsidR="00793705" w:rsidRPr="00793705" w:rsidRDefault="004570E5" w:rsidP="00164BB2">
      <w:pPr>
        <w:pStyle w:val="3-BodyText"/>
        <w:rPr>
          <w:iCs/>
        </w:rPr>
      </w:pPr>
      <w:r>
        <w:t>While the clinical claims were considered reaso</w:t>
      </w:r>
      <w:r w:rsidR="00D25F3B">
        <w:t xml:space="preserve">nable, the PBAC agreed with </w:t>
      </w:r>
      <w:r>
        <w:t>ESC that a key issue was that the use of BOT in the maintenance setting (beyond the 12 weeks of induction phase) was not consistent with the current TGA approved PI</w:t>
      </w:r>
      <w:r w:rsidR="00DF778A">
        <w:t xml:space="preserve"> dose recommendation.</w:t>
      </w:r>
      <w:r>
        <w:t xml:space="preserve"> </w:t>
      </w:r>
      <w:r w:rsidR="00FF51ED">
        <w:t xml:space="preserve">The PBAC noted that TGA evaluation of the use of BOT in the maintenance setting is currently underway with the initial decision by the Delegate expected in January 2022. </w:t>
      </w:r>
      <w:r w:rsidR="00D9680E">
        <w:t xml:space="preserve">The Pre-Sub-Committee response (PSCR) argued that the </w:t>
      </w:r>
      <w:r w:rsidR="00D9680E" w:rsidRPr="002A1B1E">
        <w:rPr>
          <w:iCs/>
        </w:rPr>
        <w:t>chronicity and potential for disease progression provides a strong rationale for maintenance therapy of EoE.</w:t>
      </w:r>
      <w:r w:rsidR="00D9680E">
        <w:rPr>
          <w:iCs/>
        </w:rPr>
        <w:t xml:space="preserve"> The PBAC acknowledged the rationale for maintenance therapy of EoE but adv</w:t>
      </w:r>
      <w:r w:rsidR="00D616B7">
        <w:rPr>
          <w:iCs/>
        </w:rPr>
        <w:t xml:space="preserve">ised that TGA approval is </w:t>
      </w:r>
      <w:r w:rsidR="00D9680E">
        <w:rPr>
          <w:iCs/>
        </w:rPr>
        <w:t xml:space="preserve">required. </w:t>
      </w:r>
    </w:p>
    <w:p w:rsidR="004570E5" w:rsidRPr="00164BB2" w:rsidRDefault="00FF51ED" w:rsidP="00164BB2">
      <w:pPr>
        <w:pStyle w:val="3-BodyText"/>
        <w:rPr>
          <w:iCs/>
        </w:rPr>
      </w:pPr>
      <w:r>
        <w:t xml:space="preserve">The </w:t>
      </w:r>
      <w:r w:rsidR="00793705">
        <w:t xml:space="preserve">PBAC noted the </w:t>
      </w:r>
      <w:r>
        <w:t>TGA application under evaluation also</w:t>
      </w:r>
      <w:r w:rsidR="00793705">
        <w:t xml:space="preserve"> included</w:t>
      </w:r>
      <w:r>
        <w:t xml:space="preserve"> a BOT 0.5 </w:t>
      </w:r>
      <w:r w:rsidR="0001560F">
        <w:t xml:space="preserve">mg strength. The PBAC considered </w:t>
      </w:r>
      <w:r w:rsidR="00673ED4">
        <w:t>that a clinical claim of superior efficacy and inferior safety compared to placebo was reasonable for BOT 0.5 mg based on the EOS-2 t</w:t>
      </w:r>
      <w:r w:rsidR="00793705">
        <w:t xml:space="preserve">rial. The PBAC noted the </w:t>
      </w:r>
      <w:r w:rsidR="00D616B7">
        <w:t>PSCR</w:t>
      </w:r>
      <w:r w:rsidR="00673ED4">
        <w:t xml:space="preserve"> anticipated the recommended daily dose for maintenance of remission would be in line with the current</w:t>
      </w:r>
      <w:r w:rsidR="00793705">
        <w:t xml:space="preserve"> posology in the European label (see paragraph 2.3). The PBAC noted the European label included</w:t>
      </w:r>
      <w:r w:rsidR="00673ED4">
        <w:t xml:space="preserve"> </w:t>
      </w:r>
      <w:r w:rsidR="00164BB2">
        <w:t xml:space="preserve">the </w:t>
      </w:r>
      <w:r w:rsidR="00673ED4">
        <w:t>BOT 0.5</w:t>
      </w:r>
      <w:r w:rsidR="00164BB2">
        <w:t xml:space="preserve"> mg strength as the </w:t>
      </w:r>
      <w:r w:rsidR="00793705">
        <w:t>standard</w:t>
      </w:r>
      <w:r w:rsidR="00164BB2">
        <w:t xml:space="preserve"> regimen with the BOT 1 mg strength recommended for patients with a long-standing disease history and/or high extent of oesophageal inflammation in their acute disease state</w:t>
      </w:r>
      <w:r w:rsidR="00673ED4">
        <w:t xml:space="preserve">. </w:t>
      </w:r>
      <w:r w:rsidR="0072762B">
        <w:t xml:space="preserve">The PBAC considered that, if registered by the TGA, it would be appropriate for patients to have access to BOT 0.5 mg for maintenance therapy in addition to BOT 1 mg. </w:t>
      </w:r>
    </w:p>
    <w:p w:rsidR="00D9680E" w:rsidRPr="00491C25" w:rsidRDefault="00C82D28" w:rsidP="00F1185C">
      <w:pPr>
        <w:pStyle w:val="3-BodyText"/>
        <w:rPr>
          <w:iCs/>
        </w:rPr>
      </w:pPr>
      <w:r w:rsidRPr="002B74C4">
        <w:rPr>
          <w:lang w:val="en-US"/>
        </w:rPr>
        <w:t>The</w:t>
      </w:r>
      <w:r>
        <w:rPr>
          <w:lang w:val="en-US"/>
        </w:rPr>
        <w:t xml:space="preserve"> submission presented a cost-utility analysis </w:t>
      </w:r>
      <w:r w:rsidRPr="002B74C4">
        <w:rPr>
          <w:lang w:val="en-US"/>
        </w:rPr>
        <w:t xml:space="preserve">based on </w:t>
      </w:r>
      <w:r>
        <w:rPr>
          <w:lang w:val="en-US"/>
        </w:rPr>
        <w:t>the EOS-1 and EOS-2 trials,</w:t>
      </w:r>
      <w:r w:rsidRPr="002B74C4">
        <w:rPr>
          <w:lang w:val="en-US"/>
        </w:rPr>
        <w:t xml:space="preserve"> comparing BOT </w:t>
      </w:r>
      <w:r>
        <w:rPr>
          <w:lang w:val="en-US"/>
        </w:rPr>
        <w:t>1 mg BID (induction and maintenance therapy) with SOC</w:t>
      </w:r>
      <w:r w:rsidRPr="002B74C4">
        <w:rPr>
          <w:lang w:val="en-US"/>
        </w:rPr>
        <w:t>.</w:t>
      </w:r>
      <w:r>
        <w:rPr>
          <w:lang w:val="en-US"/>
        </w:rPr>
        <w:t xml:space="preserve"> </w:t>
      </w:r>
      <w:r w:rsidR="005D7EEA">
        <w:rPr>
          <w:lang w:val="en-US"/>
        </w:rPr>
        <w:t>An</w:t>
      </w:r>
      <w:r w:rsidRPr="001D56A2">
        <w:rPr>
          <w:lang w:val="en-US"/>
        </w:rPr>
        <w:t xml:space="preserve"> additional BOT treatment algorithm </w:t>
      </w:r>
      <w:r w:rsidR="0072762B">
        <w:rPr>
          <w:lang w:val="en-US"/>
        </w:rPr>
        <w:t xml:space="preserve">was included </w:t>
      </w:r>
      <w:r w:rsidRPr="001D56A2">
        <w:rPr>
          <w:lang w:val="en-US"/>
        </w:rPr>
        <w:t>in the model to assess the cost-effectiveness of induction therapy</w:t>
      </w:r>
      <w:r w:rsidR="001A5A2E">
        <w:rPr>
          <w:lang w:val="en-US"/>
        </w:rPr>
        <w:t>. The PBAC noted the BOT treatment algorithm was modelled on a single induction cycle followed by SOC maintenance</w:t>
      </w:r>
      <w:r w:rsidR="00F1185C">
        <w:rPr>
          <w:lang w:val="en-US"/>
        </w:rPr>
        <w:t xml:space="preserve"> over a 5-year time horizon. </w:t>
      </w:r>
      <w:r w:rsidR="00F6645E">
        <w:rPr>
          <w:lang w:val="en-US"/>
        </w:rPr>
        <w:t xml:space="preserve">The PBAC noted the high rate of relapse reported in the placebo arm of the 48 week EOS-2 trial (see paragraph 7.4) and </w:t>
      </w:r>
      <w:r w:rsidR="00F1185C">
        <w:rPr>
          <w:lang w:val="en-US"/>
        </w:rPr>
        <w:t>considered the BOT treatment algorithm did not align with the proposed restriction, which allowed the use of BOT in a retreatment setting. In addition, the PBAC considered the BOT treatment algorithm inappropriately excluded the cost of end</w:t>
      </w:r>
      <w:r w:rsidR="00491C25">
        <w:rPr>
          <w:lang w:val="en-US"/>
        </w:rPr>
        <w:t>oscopy for treatment evaluation</w:t>
      </w:r>
      <w:r w:rsidR="00F1185C">
        <w:rPr>
          <w:lang w:val="en-US"/>
        </w:rPr>
        <w:t xml:space="preserve">. </w:t>
      </w:r>
      <w:r w:rsidRPr="00F1185C">
        <w:rPr>
          <w:bCs/>
          <w:iCs/>
        </w:rPr>
        <w:t xml:space="preserve">The PBAC noted the model and its inputs was designed to consider BOT as induction and maintenance therapy, and </w:t>
      </w:r>
      <w:r w:rsidR="00491C25">
        <w:rPr>
          <w:bCs/>
          <w:iCs/>
        </w:rPr>
        <w:t>agreed with the ESC that it was</w:t>
      </w:r>
      <w:r w:rsidR="001057E9">
        <w:rPr>
          <w:bCs/>
          <w:iCs/>
        </w:rPr>
        <w:t xml:space="preserve"> not well suited to considering</w:t>
      </w:r>
      <w:r w:rsidRPr="00F1185C">
        <w:rPr>
          <w:bCs/>
          <w:iCs/>
        </w:rPr>
        <w:t xml:space="preserve"> BOT as induction therapy only. </w:t>
      </w:r>
      <w:r w:rsidR="001057E9">
        <w:rPr>
          <w:bCs/>
          <w:iCs/>
        </w:rPr>
        <w:t xml:space="preserve">As such, the PBAC considered the cost-effectiveness of BOT induction therapy </w:t>
      </w:r>
      <w:r w:rsidR="00D356D7">
        <w:rPr>
          <w:bCs/>
          <w:iCs/>
        </w:rPr>
        <w:t xml:space="preserve">alone </w:t>
      </w:r>
      <w:r w:rsidR="001057E9">
        <w:rPr>
          <w:bCs/>
          <w:iCs/>
        </w:rPr>
        <w:t xml:space="preserve">was uncertain. </w:t>
      </w:r>
    </w:p>
    <w:p w:rsidR="00757299" w:rsidRPr="00757299" w:rsidRDefault="001057E9" w:rsidP="007D135E">
      <w:pPr>
        <w:pStyle w:val="3-BodyText"/>
      </w:pPr>
      <w:r>
        <w:t>The PBAC noted that w</w:t>
      </w:r>
      <w:r w:rsidRPr="001057E9">
        <w:t xml:space="preserve">hen considering BOT for induction and maintenance therapy, the </w:t>
      </w:r>
      <w:r w:rsidR="00B3515C">
        <w:t>I</w:t>
      </w:r>
      <w:r w:rsidRPr="001057E9">
        <w:t>CER was highly sensitive to the choice of utility values</w:t>
      </w:r>
      <w:r w:rsidR="00D11B74">
        <w:t xml:space="preserve">. </w:t>
      </w:r>
      <w:r w:rsidR="00D11B74" w:rsidRPr="001057E9">
        <w:t xml:space="preserve">The utility estimates applied in the base case were derived from an Australian EoE patient survey, which </w:t>
      </w:r>
      <w:r w:rsidR="00D11B74">
        <w:t>t</w:t>
      </w:r>
      <w:r w:rsidR="00D356D7">
        <w:t xml:space="preserve">he PBAC considered would </w:t>
      </w:r>
      <w:r w:rsidR="00D11B74" w:rsidRPr="001057E9">
        <w:t xml:space="preserve">be subject to a high risk of </w:t>
      </w:r>
      <w:r w:rsidR="00D11B74">
        <w:t>confounding from recall bias given that patients used a hypothetical recalled health state instead of their own current health state</w:t>
      </w:r>
      <w:r w:rsidR="00D11B74" w:rsidRPr="001057E9">
        <w:t>.</w:t>
      </w:r>
      <w:r w:rsidR="00D11B74">
        <w:t xml:space="preserve"> Acknowledging the limitations of Goodwin 2020</w:t>
      </w:r>
      <w:r w:rsidRPr="001057E9">
        <w:t>,</w:t>
      </w:r>
      <w:r w:rsidR="00D11B74">
        <w:t xml:space="preserve"> the PB</w:t>
      </w:r>
      <w:r w:rsidR="00757299">
        <w:t xml:space="preserve">AC considered </w:t>
      </w:r>
      <w:r w:rsidR="00D356D7">
        <w:t>it</w:t>
      </w:r>
      <w:r w:rsidR="00757299">
        <w:t xml:space="preserve"> </w:t>
      </w:r>
      <w:r w:rsidR="00982E2A">
        <w:t xml:space="preserve">provided </w:t>
      </w:r>
      <w:r w:rsidR="00757299">
        <w:t>appropriate utility value</w:t>
      </w:r>
      <w:r w:rsidR="00982E2A">
        <w:t>s for the</w:t>
      </w:r>
      <w:r w:rsidR="00757299">
        <w:t xml:space="preserve"> model inputs and noted this increased the base case</w:t>
      </w:r>
      <w:r w:rsidR="002A2C91">
        <w:t xml:space="preserve"> ICER </w:t>
      </w:r>
      <w:r w:rsidRPr="001057E9">
        <w:t>fro</w:t>
      </w:r>
      <w:r w:rsidR="00757299">
        <w:t xml:space="preserve">m </w:t>
      </w:r>
      <w:r w:rsidR="007D135E" w:rsidRPr="007D135E">
        <w:t>$25,000 to &lt; $35,000</w:t>
      </w:r>
      <w:r w:rsidR="00757299">
        <w:t xml:space="preserve">/QALY </w:t>
      </w:r>
      <w:r w:rsidRPr="001057E9">
        <w:t xml:space="preserve">to </w:t>
      </w:r>
      <w:r w:rsidR="007D135E" w:rsidRPr="007D135E">
        <w:t xml:space="preserve">$55,000 to &lt; $75,000 </w:t>
      </w:r>
      <w:r w:rsidRPr="001057E9">
        <w:t>/QALY</w:t>
      </w:r>
      <w:r w:rsidR="002A2C91">
        <w:t xml:space="preserve">. </w:t>
      </w:r>
      <w:r w:rsidR="00757299" w:rsidRPr="00757299">
        <w:t xml:space="preserve">The PBAC advised that </w:t>
      </w:r>
      <w:r w:rsidR="00757299">
        <w:t>with the</w:t>
      </w:r>
      <w:r w:rsidR="00757299" w:rsidRPr="00757299">
        <w:t xml:space="preserve"> respecified </w:t>
      </w:r>
      <w:r w:rsidR="00757299">
        <w:t xml:space="preserve">utility value </w:t>
      </w:r>
      <w:r w:rsidR="00757299" w:rsidRPr="00757299">
        <w:t>model inputs, a price reduction</w:t>
      </w:r>
      <w:r w:rsidR="0021625D">
        <w:t xml:space="preserve"> would be required to achieve a</w:t>
      </w:r>
      <w:r w:rsidR="00757299">
        <w:t xml:space="preserve"> cost-e</w:t>
      </w:r>
      <w:r w:rsidR="0021625D">
        <w:t>ffective ICER</w:t>
      </w:r>
      <w:r w:rsidR="00757299" w:rsidRPr="00757299">
        <w:t>.</w:t>
      </w:r>
      <w:r w:rsidR="0021625D">
        <w:t xml:space="preserve"> The PBAC considered a cost-effective ICER in this instance would be </w:t>
      </w:r>
      <w:r w:rsidR="007D479E">
        <w:t>approximately</w:t>
      </w:r>
      <w:r w:rsidR="0021625D">
        <w:t xml:space="preserve"> </w:t>
      </w:r>
      <w:r w:rsidR="00DB259F">
        <w:t xml:space="preserve">$30,000/QALY to </w:t>
      </w:r>
      <w:r w:rsidR="0021625D">
        <w:t>$50,000/QALY.</w:t>
      </w:r>
      <w:r w:rsidR="00757299" w:rsidRPr="00757299">
        <w:t xml:space="preserve"> </w:t>
      </w:r>
    </w:p>
    <w:p w:rsidR="00205D7E" w:rsidRPr="00DF778A" w:rsidRDefault="00173805" w:rsidP="00DF778A">
      <w:pPr>
        <w:pStyle w:val="3-BodyText"/>
        <w:rPr>
          <w:bCs/>
          <w:iCs/>
        </w:rPr>
      </w:pPr>
      <w:r w:rsidRPr="00DF778A">
        <w:rPr>
          <w:bCs/>
          <w:iCs/>
        </w:rPr>
        <w:t>The PBAC noted the approach taken to estimate the expected use and associated financial implications of BOT included both induction and maintenance therapy. DUSC considered the financial estimates to be underestimated</w:t>
      </w:r>
      <w:r w:rsidR="0083376C" w:rsidRPr="00DF778A">
        <w:rPr>
          <w:bCs/>
          <w:iCs/>
        </w:rPr>
        <w:t xml:space="preserve"> with the prevalence of EoE and the uptake rate </w:t>
      </w:r>
      <w:r w:rsidRPr="00DF778A">
        <w:rPr>
          <w:bCs/>
          <w:iCs/>
        </w:rPr>
        <w:t>key area</w:t>
      </w:r>
      <w:r w:rsidR="0083376C" w:rsidRPr="00DF778A">
        <w:rPr>
          <w:bCs/>
          <w:iCs/>
        </w:rPr>
        <w:t>s</w:t>
      </w:r>
      <w:r w:rsidRPr="00DF778A">
        <w:rPr>
          <w:bCs/>
          <w:iCs/>
        </w:rPr>
        <w:t xml:space="preserve"> of uncertainty. </w:t>
      </w:r>
      <w:r w:rsidR="0083376C" w:rsidRPr="00DF778A">
        <w:rPr>
          <w:bCs/>
          <w:iCs/>
        </w:rPr>
        <w:t xml:space="preserve">The PBAC noted DUSC’s advice that the </w:t>
      </w:r>
      <w:r w:rsidR="00205D7E" w:rsidRPr="00DF778A">
        <w:rPr>
          <w:bCs/>
          <w:iCs/>
        </w:rPr>
        <w:t>prevalence of EoE had</w:t>
      </w:r>
      <w:r w:rsidR="0083376C" w:rsidRPr="00DF778A">
        <w:rPr>
          <w:bCs/>
          <w:iCs/>
        </w:rPr>
        <w:t xml:space="preserve"> increased due to the change in diagnostic criteria and increased awareness of the condition over time. In addition, t</w:t>
      </w:r>
      <w:r w:rsidRPr="00DF778A">
        <w:rPr>
          <w:bCs/>
          <w:iCs/>
        </w:rPr>
        <w:t xml:space="preserve">he PBAC agreed with DUSC that the uptake rate was likely underestimated as it is the first TGA registered treatment for EoE. </w:t>
      </w:r>
      <w:r w:rsidR="00F9363A" w:rsidRPr="00DF778A">
        <w:rPr>
          <w:bCs/>
          <w:iCs/>
        </w:rPr>
        <w:t>The PBAC noted that the sensitivity analyses undertaken indicate</w:t>
      </w:r>
      <w:r w:rsidR="00D356D7" w:rsidRPr="00DF778A">
        <w:rPr>
          <w:bCs/>
          <w:iCs/>
        </w:rPr>
        <w:t>d</w:t>
      </w:r>
      <w:r w:rsidR="00F9363A" w:rsidRPr="00DF778A">
        <w:rPr>
          <w:bCs/>
          <w:iCs/>
        </w:rPr>
        <w:t xml:space="preserve"> the estimates were most sensitive to changes in the assumed uptake rate. </w:t>
      </w:r>
      <w:r w:rsidR="00616B05">
        <w:rPr>
          <w:bCs/>
          <w:iCs/>
        </w:rPr>
        <w:t xml:space="preserve">The PBAC agreed with DUSC the financial estimates were likely underestimated. The PBAC noted than any underestimation of the number of treated patients would be conservative in the context of a risk sharing arrangement with a </w:t>
      </w:r>
      <w:r w:rsidR="00D02986">
        <w:rPr>
          <w:bCs/>
          <w:iCs/>
          <w:noProof/>
          <w:color w:val="000000"/>
          <w:highlight w:val="black"/>
        </w:rPr>
        <w:t>''''''''</w:t>
      </w:r>
      <w:r w:rsidR="00616B05">
        <w:rPr>
          <w:bCs/>
          <w:iCs/>
        </w:rPr>
        <w:t>% rebate above the caps.</w:t>
      </w:r>
    </w:p>
    <w:p w:rsidR="0042448E" w:rsidRPr="00DF778A" w:rsidRDefault="0042448E" w:rsidP="00DF778A">
      <w:pPr>
        <w:pStyle w:val="3-BodyText"/>
        <w:rPr>
          <w:bCs/>
          <w:iCs/>
        </w:rPr>
      </w:pPr>
      <w:r w:rsidRPr="00DF778A">
        <w:rPr>
          <w:bCs/>
          <w:iCs/>
        </w:rPr>
        <w:t xml:space="preserve">The PBAC considered the outstanding issues may be addressed in a simple resubmission for BOT if the following changes were made, without any additional amendments to the economic evaluation or financial implications: </w:t>
      </w:r>
    </w:p>
    <w:p w:rsidR="00B3515C" w:rsidRDefault="00B3515C" w:rsidP="0042448E">
      <w:pPr>
        <w:widowControl w:val="0"/>
        <w:numPr>
          <w:ilvl w:val="0"/>
          <w:numId w:val="36"/>
        </w:numPr>
        <w:spacing w:after="160"/>
        <w:ind w:left="1134" w:hanging="425"/>
        <w:rPr>
          <w:snapToGrid w:val="0"/>
          <w:szCs w:val="22"/>
          <w:lang w:eastAsia="en-US"/>
        </w:rPr>
      </w:pPr>
      <w:r>
        <w:rPr>
          <w:snapToGrid w:val="0"/>
          <w:szCs w:val="22"/>
          <w:lang w:eastAsia="en-US"/>
        </w:rPr>
        <w:t>TGA approval of BOT for maintenance therapy of EoE;</w:t>
      </w:r>
    </w:p>
    <w:p w:rsidR="00205D7E" w:rsidRDefault="00B3515C" w:rsidP="00205D7E">
      <w:pPr>
        <w:widowControl w:val="0"/>
        <w:numPr>
          <w:ilvl w:val="0"/>
          <w:numId w:val="36"/>
        </w:numPr>
        <w:spacing w:after="160"/>
        <w:ind w:left="1134" w:hanging="425"/>
        <w:rPr>
          <w:snapToGrid w:val="0"/>
          <w:szCs w:val="22"/>
          <w:lang w:eastAsia="en-US"/>
        </w:rPr>
      </w:pPr>
      <w:r>
        <w:rPr>
          <w:snapToGrid w:val="0"/>
          <w:szCs w:val="22"/>
          <w:lang w:eastAsia="en-US"/>
        </w:rPr>
        <w:t>Inclusion of BOT 0.5 mg for maintenance therapy of EoE in the resubmission;</w:t>
      </w:r>
    </w:p>
    <w:p w:rsidR="00205D7E" w:rsidRPr="00205D7E" w:rsidRDefault="00205D7E" w:rsidP="00205D7E">
      <w:pPr>
        <w:widowControl w:val="0"/>
        <w:numPr>
          <w:ilvl w:val="0"/>
          <w:numId w:val="36"/>
        </w:numPr>
        <w:spacing w:after="160"/>
        <w:ind w:left="1134" w:hanging="425"/>
        <w:rPr>
          <w:snapToGrid w:val="0"/>
          <w:szCs w:val="22"/>
          <w:lang w:eastAsia="en-US"/>
        </w:rPr>
      </w:pPr>
      <w:r>
        <w:t xml:space="preserve">A price reduction to achieve an ICER of </w:t>
      </w:r>
      <w:r w:rsidR="007D479E">
        <w:t>approximately</w:t>
      </w:r>
      <w:r>
        <w:t xml:space="preserve"> </w:t>
      </w:r>
      <w:r w:rsidR="00DB259F">
        <w:t xml:space="preserve">$30,000/QALY to </w:t>
      </w:r>
      <w:r>
        <w:t>$50,000/QALY based on the scenario outlined in paragraph 7.9;</w:t>
      </w:r>
    </w:p>
    <w:p w:rsidR="00205D7E" w:rsidRDefault="00205D7E" w:rsidP="00205D7E">
      <w:pPr>
        <w:widowControl w:val="0"/>
        <w:numPr>
          <w:ilvl w:val="0"/>
          <w:numId w:val="36"/>
        </w:numPr>
        <w:spacing w:after="160"/>
        <w:ind w:left="1134" w:hanging="425"/>
        <w:rPr>
          <w:snapToGrid w:val="0"/>
          <w:szCs w:val="22"/>
          <w:lang w:eastAsia="en-US"/>
        </w:rPr>
      </w:pPr>
      <w:r>
        <w:t>Recalculation of the financial implications using the revised BOT price;</w:t>
      </w:r>
    </w:p>
    <w:p w:rsidR="0042448E" w:rsidRPr="0042448E" w:rsidRDefault="00205D7E" w:rsidP="00205D7E">
      <w:pPr>
        <w:widowControl w:val="0"/>
        <w:numPr>
          <w:ilvl w:val="0"/>
          <w:numId w:val="36"/>
        </w:numPr>
        <w:spacing w:after="160"/>
        <w:ind w:left="1134" w:hanging="425"/>
        <w:rPr>
          <w:snapToGrid w:val="0"/>
          <w:szCs w:val="22"/>
          <w:lang w:eastAsia="en-US"/>
        </w:rPr>
      </w:pPr>
      <w:r>
        <w:t>A risk sharing a</w:t>
      </w:r>
      <w:r w:rsidRPr="00505FAF">
        <w:rPr>
          <w:rFonts w:asciiTheme="minorHAnsi" w:hAnsiTheme="minorHAnsi"/>
          <w:snapToGrid w:val="0"/>
        </w:rPr>
        <w:t xml:space="preserve">rrangement </w:t>
      </w:r>
      <w:r>
        <w:t xml:space="preserve">based on submission predicated use </w:t>
      </w:r>
      <w:r w:rsidRPr="00505FAF">
        <w:rPr>
          <w:rFonts w:asciiTheme="minorHAnsi" w:hAnsiTheme="minorHAnsi"/>
          <w:snapToGrid w:val="0"/>
        </w:rPr>
        <w:t>to r</w:t>
      </w:r>
      <w:r>
        <w:t xml:space="preserve">educe any residual uncertainty regarding the number of patients treated. </w:t>
      </w:r>
    </w:p>
    <w:p w:rsidR="000C5BE8" w:rsidRPr="00B3515C" w:rsidRDefault="0042448E" w:rsidP="00B3515C">
      <w:pPr>
        <w:pStyle w:val="3-BodyText"/>
        <w:rPr>
          <w:bCs/>
          <w:iCs/>
        </w:rPr>
      </w:pPr>
      <w:r w:rsidRPr="0042448E">
        <w:rPr>
          <w:rFonts w:ascii="Calibri" w:hAnsi="Calibri"/>
          <w:szCs w:val="22"/>
          <w:lang w:eastAsia="en-US"/>
        </w:rPr>
        <w:t xml:space="preserve">The PBAC considered an early re-entry pathway would be acceptable if the resubmission </w:t>
      </w:r>
      <w:r w:rsidRPr="00B3515C">
        <w:rPr>
          <w:rFonts w:ascii="Calibri" w:hAnsi="Calibri"/>
          <w:szCs w:val="22"/>
          <w:lang w:eastAsia="en-US"/>
        </w:rPr>
        <w:t>addressed each of the points in the above paragraph with no further adjustment. The resubmission must be lodged by week 7 of the current PBAC cycle or the next cycle. If any of these terms are not acceptable to the sponsor, a standard re-entry pathway is available.</w:t>
      </w:r>
    </w:p>
    <w:p w:rsidR="006D5CCD" w:rsidRPr="00D25F3B" w:rsidRDefault="000C5BE8" w:rsidP="00D25F3B">
      <w:pPr>
        <w:pStyle w:val="3-BodyText"/>
        <w:rPr>
          <w:bCs/>
          <w:iCs/>
        </w:rPr>
      </w:pPr>
      <w:r w:rsidRPr="001057E9">
        <w:rPr>
          <w:bCs/>
          <w:iCs/>
        </w:rPr>
        <w:t xml:space="preserve">The PBAC noted that this submission is eligible for an Independent Review. </w:t>
      </w:r>
    </w:p>
    <w:p w:rsidR="000C5BE8" w:rsidRPr="000C5BE8" w:rsidRDefault="000C5BE8" w:rsidP="006D5CCD">
      <w:pPr>
        <w:widowControl w:val="0"/>
        <w:spacing w:after="120"/>
        <w:rPr>
          <w:rFonts w:asciiTheme="minorHAnsi" w:hAnsiTheme="minorHAnsi"/>
          <w:b/>
          <w:bCs/>
          <w:snapToGrid w:val="0"/>
          <w:lang w:val="en-GB"/>
        </w:rPr>
      </w:pPr>
      <w:r w:rsidRPr="000C5BE8">
        <w:rPr>
          <w:rFonts w:asciiTheme="minorHAnsi" w:hAnsiTheme="minorHAnsi"/>
          <w:b/>
          <w:bCs/>
          <w:snapToGrid w:val="0"/>
          <w:lang w:val="en-GB"/>
        </w:rPr>
        <w:t>Outcome:</w:t>
      </w:r>
    </w:p>
    <w:p w:rsidR="000C5BE8" w:rsidRPr="000C5BE8" w:rsidRDefault="000C5BE8" w:rsidP="000C5BE8">
      <w:pPr>
        <w:rPr>
          <w:rFonts w:asciiTheme="minorHAnsi" w:hAnsiTheme="minorHAnsi"/>
          <w:bCs/>
          <w:snapToGrid w:val="0"/>
          <w:lang w:val="en-GB"/>
        </w:rPr>
      </w:pPr>
      <w:r w:rsidRPr="000C5BE8">
        <w:rPr>
          <w:rFonts w:asciiTheme="minorHAnsi" w:hAnsiTheme="minorHAnsi"/>
          <w:bCs/>
          <w:snapToGrid w:val="0"/>
          <w:lang w:val="en-GB"/>
        </w:rPr>
        <w:t xml:space="preserve">Rejected </w:t>
      </w:r>
    </w:p>
    <w:p w:rsidR="000C5BE8" w:rsidRPr="000C5BE8" w:rsidRDefault="000C5BE8" w:rsidP="000C5BE8">
      <w:pPr>
        <w:widowControl w:val="0"/>
        <w:rPr>
          <w:rFonts w:asciiTheme="minorHAnsi" w:hAnsiTheme="minorHAnsi"/>
          <w:b/>
          <w:bCs/>
          <w:snapToGrid w:val="0"/>
        </w:rPr>
      </w:pPr>
    </w:p>
    <w:p w:rsidR="005B70A5" w:rsidRPr="005B70A5" w:rsidRDefault="005B70A5" w:rsidP="005B70A5">
      <w:pPr>
        <w:pStyle w:val="2-SectionHeading"/>
      </w:pPr>
      <w:r w:rsidRPr="00C07617">
        <w:t>Context for Decision</w:t>
      </w:r>
    </w:p>
    <w:p w:rsidR="005B70A5" w:rsidRPr="007129F2" w:rsidRDefault="005B70A5" w:rsidP="005B70A5">
      <w:pPr>
        <w:spacing w:after="120"/>
        <w:ind w:left="426"/>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5B70A5" w:rsidRPr="005B70A5" w:rsidRDefault="005B70A5" w:rsidP="005B70A5">
      <w:pPr>
        <w:pStyle w:val="2-SectionHeading"/>
      </w:pPr>
      <w:r>
        <w:t>Sponsor’s Comment</w:t>
      </w:r>
    </w:p>
    <w:p w:rsidR="000C5BE8" w:rsidRPr="000C5BE8" w:rsidRDefault="00717D12" w:rsidP="00D02986">
      <w:pPr>
        <w:ind w:left="426"/>
        <w:rPr>
          <w:rFonts w:ascii="Arial" w:hAnsi="Arial" w:cs="Times New Roman"/>
          <w:sz w:val="22"/>
          <w:szCs w:val="22"/>
          <w:lang w:val="en-GB"/>
        </w:rPr>
      </w:pPr>
      <w:r w:rsidRPr="00717D12">
        <w:rPr>
          <w:bCs/>
          <w:lang w:val="en-GB"/>
        </w:rPr>
        <w:t>The Sponsor is disappointed that Jorveza® did not receive a positive recommendation at this time but will work to clarify the issues raised with the intention to re-submit a revised application later in 2021.  During the submission review, input from individuals, patient advocacy groups, health care professionals and medical &amp; scientific organisations highlighted the high clinical need for disease-specific treatment options for a patient cohort with a chronic progressive inflammatory disease which has a profound impact on their quality of life.</w:t>
      </w:r>
    </w:p>
    <w:p w:rsidR="008D0A87" w:rsidRDefault="008D0A87">
      <w:pPr>
        <w:jc w:val="left"/>
        <w:rPr>
          <w:rFonts w:asciiTheme="minorHAnsi" w:hAnsiTheme="minorHAnsi"/>
          <w:i/>
          <w:snapToGrid w:val="0"/>
          <w:highlight w:val="yellow"/>
        </w:rPr>
      </w:pPr>
    </w:p>
    <w:sectPr w:rsidR="008D0A87" w:rsidSect="00D34648">
      <w:headerReference w:type="even" r:id="rId9"/>
      <w:headerReference w:type="default" r:id="rId10"/>
      <w:footerReference w:type="even" r:id="rId11"/>
      <w:footerReference w:type="default" r:id="rId12"/>
      <w:headerReference w:type="first" r:id="rId13"/>
      <w:footerReference w:type="first" r:id="rId14"/>
      <w:footnotePr>
        <w:numFmt w:val="lowerLetter"/>
      </w:footnotePr>
      <w:type w:val="continuous"/>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B1BC" w16cex:dateUtc="2021-04-15T04:36:00Z"/>
  <w16cex:commentExtensible w16cex:durableId="2422F32C" w16cex:dateUtc="2021-04-15T07:15:00Z"/>
  <w16cex:commentExtensible w16cex:durableId="2422B290" w16cex:dateUtc="2021-04-15T04:39:00Z"/>
  <w16cex:commentExtensible w16cex:durableId="2422F3F0" w16cex:dateUtc="2021-04-15T07:18:00Z"/>
  <w16cex:commentExtensible w16cex:durableId="2422F42B" w16cex:dateUtc="2021-04-15T07:19:00Z"/>
  <w16cex:commentExtensible w16cex:durableId="2422F456" w16cex:dateUtc="2021-04-15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817263" w16cid:durableId="2422B1BC"/>
  <w16cid:commentId w16cid:paraId="085E5CB0" w16cid:durableId="2422F32C"/>
  <w16cid:commentId w16cid:paraId="1AAEB779" w16cid:durableId="2422B290"/>
  <w16cid:commentId w16cid:paraId="16B2FE82" w16cid:durableId="2422F3F0"/>
  <w16cid:commentId w16cid:paraId="03643674" w16cid:durableId="2422F42B"/>
  <w16cid:commentId w16cid:paraId="611D368C" w16cid:durableId="2422F4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728" w:rsidRDefault="00753728" w:rsidP="00124A51">
      <w:r>
        <w:separator/>
      </w:r>
    </w:p>
    <w:p w:rsidR="00753728" w:rsidRDefault="00753728"/>
  </w:endnote>
  <w:endnote w:type="continuationSeparator" w:id="0">
    <w:p w:rsidR="00753728" w:rsidRDefault="00753728" w:rsidP="00124A51">
      <w:r>
        <w:continuationSeparator/>
      </w:r>
    </w:p>
    <w:p w:rsidR="00753728" w:rsidRDefault="00753728"/>
  </w:endnote>
  <w:endnote w:type="continuationNotice" w:id="1">
    <w:p w:rsidR="00753728" w:rsidRDefault="00753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ordia New">
    <w:altName w:val="Microsoft Sans Serif"/>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Wawati TC">
    <w:altName w:val="Wawati TC"/>
    <w:panose1 w:val="00000000000000000000"/>
    <w:charset w:val="88"/>
    <w:family w:val="decorative"/>
    <w:notTrueType/>
    <w:pitch w:val="variable"/>
    <w:sig w:usb0="A00000FF" w:usb1="5889787B" w:usb2="00000016" w:usb3="00000000" w:csb0="00100003" w:csb1="00000000"/>
  </w:font>
  <w:font w:name="TimesNewRoman">
    <w:altName w:val="Yu Gothic UI"/>
    <w:panose1 w:val="00000000000000000000"/>
    <w:charset w:val="80"/>
    <w:family w:val="auto"/>
    <w:notTrueType/>
    <w:pitch w:val="default"/>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28" w:rsidRDefault="00753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833975"/>
      <w:docPartObj>
        <w:docPartGallery w:val="Page Numbers (Bottom of Page)"/>
        <w:docPartUnique/>
      </w:docPartObj>
    </w:sdtPr>
    <w:sdtEndPr>
      <w:rPr>
        <w:b/>
        <w:noProof/>
      </w:rPr>
    </w:sdtEndPr>
    <w:sdtContent>
      <w:p w:rsidR="00753728" w:rsidRDefault="00753728">
        <w:pPr>
          <w:pStyle w:val="Footer"/>
          <w:jc w:val="center"/>
        </w:pPr>
      </w:p>
      <w:p w:rsidR="00753728" w:rsidRPr="00911428" w:rsidRDefault="00753728" w:rsidP="00911428">
        <w:pPr>
          <w:pStyle w:val="Footer"/>
          <w:jc w:val="center"/>
          <w:rPr>
            <w:b/>
          </w:rPr>
        </w:pPr>
        <w:r w:rsidRPr="00911428">
          <w:rPr>
            <w:b/>
          </w:rPr>
          <w:fldChar w:fldCharType="begin"/>
        </w:r>
        <w:r w:rsidRPr="00911428">
          <w:rPr>
            <w:b/>
          </w:rPr>
          <w:instrText xml:space="preserve"> PAGE   \* MERGEFORMAT </w:instrText>
        </w:r>
        <w:r w:rsidRPr="00911428">
          <w:rPr>
            <w:b/>
          </w:rPr>
          <w:fldChar w:fldCharType="separate"/>
        </w:r>
        <w:r w:rsidR="00FD4B99">
          <w:rPr>
            <w:b/>
            <w:noProof/>
          </w:rPr>
          <w:t>42</w:t>
        </w:r>
        <w:r w:rsidRPr="00911428">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28" w:rsidRDefault="00753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728" w:rsidRDefault="00753728" w:rsidP="00124A51">
      <w:r>
        <w:separator/>
      </w:r>
    </w:p>
    <w:p w:rsidR="00753728" w:rsidRDefault="00753728"/>
  </w:footnote>
  <w:footnote w:type="continuationSeparator" w:id="0">
    <w:p w:rsidR="00753728" w:rsidRDefault="00753728" w:rsidP="00124A51">
      <w:r>
        <w:continuationSeparator/>
      </w:r>
    </w:p>
    <w:p w:rsidR="00753728" w:rsidRDefault="00753728"/>
  </w:footnote>
  <w:footnote w:type="continuationNotice" w:id="1">
    <w:p w:rsidR="00753728" w:rsidRDefault="00753728"/>
  </w:footnote>
  <w:footnote w:id="2">
    <w:p w:rsidR="00753728" w:rsidRDefault="00753728">
      <w:pPr>
        <w:pStyle w:val="FootnoteText"/>
      </w:pPr>
      <w:r>
        <w:rPr>
          <w:rStyle w:val="FootnoteReference"/>
        </w:rPr>
        <w:footnoteRef/>
      </w:r>
      <w:r>
        <w:t xml:space="preserve"> E</w:t>
      </w:r>
      <w:r w:rsidRPr="008C2BE1">
        <w:t xml:space="preserve">osinophil count </w:t>
      </w:r>
      <w:r>
        <w:t xml:space="preserve">of </w:t>
      </w:r>
      <w:r w:rsidRPr="005B2A95">
        <w:t>15 eos/hpf is consistent with AGREE criteria</w:t>
      </w:r>
      <w:r>
        <w:t xml:space="preserve"> 2018</w:t>
      </w:r>
      <w:r w:rsidRPr="005B2A95">
        <w:t xml:space="preserve"> for diagnosis of EoE</w:t>
      </w:r>
      <w:r>
        <w:t>.</w:t>
      </w:r>
    </w:p>
  </w:footnote>
  <w:footnote w:id="3">
    <w:p w:rsidR="00753728" w:rsidRDefault="00753728">
      <w:pPr>
        <w:pStyle w:val="FootnoteText"/>
      </w:pPr>
      <w:r>
        <w:rPr>
          <w:rStyle w:val="FootnoteReference"/>
        </w:rPr>
        <w:footnoteRef/>
      </w:r>
      <w:r>
        <w:t xml:space="preserve"> E</w:t>
      </w:r>
      <w:r w:rsidRPr="008C2BE1">
        <w:t xml:space="preserve">osinophil count </w:t>
      </w:r>
      <w:r>
        <w:t xml:space="preserve">of </w:t>
      </w:r>
      <w:r w:rsidRPr="005B2A95">
        <w:t>20 eos/hpf is consistent with EOS</w:t>
      </w:r>
      <w:r>
        <w:t>-1 and EOS-2</w:t>
      </w:r>
      <w:r w:rsidRPr="005B2A95">
        <w:t xml:space="preserve"> trial</w:t>
      </w:r>
      <w:r>
        <w:t>s.</w:t>
      </w:r>
    </w:p>
  </w:footnote>
  <w:footnote w:id="4">
    <w:p w:rsidR="00753728" w:rsidRDefault="00753728">
      <w:pPr>
        <w:pStyle w:val="FootnoteText"/>
      </w:pPr>
      <w:r>
        <w:rPr>
          <w:rStyle w:val="FootnoteReference"/>
        </w:rPr>
        <w:footnoteRef/>
      </w:r>
      <w:r>
        <w:t xml:space="preserve"> </w:t>
      </w:r>
      <w:r w:rsidRPr="00720277">
        <w:t>Yaxley &amp; Chakravarty. Eosinophilic oesophagitis – a guide for primary care. The Royal Australian College of General practitioners 2015; 44(10):723-7.</w:t>
      </w:r>
    </w:p>
  </w:footnote>
  <w:footnote w:id="5">
    <w:p w:rsidR="00753728" w:rsidRDefault="00753728">
      <w:pPr>
        <w:pStyle w:val="FootnoteText"/>
      </w:pPr>
      <w:r>
        <w:rPr>
          <w:rStyle w:val="FootnoteReference"/>
        </w:rPr>
        <w:footnoteRef/>
      </w:r>
      <w:r>
        <w:t xml:space="preserve"> </w:t>
      </w:r>
      <w:r w:rsidRPr="00B13CDA">
        <w:t>Lucendo AJ, Molina-Infante J, Arias Á, von Arnim U, Bredenoord AJ, Bussmann C, Amil Dias J, Bove M, González-Cervera J, Larsson H, Miehlke S. Guidelines on eosinophilic esophagitis: evidence-based statements and recommendations for diagnosis and management in children and adults. United European gastroenterology journal. 2017 Apr;5(3):335-58.</w:t>
      </w:r>
    </w:p>
  </w:footnote>
  <w:footnote w:id="6">
    <w:p w:rsidR="00753728" w:rsidRDefault="00753728">
      <w:pPr>
        <w:pStyle w:val="FootnoteText"/>
      </w:pPr>
      <w:r>
        <w:rPr>
          <w:rStyle w:val="FootnoteReference"/>
        </w:rPr>
        <w:footnoteRef/>
      </w:r>
      <w:r>
        <w:t xml:space="preserve"> </w:t>
      </w:r>
      <w:r w:rsidRPr="00501690">
        <w:t>Dellon, E. S., Liacouras, C. A., Molina-Infante, J. et al. Updated international consensus diagnostic criteria for eosinophilic esophagitis: proceedings of the AGREE conference. Gastroenterology. 2018; 155(4), 1022-1033</w:t>
      </w:r>
      <w:r>
        <w:t>.</w:t>
      </w:r>
    </w:p>
  </w:footnote>
  <w:footnote w:id="7">
    <w:p w:rsidR="00753728" w:rsidRDefault="00753728">
      <w:pPr>
        <w:pStyle w:val="FootnoteText"/>
      </w:pPr>
      <w:r>
        <w:rPr>
          <w:rStyle w:val="FootnoteReference"/>
        </w:rPr>
        <w:footnoteRef/>
      </w:r>
      <w:r>
        <w:t xml:space="preserve"> </w:t>
      </w:r>
      <w:r w:rsidRPr="00150249">
        <w:t>Dellon ES, Hirano I. Epidemiology and natural history of eosinophilic esophagitis. Gastroenterology. 2018;154(2):319-332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28" w:rsidRDefault="00753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28" w:rsidRPr="00911428" w:rsidRDefault="00753728" w:rsidP="00911428">
    <w:pPr>
      <w:tabs>
        <w:tab w:val="center" w:pos="4153"/>
        <w:tab w:val="right" w:pos="8306"/>
      </w:tabs>
      <w:autoSpaceDE w:val="0"/>
      <w:autoSpaceDN w:val="0"/>
      <w:adjustRightInd w:val="0"/>
      <w:ind w:left="360"/>
      <w:jc w:val="center"/>
      <w:rPr>
        <w:rFonts w:asciiTheme="minorHAnsi" w:hAnsiTheme="minorHAnsi" w:cstheme="minorHAnsi"/>
        <w:i/>
        <w:iCs/>
      </w:rPr>
    </w:pPr>
    <w:r>
      <w:rPr>
        <w:rFonts w:asciiTheme="minorHAnsi" w:hAnsiTheme="minorHAnsi" w:cstheme="minorHAnsi"/>
        <w:i/>
        <w:iCs/>
      </w:rPr>
      <w:t>Public Summary Document – March 2021</w:t>
    </w:r>
    <w:r w:rsidRPr="00911428">
      <w:rPr>
        <w:rFonts w:asciiTheme="minorHAnsi" w:hAnsiTheme="minorHAnsi" w:cstheme="minorHAnsi"/>
        <w:i/>
        <w:iCs/>
      </w:rPr>
      <w:t xml:space="preserve"> PBAC Meeting</w:t>
    </w:r>
  </w:p>
  <w:p w:rsidR="00753728" w:rsidRDefault="0075372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28" w:rsidRDefault="0075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5687DA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0D05FE"/>
    <w:multiLevelType w:val="hybridMultilevel"/>
    <w:tmpl w:val="5812FE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691375"/>
    <w:multiLevelType w:val="hybridMultilevel"/>
    <w:tmpl w:val="493E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76AB8"/>
    <w:multiLevelType w:val="hybridMultilevel"/>
    <w:tmpl w:val="A9D2715E"/>
    <w:lvl w:ilvl="0" w:tplc="4FB4257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71136"/>
    <w:multiLevelType w:val="hybridMultilevel"/>
    <w:tmpl w:val="F6E2D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721607"/>
    <w:multiLevelType w:val="hybridMultilevel"/>
    <w:tmpl w:val="745C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7F4C01"/>
    <w:multiLevelType w:val="hybridMultilevel"/>
    <w:tmpl w:val="FEDAB8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AD04EE"/>
    <w:multiLevelType w:val="hybridMultilevel"/>
    <w:tmpl w:val="82160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965550"/>
    <w:multiLevelType w:val="hybridMultilevel"/>
    <w:tmpl w:val="5F860D42"/>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92A84"/>
    <w:multiLevelType w:val="multilevel"/>
    <w:tmpl w:val="FBFEE1E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B55A77"/>
    <w:multiLevelType w:val="multilevel"/>
    <w:tmpl w:val="B67EB2D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5969F4"/>
    <w:multiLevelType w:val="hybridMultilevel"/>
    <w:tmpl w:val="36526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FA3C06"/>
    <w:multiLevelType w:val="hybridMultilevel"/>
    <w:tmpl w:val="A79C8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9E62C9"/>
    <w:multiLevelType w:val="hybridMultilevel"/>
    <w:tmpl w:val="2B9A1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84D033C"/>
    <w:multiLevelType w:val="multilevel"/>
    <w:tmpl w:val="EB547DB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523963"/>
    <w:multiLevelType w:val="hybridMultilevel"/>
    <w:tmpl w:val="A9D2715E"/>
    <w:lvl w:ilvl="0" w:tplc="4FB4257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2B3CB6"/>
    <w:multiLevelType w:val="hybridMultilevel"/>
    <w:tmpl w:val="C9DEFF2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num w:numId="1">
    <w:abstractNumId w:val="23"/>
  </w:num>
  <w:num w:numId="2">
    <w:abstractNumId w:val="14"/>
  </w:num>
  <w:num w:numId="3">
    <w:abstractNumId w:val="15"/>
  </w:num>
  <w:num w:numId="4">
    <w:abstractNumId w:val="0"/>
  </w:num>
  <w:num w:numId="5">
    <w:abstractNumId w:val="3"/>
  </w:num>
  <w:num w:numId="6">
    <w:abstractNumId w:val="20"/>
  </w:num>
  <w:num w:numId="7">
    <w:abstractNumId w:val="22"/>
  </w:num>
  <w:num w:numId="8">
    <w:abstractNumId w:val="16"/>
  </w:num>
  <w:num w:numId="9">
    <w:abstractNumId w:val="19"/>
  </w:num>
  <w:num w:numId="10">
    <w:abstractNumId w:val="13"/>
  </w:num>
  <w:num w:numId="11">
    <w:abstractNumId w:val="25"/>
  </w:num>
  <w:num w:numId="12">
    <w:abstractNumId w:val="11"/>
  </w:num>
  <w:num w:numId="13">
    <w:abstractNumId w:val="2"/>
  </w:num>
  <w:num w:numId="14">
    <w:abstractNumId w:val="4"/>
  </w:num>
  <w:num w:numId="15">
    <w:abstractNumId w:val="24"/>
  </w:num>
  <w:num w:numId="16">
    <w:abstractNumId w:val="0"/>
  </w:num>
  <w:num w:numId="17">
    <w:abstractNumId w:val="16"/>
  </w:num>
  <w:num w:numId="18">
    <w:abstractNumId w:val="17"/>
  </w:num>
  <w:num w:numId="19">
    <w:abstractNumId w:val="18"/>
  </w:num>
  <w:num w:numId="20">
    <w:abstractNumId w:val="5"/>
  </w:num>
  <w:num w:numId="21">
    <w:abstractNumId w:val="1"/>
  </w:num>
  <w:num w:numId="22">
    <w:abstractNumId w:val="9"/>
  </w:num>
  <w:num w:numId="23">
    <w:abstractNumId w:val="10"/>
  </w:num>
  <w:num w:numId="24">
    <w:abstractNumId w:val="8"/>
  </w:num>
  <w:num w:numId="25">
    <w:abstractNumId w:val="16"/>
  </w:num>
  <w:num w:numId="26">
    <w:abstractNumId w:val="6"/>
  </w:num>
  <w:num w:numId="27">
    <w:abstractNumId w:val="21"/>
  </w:num>
  <w:num w:numId="28">
    <w:abstractNumId w:val="12"/>
  </w:num>
  <w:num w:numId="29">
    <w:abstractNumId w:val="16"/>
  </w:num>
  <w:num w:numId="30">
    <w:abstractNumId w:val="15"/>
  </w:num>
  <w:num w:numId="31">
    <w:abstractNumId w:val="15"/>
  </w:num>
  <w:num w:numId="32">
    <w:abstractNumId w:val="16"/>
  </w:num>
  <w:num w:numId="33">
    <w:abstractNumId w:val="16"/>
  </w:num>
  <w:num w:numId="34">
    <w:abstractNumId w:val="16"/>
  </w:num>
  <w:num w:numId="35">
    <w:abstractNumId w:val="16"/>
  </w:num>
  <w:num w:numId="36">
    <w:abstractNumId w:val="7"/>
  </w:num>
  <w:num w:numId="37">
    <w:abstractNumId w:val="16"/>
  </w:num>
  <w:num w:numId="38">
    <w:abstractNumId w:val="16"/>
  </w:num>
  <w:num w:numId="3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NakFAAdDTZ4tAAAA"/>
  </w:docVars>
  <w:rsids>
    <w:rsidRoot w:val="00E65E79"/>
    <w:rsid w:val="00000378"/>
    <w:rsid w:val="000005FB"/>
    <w:rsid w:val="00000790"/>
    <w:rsid w:val="00000CDD"/>
    <w:rsid w:val="00000D46"/>
    <w:rsid w:val="0000110B"/>
    <w:rsid w:val="000015A6"/>
    <w:rsid w:val="00001906"/>
    <w:rsid w:val="00001B90"/>
    <w:rsid w:val="00001E78"/>
    <w:rsid w:val="00003007"/>
    <w:rsid w:val="000031F6"/>
    <w:rsid w:val="00003257"/>
    <w:rsid w:val="000032B5"/>
    <w:rsid w:val="00003499"/>
    <w:rsid w:val="000034A2"/>
    <w:rsid w:val="0000357F"/>
    <w:rsid w:val="00003852"/>
    <w:rsid w:val="000039B7"/>
    <w:rsid w:val="0000434A"/>
    <w:rsid w:val="000044BE"/>
    <w:rsid w:val="00004B8C"/>
    <w:rsid w:val="00004D14"/>
    <w:rsid w:val="0000591D"/>
    <w:rsid w:val="00005C1A"/>
    <w:rsid w:val="00005D12"/>
    <w:rsid w:val="0000639A"/>
    <w:rsid w:val="000064EE"/>
    <w:rsid w:val="00006525"/>
    <w:rsid w:val="000065AB"/>
    <w:rsid w:val="00006E8E"/>
    <w:rsid w:val="00007606"/>
    <w:rsid w:val="0000772C"/>
    <w:rsid w:val="00007A5A"/>
    <w:rsid w:val="00007E5D"/>
    <w:rsid w:val="00007F8B"/>
    <w:rsid w:val="000100AA"/>
    <w:rsid w:val="000101DF"/>
    <w:rsid w:val="000102AF"/>
    <w:rsid w:val="000106A7"/>
    <w:rsid w:val="00010712"/>
    <w:rsid w:val="000112E7"/>
    <w:rsid w:val="00011C06"/>
    <w:rsid w:val="00011FE9"/>
    <w:rsid w:val="000121ED"/>
    <w:rsid w:val="00012613"/>
    <w:rsid w:val="0001276A"/>
    <w:rsid w:val="00012970"/>
    <w:rsid w:val="00013247"/>
    <w:rsid w:val="00013AA2"/>
    <w:rsid w:val="0001400E"/>
    <w:rsid w:val="00014282"/>
    <w:rsid w:val="0001429F"/>
    <w:rsid w:val="00014648"/>
    <w:rsid w:val="000150E4"/>
    <w:rsid w:val="0001560F"/>
    <w:rsid w:val="000157C8"/>
    <w:rsid w:val="00015886"/>
    <w:rsid w:val="00015D45"/>
    <w:rsid w:val="0001600E"/>
    <w:rsid w:val="00016150"/>
    <w:rsid w:val="000162EF"/>
    <w:rsid w:val="00016442"/>
    <w:rsid w:val="00016620"/>
    <w:rsid w:val="000169D0"/>
    <w:rsid w:val="00017845"/>
    <w:rsid w:val="00017A62"/>
    <w:rsid w:val="00017D69"/>
    <w:rsid w:val="000205AA"/>
    <w:rsid w:val="0002074B"/>
    <w:rsid w:val="000207A3"/>
    <w:rsid w:val="000207C9"/>
    <w:rsid w:val="00020D42"/>
    <w:rsid w:val="00021173"/>
    <w:rsid w:val="000213F0"/>
    <w:rsid w:val="000214D5"/>
    <w:rsid w:val="00021F14"/>
    <w:rsid w:val="00022049"/>
    <w:rsid w:val="0002225F"/>
    <w:rsid w:val="0002229E"/>
    <w:rsid w:val="00022A12"/>
    <w:rsid w:val="00022AC4"/>
    <w:rsid w:val="00022BDA"/>
    <w:rsid w:val="000234FE"/>
    <w:rsid w:val="00023763"/>
    <w:rsid w:val="00023A40"/>
    <w:rsid w:val="00023DEB"/>
    <w:rsid w:val="00023F46"/>
    <w:rsid w:val="0002424E"/>
    <w:rsid w:val="000244C0"/>
    <w:rsid w:val="00025186"/>
    <w:rsid w:val="000253D9"/>
    <w:rsid w:val="0002559F"/>
    <w:rsid w:val="0002596D"/>
    <w:rsid w:val="00025B2F"/>
    <w:rsid w:val="000265CA"/>
    <w:rsid w:val="000274B8"/>
    <w:rsid w:val="000276F4"/>
    <w:rsid w:val="0002782A"/>
    <w:rsid w:val="00027C0A"/>
    <w:rsid w:val="0003074D"/>
    <w:rsid w:val="00030B03"/>
    <w:rsid w:val="00030BA4"/>
    <w:rsid w:val="00030C89"/>
    <w:rsid w:val="00030FBE"/>
    <w:rsid w:val="000311D8"/>
    <w:rsid w:val="0003175B"/>
    <w:rsid w:val="00031857"/>
    <w:rsid w:val="00031B67"/>
    <w:rsid w:val="00032680"/>
    <w:rsid w:val="0003280D"/>
    <w:rsid w:val="000331CD"/>
    <w:rsid w:val="000333B2"/>
    <w:rsid w:val="00033863"/>
    <w:rsid w:val="000338B8"/>
    <w:rsid w:val="00033A41"/>
    <w:rsid w:val="00033E02"/>
    <w:rsid w:val="00033FB8"/>
    <w:rsid w:val="0003403F"/>
    <w:rsid w:val="00034606"/>
    <w:rsid w:val="000347C3"/>
    <w:rsid w:val="0003509A"/>
    <w:rsid w:val="00035329"/>
    <w:rsid w:val="00035DC0"/>
    <w:rsid w:val="00035FBA"/>
    <w:rsid w:val="00036829"/>
    <w:rsid w:val="00036C9B"/>
    <w:rsid w:val="00036ED4"/>
    <w:rsid w:val="000376CF"/>
    <w:rsid w:val="00037BBD"/>
    <w:rsid w:val="00037D8B"/>
    <w:rsid w:val="00037F27"/>
    <w:rsid w:val="0004073C"/>
    <w:rsid w:val="00040895"/>
    <w:rsid w:val="0004089E"/>
    <w:rsid w:val="000411B4"/>
    <w:rsid w:val="000415F3"/>
    <w:rsid w:val="000417D1"/>
    <w:rsid w:val="00041A0C"/>
    <w:rsid w:val="00042C72"/>
    <w:rsid w:val="000433A5"/>
    <w:rsid w:val="0004354E"/>
    <w:rsid w:val="000435E3"/>
    <w:rsid w:val="000435EE"/>
    <w:rsid w:val="00043965"/>
    <w:rsid w:val="00043B17"/>
    <w:rsid w:val="00043C37"/>
    <w:rsid w:val="00043DD9"/>
    <w:rsid w:val="00043E42"/>
    <w:rsid w:val="00043F98"/>
    <w:rsid w:val="0004470B"/>
    <w:rsid w:val="00044BE3"/>
    <w:rsid w:val="00044E6D"/>
    <w:rsid w:val="00045017"/>
    <w:rsid w:val="00045847"/>
    <w:rsid w:val="00045A2B"/>
    <w:rsid w:val="00045CCC"/>
    <w:rsid w:val="00045D3F"/>
    <w:rsid w:val="0004698F"/>
    <w:rsid w:val="0004767C"/>
    <w:rsid w:val="00050202"/>
    <w:rsid w:val="00050510"/>
    <w:rsid w:val="000505A9"/>
    <w:rsid w:val="00050814"/>
    <w:rsid w:val="000508C9"/>
    <w:rsid w:val="00050949"/>
    <w:rsid w:val="000511D0"/>
    <w:rsid w:val="000511F3"/>
    <w:rsid w:val="00051598"/>
    <w:rsid w:val="0005174C"/>
    <w:rsid w:val="00051C2A"/>
    <w:rsid w:val="00051D4B"/>
    <w:rsid w:val="00051EDE"/>
    <w:rsid w:val="00051FEC"/>
    <w:rsid w:val="000521E4"/>
    <w:rsid w:val="0005240F"/>
    <w:rsid w:val="00052459"/>
    <w:rsid w:val="000526FF"/>
    <w:rsid w:val="0005287E"/>
    <w:rsid w:val="00052B91"/>
    <w:rsid w:val="00052CCD"/>
    <w:rsid w:val="00053761"/>
    <w:rsid w:val="00053802"/>
    <w:rsid w:val="000539D0"/>
    <w:rsid w:val="00053C02"/>
    <w:rsid w:val="00053EA4"/>
    <w:rsid w:val="00053F7E"/>
    <w:rsid w:val="00054621"/>
    <w:rsid w:val="000546D7"/>
    <w:rsid w:val="0005487F"/>
    <w:rsid w:val="00054E89"/>
    <w:rsid w:val="00054FBA"/>
    <w:rsid w:val="0005533E"/>
    <w:rsid w:val="000555A6"/>
    <w:rsid w:val="00055919"/>
    <w:rsid w:val="00055DEC"/>
    <w:rsid w:val="00055E10"/>
    <w:rsid w:val="00055F77"/>
    <w:rsid w:val="000564F5"/>
    <w:rsid w:val="00056779"/>
    <w:rsid w:val="000567E3"/>
    <w:rsid w:val="00056ECF"/>
    <w:rsid w:val="00057118"/>
    <w:rsid w:val="00057254"/>
    <w:rsid w:val="000572B8"/>
    <w:rsid w:val="000573E7"/>
    <w:rsid w:val="00057BDD"/>
    <w:rsid w:val="00057C56"/>
    <w:rsid w:val="00057E13"/>
    <w:rsid w:val="000604DF"/>
    <w:rsid w:val="00060761"/>
    <w:rsid w:val="00060865"/>
    <w:rsid w:val="00060A0E"/>
    <w:rsid w:val="000610C2"/>
    <w:rsid w:val="00061610"/>
    <w:rsid w:val="00061800"/>
    <w:rsid w:val="000618FB"/>
    <w:rsid w:val="00061941"/>
    <w:rsid w:val="00061AF4"/>
    <w:rsid w:val="00062317"/>
    <w:rsid w:val="000624DF"/>
    <w:rsid w:val="0006294A"/>
    <w:rsid w:val="00062DEB"/>
    <w:rsid w:val="00062EA5"/>
    <w:rsid w:val="000633E3"/>
    <w:rsid w:val="00063608"/>
    <w:rsid w:val="00063B5C"/>
    <w:rsid w:val="00063C28"/>
    <w:rsid w:val="00063D40"/>
    <w:rsid w:val="000643A4"/>
    <w:rsid w:val="0006454E"/>
    <w:rsid w:val="00064676"/>
    <w:rsid w:val="00064AD4"/>
    <w:rsid w:val="00065221"/>
    <w:rsid w:val="000653B5"/>
    <w:rsid w:val="00065532"/>
    <w:rsid w:val="00065CFD"/>
    <w:rsid w:val="00066360"/>
    <w:rsid w:val="00066AF8"/>
    <w:rsid w:val="00066B42"/>
    <w:rsid w:val="00067147"/>
    <w:rsid w:val="000674BD"/>
    <w:rsid w:val="00067835"/>
    <w:rsid w:val="0007016A"/>
    <w:rsid w:val="0007088C"/>
    <w:rsid w:val="00071248"/>
    <w:rsid w:val="000714FE"/>
    <w:rsid w:val="000715C2"/>
    <w:rsid w:val="00071AD3"/>
    <w:rsid w:val="00071B07"/>
    <w:rsid w:val="000720B9"/>
    <w:rsid w:val="00072621"/>
    <w:rsid w:val="0007274F"/>
    <w:rsid w:val="00072BB1"/>
    <w:rsid w:val="00073429"/>
    <w:rsid w:val="000736B3"/>
    <w:rsid w:val="000737F7"/>
    <w:rsid w:val="000738C4"/>
    <w:rsid w:val="00073A17"/>
    <w:rsid w:val="00074268"/>
    <w:rsid w:val="0007433B"/>
    <w:rsid w:val="00074776"/>
    <w:rsid w:val="00074AFA"/>
    <w:rsid w:val="0007537F"/>
    <w:rsid w:val="00075A2E"/>
    <w:rsid w:val="00075C55"/>
    <w:rsid w:val="00076196"/>
    <w:rsid w:val="000762BB"/>
    <w:rsid w:val="0007672F"/>
    <w:rsid w:val="00076B54"/>
    <w:rsid w:val="00076E98"/>
    <w:rsid w:val="000774F0"/>
    <w:rsid w:val="0007794B"/>
    <w:rsid w:val="00077A85"/>
    <w:rsid w:val="00077B3E"/>
    <w:rsid w:val="0008018C"/>
    <w:rsid w:val="00080277"/>
    <w:rsid w:val="000808DA"/>
    <w:rsid w:val="00080909"/>
    <w:rsid w:val="0008094E"/>
    <w:rsid w:val="00080AA8"/>
    <w:rsid w:val="000812CA"/>
    <w:rsid w:val="00081509"/>
    <w:rsid w:val="00081E63"/>
    <w:rsid w:val="00081F62"/>
    <w:rsid w:val="00082059"/>
    <w:rsid w:val="000820C3"/>
    <w:rsid w:val="0008258D"/>
    <w:rsid w:val="000829A5"/>
    <w:rsid w:val="00082E1F"/>
    <w:rsid w:val="0008351F"/>
    <w:rsid w:val="000836ED"/>
    <w:rsid w:val="000838FD"/>
    <w:rsid w:val="000838FF"/>
    <w:rsid w:val="00083C6D"/>
    <w:rsid w:val="00083E99"/>
    <w:rsid w:val="000840F8"/>
    <w:rsid w:val="00084ABA"/>
    <w:rsid w:val="00084CFC"/>
    <w:rsid w:val="00084EA1"/>
    <w:rsid w:val="00084FA8"/>
    <w:rsid w:val="000850E8"/>
    <w:rsid w:val="00085192"/>
    <w:rsid w:val="000851DF"/>
    <w:rsid w:val="00085282"/>
    <w:rsid w:val="000856C5"/>
    <w:rsid w:val="00085773"/>
    <w:rsid w:val="000857BF"/>
    <w:rsid w:val="00085BD8"/>
    <w:rsid w:val="00085C31"/>
    <w:rsid w:val="00085F64"/>
    <w:rsid w:val="0008681F"/>
    <w:rsid w:val="00086955"/>
    <w:rsid w:val="00086BAF"/>
    <w:rsid w:val="00086D76"/>
    <w:rsid w:val="00086EB1"/>
    <w:rsid w:val="00087046"/>
    <w:rsid w:val="00087295"/>
    <w:rsid w:val="0008746F"/>
    <w:rsid w:val="0008762B"/>
    <w:rsid w:val="00087B76"/>
    <w:rsid w:val="00087DF6"/>
    <w:rsid w:val="000902D9"/>
    <w:rsid w:val="000904A2"/>
    <w:rsid w:val="000904E0"/>
    <w:rsid w:val="0009056B"/>
    <w:rsid w:val="000905A8"/>
    <w:rsid w:val="000905E4"/>
    <w:rsid w:val="0009085F"/>
    <w:rsid w:val="00090ADD"/>
    <w:rsid w:val="00090C6F"/>
    <w:rsid w:val="00090C7E"/>
    <w:rsid w:val="00091422"/>
    <w:rsid w:val="0009151D"/>
    <w:rsid w:val="00091C42"/>
    <w:rsid w:val="00091CB7"/>
    <w:rsid w:val="000924F2"/>
    <w:rsid w:val="0009258B"/>
    <w:rsid w:val="00092600"/>
    <w:rsid w:val="0009262B"/>
    <w:rsid w:val="00092DA0"/>
    <w:rsid w:val="00093310"/>
    <w:rsid w:val="000934EC"/>
    <w:rsid w:val="000936A0"/>
    <w:rsid w:val="00093D78"/>
    <w:rsid w:val="00093EBE"/>
    <w:rsid w:val="000942E6"/>
    <w:rsid w:val="0009445C"/>
    <w:rsid w:val="00094B4E"/>
    <w:rsid w:val="00094E94"/>
    <w:rsid w:val="0009514C"/>
    <w:rsid w:val="00095200"/>
    <w:rsid w:val="00095FE5"/>
    <w:rsid w:val="00096284"/>
    <w:rsid w:val="000965D7"/>
    <w:rsid w:val="00096945"/>
    <w:rsid w:val="000969B1"/>
    <w:rsid w:val="00096A78"/>
    <w:rsid w:val="0009716B"/>
    <w:rsid w:val="0009772A"/>
    <w:rsid w:val="00097770"/>
    <w:rsid w:val="000A0183"/>
    <w:rsid w:val="000A0BFC"/>
    <w:rsid w:val="000A0D6A"/>
    <w:rsid w:val="000A1BC0"/>
    <w:rsid w:val="000A2304"/>
    <w:rsid w:val="000A23B6"/>
    <w:rsid w:val="000A2543"/>
    <w:rsid w:val="000A2991"/>
    <w:rsid w:val="000A2DBE"/>
    <w:rsid w:val="000A3132"/>
    <w:rsid w:val="000A32A9"/>
    <w:rsid w:val="000A3887"/>
    <w:rsid w:val="000A3B0D"/>
    <w:rsid w:val="000A524E"/>
    <w:rsid w:val="000A54CD"/>
    <w:rsid w:val="000A556A"/>
    <w:rsid w:val="000A5608"/>
    <w:rsid w:val="000A56E2"/>
    <w:rsid w:val="000A59D1"/>
    <w:rsid w:val="000A5D23"/>
    <w:rsid w:val="000A5E5A"/>
    <w:rsid w:val="000A6039"/>
    <w:rsid w:val="000A62B9"/>
    <w:rsid w:val="000A6A07"/>
    <w:rsid w:val="000A6F3E"/>
    <w:rsid w:val="000A7157"/>
    <w:rsid w:val="000A7453"/>
    <w:rsid w:val="000A7874"/>
    <w:rsid w:val="000A7B9B"/>
    <w:rsid w:val="000A7D08"/>
    <w:rsid w:val="000A7ECC"/>
    <w:rsid w:val="000B0121"/>
    <w:rsid w:val="000B023C"/>
    <w:rsid w:val="000B0670"/>
    <w:rsid w:val="000B08ED"/>
    <w:rsid w:val="000B0BEF"/>
    <w:rsid w:val="000B0E75"/>
    <w:rsid w:val="000B10A4"/>
    <w:rsid w:val="000B1337"/>
    <w:rsid w:val="000B1402"/>
    <w:rsid w:val="000B198E"/>
    <w:rsid w:val="000B1EDF"/>
    <w:rsid w:val="000B20B0"/>
    <w:rsid w:val="000B2294"/>
    <w:rsid w:val="000B2DCB"/>
    <w:rsid w:val="000B2DFC"/>
    <w:rsid w:val="000B308A"/>
    <w:rsid w:val="000B38DF"/>
    <w:rsid w:val="000B3B82"/>
    <w:rsid w:val="000B44CF"/>
    <w:rsid w:val="000B4639"/>
    <w:rsid w:val="000B4788"/>
    <w:rsid w:val="000B4C49"/>
    <w:rsid w:val="000B4E47"/>
    <w:rsid w:val="000B4FB7"/>
    <w:rsid w:val="000B5528"/>
    <w:rsid w:val="000B5CD7"/>
    <w:rsid w:val="000B5CE0"/>
    <w:rsid w:val="000B6CAC"/>
    <w:rsid w:val="000B73F5"/>
    <w:rsid w:val="000B7612"/>
    <w:rsid w:val="000B76BF"/>
    <w:rsid w:val="000B78AE"/>
    <w:rsid w:val="000B78E2"/>
    <w:rsid w:val="000C0410"/>
    <w:rsid w:val="000C0470"/>
    <w:rsid w:val="000C0541"/>
    <w:rsid w:val="000C08EC"/>
    <w:rsid w:val="000C0E3B"/>
    <w:rsid w:val="000C1490"/>
    <w:rsid w:val="000C186A"/>
    <w:rsid w:val="000C1901"/>
    <w:rsid w:val="000C1C1F"/>
    <w:rsid w:val="000C1F03"/>
    <w:rsid w:val="000C2024"/>
    <w:rsid w:val="000C2807"/>
    <w:rsid w:val="000C2851"/>
    <w:rsid w:val="000C2DEA"/>
    <w:rsid w:val="000C32AD"/>
    <w:rsid w:val="000C34DA"/>
    <w:rsid w:val="000C3746"/>
    <w:rsid w:val="000C3DF9"/>
    <w:rsid w:val="000C4103"/>
    <w:rsid w:val="000C4301"/>
    <w:rsid w:val="000C5079"/>
    <w:rsid w:val="000C5316"/>
    <w:rsid w:val="000C59ED"/>
    <w:rsid w:val="000C5BE8"/>
    <w:rsid w:val="000C607F"/>
    <w:rsid w:val="000C64AB"/>
    <w:rsid w:val="000C652F"/>
    <w:rsid w:val="000C6713"/>
    <w:rsid w:val="000C72D6"/>
    <w:rsid w:val="000C737D"/>
    <w:rsid w:val="000C76CA"/>
    <w:rsid w:val="000C7A4C"/>
    <w:rsid w:val="000D0D3F"/>
    <w:rsid w:val="000D0E38"/>
    <w:rsid w:val="000D1196"/>
    <w:rsid w:val="000D126E"/>
    <w:rsid w:val="000D14B7"/>
    <w:rsid w:val="000D1BFC"/>
    <w:rsid w:val="000D1D5D"/>
    <w:rsid w:val="000D20FC"/>
    <w:rsid w:val="000D281A"/>
    <w:rsid w:val="000D2848"/>
    <w:rsid w:val="000D28EE"/>
    <w:rsid w:val="000D2E91"/>
    <w:rsid w:val="000D326A"/>
    <w:rsid w:val="000D3BB6"/>
    <w:rsid w:val="000D3E1B"/>
    <w:rsid w:val="000D3E47"/>
    <w:rsid w:val="000D4717"/>
    <w:rsid w:val="000D4A38"/>
    <w:rsid w:val="000D4BAE"/>
    <w:rsid w:val="000D4E66"/>
    <w:rsid w:val="000D4F19"/>
    <w:rsid w:val="000D51FB"/>
    <w:rsid w:val="000D532C"/>
    <w:rsid w:val="000D538B"/>
    <w:rsid w:val="000D54B0"/>
    <w:rsid w:val="000D56C7"/>
    <w:rsid w:val="000D5D16"/>
    <w:rsid w:val="000D6501"/>
    <w:rsid w:val="000D7027"/>
    <w:rsid w:val="000D72C1"/>
    <w:rsid w:val="000D7A2C"/>
    <w:rsid w:val="000D7A95"/>
    <w:rsid w:val="000D7EE7"/>
    <w:rsid w:val="000E0640"/>
    <w:rsid w:val="000E0A8C"/>
    <w:rsid w:val="000E135D"/>
    <w:rsid w:val="000E1784"/>
    <w:rsid w:val="000E1D5B"/>
    <w:rsid w:val="000E1D6F"/>
    <w:rsid w:val="000E1F06"/>
    <w:rsid w:val="000E1FC9"/>
    <w:rsid w:val="000E2221"/>
    <w:rsid w:val="000E278A"/>
    <w:rsid w:val="000E3D6A"/>
    <w:rsid w:val="000E40BD"/>
    <w:rsid w:val="000E40EC"/>
    <w:rsid w:val="000E4255"/>
    <w:rsid w:val="000E46D1"/>
    <w:rsid w:val="000E4A61"/>
    <w:rsid w:val="000E4EEB"/>
    <w:rsid w:val="000E5A9B"/>
    <w:rsid w:val="000E5ADF"/>
    <w:rsid w:val="000E6798"/>
    <w:rsid w:val="000E682A"/>
    <w:rsid w:val="000E6C9B"/>
    <w:rsid w:val="000E711B"/>
    <w:rsid w:val="000E7366"/>
    <w:rsid w:val="000E7384"/>
    <w:rsid w:val="000E7613"/>
    <w:rsid w:val="000E7F53"/>
    <w:rsid w:val="000F00BA"/>
    <w:rsid w:val="000F08CB"/>
    <w:rsid w:val="000F0AD4"/>
    <w:rsid w:val="000F108F"/>
    <w:rsid w:val="000F128B"/>
    <w:rsid w:val="000F13D5"/>
    <w:rsid w:val="000F1A21"/>
    <w:rsid w:val="000F2335"/>
    <w:rsid w:val="000F2AFA"/>
    <w:rsid w:val="000F2CF6"/>
    <w:rsid w:val="000F316A"/>
    <w:rsid w:val="000F37F2"/>
    <w:rsid w:val="000F39BD"/>
    <w:rsid w:val="000F3AA9"/>
    <w:rsid w:val="000F3C74"/>
    <w:rsid w:val="000F3FEB"/>
    <w:rsid w:val="000F4A9A"/>
    <w:rsid w:val="000F4BB8"/>
    <w:rsid w:val="000F4FA9"/>
    <w:rsid w:val="000F53FB"/>
    <w:rsid w:val="000F598B"/>
    <w:rsid w:val="000F5D0F"/>
    <w:rsid w:val="000F6468"/>
    <w:rsid w:val="000F6591"/>
    <w:rsid w:val="000F65B9"/>
    <w:rsid w:val="000F6C40"/>
    <w:rsid w:val="000F6E34"/>
    <w:rsid w:val="000F7127"/>
    <w:rsid w:val="000F788F"/>
    <w:rsid w:val="000F7A59"/>
    <w:rsid w:val="000F7B54"/>
    <w:rsid w:val="000F7C8E"/>
    <w:rsid w:val="000F7CEC"/>
    <w:rsid w:val="000F7CF8"/>
    <w:rsid w:val="000F7D90"/>
    <w:rsid w:val="001000EB"/>
    <w:rsid w:val="00100567"/>
    <w:rsid w:val="00100F3D"/>
    <w:rsid w:val="00100F8A"/>
    <w:rsid w:val="00101A98"/>
    <w:rsid w:val="00101B60"/>
    <w:rsid w:val="001025B2"/>
    <w:rsid w:val="00102774"/>
    <w:rsid w:val="00102960"/>
    <w:rsid w:val="00102A17"/>
    <w:rsid w:val="00102C83"/>
    <w:rsid w:val="00102E1E"/>
    <w:rsid w:val="0010330B"/>
    <w:rsid w:val="001039C9"/>
    <w:rsid w:val="00103B2F"/>
    <w:rsid w:val="001043FD"/>
    <w:rsid w:val="0010452E"/>
    <w:rsid w:val="00104558"/>
    <w:rsid w:val="001051D1"/>
    <w:rsid w:val="001057E9"/>
    <w:rsid w:val="0010589A"/>
    <w:rsid w:val="00105AE2"/>
    <w:rsid w:val="001060C6"/>
    <w:rsid w:val="00106AC4"/>
    <w:rsid w:val="00106B80"/>
    <w:rsid w:val="00107272"/>
    <w:rsid w:val="00107A88"/>
    <w:rsid w:val="00107EFE"/>
    <w:rsid w:val="00107F5F"/>
    <w:rsid w:val="0011032E"/>
    <w:rsid w:val="00110DC8"/>
    <w:rsid w:val="00110E11"/>
    <w:rsid w:val="001119A7"/>
    <w:rsid w:val="001123CD"/>
    <w:rsid w:val="00112571"/>
    <w:rsid w:val="00112B09"/>
    <w:rsid w:val="00112E7E"/>
    <w:rsid w:val="0011348B"/>
    <w:rsid w:val="00113549"/>
    <w:rsid w:val="00113787"/>
    <w:rsid w:val="00113ADB"/>
    <w:rsid w:val="001141CD"/>
    <w:rsid w:val="00114280"/>
    <w:rsid w:val="00114CF7"/>
    <w:rsid w:val="001150FF"/>
    <w:rsid w:val="001154F6"/>
    <w:rsid w:val="001155FC"/>
    <w:rsid w:val="00115982"/>
    <w:rsid w:val="00115E03"/>
    <w:rsid w:val="00115ED5"/>
    <w:rsid w:val="00116284"/>
    <w:rsid w:val="00116A61"/>
    <w:rsid w:val="00116C53"/>
    <w:rsid w:val="00117EB1"/>
    <w:rsid w:val="00120230"/>
    <w:rsid w:val="001210A3"/>
    <w:rsid w:val="0012166E"/>
    <w:rsid w:val="00121799"/>
    <w:rsid w:val="00121BB8"/>
    <w:rsid w:val="00121DD6"/>
    <w:rsid w:val="001222FC"/>
    <w:rsid w:val="00122914"/>
    <w:rsid w:val="001229EA"/>
    <w:rsid w:val="00122D21"/>
    <w:rsid w:val="00122DFE"/>
    <w:rsid w:val="00123323"/>
    <w:rsid w:val="00123515"/>
    <w:rsid w:val="00123902"/>
    <w:rsid w:val="00123AE5"/>
    <w:rsid w:val="001241B2"/>
    <w:rsid w:val="001242D5"/>
    <w:rsid w:val="00124387"/>
    <w:rsid w:val="00124407"/>
    <w:rsid w:val="00124A51"/>
    <w:rsid w:val="00125240"/>
    <w:rsid w:val="001253C1"/>
    <w:rsid w:val="001254E2"/>
    <w:rsid w:val="00125B79"/>
    <w:rsid w:val="00125BF9"/>
    <w:rsid w:val="00125C47"/>
    <w:rsid w:val="001260B9"/>
    <w:rsid w:val="001262A9"/>
    <w:rsid w:val="00126317"/>
    <w:rsid w:val="0012637F"/>
    <w:rsid w:val="00126621"/>
    <w:rsid w:val="00126972"/>
    <w:rsid w:val="001269F8"/>
    <w:rsid w:val="00126B1D"/>
    <w:rsid w:val="00126BB0"/>
    <w:rsid w:val="00126C2B"/>
    <w:rsid w:val="00127047"/>
    <w:rsid w:val="001270AD"/>
    <w:rsid w:val="0012781D"/>
    <w:rsid w:val="0013019E"/>
    <w:rsid w:val="001301E9"/>
    <w:rsid w:val="001307B7"/>
    <w:rsid w:val="00130C83"/>
    <w:rsid w:val="00130DFD"/>
    <w:rsid w:val="00130EDD"/>
    <w:rsid w:val="00131D82"/>
    <w:rsid w:val="00131F7F"/>
    <w:rsid w:val="00132827"/>
    <w:rsid w:val="00132B22"/>
    <w:rsid w:val="001331B2"/>
    <w:rsid w:val="00133A31"/>
    <w:rsid w:val="00133D34"/>
    <w:rsid w:val="00133D36"/>
    <w:rsid w:val="00133D3D"/>
    <w:rsid w:val="0013418A"/>
    <w:rsid w:val="00134234"/>
    <w:rsid w:val="00134640"/>
    <w:rsid w:val="00134992"/>
    <w:rsid w:val="00135A72"/>
    <w:rsid w:val="00135B89"/>
    <w:rsid w:val="001360F6"/>
    <w:rsid w:val="00136EA7"/>
    <w:rsid w:val="00137270"/>
    <w:rsid w:val="001372F6"/>
    <w:rsid w:val="00137645"/>
    <w:rsid w:val="00137873"/>
    <w:rsid w:val="00137938"/>
    <w:rsid w:val="00137CF8"/>
    <w:rsid w:val="00137EA4"/>
    <w:rsid w:val="00140030"/>
    <w:rsid w:val="0014015A"/>
    <w:rsid w:val="00140E99"/>
    <w:rsid w:val="00140F19"/>
    <w:rsid w:val="00141411"/>
    <w:rsid w:val="001417A4"/>
    <w:rsid w:val="00141CAF"/>
    <w:rsid w:val="00141D8C"/>
    <w:rsid w:val="0014203D"/>
    <w:rsid w:val="001422A5"/>
    <w:rsid w:val="001425CD"/>
    <w:rsid w:val="00142D75"/>
    <w:rsid w:val="001434F5"/>
    <w:rsid w:val="00143BF9"/>
    <w:rsid w:val="00143F67"/>
    <w:rsid w:val="00143FCC"/>
    <w:rsid w:val="001441F6"/>
    <w:rsid w:val="00144579"/>
    <w:rsid w:val="001447D4"/>
    <w:rsid w:val="0014495C"/>
    <w:rsid w:val="001449BC"/>
    <w:rsid w:val="00144C81"/>
    <w:rsid w:val="00144FA8"/>
    <w:rsid w:val="00145089"/>
    <w:rsid w:val="00145540"/>
    <w:rsid w:val="00145572"/>
    <w:rsid w:val="001456B0"/>
    <w:rsid w:val="001458A3"/>
    <w:rsid w:val="001459BF"/>
    <w:rsid w:val="00145BE6"/>
    <w:rsid w:val="0014624D"/>
    <w:rsid w:val="00146708"/>
    <w:rsid w:val="00146E5A"/>
    <w:rsid w:val="00147324"/>
    <w:rsid w:val="0014755E"/>
    <w:rsid w:val="001477C1"/>
    <w:rsid w:val="001478BE"/>
    <w:rsid w:val="001479C4"/>
    <w:rsid w:val="00147A1A"/>
    <w:rsid w:val="00147DA0"/>
    <w:rsid w:val="00150249"/>
    <w:rsid w:val="001509B2"/>
    <w:rsid w:val="00150A76"/>
    <w:rsid w:val="00151046"/>
    <w:rsid w:val="0015157B"/>
    <w:rsid w:val="00151DE3"/>
    <w:rsid w:val="0015228C"/>
    <w:rsid w:val="00152594"/>
    <w:rsid w:val="0015293C"/>
    <w:rsid w:val="00152B29"/>
    <w:rsid w:val="001530CE"/>
    <w:rsid w:val="00153215"/>
    <w:rsid w:val="001532FE"/>
    <w:rsid w:val="00153515"/>
    <w:rsid w:val="00153752"/>
    <w:rsid w:val="001537BA"/>
    <w:rsid w:val="001541C7"/>
    <w:rsid w:val="00154B0E"/>
    <w:rsid w:val="0015519F"/>
    <w:rsid w:val="001554DB"/>
    <w:rsid w:val="00155564"/>
    <w:rsid w:val="00155759"/>
    <w:rsid w:val="00156123"/>
    <w:rsid w:val="00156F8F"/>
    <w:rsid w:val="00157130"/>
    <w:rsid w:val="001574E4"/>
    <w:rsid w:val="001574EC"/>
    <w:rsid w:val="001575A3"/>
    <w:rsid w:val="001576B1"/>
    <w:rsid w:val="00157A84"/>
    <w:rsid w:val="00157C8B"/>
    <w:rsid w:val="0016047B"/>
    <w:rsid w:val="00160A4C"/>
    <w:rsid w:val="00160E6E"/>
    <w:rsid w:val="001612B9"/>
    <w:rsid w:val="00161343"/>
    <w:rsid w:val="001617FD"/>
    <w:rsid w:val="001619D2"/>
    <w:rsid w:val="00162913"/>
    <w:rsid w:val="00162ABF"/>
    <w:rsid w:val="001636F9"/>
    <w:rsid w:val="00163EFF"/>
    <w:rsid w:val="00163F56"/>
    <w:rsid w:val="00163F66"/>
    <w:rsid w:val="00164321"/>
    <w:rsid w:val="0016464E"/>
    <w:rsid w:val="00164712"/>
    <w:rsid w:val="001648C7"/>
    <w:rsid w:val="00164A76"/>
    <w:rsid w:val="00164BB2"/>
    <w:rsid w:val="00164BC4"/>
    <w:rsid w:val="001661FB"/>
    <w:rsid w:val="001662D5"/>
    <w:rsid w:val="00166B72"/>
    <w:rsid w:val="00166D3F"/>
    <w:rsid w:val="001671A0"/>
    <w:rsid w:val="0016743B"/>
    <w:rsid w:val="001675BE"/>
    <w:rsid w:val="0016767F"/>
    <w:rsid w:val="001679F4"/>
    <w:rsid w:val="00167D5A"/>
    <w:rsid w:val="00167E53"/>
    <w:rsid w:val="00170059"/>
    <w:rsid w:val="0017112E"/>
    <w:rsid w:val="00171152"/>
    <w:rsid w:val="0017118C"/>
    <w:rsid w:val="00171569"/>
    <w:rsid w:val="00171BAF"/>
    <w:rsid w:val="0017202C"/>
    <w:rsid w:val="00172A11"/>
    <w:rsid w:val="001730C9"/>
    <w:rsid w:val="00173565"/>
    <w:rsid w:val="001736AD"/>
    <w:rsid w:val="001736E1"/>
    <w:rsid w:val="00173805"/>
    <w:rsid w:val="00173B07"/>
    <w:rsid w:val="00173D07"/>
    <w:rsid w:val="00174535"/>
    <w:rsid w:val="001747B5"/>
    <w:rsid w:val="001747FB"/>
    <w:rsid w:val="00174B7A"/>
    <w:rsid w:val="001751C0"/>
    <w:rsid w:val="001751FA"/>
    <w:rsid w:val="0017545B"/>
    <w:rsid w:val="001754F0"/>
    <w:rsid w:val="00175566"/>
    <w:rsid w:val="0017584D"/>
    <w:rsid w:val="00175CDC"/>
    <w:rsid w:val="00176270"/>
    <w:rsid w:val="00176367"/>
    <w:rsid w:val="00176466"/>
    <w:rsid w:val="001766A2"/>
    <w:rsid w:val="001767F4"/>
    <w:rsid w:val="00176B64"/>
    <w:rsid w:val="00177005"/>
    <w:rsid w:val="001772E9"/>
    <w:rsid w:val="001775BB"/>
    <w:rsid w:val="00177803"/>
    <w:rsid w:val="001802F7"/>
    <w:rsid w:val="0018085A"/>
    <w:rsid w:val="00180DE3"/>
    <w:rsid w:val="001814AF"/>
    <w:rsid w:val="00181D9C"/>
    <w:rsid w:val="0018208D"/>
    <w:rsid w:val="00182227"/>
    <w:rsid w:val="0018251F"/>
    <w:rsid w:val="001836EC"/>
    <w:rsid w:val="00183B5A"/>
    <w:rsid w:val="00184643"/>
    <w:rsid w:val="00184B0E"/>
    <w:rsid w:val="001850E3"/>
    <w:rsid w:val="001850E8"/>
    <w:rsid w:val="00185971"/>
    <w:rsid w:val="00185BDE"/>
    <w:rsid w:val="0018633C"/>
    <w:rsid w:val="00186476"/>
    <w:rsid w:val="00186BDA"/>
    <w:rsid w:val="00186EC4"/>
    <w:rsid w:val="00186F44"/>
    <w:rsid w:val="001871B0"/>
    <w:rsid w:val="001871C6"/>
    <w:rsid w:val="00187363"/>
    <w:rsid w:val="0018752F"/>
    <w:rsid w:val="001911F5"/>
    <w:rsid w:val="00191229"/>
    <w:rsid w:val="0019214F"/>
    <w:rsid w:val="00192749"/>
    <w:rsid w:val="00192757"/>
    <w:rsid w:val="001927B4"/>
    <w:rsid w:val="001931A6"/>
    <w:rsid w:val="0019368D"/>
    <w:rsid w:val="0019378B"/>
    <w:rsid w:val="00193801"/>
    <w:rsid w:val="00193838"/>
    <w:rsid w:val="001942E5"/>
    <w:rsid w:val="00194370"/>
    <w:rsid w:val="00194A43"/>
    <w:rsid w:val="00194AD8"/>
    <w:rsid w:val="00194B4D"/>
    <w:rsid w:val="00195222"/>
    <w:rsid w:val="00195F92"/>
    <w:rsid w:val="00196994"/>
    <w:rsid w:val="00197065"/>
    <w:rsid w:val="001975D8"/>
    <w:rsid w:val="00197A09"/>
    <w:rsid w:val="001A081E"/>
    <w:rsid w:val="001A095F"/>
    <w:rsid w:val="001A0B36"/>
    <w:rsid w:val="001A0D6E"/>
    <w:rsid w:val="001A124B"/>
    <w:rsid w:val="001A147E"/>
    <w:rsid w:val="001A168E"/>
    <w:rsid w:val="001A178E"/>
    <w:rsid w:val="001A1881"/>
    <w:rsid w:val="001A244F"/>
    <w:rsid w:val="001A27F5"/>
    <w:rsid w:val="001A3372"/>
    <w:rsid w:val="001A3461"/>
    <w:rsid w:val="001A3DFC"/>
    <w:rsid w:val="001A43FA"/>
    <w:rsid w:val="001A461D"/>
    <w:rsid w:val="001A47C5"/>
    <w:rsid w:val="001A4800"/>
    <w:rsid w:val="001A4852"/>
    <w:rsid w:val="001A48AA"/>
    <w:rsid w:val="001A4A98"/>
    <w:rsid w:val="001A4BE3"/>
    <w:rsid w:val="001A50FB"/>
    <w:rsid w:val="001A5197"/>
    <w:rsid w:val="001A5671"/>
    <w:rsid w:val="001A59FB"/>
    <w:rsid w:val="001A5A2E"/>
    <w:rsid w:val="001A5BE8"/>
    <w:rsid w:val="001A5E9E"/>
    <w:rsid w:val="001A5F55"/>
    <w:rsid w:val="001A605D"/>
    <w:rsid w:val="001A6354"/>
    <w:rsid w:val="001A6366"/>
    <w:rsid w:val="001A6652"/>
    <w:rsid w:val="001A6D15"/>
    <w:rsid w:val="001A6E71"/>
    <w:rsid w:val="001A6F1D"/>
    <w:rsid w:val="001A745F"/>
    <w:rsid w:val="001A77AA"/>
    <w:rsid w:val="001A7AE1"/>
    <w:rsid w:val="001A7AE8"/>
    <w:rsid w:val="001B0280"/>
    <w:rsid w:val="001B052E"/>
    <w:rsid w:val="001B0748"/>
    <w:rsid w:val="001B0917"/>
    <w:rsid w:val="001B0D8B"/>
    <w:rsid w:val="001B14DD"/>
    <w:rsid w:val="001B159B"/>
    <w:rsid w:val="001B18E3"/>
    <w:rsid w:val="001B1A78"/>
    <w:rsid w:val="001B1EBC"/>
    <w:rsid w:val="001B204E"/>
    <w:rsid w:val="001B2372"/>
    <w:rsid w:val="001B2454"/>
    <w:rsid w:val="001B291F"/>
    <w:rsid w:val="001B32D3"/>
    <w:rsid w:val="001B3443"/>
    <w:rsid w:val="001B350E"/>
    <w:rsid w:val="001B3865"/>
    <w:rsid w:val="001B3B8E"/>
    <w:rsid w:val="001B435D"/>
    <w:rsid w:val="001B4533"/>
    <w:rsid w:val="001B46F9"/>
    <w:rsid w:val="001B4767"/>
    <w:rsid w:val="001B4820"/>
    <w:rsid w:val="001B4B77"/>
    <w:rsid w:val="001B4C45"/>
    <w:rsid w:val="001B4D20"/>
    <w:rsid w:val="001B4E48"/>
    <w:rsid w:val="001B4F87"/>
    <w:rsid w:val="001B5A4C"/>
    <w:rsid w:val="001B5FC7"/>
    <w:rsid w:val="001B61BB"/>
    <w:rsid w:val="001B6415"/>
    <w:rsid w:val="001B671A"/>
    <w:rsid w:val="001B68DC"/>
    <w:rsid w:val="001B6C77"/>
    <w:rsid w:val="001B6DEC"/>
    <w:rsid w:val="001B7378"/>
    <w:rsid w:val="001B7534"/>
    <w:rsid w:val="001B7B15"/>
    <w:rsid w:val="001C09C5"/>
    <w:rsid w:val="001C0ADC"/>
    <w:rsid w:val="001C0F5E"/>
    <w:rsid w:val="001C130F"/>
    <w:rsid w:val="001C131F"/>
    <w:rsid w:val="001C176E"/>
    <w:rsid w:val="001C1A6B"/>
    <w:rsid w:val="001C1BB0"/>
    <w:rsid w:val="001C1CD5"/>
    <w:rsid w:val="001C1D6B"/>
    <w:rsid w:val="001C2021"/>
    <w:rsid w:val="001C21E6"/>
    <w:rsid w:val="001C286A"/>
    <w:rsid w:val="001C2A2E"/>
    <w:rsid w:val="001C2A9B"/>
    <w:rsid w:val="001C30FE"/>
    <w:rsid w:val="001C3519"/>
    <w:rsid w:val="001C3580"/>
    <w:rsid w:val="001C3760"/>
    <w:rsid w:val="001C3B06"/>
    <w:rsid w:val="001C405F"/>
    <w:rsid w:val="001C4299"/>
    <w:rsid w:val="001C45D4"/>
    <w:rsid w:val="001C4874"/>
    <w:rsid w:val="001C4D9F"/>
    <w:rsid w:val="001C51F0"/>
    <w:rsid w:val="001C53D4"/>
    <w:rsid w:val="001C54A5"/>
    <w:rsid w:val="001C5765"/>
    <w:rsid w:val="001C5897"/>
    <w:rsid w:val="001C5C2D"/>
    <w:rsid w:val="001C5F94"/>
    <w:rsid w:val="001C6127"/>
    <w:rsid w:val="001C62CE"/>
    <w:rsid w:val="001C6401"/>
    <w:rsid w:val="001C642E"/>
    <w:rsid w:val="001C66A2"/>
    <w:rsid w:val="001C6824"/>
    <w:rsid w:val="001C6BA8"/>
    <w:rsid w:val="001C6C4E"/>
    <w:rsid w:val="001C6E00"/>
    <w:rsid w:val="001C6E66"/>
    <w:rsid w:val="001C6E85"/>
    <w:rsid w:val="001C76F2"/>
    <w:rsid w:val="001C7CDC"/>
    <w:rsid w:val="001D0041"/>
    <w:rsid w:val="001D06BC"/>
    <w:rsid w:val="001D09BD"/>
    <w:rsid w:val="001D0DDE"/>
    <w:rsid w:val="001D0F45"/>
    <w:rsid w:val="001D0F75"/>
    <w:rsid w:val="001D1100"/>
    <w:rsid w:val="001D1391"/>
    <w:rsid w:val="001D15CA"/>
    <w:rsid w:val="001D1E7B"/>
    <w:rsid w:val="001D1FA2"/>
    <w:rsid w:val="001D20A5"/>
    <w:rsid w:val="001D23C4"/>
    <w:rsid w:val="001D25D7"/>
    <w:rsid w:val="001D2920"/>
    <w:rsid w:val="001D2934"/>
    <w:rsid w:val="001D3449"/>
    <w:rsid w:val="001D3469"/>
    <w:rsid w:val="001D3C74"/>
    <w:rsid w:val="001D3F06"/>
    <w:rsid w:val="001D3F81"/>
    <w:rsid w:val="001D403A"/>
    <w:rsid w:val="001D4558"/>
    <w:rsid w:val="001D4580"/>
    <w:rsid w:val="001D45EC"/>
    <w:rsid w:val="001D49EF"/>
    <w:rsid w:val="001D4AE8"/>
    <w:rsid w:val="001D4E6E"/>
    <w:rsid w:val="001D50B2"/>
    <w:rsid w:val="001D54F7"/>
    <w:rsid w:val="001D56A2"/>
    <w:rsid w:val="001D577F"/>
    <w:rsid w:val="001D5E3C"/>
    <w:rsid w:val="001D6905"/>
    <w:rsid w:val="001D6B6C"/>
    <w:rsid w:val="001D6CE7"/>
    <w:rsid w:val="001D6EBD"/>
    <w:rsid w:val="001D6F45"/>
    <w:rsid w:val="001D7338"/>
    <w:rsid w:val="001D7645"/>
    <w:rsid w:val="001D7945"/>
    <w:rsid w:val="001D7D20"/>
    <w:rsid w:val="001E042B"/>
    <w:rsid w:val="001E05CC"/>
    <w:rsid w:val="001E0744"/>
    <w:rsid w:val="001E075E"/>
    <w:rsid w:val="001E129E"/>
    <w:rsid w:val="001E1482"/>
    <w:rsid w:val="001E1B4B"/>
    <w:rsid w:val="001E1C71"/>
    <w:rsid w:val="001E1E86"/>
    <w:rsid w:val="001E2234"/>
    <w:rsid w:val="001E2242"/>
    <w:rsid w:val="001E238E"/>
    <w:rsid w:val="001E2483"/>
    <w:rsid w:val="001E2B1E"/>
    <w:rsid w:val="001E2CFF"/>
    <w:rsid w:val="001E2EB6"/>
    <w:rsid w:val="001E2F08"/>
    <w:rsid w:val="001E2F24"/>
    <w:rsid w:val="001E30D4"/>
    <w:rsid w:val="001E3197"/>
    <w:rsid w:val="001E337C"/>
    <w:rsid w:val="001E34DF"/>
    <w:rsid w:val="001E3AE8"/>
    <w:rsid w:val="001E3F41"/>
    <w:rsid w:val="001E4B9A"/>
    <w:rsid w:val="001E52EB"/>
    <w:rsid w:val="001E5386"/>
    <w:rsid w:val="001E57E1"/>
    <w:rsid w:val="001E586D"/>
    <w:rsid w:val="001E5AE9"/>
    <w:rsid w:val="001E5FB8"/>
    <w:rsid w:val="001E61D2"/>
    <w:rsid w:val="001E655F"/>
    <w:rsid w:val="001E6870"/>
    <w:rsid w:val="001E6ABB"/>
    <w:rsid w:val="001E6B48"/>
    <w:rsid w:val="001E708E"/>
    <w:rsid w:val="001E71D4"/>
    <w:rsid w:val="001E740C"/>
    <w:rsid w:val="001E7774"/>
    <w:rsid w:val="001E7AB2"/>
    <w:rsid w:val="001F017C"/>
    <w:rsid w:val="001F01DC"/>
    <w:rsid w:val="001F03CD"/>
    <w:rsid w:val="001F04E9"/>
    <w:rsid w:val="001F1235"/>
    <w:rsid w:val="001F12DB"/>
    <w:rsid w:val="001F1CB3"/>
    <w:rsid w:val="001F1F49"/>
    <w:rsid w:val="001F21E2"/>
    <w:rsid w:val="001F2395"/>
    <w:rsid w:val="001F2D44"/>
    <w:rsid w:val="001F2E70"/>
    <w:rsid w:val="001F2F3B"/>
    <w:rsid w:val="001F32F4"/>
    <w:rsid w:val="001F3307"/>
    <w:rsid w:val="001F35D5"/>
    <w:rsid w:val="001F374F"/>
    <w:rsid w:val="001F38B5"/>
    <w:rsid w:val="001F3B60"/>
    <w:rsid w:val="001F3DB3"/>
    <w:rsid w:val="001F4081"/>
    <w:rsid w:val="001F4822"/>
    <w:rsid w:val="001F489C"/>
    <w:rsid w:val="001F49C8"/>
    <w:rsid w:val="001F4B9B"/>
    <w:rsid w:val="001F5C1E"/>
    <w:rsid w:val="001F6229"/>
    <w:rsid w:val="001F644C"/>
    <w:rsid w:val="001F6469"/>
    <w:rsid w:val="001F64A2"/>
    <w:rsid w:val="001F64DE"/>
    <w:rsid w:val="001F658F"/>
    <w:rsid w:val="001F65FF"/>
    <w:rsid w:val="001F66D6"/>
    <w:rsid w:val="001F69D2"/>
    <w:rsid w:val="001F6AF5"/>
    <w:rsid w:val="001F6F5D"/>
    <w:rsid w:val="001F70DE"/>
    <w:rsid w:val="001F71DB"/>
    <w:rsid w:val="001F7361"/>
    <w:rsid w:val="001F74CB"/>
    <w:rsid w:val="001F7519"/>
    <w:rsid w:val="00200367"/>
    <w:rsid w:val="00200521"/>
    <w:rsid w:val="002008E2"/>
    <w:rsid w:val="00200ECE"/>
    <w:rsid w:val="002011B0"/>
    <w:rsid w:val="00201280"/>
    <w:rsid w:val="00201613"/>
    <w:rsid w:val="00201C0B"/>
    <w:rsid w:val="002024DC"/>
    <w:rsid w:val="002027CC"/>
    <w:rsid w:val="00203181"/>
    <w:rsid w:val="00203783"/>
    <w:rsid w:val="002037B0"/>
    <w:rsid w:val="0020385F"/>
    <w:rsid w:val="00203C7E"/>
    <w:rsid w:val="00204135"/>
    <w:rsid w:val="0020415A"/>
    <w:rsid w:val="0020430E"/>
    <w:rsid w:val="00205049"/>
    <w:rsid w:val="0020524C"/>
    <w:rsid w:val="00205B4B"/>
    <w:rsid w:val="00205D7E"/>
    <w:rsid w:val="00205F7A"/>
    <w:rsid w:val="002066BF"/>
    <w:rsid w:val="002068A0"/>
    <w:rsid w:val="002069A4"/>
    <w:rsid w:val="00206E88"/>
    <w:rsid w:val="00207021"/>
    <w:rsid w:val="0020732F"/>
    <w:rsid w:val="002079E3"/>
    <w:rsid w:val="00207B8A"/>
    <w:rsid w:val="00207CB6"/>
    <w:rsid w:val="00207D00"/>
    <w:rsid w:val="00207EED"/>
    <w:rsid w:val="002101D7"/>
    <w:rsid w:val="002105C1"/>
    <w:rsid w:val="00210892"/>
    <w:rsid w:val="00210B95"/>
    <w:rsid w:val="00210DA4"/>
    <w:rsid w:val="00210E11"/>
    <w:rsid w:val="00212125"/>
    <w:rsid w:val="00212307"/>
    <w:rsid w:val="0021273E"/>
    <w:rsid w:val="00212C12"/>
    <w:rsid w:val="00212CC2"/>
    <w:rsid w:val="00212F6A"/>
    <w:rsid w:val="00213021"/>
    <w:rsid w:val="00213CA4"/>
    <w:rsid w:val="00213CC4"/>
    <w:rsid w:val="00213EF5"/>
    <w:rsid w:val="00214CF5"/>
    <w:rsid w:val="00215488"/>
    <w:rsid w:val="00215A26"/>
    <w:rsid w:val="00216165"/>
    <w:rsid w:val="002161F2"/>
    <w:rsid w:val="0021625D"/>
    <w:rsid w:val="00216BF5"/>
    <w:rsid w:val="00216C84"/>
    <w:rsid w:val="0021718A"/>
    <w:rsid w:val="0021762D"/>
    <w:rsid w:val="00217663"/>
    <w:rsid w:val="00217932"/>
    <w:rsid w:val="00217EF5"/>
    <w:rsid w:val="002208B6"/>
    <w:rsid w:val="00221D4D"/>
    <w:rsid w:val="00221DCD"/>
    <w:rsid w:val="00222A07"/>
    <w:rsid w:val="00222B2A"/>
    <w:rsid w:val="00222B36"/>
    <w:rsid w:val="0022306F"/>
    <w:rsid w:val="00223B49"/>
    <w:rsid w:val="00223D5A"/>
    <w:rsid w:val="002244CE"/>
    <w:rsid w:val="00224DD4"/>
    <w:rsid w:val="002255EC"/>
    <w:rsid w:val="002258A4"/>
    <w:rsid w:val="00225D70"/>
    <w:rsid w:val="00225EE1"/>
    <w:rsid w:val="00225F73"/>
    <w:rsid w:val="00226521"/>
    <w:rsid w:val="0022709C"/>
    <w:rsid w:val="002271D4"/>
    <w:rsid w:val="002277B0"/>
    <w:rsid w:val="002278A0"/>
    <w:rsid w:val="00227B6B"/>
    <w:rsid w:val="00230264"/>
    <w:rsid w:val="002309CC"/>
    <w:rsid w:val="002313DD"/>
    <w:rsid w:val="0023148F"/>
    <w:rsid w:val="002316B2"/>
    <w:rsid w:val="002318F1"/>
    <w:rsid w:val="002318F2"/>
    <w:rsid w:val="0023198E"/>
    <w:rsid w:val="00231EAB"/>
    <w:rsid w:val="00231EBC"/>
    <w:rsid w:val="00231EF8"/>
    <w:rsid w:val="0023209F"/>
    <w:rsid w:val="002321A0"/>
    <w:rsid w:val="002323B8"/>
    <w:rsid w:val="0023253E"/>
    <w:rsid w:val="00232C50"/>
    <w:rsid w:val="00233125"/>
    <w:rsid w:val="002331F6"/>
    <w:rsid w:val="0023326A"/>
    <w:rsid w:val="002334FE"/>
    <w:rsid w:val="00233C01"/>
    <w:rsid w:val="00233D52"/>
    <w:rsid w:val="0023413C"/>
    <w:rsid w:val="002345A9"/>
    <w:rsid w:val="002345C8"/>
    <w:rsid w:val="0023465D"/>
    <w:rsid w:val="002346F0"/>
    <w:rsid w:val="00234911"/>
    <w:rsid w:val="0023513A"/>
    <w:rsid w:val="0023579F"/>
    <w:rsid w:val="00235B95"/>
    <w:rsid w:val="00235DBD"/>
    <w:rsid w:val="00235F36"/>
    <w:rsid w:val="0023629D"/>
    <w:rsid w:val="0023645F"/>
    <w:rsid w:val="0023653B"/>
    <w:rsid w:val="00237255"/>
    <w:rsid w:val="002374DA"/>
    <w:rsid w:val="00237850"/>
    <w:rsid w:val="00237B8D"/>
    <w:rsid w:val="00237CAE"/>
    <w:rsid w:val="00237EBC"/>
    <w:rsid w:val="00237F96"/>
    <w:rsid w:val="0024029B"/>
    <w:rsid w:val="00240F10"/>
    <w:rsid w:val="00241B16"/>
    <w:rsid w:val="00241B58"/>
    <w:rsid w:val="00241E2E"/>
    <w:rsid w:val="00241F9C"/>
    <w:rsid w:val="002424AF"/>
    <w:rsid w:val="002427E5"/>
    <w:rsid w:val="00242804"/>
    <w:rsid w:val="00242837"/>
    <w:rsid w:val="00242886"/>
    <w:rsid w:val="00242E5B"/>
    <w:rsid w:val="00242EE9"/>
    <w:rsid w:val="00243215"/>
    <w:rsid w:val="0024364C"/>
    <w:rsid w:val="002436A8"/>
    <w:rsid w:val="002437AD"/>
    <w:rsid w:val="002437EB"/>
    <w:rsid w:val="002439DC"/>
    <w:rsid w:val="00243A54"/>
    <w:rsid w:val="0024413D"/>
    <w:rsid w:val="002441D2"/>
    <w:rsid w:val="00244AAD"/>
    <w:rsid w:val="00244DC8"/>
    <w:rsid w:val="00244E2F"/>
    <w:rsid w:val="00244F35"/>
    <w:rsid w:val="0024520D"/>
    <w:rsid w:val="00245747"/>
    <w:rsid w:val="002458BA"/>
    <w:rsid w:val="00245CE9"/>
    <w:rsid w:val="0024636C"/>
    <w:rsid w:val="00246664"/>
    <w:rsid w:val="00246BDC"/>
    <w:rsid w:val="00246CC9"/>
    <w:rsid w:val="00247753"/>
    <w:rsid w:val="00247925"/>
    <w:rsid w:val="00247E3D"/>
    <w:rsid w:val="00250242"/>
    <w:rsid w:val="00250420"/>
    <w:rsid w:val="00251006"/>
    <w:rsid w:val="0025108A"/>
    <w:rsid w:val="0025108C"/>
    <w:rsid w:val="0025121A"/>
    <w:rsid w:val="00251817"/>
    <w:rsid w:val="002520F5"/>
    <w:rsid w:val="002524D5"/>
    <w:rsid w:val="002528B6"/>
    <w:rsid w:val="002539EB"/>
    <w:rsid w:val="00253B1D"/>
    <w:rsid w:val="00253C90"/>
    <w:rsid w:val="00253FC0"/>
    <w:rsid w:val="00254A2D"/>
    <w:rsid w:val="00254DCF"/>
    <w:rsid w:val="0025505C"/>
    <w:rsid w:val="002551D7"/>
    <w:rsid w:val="002551F4"/>
    <w:rsid w:val="0025534B"/>
    <w:rsid w:val="00255534"/>
    <w:rsid w:val="00255790"/>
    <w:rsid w:val="00255983"/>
    <w:rsid w:val="00255BB7"/>
    <w:rsid w:val="0025632A"/>
    <w:rsid w:val="002564BE"/>
    <w:rsid w:val="00256710"/>
    <w:rsid w:val="002568AD"/>
    <w:rsid w:val="00256F43"/>
    <w:rsid w:val="00256FF9"/>
    <w:rsid w:val="00257541"/>
    <w:rsid w:val="00257A39"/>
    <w:rsid w:val="00257AC4"/>
    <w:rsid w:val="00257D79"/>
    <w:rsid w:val="00257E38"/>
    <w:rsid w:val="00257EBF"/>
    <w:rsid w:val="00257F26"/>
    <w:rsid w:val="00260451"/>
    <w:rsid w:val="00260F58"/>
    <w:rsid w:val="00261752"/>
    <w:rsid w:val="00261A3C"/>
    <w:rsid w:val="00261CBB"/>
    <w:rsid w:val="00261EEF"/>
    <w:rsid w:val="00262A1A"/>
    <w:rsid w:val="00262A87"/>
    <w:rsid w:val="00263021"/>
    <w:rsid w:val="002635A2"/>
    <w:rsid w:val="00263AB2"/>
    <w:rsid w:val="00263BF0"/>
    <w:rsid w:val="00263D37"/>
    <w:rsid w:val="00264063"/>
    <w:rsid w:val="00264B1E"/>
    <w:rsid w:val="00264D26"/>
    <w:rsid w:val="002656C0"/>
    <w:rsid w:val="00265ABC"/>
    <w:rsid w:val="00265C64"/>
    <w:rsid w:val="00265F7C"/>
    <w:rsid w:val="00266DD1"/>
    <w:rsid w:val="00267642"/>
    <w:rsid w:val="0026794B"/>
    <w:rsid w:val="00267A9D"/>
    <w:rsid w:val="00267AEA"/>
    <w:rsid w:val="002700E6"/>
    <w:rsid w:val="00270A47"/>
    <w:rsid w:val="00271B27"/>
    <w:rsid w:val="0027226E"/>
    <w:rsid w:val="00272356"/>
    <w:rsid w:val="002725D4"/>
    <w:rsid w:val="00272776"/>
    <w:rsid w:val="0027294B"/>
    <w:rsid w:val="00272A1B"/>
    <w:rsid w:val="00272BA5"/>
    <w:rsid w:val="0027303A"/>
    <w:rsid w:val="002730C8"/>
    <w:rsid w:val="0027343B"/>
    <w:rsid w:val="00273461"/>
    <w:rsid w:val="00273664"/>
    <w:rsid w:val="002738DE"/>
    <w:rsid w:val="00273EB4"/>
    <w:rsid w:val="00273F2E"/>
    <w:rsid w:val="00273FB9"/>
    <w:rsid w:val="00274682"/>
    <w:rsid w:val="00274909"/>
    <w:rsid w:val="00274E6B"/>
    <w:rsid w:val="0027535D"/>
    <w:rsid w:val="00275C5A"/>
    <w:rsid w:val="00275E90"/>
    <w:rsid w:val="00276680"/>
    <w:rsid w:val="00276742"/>
    <w:rsid w:val="00276A49"/>
    <w:rsid w:val="00276B36"/>
    <w:rsid w:val="00276DC9"/>
    <w:rsid w:val="00276E18"/>
    <w:rsid w:val="00277958"/>
    <w:rsid w:val="00277F0F"/>
    <w:rsid w:val="002800F3"/>
    <w:rsid w:val="00280743"/>
    <w:rsid w:val="00280B69"/>
    <w:rsid w:val="00281014"/>
    <w:rsid w:val="00281176"/>
    <w:rsid w:val="00281464"/>
    <w:rsid w:val="002818C2"/>
    <w:rsid w:val="002818F9"/>
    <w:rsid w:val="00281E85"/>
    <w:rsid w:val="00281F65"/>
    <w:rsid w:val="002823AC"/>
    <w:rsid w:val="0028262B"/>
    <w:rsid w:val="00282654"/>
    <w:rsid w:val="00282662"/>
    <w:rsid w:val="00282F00"/>
    <w:rsid w:val="0028394D"/>
    <w:rsid w:val="002840F3"/>
    <w:rsid w:val="00284223"/>
    <w:rsid w:val="00284428"/>
    <w:rsid w:val="0028451A"/>
    <w:rsid w:val="00284B50"/>
    <w:rsid w:val="002850B7"/>
    <w:rsid w:val="0028526C"/>
    <w:rsid w:val="0028558F"/>
    <w:rsid w:val="00286037"/>
    <w:rsid w:val="0028607E"/>
    <w:rsid w:val="0028665D"/>
    <w:rsid w:val="00286BC6"/>
    <w:rsid w:val="00286EE1"/>
    <w:rsid w:val="00287107"/>
    <w:rsid w:val="002871B4"/>
    <w:rsid w:val="0028732F"/>
    <w:rsid w:val="0028733A"/>
    <w:rsid w:val="00287D74"/>
    <w:rsid w:val="00287DD9"/>
    <w:rsid w:val="002901EE"/>
    <w:rsid w:val="002907D6"/>
    <w:rsid w:val="0029084B"/>
    <w:rsid w:val="00291144"/>
    <w:rsid w:val="0029137B"/>
    <w:rsid w:val="002915A7"/>
    <w:rsid w:val="002916F7"/>
    <w:rsid w:val="00291BC0"/>
    <w:rsid w:val="002925DB"/>
    <w:rsid w:val="00292708"/>
    <w:rsid w:val="00292C55"/>
    <w:rsid w:val="00292E80"/>
    <w:rsid w:val="00292FA9"/>
    <w:rsid w:val="00293123"/>
    <w:rsid w:val="002932AF"/>
    <w:rsid w:val="00293832"/>
    <w:rsid w:val="00293D8E"/>
    <w:rsid w:val="00294194"/>
    <w:rsid w:val="00294591"/>
    <w:rsid w:val="00294A52"/>
    <w:rsid w:val="00294B8F"/>
    <w:rsid w:val="00294D47"/>
    <w:rsid w:val="00294D99"/>
    <w:rsid w:val="0029529A"/>
    <w:rsid w:val="00295842"/>
    <w:rsid w:val="00295940"/>
    <w:rsid w:val="00295AFF"/>
    <w:rsid w:val="0029651B"/>
    <w:rsid w:val="00296BE3"/>
    <w:rsid w:val="00297B54"/>
    <w:rsid w:val="00297C6F"/>
    <w:rsid w:val="00297DD0"/>
    <w:rsid w:val="00297E12"/>
    <w:rsid w:val="002A0653"/>
    <w:rsid w:val="002A0A62"/>
    <w:rsid w:val="002A0B3F"/>
    <w:rsid w:val="002A0E00"/>
    <w:rsid w:val="002A1174"/>
    <w:rsid w:val="002A12CC"/>
    <w:rsid w:val="002A14AB"/>
    <w:rsid w:val="002A1A24"/>
    <w:rsid w:val="002A1B1E"/>
    <w:rsid w:val="002A1D94"/>
    <w:rsid w:val="002A1DC5"/>
    <w:rsid w:val="002A23EE"/>
    <w:rsid w:val="002A24C7"/>
    <w:rsid w:val="002A2958"/>
    <w:rsid w:val="002A2ADE"/>
    <w:rsid w:val="002A2C91"/>
    <w:rsid w:val="002A2F50"/>
    <w:rsid w:val="002A38D9"/>
    <w:rsid w:val="002A39C9"/>
    <w:rsid w:val="002A4676"/>
    <w:rsid w:val="002A46CB"/>
    <w:rsid w:val="002A4810"/>
    <w:rsid w:val="002A57EB"/>
    <w:rsid w:val="002A6185"/>
    <w:rsid w:val="002A6447"/>
    <w:rsid w:val="002A6913"/>
    <w:rsid w:val="002A6C03"/>
    <w:rsid w:val="002A737E"/>
    <w:rsid w:val="002A7B8A"/>
    <w:rsid w:val="002A7D98"/>
    <w:rsid w:val="002B0207"/>
    <w:rsid w:val="002B03A6"/>
    <w:rsid w:val="002B05A1"/>
    <w:rsid w:val="002B07BA"/>
    <w:rsid w:val="002B0833"/>
    <w:rsid w:val="002B09A4"/>
    <w:rsid w:val="002B0BD9"/>
    <w:rsid w:val="002B0E19"/>
    <w:rsid w:val="002B0FB5"/>
    <w:rsid w:val="002B10A9"/>
    <w:rsid w:val="002B13C3"/>
    <w:rsid w:val="002B1C1F"/>
    <w:rsid w:val="002B215F"/>
    <w:rsid w:val="002B27E7"/>
    <w:rsid w:val="002B2894"/>
    <w:rsid w:val="002B2A84"/>
    <w:rsid w:val="002B2ACA"/>
    <w:rsid w:val="002B2C6C"/>
    <w:rsid w:val="002B2DBC"/>
    <w:rsid w:val="002B2EA0"/>
    <w:rsid w:val="002B3303"/>
    <w:rsid w:val="002B3B9A"/>
    <w:rsid w:val="002B432F"/>
    <w:rsid w:val="002B4642"/>
    <w:rsid w:val="002B49B9"/>
    <w:rsid w:val="002B502C"/>
    <w:rsid w:val="002B518F"/>
    <w:rsid w:val="002B5736"/>
    <w:rsid w:val="002B5797"/>
    <w:rsid w:val="002B62B3"/>
    <w:rsid w:val="002B6561"/>
    <w:rsid w:val="002B6754"/>
    <w:rsid w:val="002B6958"/>
    <w:rsid w:val="002B6985"/>
    <w:rsid w:val="002B6CCE"/>
    <w:rsid w:val="002B7522"/>
    <w:rsid w:val="002C00AC"/>
    <w:rsid w:val="002C029D"/>
    <w:rsid w:val="002C0321"/>
    <w:rsid w:val="002C0CC2"/>
    <w:rsid w:val="002C0E7F"/>
    <w:rsid w:val="002C1468"/>
    <w:rsid w:val="002C14F8"/>
    <w:rsid w:val="002C1735"/>
    <w:rsid w:val="002C1959"/>
    <w:rsid w:val="002C1ACD"/>
    <w:rsid w:val="002C1B4E"/>
    <w:rsid w:val="002C1E1C"/>
    <w:rsid w:val="002C20EC"/>
    <w:rsid w:val="002C2510"/>
    <w:rsid w:val="002C2775"/>
    <w:rsid w:val="002C27C1"/>
    <w:rsid w:val="002C2C34"/>
    <w:rsid w:val="002C2E2B"/>
    <w:rsid w:val="002C364F"/>
    <w:rsid w:val="002C387E"/>
    <w:rsid w:val="002C392B"/>
    <w:rsid w:val="002C3B42"/>
    <w:rsid w:val="002C3B7C"/>
    <w:rsid w:val="002C3C3E"/>
    <w:rsid w:val="002C4684"/>
    <w:rsid w:val="002C472F"/>
    <w:rsid w:val="002C475F"/>
    <w:rsid w:val="002C5099"/>
    <w:rsid w:val="002C5889"/>
    <w:rsid w:val="002C5996"/>
    <w:rsid w:val="002C5A62"/>
    <w:rsid w:val="002C5EAE"/>
    <w:rsid w:val="002C60BA"/>
    <w:rsid w:val="002C6248"/>
    <w:rsid w:val="002C702C"/>
    <w:rsid w:val="002C71CE"/>
    <w:rsid w:val="002C7457"/>
    <w:rsid w:val="002C759F"/>
    <w:rsid w:val="002C7CA6"/>
    <w:rsid w:val="002C7F08"/>
    <w:rsid w:val="002D08AF"/>
    <w:rsid w:val="002D08F8"/>
    <w:rsid w:val="002D0BBD"/>
    <w:rsid w:val="002D0BF5"/>
    <w:rsid w:val="002D0C51"/>
    <w:rsid w:val="002D11C9"/>
    <w:rsid w:val="002D15CA"/>
    <w:rsid w:val="002D1773"/>
    <w:rsid w:val="002D1C9E"/>
    <w:rsid w:val="002D2430"/>
    <w:rsid w:val="002D2A2B"/>
    <w:rsid w:val="002D2ACC"/>
    <w:rsid w:val="002D309B"/>
    <w:rsid w:val="002D37D6"/>
    <w:rsid w:val="002D3BF1"/>
    <w:rsid w:val="002D3C7B"/>
    <w:rsid w:val="002D3D7B"/>
    <w:rsid w:val="002D41F0"/>
    <w:rsid w:val="002D577C"/>
    <w:rsid w:val="002D5B6B"/>
    <w:rsid w:val="002D656E"/>
    <w:rsid w:val="002D6620"/>
    <w:rsid w:val="002D6F45"/>
    <w:rsid w:val="002D72E9"/>
    <w:rsid w:val="002D78F6"/>
    <w:rsid w:val="002D7EE9"/>
    <w:rsid w:val="002E007B"/>
    <w:rsid w:val="002E04CF"/>
    <w:rsid w:val="002E0C7F"/>
    <w:rsid w:val="002E0E03"/>
    <w:rsid w:val="002E1071"/>
    <w:rsid w:val="002E13B9"/>
    <w:rsid w:val="002E15B9"/>
    <w:rsid w:val="002E1784"/>
    <w:rsid w:val="002E17F6"/>
    <w:rsid w:val="002E1820"/>
    <w:rsid w:val="002E1F4C"/>
    <w:rsid w:val="002E2158"/>
    <w:rsid w:val="002E2539"/>
    <w:rsid w:val="002E2EA9"/>
    <w:rsid w:val="002E388A"/>
    <w:rsid w:val="002E3A08"/>
    <w:rsid w:val="002E4296"/>
    <w:rsid w:val="002E4397"/>
    <w:rsid w:val="002E45BC"/>
    <w:rsid w:val="002E46FB"/>
    <w:rsid w:val="002E4961"/>
    <w:rsid w:val="002E4D69"/>
    <w:rsid w:val="002E4E32"/>
    <w:rsid w:val="002E4F02"/>
    <w:rsid w:val="002E50D5"/>
    <w:rsid w:val="002E5329"/>
    <w:rsid w:val="002E5522"/>
    <w:rsid w:val="002E57DC"/>
    <w:rsid w:val="002E58DA"/>
    <w:rsid w:val="002E58F5"/>
    <w:rsid w:val="002E5E9C"/>
    <w:rsid w:val="002E6133"/>
    <w:rsid w:val="002E7447"/>
    <w:rsid w:val="002E7576"/>
    <w:rsid w:val="002E7722"/>
    <w:rsid w:val="002E7747"/>
    <w:rsid w:val="002E785F"/>
    <w:rsid w:val="002E7AE1"/>
    <w:rsid w:val="002F07BA"/>
    <w:rsid w:val="002F0BBF"/>
    <w:rsid w:val="002F0CC0"/>
    <w:rsid w:val="002F0CC6"/>
    <w:rsid w:val="002F0DA9"/>
    <w:rsid w:val="002F1014"/>
    <w:rsid w:val="002F10D4"/>
    <w:rsid w:val="002F1371"/>
    <w:rsid w:val="002F18A1"/>
    <w:rsid w:val="002F1BFE"/>
    <w:rsid w:val="002F21F0"/>
    <w:rsid w:val="002F3F94"/>
    <w:rsid w:val="002F3FDC"/>
    <w:rsid w:val="002F4152"/>
    <w:rsid w:val="002F4854"/>
    <w:rsid w:val="002F4987"/>
    <w:rsid w:val="002F53E9"/>
    <w:rsid w:val="002F554C"/>
    <w:rsid w:val="002F63F7"/>
    <w:rsid w:val="002F643C"/>
    <w:rsid w:val="002F65DE"/>
    <w:rsid w:val="002F669F"/>
    <w:rsid w:val="002F6773"/>
    <w:rsid w:val="002F71C0"/>
    <w:rsid w:val="002F74F1"/>
    <w:rsid w:val="002F765B"/>
    <w:rsid w:val="002F7854"/>
    <w:rsid w:val="002F7B1C"/>
    <w:rsid w:val="0030010A"/>
    <w:rsid w:val="003009D5"/>
    <w:rsid w:val="00300B2B"/>
    <w:rsid w:val="00301017"/>
    <w:rsid w:val="00301098"/>
    <w:rsid w:val="00301388"/>
    <w:rsid w:val="0030150D"/>
    <w:rsid w:val="0030155F"/>
    <w:rsid w:val="003019B8"/>
    <w:rsid w:val="00302B1D"/>
    <w:rsid w:val="0030358E"/>
    <w:rsid w:val="003037C4"/>
    <w:rsid w:val="00303AAD"/>
    <w:rsid w:val="00303D07"/>
    <w:rsid w:val="00303F46"/>
    <w:rsid w:val="00303FAB"/>
    <w:rsid w:val="003042AC"/>
    <w:rsid w:val="0030470D"/>
    <w:rsid w:val="00304CEC"/>
    <w:rsid w:val="00304E0A"/>
    <w:rsid w:val="00304E2A"/>
    <w:rsid w:val="00305081"/>
    <w:rsid w:val="003057B0"/>
    <w:rsid w:val="0030587B"/>
    <w:rsid w:val="00305B6E"/>
    <w:rsid w:val="00305E53"/>
    <w:rsid w:val="0030616C"/>
    <w:rsid w:val="003064EA"/>
    <w:rsid w:val="00306CD9"/>
    <w:rsid w:val="00306D62"/>
    <w:rsid w:val="00306D98"/>
    <w:rsid w:val="00307317"/>
    <w:rsid w:val="0030786C"/>
    <w:rsid w:val="00307A56"/>
    <w:rsid w:val="00307BAE"/>
    <w:rsid w:val="00307F94"/>
    <w:rsid w:val="0031031A"/>
    <w:rsid w:val="0031046D"/>
    <w:rsid w:val="00310981"/>
    <w:rsid w:val="0031108D"/>
    <w:rsid w:val="0031112F"/>
    <w:rsid w:val="00311162"/>
    <w:rsid w:val="00311337"/>
    <w:rsid w:val="003124D9"/>
    <w:rsid w:val="00312594"/>
    <w:rsid w:val="003125F4"/>
    <w:rsid w:val="0031291C"/>
    <w:rsid w:val="00312B41"/>
    <w:rsid w:val="00312BBB"/>
    <w:rsid w:val="003132B3"/>
    <w:rsid w:val="00313F4D"/>
    <w:rsid w:val="0031401E"/>
    <w:rsid w:val="0031420F"/>
    <w:rsid w:val="003143E5"/>
    <w:rsid w:val="00315498"/>
    <w:rsid w:val="00315A72"/>
    <w:rsid w:val="00315AF8"/>
    <w:rsid w:val="00316292"/>
    <w:rsid w:val="00316474"/>
    <w:rsid w:val="003169E0"/>
    <w:rsid w:val="00316CEC"/>
    <w:rsid w:val="00317067"/>
    <w:rsid w:val="003171DC"/>
    <w:rsid w:val="0031769D"/>
    <w:rsid w:val="00321373"/>
    <w:rsid w:val="00321450"/>
    <w:rsid w:val="00321710"/>
    <w:rsid w:val="00321BAF"/>
    <w:rsid w:val="00322107"/>
    <w:rsid w:val="00322355"/>
    <w:rsid w:val="00322846"/>
    <w:rsid w:val="003229C9"/>
    <w:rsid w:val="00322EBF"/>
    <w:rsid w:val="003231C4"/>
    <w:rsid w:val="00323B38"/>
    <w:rsid w:val="00323CFB"/>
    <w:rsid w:val="00323FD7"/>
    <w:rsid w:val="0032409F"/>
    <w:rsid w:val="00324346"/>
    <w:rsid w:val="003245C1"/>
    <w:rsid w:val="003251DF"/>
    <w:rsid w:val="003253E9"/>
    <w:rsid w:val="00325A2F"/>
    <w:rsid w:val="00325A65"/>
    <w:rsid w:val="0032629A"/>
    <w:rsid w:val="003262F3"/>
    <w:rsid w:val="00326C58"/>
    <w:rsid w:val="00326DA7"/>
    <w:rsid w:val="003270E4"/>
    <w:rsid w:val="003277CD"/>
    <w:rsid w:val="00327E05"/>
    <w:rsid w:val="00330AD7"/>
    <w:rsid w:val="00330DAA"/>
    <w:rsid w:val="00330F5C"/>
    <w:rsid w:val="003319BF"/>
    <w:rsid w:val="00331BFF"/>
    <w:rsid w:val="00331C07"/>
    <w:rsid w:val="00331D1A"/>
    <w:rsid w:val="00331EDF"/>
    <w:rsid w:val="003323E1"/>
    <w:rsid w:val="00332D24"/>
    <w:rsid w:val="00332E92"/>
    <w:rsid w:val="00333211"/>
    <w:rsid w:val="0033342B"/>
    <w:rsid w:val="0033361C"/>
    <w:rsid w:val="003337E0"/>
    <w:rsid w:val="00333965"/>
    <w:rsid w:val="00333A5F"/>
    <w:rsid w:val="003343A5"/>
    <w:rsid w:val="00334769"/>
    <w:rsid w:val="003350FF"/>
    <w:rsid w:val="003351AB"/>
    <w:rsid w:val="00335C1E"/>
    <w:rsid w:val="00335E21"/>
    <w:rsid w:val="00335F7D"/>
    <w:rsid w:val="0033632B"/>
    <w:rsid w:val="003363CD"/>
    <w:rsid w:val="0033650E"/>
    <w:rsid w:val="0033664F"/>
    <w:rsid w:val="003366C9"/>
    <w:rsid w:val="003366CE"/>
    <w:rsid w:val="00336832"/>
    <w:rsid w:val="00336B6D"/>
    <w:rsid w:val="00336D7A"/>
    <w:rsid w:val="00336EA8"/>
    <w:rsid w:val="003371B0"/>
    <w:rsid w:val="003375E5"/>
    <w:rsid w:val="00340286"/>
    <w:rsid w:val="00340634"/>
    <w:rsid w:val="00340DF1"/>
    <w:rsid w:val="00340E3E"/>
    <w:rsid w:val="00341001"/>
    <w:rsid w:val="00341282"/>
    <w:rsid w:val="003417A4"/>
    <w:rsid w:val="003417EB"/>
    <w:rsid w:val="003419C3"/>
    <w:rsid w:val="00341A2E"/>
    <w:rsid w:val="00341A83"/>
    <w:rsid w:val="00342179"/>
    <w:rsid w:val="0034248E"/>
    <w:rsid w:val="00342856"/>
    <w:rsid w:val="003428C8"/>
    <w:rsid w:val="003429AB"/>
    <w:rsid w:val="00342EF6"/>
    <w:rsid w:val="003431C8"/>
    <w:rsid w:val="00343443"/>
    <w:rsid w:val="0034349A"/>
    <w:rsid w:val="0034374A"/>
    <w:rsid w:val="00343777"/>
    <w:rsid w:val="00343B31"/>
    <w:rsid w:val="00343DF8"/>
    <w:rsid w:val="00343E64"/>
    <w:rsid w:val="00343EB3"/>
    <w:rsid w:val="003440B5"/>
    <w:rsid w:val="00344107"/>
    <w:rsid w:val="003448A4"/>
    <w:rsid w:val="0034496E"/>
    <w:rsid w:val="00344F67"/>
    <w:rsid w:val="00345653"/>
    <w:rsid w:val="003459B5"/>
    <w:rsid w:val="00345A80"/>
    <w:rsid w:val="0034624F"/>
    <w:rsid w:val="00346577"/>
    <w:rsid w:val="0034659A"/>
    <w:rsid w:val="003468B8"/>
    <w:rsid w:val="003468F9"/>
    <w:rsid w:val="00346CDF"/>
    <w:rsid w:val="00346D10"/>
    <w:rsid w:val="00346D31"/>
    <w:rsid w:val="00346E9D"/>
    <w:rsid w:val="00346FB3"/>
    <w:rsid w:val="003473BD"/>
    <w:rsid w:val="00347C03"/>
    <w:rsid w:val="00347D5A"/>
    <w:rsid w:val="0035027B"/>
    <w:rsid w:val="003505E6"/>
    <w:rsid w:val="00350812"/>
    <w:rsid w:val="003508AA"/>
    <w:rsid w:val="0035092C"/>
    <w:rsid w:val="00350C99"/>
    <w:rsid w:val="003510E9"/>
    <w:rsid w:val="0035113D"/>
    <w:rsid w:val="003517F9"/>
    <w:rsid w:val="003518D7"/>
    <w:rsid w:val="00351B8D"/>
    <w:rsid w:val="00351BA9"/>
    <w:rsid w:val="0035204E"/>
    <w:rsid w:val="00352572"/>
    <w:rsid w:val="00352B2B"/>
    <w:rsid w:val="003531ED"/>
    <w:rsid w:val="00353BE2"/>
    <w:rsid w:val="00354C55"/>
    <w:rsid w:val="00354F42"/>
    <w:rsid w:val="00354F64"/>
    <w:rsid w:val="00354FBE"/>
    <w:rsid w:val="003555FF"/>
    <w:rsid w:val="00355AB4"/>
    <w:rsid w:val="00355C31"/>
    <w:rsid w:val="00355DFF"/>
    <w:rsid w:val="00355E4F"/>
    <w:rsid w:val="0035620E"/>
    <w:rsid w:val="0035670B"/>
    <w:rsid w:val="00356949"/>
    <w:rsid w:val="00356EF7"/>
    <w:rsid w:val="00356F62"/>
    <w:rsid w:val="00356FF7"/>
    <w:rsid w:val="0035727C"/>
    <w:rsid w:val="00357B03"/>
    <w:rsid w:val="00360345"/>
    <w:rsid w:val="0036039C"/>
    <w:rsid w:val="003603EA"/>
    <w:rsid w:val="00360451"/>
    <w:rsid w:val="00360D5E"/>
    <w:rsid w:val="00361955"/>
    <w:rsid w:val="00361A05"/>
    <w:rsid w:val="00361B08"/>
    <w:rsid w:val="003620FB"/>
    <w:rsid w:val="003621FA"/>
    <w:rsid w:val="003624C4"/>
    <w:rsid w:val="00362764"/>
    <w:rsid w:val="00362CE7"/>
    <w:rsid w:val="0036360F"/>
    <w:rsid w:val="00363AE7"/>
    <w:rsid w:val="00363B00"/>
    <w:rsid w:val="00363D6D"/>
    <w:rsid w:val="003640EA"/>
    <w:rsid w:val="00364186"/>
    <w:rsid w:val="0036437D"/>
    <w:rsid w:val="003647D1"/>
    <w:rsid w:val="00364A22"/>
    <w:rsid w:val="00365400"/>
    <w:rsid w:val="003654AC"/>
    <w:rsid w:val="00365A3A"/>
    <w:rsid w:val="00365B18"/>
    <w:rsid w:val="0036629A"/>
    <w:rsid w:val="00366353"/>
    <w:rsid w:val="00366807"/>
    <w:rsid w:val="00366829"/>
    <w:rsid w:val="0036688D"/>
    <w:rsid w:val="003670C7"/>
    <w:rsid w:val="0036725E"/>
    <w:rsid w:val="003672F5"/>
    <w:rsid w:val="00367BFD"/>
    <w:rsid w:val="00367C16"/>
    <w:rsid w:val="00367C17"/>
    <w:rsid w:val="00367C3D"/>
    <w:rsid w:val="00367E2C"/>
    <w:rsid w:val="00367E2D"/>
    <w:rsid w:val="00370485"/>
    <w:rsid w:val="003705F6"/>
    <w:rsid w:val="00370649"/>
    <w:rsid w:val="003710A3"/>
    <w:rsid w:val="003710CF"/>
    <w:rsid w:val="003711D9"/>
    <w:rsid w:val="00371637"/>
    <w:rsid w:val="00371788"/>
    <w:rsid w:val="003718F8"/>
    <w:rsid w:val="0037300B"/>
    <w:rsid w:val="0037305C"/>
    <w:rsid w:val="0037344C"/>
    <w:rsid w:val="0037358A"/>
    <w:rsid w:val="00373699"/>
    <w:rsid w:val="00373EC5"/>
    <w:rsid w:val="003741E8"/>
    <w:rsid w:val="00374C9B"/>
    <w:rsid w:val="00374DE7"/>
    <w:rsid w:val="00374F76"/>
    <w:rsid w:val="003750F6"/>
    <w:rsid w:val="00375C00"/>
    <w:rsid w:val="00375C38"/>
    <w:rsid w:val="00375D4F"/>
    <w:rsid w:val="003760FC"/>
    <w:rsid w:val="00376CAA"/>
    <w:rsid w:val="00376CDD"/>
    <w:rsid w:val="00376EAF"/>
    <w:rsid w:val="00376F01"/>
    <w:rsid w:val="0037725B"/>
    <w:rsid w:val="00377CFE"/>
    <w:rsid w:val="00377FBC"/>
    <w:rsid w:val="003801D5"/>
    <w:rsid w:val="003804B6"/>
    <w:rsid w:val="00380B4A"/>
    <w:rsid w:val="00380C4E"/>
    <w:rsid w:val="00380DC1"/>
    <w:rsid w:val="003810A9"/>
    <w:rsid w:val="003812C0"/>
    <w:rsid w:val="00381DAC"/>
    <w:rsid w:val="00381EF3"/>
    <w:rsid w:val="00381FF1"/>
    <w:rsid w:val="00382021"/>
    <w:rsid w:val="00382157"/>
    <w:rsid w:val="00382221"/>
    <w:rsid w:val="00382485"/>
    <w:rsid w:val="00382880"/>
    <w:rsid w:val="00382A63"/>
    <w:rsid w:val="00382C06"/>
    <w:rsid w:val="00382E81"/>
    <w:rsid w:val="0038365C"/>
    <w:rsid w:val="0038369B"/>
    <w:rsid w:val="00383B78"/>
    <w:rsid w:val="00383CE4"/>
    <w:rsid w:val="00383FA2"/>
    <w:rsid w:val="00383FCD"/>
    <w:rsid w:val="00384151"/>
    <w:rsid w:val="00384959"/>
    <w:rsid w:val="00384E2A"/>
    <w:rsid w:val="0038500D"/>
    <w:rsid w:val="003852C8"/>
    <w:rsid w:val="003852D7"/>
    <w:rsid w:val="003857CB"/>
    <w:rsid w:val="00385A02"/>
    <w:rsid w:val="00385A9D"/>
    <w:rsid w:val="00385D85"/>
    <w:rsid w:val="00385D96"/>
    <w:rsid w:val="003862DD"/>
    <w:rsid w:val="00386AE1"/>
    <w:rsid w:val="00387499"/>
    <w:rsid w:val="00387FF2"/>
    <w:rsid w:val="003902B1"/>
    <w:rsid w:val="003903D1"/>
    <w:rsid w:val="0039040C"/>
    <w:rsid w:val="00390DD0"/>
    <w:rsid w:val="00391069"/>
    <w:rsid w:val="0039158B"/>
    <w:rsid w:val="0039179C"/>
    <w:rsid w:val="003918C2"/>
    <w:rsid w:val="00391A7D"/>
    <w:rsid w:val="00391E8F"/>
    <w:rsid w:val="00391FE5"/>
    <w:rsid w:val="00392137"/>
    <w:rsid w:val="003922AF"/>
    <w:rsid w:val="003924E5"/>
    <w:rsid w:val="00392BC4"/>
    <w:rsid w:val="003940B7"/>
    <w:rsid w:val="00394104"/>
    <w:rsid w:val="0039420E"/>
    <w:rsid w:val="00394287"/>
    <w:rsid w:val="00394EFC"/>
    <w:rsid w:val="00395306"/>
    <w:rsid w:val="00396735"/>
    <w:rsid w:val="00396896"/>
    <w:rsid w:val="00396FD0"/>
    <w:rsid w:val="00397A5A"/>
    <w:rsid w:val="00397C52"/>
    <w:rsid w:val="00397C70"/>
    <w:rsid w:val="003A01B0"/>
    <w:rsid w:val="003A01B3"/>
    <w:rsid w:val="003A0870"/>
    <w:rsid w:val="003A1024"/>
    <w:rsid w:val="003A1191"/>
    <w:rsid w:val="003A1527"/>
    <w:rsid w:val="003A1567"/>
    <w:rsid w:val="003A1860"/>
    <w:rsid w:val="003A1A7A"/>
    <w:rsid w:val="003A1BE5"/>
    <w:rsid w:val="003A1CEC"/>
    <w:rsid w:val="003A2392"/>
    <w:rsid w:val="003A2831"/>
    <w:rsid w:val="003A3438"/>
    <w:rsid w:val="003A37CE"/>
    <w:rsid w:val="003A3CB6"/>
    <w:rsid w:val="003A3EB7"/>
    <w:rsid w:val="003A3ED1"/>
    <w:rsid w:val="003A4444"/>
    <w:rsid w:val="003A44DB"/>
    <w:rsid w:val="003A5A4B"/>
    <w:rsid w:val="003A5CB0"/>
    <w:rsid w:val="003A6201"/>
    <w:rsid w:val="003A683E"/>
    <w:rsid w:val="003A69E0"/>
    <w:rsid w:val="003A71F6"/>
    <w:rsid w:val="003A7240"/>
    <w:rsid w:val="003A7430"/>
    <w:rsid w:val="003A77FA"/>
    <w:rsid w:val="003A7DED"/>
    <w:rsid w:val="003B0D79"/>
    <w:rsid w:val="003B0FD1"/>
    <w:rsid w:val="003B1677"/>
    <w:rsid w:val="003B1D4E"/>
    <w:rsid w:val="003B21B8"/>
    <w:rsid w:val="003B25B5"/>
    <w:rsid w:val="003B25B9"/>
    <w:rsid w:val="003B2787"/>
    <w:rsid w:val="003B2DE1"/>
    <w:rsid w:val="003B2FC3"/>
    <w:rsid w:val="003B3971"/>
    <w:rsid w:val="003B3BC7"/>
    <w:rsid w:val="003B3D6A"/>
    <w:rsid w:val="003B4666"/>
    <w:rsid w:val="003B46B8"/>
    <w:rsid w:val="003B532F"/>
    <w:rsid w:val="003B5383"/>
    <w:rsid w:val="003B55D1"/>
    <w:rsid w:val="003B5741"/>
    <w:rsid w:val="003B5AAF"/>
    <w:rsid w:val="003B5B61"/>
    <w:rsid w:val="003B5E37"/>
    <w:rsid w:val="003B6B24"/>
    <w:rsid w:val="003B6E92"/>
    <w:rsid w:val="003B6FE5"/>
    <w:rsid w:val="003B6FFB"/>
    <w:rsid w:val="003B74EF"/>
    <w:rsid w:val="003B7B3D"/>
    <w:rsid w:val="003C0D7B"/>
    <w:rsid w:val="003C0D91"/>
    <w:rsid w:val="003C142B"/>
    <w:rsid w:val="003C1654"/>
    <w:rsid w:val="003C21A8"/>
    <w:rsid w:val="003C2244"/>
    <w:rsid w:val="003C3083"/>
    <w:rsid w:val="003C3129"/>
    <w:rsid w:val="003C38B4"/>
    <w:rsid w:val="003C3A5E"/>
    <w:rsid w:val="003C3AF5"/>
    <w:rsid w:val="003C3DE8"/>
    <w:rsid w:val="003C3DF1"/>
    <w:rsid w:val="003C4326"/>
    <w:rsid w:val="003C4A77"/>
    <w:rsid w:val="003C5062"/>
    <w:rsid w:val="003C5542"/>
    <w:rsid w:val="003C56A4"/>
    <w:rsid w:val="003C5939"/>
    <w:rsid w:val="003C5B37"/>
    <w:rsid w:val="003C5DCA"/>
    <w:rsid w:val="003C6B90"/>
    <w:rsid w:val="003C6EF9"/>
    <w:rsid w:val="003C718B"/>
    <w:rsid w:val="003C7D19"/>
    <w:rsid w:val="003C7D2F"/>
    <w:rsid w:val="003C7D55"/>
    <w:rsid w:val="003C7D7E"/>
    <w:rsid w:val="003D0467"/>
    <w:rsid w:val="003D08A8"/>
    <w:rsid w:val="003D0E69"/>
    <w:rsid w:val="003D0F2E"/>
    <w:rsid w:val="003D177B"/>
    <w:rsid w:val="003D1828"/>
    <w:rsid w:val="003D1844"/>
    <w:rsid w:val="003D1B4E"/>
    <w:rsid w:val="003D1DE4"/>
    <w:rsid w:val="003D1E9A"/>
    <w:rsid w:val="003D2146"/>
    <w:rsid w:val="003D2422"/>
    <w:rsid w:val="003D27A9"/>
    <w:rsid w:val="003D2E3C"/>
    <w:rsid w:val="003D3021"/>
    <w:rsid w:val="003D34B3"/>
    <w:rsid w:val="003D3654"/>
    <w:rsid w:val="003D378A"/>
    <w:rsid w:val="003D3835"/>
    <w:rsid w:val="003D3857"/>
    <w:rsid w:val="003D39A1"/>
    <w:rsid w:val="003D3F88"/>
    <w:rsid w:val="003D3FBF"/>
    <w:rsid w:val="003D4381"/>
    <w:rsid w:val="003D4516"/>
    <w:rsid w:val="003D47FE"/>
    <w:rsid w:val="003D4A30"/>
    <w:rsid w:val="003D4A32"/>
    <w:rsid w:val="003D4A7E"/>
    <w:rsid w:val="003D4EE2"/>
    <w:rsid w:val="003D4FA2"/>
    <w:rsid w:val="003D62D5"/>
    <w:rsid w:val="003D637F"/>
    <w:rsid w:val="003D6A1E"/>
    <w:rsid w:val="003D738D"/>
    <w:rsid w:val="003D7452"/>
    <w:rsid w:val="003D75CE"/>
    <w:rsid w:val="003D79BB"/>
    <w:rsid w:val="003D7BF8"/>
    <w:rsid w:val="003D7C98"/>
    <w:rsid w:val="003D7D9D"/>
    <w:rsid w:val="003E0543"/>
    <w:rsid w:val="003E089A"/>
    <w:rsid w:val="003E0B8F"/>
    <w:rsid w:val="003E1255"/>
    <w:rsid w:val="003E190B"/>
    <w:rsid w:val="003E1A6D"/>
    <w:rsid w:val="003E1BD3"/>
    <w:rsid w:val="003E1E7B"/>
    <w:rsid w:val="003E25D5"/>
    <w:rsid w:val="003E27F6"/>
    <w:rsid w:val="003E2CFC"/>
    <w:rsid w:val="003E2D7B"/>
    <w:rsid w:val="003E3DDF"/>
    <w:rsid w:val="003E3FD7"/>
    <w:rsid w:val="003E433E"/>
    <w:rsid w:val="003E4383"/>
    <w:rsid w:val="003E542F"/>
    <w:rsid w:val="003E5C0D"/>
    <w:rsid w:val="003E5EC8"/>
    <w:rsid w:val="003E6027"/>
    <w:rsid w:val="003E7163"/>
    <w:rsid w:val="003E73A8"/>
    <w:rsid w:val="003E749E"/>
    <w:rsid w:val="003E74BF"/>
    <w:rsid w:val="003E7A1B"/>
    <w:rsid w:val="003F1147"/>
    <w:rsid w:val="003F1393"/>
    <w:rsid w:val="003F18D7"/>
    <w:rsid w:val="003F1A38"/>
    <w:rsid w:val="003F1B51"/>
    <w:rsid w:val="003F2028"/>
    <w:rsid w:val="003F208F"/>
    <w:rsid w:val="003F22DC"/>
    <w:rsid w:val="003F22ED"/>
    <w:rsid w:val="003F263B"/>
    <w:rsid w:val="003F2860"/>
    <w:rsid w:val="003F2AA3"/>
    <w:rsid w:val="003F2F48"/>
    <w:rsid w:val="003F36A9"/>
    <w:rsid w:val="003F3AF1"/>
    <w:rsid w:val="003F408E"/>
    <w:rsid w:val="003F40F8"/>
    <w:rsid w:val="003F4156"/>
    <w:rsid w:val="003F424C"/>
    <w:rsid w:val="003F4FEE"/>
    <w:rsid w:val="003F544A"/>
    <w:rsid w:val="003F5724"/>
    <w:rsid w:val="003F5ADF"/>
    <w:rsid w:val="003F5AE3"/>
    <w:rsid w:val="003F5F0F"/>
    <w:rsid w:val="003F61AD"/>
    <w:rsid w:val="003F61B2"/>
    <w:rsid w:val="003F694F"/>
    <w:rsid w:val="003F6962"/>
    <w:rsid w:val="003F79AA"/>
    <w:rsid w:val="004001B4"/>
    <w:rsid w:val="004002F5"/>
    <w:rsid w:val="00400785"/>
    <w:rsid w:val="00400814"/>
    <w:rsid w:val="00400B29"/>
    <w:rsid w:val="00400E8B"/>
    <w:rsid w:val="004019C8"/>
    <w:rsid w:val="00401F32"/>
    <w:rsid w:val="00402059"/>
    <w:rsid w:val="004024A0"/>
    <w:rsid w:val="00402552"/>
    <w:rsid w:val="00402938"/>
    <w:rsid w:val="00402C3A"/>
    <w:rsid w:val="004030EB"/>
    <w:rsid w:val="004035BE"/>
    <w:rsid w:val="004038F6"/>
    <w:rsid w:val="00404185"/>
    <w:rsid w:val="004042A5"/>
    <w:rsid w:val="00404C9B"/>
    <w:rsid w:val="0040504B"/>
    <w:rsid w:val="00405477"/>
    <w:rsid w:val="00405702"/>
    <w:rsid w:val="004059F4"/>
    <w:rsid w:val="0040648F"/>
    <w:rsid w:val="004064AA"/>
    <w:rsid w:val="00406884"/>
    <w:rsid w:val="0040688D"/>
    <w:rsid w:val="00406CA2"/>
    <w:rsid w:val="00406DE3"/>
    <w:rsid w:val="004077E8"/>
    <w:rsid w:val="00407A9D"/>
    <w:rsid w:val="00407AF1"/>
    <w:rsid w:val="00407CA5"/>
    <w:rsid w:val="00407DB1"/>
    <w:rsid w:val="00407E40"/>
    <w:rsid w:val="00407FD3"/>
    <w:rsid w:val="00407FE5"/>
    <w:rsid w:val="00410169"/>
    <w:rsid w:val="004101B0"/>
    <w:rsid w:val="00410326"/>
    <w:rsid w:val="004103A5"/>
    <w:rsid w:val="00410708"/>
    <w:rsid w:val="00410BCE"/>
    <w:rsid w:val="00410EC7"/>
    <w:rsid w:val="00411053"/>
    <w:rsid w:val="00411275"/>
    <w:rsid w:val="00411623"/>
    <w:rsid w:val="004118F7"/>
    <w:rsid w:val="00411B39"/>
    <w:rsid w:val="00411EA4"/>
    <w:rsid w:val="0041204B"/>
    <w:rsid w:val="0041215B"/>
    <w:rsid w:val="004127A7"/>
    <w:rsid w:val="004128E7"/>
    <w:rsid w:val="00412F5B"/>
    <w:rsid w:val="00413259"/>
    <w:rsid w:val="0041384F"/>
    <w:rsid w:val="00413A1E"/>
    <w:rsid w:val="0041401A"/>
    <w:rsid w:val="0041407E"/>
    <w:rsid w:val="00414476"/>
    <w:rsid w:val="00414478"/>
    <w:rsid w:val="00414947"/>
    <w:rsid w:val="00414A14"/>
    <w:rsid w:val="00414C2E"/>
    <w:rsid w:val="0041500F"/>
    <w:rsid w:val="004151CF"/>
    <w:rsid w:val="004152FB"/>
    <w:rsid w:val="0041548E"/>
    <w:rsid w:val="00415588"/>
    <w:rsid w:val="00415822"/>
    <w:rsid w:val="0041594E"/>
    <w:rsid w:val="00415F07"/>
    <w:rsid w:val="00416364"/>
    <w:rsid w:val="0041683F"/>
    <w:rsid w:val="00416FA4"/>
    <w:rsid w:val="0041755E"/>
    <w:rsid w:val="004176A8"/>
    <w:rsid w:val="00417B8B"/>
    <w:rsid w:val="00417DD8"/>
    <w:rsid w:val="00417E7C"/>
    <w:rsid w:val="0042047F"/>
    <w:rsid w:val="004209DA"/>
    <w:rsid w:val="00420A3F"/>
    <w:rsid w:val="00420AA6"/>
    <w:rsid w:val="00420B9F"/>
    <w:rsid w:val="00421704"/>
    <w:rsid w:val="00421721"/>
    <w:rsid w:val="00421828"/>
    <w:rsid w:val="00421876"/>
    <w:rsid w:val="004218F9"/>
    <w:rsid w:val="0042192C"/>
    <w:rsid w:val="004219A2"/>
    <w:rsid w:val="00421A1C"/>
    <w:rsid w:val="00421A69"/>
    <w:rsid w:val="004220DA"/>
    <w:rsid w:val="00422260"/>
    <w:rsid w:val="0042227B"/>
    <w:rsid w:val="0042356A"/>
    <w:rsid w:val="00423915"/>
    <w:rsid w:val="00423B30"/>
    <w:rsid w:val="00423CA1"/>
    <w:rsid w:val="004240C0"/>
    <w:rsid w:val="00424118"/>
    <w:rsid w:val="0042413F"/>
    <w:rsid w:val="0042448E"/>
    <w:rsid w:val="0042462F"/>
    <w:rsid w:val="00424733"/>
    <w:rsid w:val="00424E44"/>
    <w:rsid w:val="00425072"/>
    <w:rsid w:val="00425166"/>
    <w:rsid w:val="00425509"/>
    <w:rsid w:val="00425D7A"/>
    <w:rsid w:val="00426EF2"/>
    <w:rsid w:val="00427201"/>
    <w:rsid w:val="0042721B"/>
    <w:rsid w:val="00427654"/>
    <w:rsid w:val="00427D99"/>
    <w:rsid w:val="00427F5B"/>
    <w:rsid w:val="00430258"/>
    <w:rsid w:val="00430AB5"/>
    <w:rsid w:val="00430B6B"/>
    <w:rsid w:val="004319F8"/>
    <w:rsid w:val="00431E55"/>
    <w:rsid w:val="00431F06"/>
    <w:rsid w:val="00432199"/>
    <w:rsid w:val="004321F6"/>
    <w:rsid w:val="00432AF6"/>
    <w:rsid w:val="00432B6D"/>
    <w:rsid w:val="00432BFD"/>
    <w:rsid w:val="00433044"/>
    <w:rsid w:val="004333CA"/>
    <w:rsid w:val="0043350B"/>
    <w:rsid w:val="004335D0"/>
    <w:rsid w:val="0043380F"/>
    <w:rsid w:val="00433810"/>
    <w:rsid w:val="0043392A"/>
    <w:rsid w:val="0043396C"/>
    <w:rsid w:val="00433B5F"/>
    <w:rsid w:val="00433E45"/>
    <w:rsid w:val="00434088"/>
    <w:rsid w:val="004342A3"/>
    <w:rsid w:val="004343C6"/>
    <w:rsid w:val="00434B88"/>
    <w:rsid w:val="00434D1F"/>
    <w:rsid w:val="004354E4"/>
    <w:rsid w:val="00435A1D"/>
    <w:rsid w:val="00435D2E"/>
    <w:rsid w:val="004364F0"/>
    <w:rsid w:val="00436ACB"/>
    <w:rsid w:val="00436BE8"/>
    <w:rsid w:val="00436E4F"/>
    <w:rsid w:val="004375B9"/>
    <w:rsid w:val="0043777B"/>
    <w:rsid w:val="00437A86"/>
    <w:rsid w:val="00437FE5"/>
    <w:rsid w:val="00440916"/>
    <w:rsid w:val="00440937"/>
    <w:rsid w:val="00440A3C"/>
    <w:rsid w:val="00440A9E"/>
    <w:rsid w:val="004411ED"/>
    <w:rsid w:val="0044121D"/>
    <w:rsid w:val="0044124D"/>
    <w:rsid w:val="0044172B"/>
    <w:rsid w:val="0044178A"/>
    <w:rsid w:val="00441ABD"/>
    <w:rsid w:val="00441C82"/>
    <w:rsid w:val="0044223E"/>
    <w:rsid w:val="004428D0"/>
    <w:rsid w:val="00442B5F"/>
    <w:rsid w:val="00442C52"/>
    <w:rsid w:val="00442CD5"/>
    <w:rsid w:val="00442D3E"/>
    <w:rsid w:val="004438E5"/>
    <w:rsid w:val="00443BAD"/>
    <w:rsid w:val="00443C1E"/>
    <w:rsid w:val="00444185"/>
    <w:rsid w:val="004441C0"/>
    <w:rsid w:val="004443A7"/>
    <w:rsid w:val="0044442C"/>
    <w:rsid w:val="004444EF"/>
    <w:rsid w:val="0044488E"/>
    <w:rsid w:val="00444DA8"/>
    <w:rsid w:val="00444E40"/>
    <w:rsid w:val="004450BA"/>
    <w:rsid w:val="00445718"/>
    <w:rsid w:val="00445909"/>
    <w:rsid w:val="00445941"/>
    <w:rsid w:val="00445AA4"/>
    <w:rsid w:val="00445DBC"/>
    <w:rsid w:val="00445E23"/>
    <w:rsid w:val="00445FDA"/>
    <w:rsid w:val="00446218"/>
    <w:rsid w:val="004463E8"/>
    <w:rsid w:val="004464EB"/>
    <w:rsid w:val="00446525"/>
    <w:rsid w:val="00446597"/>
    <w:rsid w:val="00446883"/>
    <w:rsid w:val="00446921"/>
    <w:rsid w:val="0044698D"/>
    <w:rsid w:val="00446FDD"/>
    <w:rsid w:val="00447438"/>
    <w:rsid w:val="0044744E"/>
    <w:rsid w:val="00447768"/>
    <w:rsid w:val="00447B07"/>
    <w:rsid w:val="00447D11"/>
    <w:rsid w:val="00447D26"/>
    <w:rsid w:val="00447DFC"/>
    <w:rsid w:val="004504BE"/>
    <w:rsid w:val="0045052F"/>
    <w:rsid w:val="00450D5C"/>
    <w:rsid w:val="00451E41"/>
    <w:rsid w:val="00452627"/>
    <w:rsid w:val="00452D91"/>
    <w:rsid w:val="00452DB5"/>
    <w:rsid w:val="00452E2B"/>
    <w:rsid w:val="00453400"/>
    <w:rsid w:val="0045378B"/>
    <w:rsid w:val="004541B4"/>
    <w:rsid w:val="004547C0"/>
    <w:rsid w:val="00454999"/>
    <w:rsid w:val="004549C5"/>
    <w:rsid w:val="00454B14"/>
    <w:rsid w:val="00454C3E"/>
    <w:rsid w:val="00454ED4"/>
    <w:rsid w:val="00454FA4"/>
    <w:rsid w:val="004552D3"/>
    <w:rsid w:val="00455C9D"/>
    <w:rsid w:val="00455D45"/>
    <w:rsid w:val="00455E1C"/>
    <w:rsid w:val="00456025"/>
    <w:rsid w:val="004562A4"/>
    <w:rsid w:val="00456412"/>
    <w:rsid w:val="004568BA"/>
    <w:rsid w:val="00456A82"/>
    <w:rsid w:val="00456E26"/>
    <w:rsid w:val="00456F18"/>
    <w:rsid w:val="00456FC9"/>
    <w:rsid w:val="004570E5"/>
    <w:rsid w:val="00457A23"/>
    <w:rsid w:val="0046005D"/>
    <w:rsid w:val="00460BA5"/>
    <w:rsid w:val="00460C3B"/>
    <w:rsid w:val="00460F8F"/>
    <w:rsid w:val="0046185A"/>
    <w:rsid w:val="004620DD"/>
    <w:rsid w:val="004622CF"/>
    <w:rsid w:val="00462AB3"/>
    <w:rsid w:val="00462D20"/>
    <w:rsid w:val="00463033"/>
    <w:rsid w:val="0046339C"/>
    <w:rsid w:val="00463604"/>
    <w:rsid w:val="00463DDC"/>
    <w:rsid w:val="004643AD"/>
    <w:rsid w:val="00464595"/>
    <w:rsid w:val="00465656"/>
    <w:rsid w:val="0046585A"/>
    <w:rsid w:val="004658B5"/>
    <w:rsid w:val="00465AF1"/>
    <w:rsid w:val="00465D9C"/>
    <w:rsid w:val="00466E08"/>
    <w:rsid w:val="00467077"/>
    <w:rsid w:val="0046713D"/>
    <w:rsid w:val="00467163"/>
    <w:rsid w:val="0046767F"/>
    <w:rsid w:val="00467C4B"/>
    <w:rsid w:val="00467CBB"/>
    <w:rsid w:val="00470096"/>
    <w:rsid w:val="0047014F"/>
    <w:rsid w:val="00470152"/>
    <w:rsid w:val="00470944"/>
    <w:rsid w:val="00470D83"/>
    <w:rsid w:val="00470EB0"/>
    <w:rsid w:val="00471343"/>
    <w:rsid w:val="004714AF"/>
    <w:rsid w:val="0047152A"/>
    <w:rsid w:val="00471D0C"/>
    <w:rsid w:val="00471EA5"/>
    <w:rsid w:val="004720F4"/>
    <w:rsid w:val="00472404"/>
    <w:rsid w:val="00472763"/>
    <w:rsid w:val="00472A79"/>
    <w:rsid w:val="0047338A"/>
    <w:rsid w:val="00473742"/>
    <w:rsid w:val="00473F19"/>
    <w:rsid w:val="00474542"/>
    <w:rsid w:val="00475080"/>
    <w:rsid w:val="00475815"/>
    <w:rsid w:val="004758AF"/>
    <w:rsid w:val="004759E8"/>
    <w:rsid w:val="00475AE6"/>
    <w:rsid w:val="00475B98"/>
    <w:rsid w:val="00475DF3"/>
    <w:rsid w:val="00475E22"/>
    <w:rsid w:val="00475FC6"/>
    <w:rsid w:val="00476349"/>
    <w:rsid w:val="00476519"/>
    <w:rsid w:val="004767BF"/>
    <w:rsid w:val="00476DF6"/>
    <w:rsid w:val="00476FCA"/>
    <w:rsid w:val="00477211"/>
    <w:rsid w:val="0047731F"/>
    <w:rsid w:val="00477C25"/>
    <w:rsid w:val="00477CE4"/>
    <w:rsid w:val="00477FCF"/>
    <w:rsid w:val="00480461"/>
    <w:rsid w:val="004804B3"/>
    <w:rsid w:val="0048088E"/>
    <w:rsid w:val="00480B87"/>
    <w:rsid w:val="00480C09"/>
    <w:rsid w:val="00480E1D"/>
    <w:rsid w:val="00480E7B"/>
    <w:rsid w:val="00480F2B"/>
    <w:rsid w:val="0048144B"/>
    <w:rsid w:val="0048257D"/>
    <w:rsid w:val="00482720"/>
    <w:rsid w:val="00482882"/>
    <w:rsid w:val="00482C59"/>
    <w:rsid w:val="00482CE0"/>
    <w:rsid w:val="00482D01"/>
    <w:rsid w:val="004831CE"/>
    <w:rsid w:val="00483215"/>
    <w:rsid w:val="00483456"/>
    <w:rsid w:val="004835E7"/>
    <w:rsid w:val="00483896"/>
    <w:rsid w:val="00483C4B"/>
    <w:rsid w:val="00483CFB"/>
    <w:rsid w:val="00483FEB"/>
    <w:rsid w:val="00484254"/>
    <w:rsid w:val="0048430A"/>
    <w:rsid w:val="0048461D"/>
    <w:rsid w:val="00484CC9"/>
    <w:rsid w:val="00484EE8"/>
    <w:rsid w:val="00485135"/>
    <w:rsid w:val="00485629"/>
    <w:rsid w:val="00485727"/>
    <w:rsid w:val="004857D3"/>
    <w:rsid w:val="00485D07"/>
    <w:rsid w:val="004860D7"/>
    <w:rsid w:val="00486210"/>
    <w:rsid w:val="0048653C"/>
    <w:rsid w:val="00486601"/>
    <w:rsid w:val="004867E2"/>
    <w:rsid w:val="00486826"/>
    <w:rsid w:val="004868FA"/>
    <w:rsid w:val="00486E5C"/>
    <w:rsid w:val="00486F2C"/>
    <w:rsid w:val="00487441"/>
    <w:rsid w:val="00487831"/>
    <w:rsid w:val="00487861"/>
    <w:rsid w:val="00487A14"/>
    <w:rsid w:val="00487DE4"/>
    <w:rsid w:val="00490748"/>
    <w:rsid w:val="0049089C"/>
    <w:rsid w:val="00490B17"/>
    <w:rsid w:val="00490B2B"/>
    <w:rsid w:val="00490C61"/>
    <w:rsid w:val="00490C89"/>
    <w:rsid w:val="00491860"/>
    <w:rsid w:val="004919EF"/>
    <w:rsid w:val="00491B3A"/>
    <w:rsid w:val="00491C25"/>
    <w:rsid w:val="00491CA6"/>
    <w:rsid w:val="00491DE9"/>
    <w:rsid w:val="004920C7"/>
    <w:rsid w:val="00492115"/>
    <w:rsid w:val="00492165"/>
    <w:rsid w:val="00492545"/>
    <w:rsid w:val="00492674"/>
    <w:rsid w:val="00492AC4"/>
    <w:rsid w:val="00492CFD"/>
    <w:rsid w:val="00492E44"/>
    <w:rsid w:val="004931A9"/>
    <w:rsid w:val="0049349C"/>
    <w:rsid w:val="00493640"/>
    <w:rsid w:val="004936E9"/>
    <w:rsid w:val="00493DBE"/>
    <w:rsid w:val="00494207"/>
    <w:rsid w:val="00494A3B"/>
    <w:rsid w:val="00494BCD"/>
    <w:rsid w:val="00494DD5"/>
    <w:rsid w:val="00494E1F"/>
    <w:rsid w:val="0049502C"/>
    <w:rsid w:val="00495293"/>
    <w:rsid w:val="0049538D"/>
    <w:rsid w:val="00495520"/>
    <w:rsid w:val="00495E37"/>
    <w:rsid w:val="00495EAB"/>
    <w:rsid w:val="004962D2"/>
    <w:rsid w:val="00496EA5"/>
    <w:rsid w:val="004971F5"/>
    <w:rsid w:val="0049726C"/>
    <w:rsid w:val="004978A6"/>
    <w:rsid w:val="004A0077"/>
    <w:rsid w:val="004A0564"/>
    <w:rsid w:val="004A0DA1"/>
    <w:rsid w:val="004A1276"/>
    <w:rsid w:val="004A13D6"/>
    <w:rsid w:val="004A1466"/>
    <w:rsid w:val="004A2049"/>
    <w:rsid w:val="004A2857"/>
    <w:rsid w:val="004A2A3B"/>
    <w:rsid w:val="004A3010"/>
    <w:rsid w:val="004A326C"/>
    <w:rsid w:val="004A34CC"/>
    <w:rsid w:val="004A34FC"/>
    <w:rsid w:val="004A35A3"/>
    <w:rsid w:val="004A3E05"/>
    <w:rsid w:val="004A41D3"/>
    <w:rsid w:val="004A43A8"/>
    <w:rsid w:val="004A4646"/>
    <w:rsid w:val="004A4CF8"/>
    <w:rsid w:val="004A4D02"/>
    <w:rsid w:val="004A4D59"/>
    <w:rsid w:val="004A4EA0"/>
    <w:rsid w:val="004A4EAC"/>
    <w:rsid w:val="004A4F41"/>
    <w:rsid w:val="004A52E9"/>
    <w:rsid w:val="004A5684"/>
    <w:rsid w:val="004A573E"/>
    <w:rsid w:val="004A6040"/>
    <w:rsid w:val="004A607D"/>
    <w:rsid w:val="004A6147"/>
    <w:rsid w:val="004A6597"/>
    <w:rsid w:val="004A68A8"/>
    <w:rsid w:val="004A6BBC"/>
    <w:rsid w:val="004A6D15"/>
    <w:rsid w:val="004A6D6A"/>
    <w:rsid w:val="004A74C7"/>
    <w:rsid w:val="004A755D"/>
    <w:rsid w:val="004A7815"/>
    <w:rsid w:val="004A7848"/>
    <w:rsid w:val="004A7C9A"/>
    <w:rsid w:val="004A7F2A"/>
    <w:rsid w:val="004B0AF2"/>
    <w:rsid w:val="004B0D6F"/>
    <w:rsid w:val="004B125C"/>
    <w:rsid w:val="004B1304"/>
    <w:rsid w:val="004B1716"/>
    <w:rsid w:val="004B17AB"/>
    <w:rsid w:val="004B1C8E"/>
    <w:rsid w:val="004B1CB4"/>
    <w:rsid w:val="004B25E6"/>
    <w:rsid w:val="004B2F18"/>
    <w:rsid w:val="004B3B72"/>
    <w:rsid w:val="004B3B88"/>
    <w:rsid w:val="004B3C61"/>
    <w:rsid w:val="004B3DDB"/>
    <w:rsid w:val="004B44FD"/>
    <w:rsid w:val="004B4623"/>
    <w:rsid w:val="004B46BD"/>
    <w:rsid w:val="004B49A3"/>
    <w:rsid w:val="004B4ACE"/>
    <w:rsid w:val="004B4D92"/>
    <w:rsid w:val="004B508E"/>
    <w:rsid w:val="004B54FA"/>
    <w:rsid w:val="004B56AE"/>
    <w:rsid w:val="004B5CFC"/>
    <w:rsid w:val="004B5D2C"/>
    <w:rsid w:val="004B613D"/>
    <w:rsid w:val="004B64D8"/>
    <w:rsid w:val="004B670B"/>
    <w:rsid w:val="004B680E"/>
    <w:rsid w:val="004B6F79"/>
    <w:rsid w:val="004B759E"/>
    <w:rsid w:val="004B7661"/>
    <w:rsid w:val="004B774D"/>
    <w:rsid w:val="004B78D9"/>
    <w:rsid w:val="004B7A29"/>
    <w:rsid w:val="004C019A"/>
    <w:rsid w:val="004C07BE"/>
    <w:rsid w:val="004C09CC"/>
    <w:rsid w:val="004C0DFD"/>
    <w:rsid w:val="004C0E3D"/>
    <w:rsid w:val="004C1025"/>
    <w:rsid w:val="004C151A"/>
    <w:rsid w:val="004C1555"/>
    <w:rsid w:val="004C19D5"/>
    <w:rsid w:val="004C1C31"/>
    <w:rsid w:val="004C20BF"/>
    <w:rsid w:val="004C24C6"/>
    <w:rsid w:val="004C26F2"/>
    <w:rsid w:val="004C299A"/>
    <w:rsid w:val="004C2F61"/>
    <w:rsid w:val="004C3306"/>
    <w:rsid w:val="004C3465"/>
    <w:rsid w:val="004C3919"/>
    <w:rsid w:val="004C3E8E"/>
    <w:rsid w:val="004C4470"/>
    <w:rsid w:val="004C4687"/>
    <w:rsid w:val="004C4AED"/>
    <w:rsid w:val="004C4B68"/>
    <w:rsid w:val="004C50D1"/>
    <w:rsid w:val="004C5442"/>
    <w:rsid w:val="004C5469"/>
    <w:rsid w:val="004C5553"/>
    <w:rsid w:val="004C58E6"/>
    <w:rsid w:val="004C60C4"/>
    <w:rsid w:val="004C6657"/>
    <w:rsid w:val="004C6BAF"/>
    <w:rsid w:val="004C6E97"/>
    <w:rsid w:val="004C6ED4"/>
    <w:rsid w:val="004C70E4"/>
    <w:rsid w:val="004C7DCD"/>
    <w:rsid w:val="004C7FD3"/>
    <w:rsid w:val="004D05FF"/>
    <w:rsid w:val="004D0803"/>
    <w:rsid w:val="004D09B6"/>
    <w:rsid w:val="004D0C7F"/>
    <w:rsid w:val="004D1396"/>
    <w:rsid w:val="004D1DF6"/>
    <w:rsid w:val="004D2064"/>
    <w:rsid w:val="004D2C2D"/>
    <w:rsid w:val="004D3082"/>
    <w:rsid w:val="004D39FA"/>
    <w:rsid w:val="004D451C"/>
    <w:rsid w:val="004D483D"/>
    <w:rsid w:val="004D49AB"/>
    <w:rsid w:val="004D4AD8"/>
    <w:rsid w:val="004D4B61"/>
    <w:rsid w:val="004D4C1D"/>
    <w:rsid w:val="004D4E0B"/>
    <w:rsid w:val="004D5065"/>
    <w:rsid w:val="004D54C2"/>
    <w:rsid w:val="004D5A3A"/>
    <w:rsid w:val="004D5DF7"/>
    <w:rsid w:val="004D5F5E"/>
    <w:rsid w:val="004D635D"/>
    <w:rsid w:val="004D6510"/>
    <w:rsid w:val="004D66E2"/>
    <w:rsid w:val="004D69B5"/>
    <w:rsid w:val="004D6E83"/>
    <w:rsid w:val="004D7227"/>
    <w:rsid w:val="004D75E9"/>
    <w:rsid w:val="004D7C3F"/>
    <w:rsid w:val="004E005A"/>
    <w:rsid w:val="004E02E9"/>
    <w:rsid w:val="004E0347"/>
    <w:rsid w:val="004E07DE"/>
    <w:rsid w:val="004E0E7F"/>
    <w:rsid w:val="004E0EB8"/>
    <w:rsid w:val="004E18E9"/>
    <w:rsid w:val="004E194C"/>
    <w:rsid w:val="004E1A5A"/>
    <w:rsid w:val="004E1F3E"/>
    <w:rsid w:val="004E239E"/>
    <w:rsid w:val="004E24FB"/>
    <w:rsid w:val="004E27B8"/>
    <w:rsid w:val="004E27C9"/>
    <w:rsid w:val="004E2838"/>
    <w:rsid w:val="004E2ADC"/>
    <w:rsid w:val="004E2AFC"/>
    <w:rsid w:val="004E2F5E"/>
    <w:rsid w:val="004E302D"/>
    <w:rsid w:val="004E327C"/>
    <w:rsid w:val="004E347C"/>
    <w:rsid w:val="004E37C4"/>
    <w:rsid w:val="004E38F7"/>
    <w:rsid w:val="004E3FAB"/>
    <w:rsid w:val="004E4047"/>
    <w:rsid w:val="004E43B2"/>
    <w:rsid w:val="004E495D"/>
    <w:rsid w:val="004E4ACC"/>
    <w:rsid w:val="004E4C7A"/>
    <w:rsid w:val="004E501C"/>
    <w:rsid w:val="004E548E"/>
    <w:rsid w:val="004E557D"/>
    <w:rsid w:val="004E56DA"/>
    <w:rsid w:val="004E596F"/>
    <w:rsid w:val="004E5E47"/>
    <w:rsid w:val="004E5E55"/>
    <w:rsid w:val="004E6096"/>
    <w:rsid w:val="004E616A"/>
    <w:rsid w:val="004E66B2"/>
    <w:rsid w:val="004E679E"/>
    <w:rsid w:val="004E6AE4"/>
    <w:rsid w:val="004E760A"/>
    <w:rsid w:val="004E7715"/>
    <w:rsid w:val="004E7979"/>
    <w:rsid w:val="004E7A3A"/>
    <w:rsid w:val="004E7B1D"/>
    <w:rsid w:val="004F003D"/>
    <w:rsid w:val="004F0282"/>
    <w:rsid w:val="004F039C"/>
    <w:rsid w:val="004F0E19"/>
    <w:rsid w:val="004F0FBF"/>
    <w:rsid w:val="004F12CB"/>
    <w:rsid w:val="004F19FE"/>
    <w:rsid w:val="004F1D02"/>
    <w:rsid w:val="004F1FEB"/>
    <w:rsid w:val="004F2679"/>
    <w:rsid w:val="004F2F07"/>
    <w:rsid w:val="004F2F21"/>
    <w:rsid w:val="004F31BD"/>
    <w:rsid w:val="004F349F"/>
    <w:rsid w:val="004F393F"/>
    <w:rsid w:val="004F3B5D"/>
    <w:rsid w:val="004F3DE5"/>
    <w:rsid w:val="004F3F3E"/>
    <w:rsid w:val="004F4134"/>
    <w:rsid w:val="004F4B06"/>
    <w:rsid w:val="004F4E00"/>
    <w:rsid w:val="004F5256"/>
    <w:rsid w:val="004F529B"/>
    <w:rsid w:val="004F53AF"/>
    <w:rsid w:val="004F5B50"/>
    <w:rsid w:val="004F61E2"/>
    <w:rsid w:val="004F6913"/>
    <w:rsid w:val="004F6AA8"/>
    <w:rsid w:val="004F6FDE"/>
    <w:rsid w:val="004F7001"/>
    <w:rsid w:val="004F7394"/>
    <w:rsid w:val="004F75F5"/>
    <w:rsid w:val="004F7865"/>
    <w:rsid w:val="004F7FDA"/>
    <w:rsid w:val="005000B9"/>
    <w:rsid w:val="005000C9"/>
    <w:rsid w:val="0050020D"/>
    <w:rsid w:val="0050053F"/>
    <w:rsid w:val="0050103A"/>
    <w:rsid w:val="00501690"/>
    <w:rsid w:val="0050174E"/>
    <w:rsid w:val="00501854"/>
    <w:rsid w:val="00501D93"/>
    <w:rsid w:val="005020F4"/>
    <w:rsid w:val="0050219B"/>
    <w:rsid w:val="0050220C"/>
    <w:rsid w:val="005022C5"/>
    <w:rsid w:val="00502426"/>
    <w:rsid w:val="005038F2"/>
    <w:rsid w:val="00503CDC"/>
    <w:rsid w:val="00503D34"/>
    <w:rsid w:val="00503DEB"/>
    <w:rsid w:val="00503F17"/>
    <w:rsid w:val="0050426F"/>
    <w:rsid w:val="00504861"/>
    <w:rsid w:val="00505151"/>
    <w:rsid w:val="005054EA"/>
    <w:rsid w:val="005056FC"/>
    <w:rsid w:val="00505FAF"/>
    <w:rsid w:val="00506254"/>
    <w:rsid w:val="00506928"/>
    <w:rsid w:val="005069B0"/>
    <w:rsid w:val="00506CB8"/>
    <w:rsid w:val="005071C1"/>
    <w:rsid w:val="005072A2"/>
    <w:rsid w:val="005077EF"/>
    <w:rsid w:val="0051001F"/>
    <w:rsid w:val="005105E9"/>
    <w:rsid w:val="0051107D"/>
    <w:rsid w:val="00511189"/>
    <w:rsid w:val="00511520"/>
    <w:rsid w:val="00511563"/>
    <w:rsid w:val="00511AD5"/>
    <w:rsid w:val="00511D61"/>
    <w:rsid w:val="00511DC7"/>
    <w:rsid w:val="00511DFF"/>
    <w:rsid w:val="00512042"/>
    <w:rsid w:val="005123D0"/>
    <w:rsid w:val="005126FF"/>
    <w:rsid w:val="00512B49"/>
    <w:rsid w:val="00512DEE"/>
    <w:rsid w:val="00512E6A"/>
    <w:rsid w:val="00513ACF"/>
    <w:rsid w:val="00513B76"/>
    <w:rsid w:val="00513E00"/>
    <w:rsid w:val="00513EDE"/>
    <w:rsid w:val="005141F2"/>
    <w:rsid w:val="005142C5"/>
    <w:rsid w:val="00514750"/>
    <w:rsid w:val="0051485D"/>
    <w:rsid w:val="00514E57"/>
    <w:rsid w:val="0051501B"/>
    <w:rsid w:val="005152B5"/>
    <w:rsid w:val="00515C1C"/>
    <w:rsid w:val="00516FBC"/>
    <w:rsid w:val="0051785A"/>
    <w:rsid w:val="005179E0"/>
    <w:rsid w:val="00517BF6"/>
    <w:rsid w:val="00517EF1"/>
    <w:rsid w:val="00520553"/>
    <w:rsid w:val="005208B2"/>
    <w:rsid w:val="00520F7C"/>
    <w:rsid w:val="0052123C"/>
    <w:rsid w:val="00521319"/>
    <w:rsid w:val="00521BBA"/>
    <w:rsid w:val="00521E13"/>
    <w:rsid w:val="005224AB"/>
    <w:rsid w:val="00522BC8"/>
    <w:rsid w:val="00522CCB"/>
    <w:rsid w:val="0052369C"/>
    <w:rsid w:val="00523A47"/>
    <w:rsid w:val="00523C28"/>
    <w:rsid w:val="00523E4A"/>
    <w:rsid w:val="005242CB"/>
    <w:rsid w:val="00524817"/>
    <w:rsid w:val="0052490E"/>
    <w:rsid w:val="00524A5C"/>
    <w:rsid w:val="00524EC0"/>
    <w:rsid w:val="005253FD"/>
    <w:rsid w:val="00525A89"/>
    <w:rsid w:val="00525B7E"/>
    <w:rsid w:val="00525F0D"/>
    <w:rsid w:val="005260D5"/>
    <w:rsid w:val="00526592"/>
    <w:rsid w:val="005266B2"/>
    <w:rsid w:val="0052691A"/>
    <w:rsid w:val="00526A43"/>
    <w:rsid w:val="00526C81"/>
    <w:rsid w:val="0052703E"/>
    <w:rsid w:val="0052724F"/>
    <w:rsid w:val="00527449"/>
    <w:rsid w:val="00527CE2"/>
    <w:rsid w:val="0053008A"/>
    <w:rsid w:val="00530256"/>
    <w:rsid w:val="005306B2"/>
    <w:rsid w:val="0053176B"/>
    <w:rsid w:val="00531B7F"/>
    <w:rsid w:val="00531D3A"/>
    <w:rsid w:val="0053237C"/>
    <w:rsid w:val="005323A0"/>
    <w:rsid w:val="00532B2E"/>
    <w:rsid w:val="00532BFD"/>
    <w:rsid w:val="005342C1"/>
    <w:rsid w:val="005347C1"/>
    <w:rsid w:val="00534B13"/>
    <w:rsid w:val="005352EE"/>
    <w:rsid w:val="0053552D"/>
    <w:rsid w:val="005358A2"/>
    <w:rsid w:val="00535B37"/>
    <w:rsid w:val="0053606F"/>
    <w:rsid w:val="00536233"/>
    <w:rsid w:val="005365AD"/>
    <w:rsid w:val="005366AF"/>
    <w:rsid w:val="0053676B"/>
    <w:rsid w:val="0053690F"/>
    <w:rsid w:val="00536932"/>
    <w:rsid w:val="0053695B"/>
    <w:rsid w:val="00536EEB"/>
    <w:rsid w:val="00536F42"/>
    <w:rsid w:val="00537182"/>
    <w:rsid w:val="00537325"/>
    <w:rsid w:val="00537363"/>
    <w:rsid w:val="00537526"/>
    <w:rsid w:val="00537672"/>
    <w:rsid w:val="00537D1B"/>
    <w:rsid w:val="00537D6A"/>
    <w:rsid w:val="00537F43"/>
    <w:rsid w:val="005402FD"/>
    <w:rsid w:val="005403D6"/>
    <w:rsid w:val="0054073E"/>
    <w:rsid w:val="0054087C"/>
    <w:rsid w:val="00540CC1"/>
    <w:rsid w:val="00540D37"/>
    <w:rsid w:val="00540DED"/>
    <w:rsid w:val="005416D5"/>
    <w:rsid w:val="00541845"/>
    <w:rsid w:val="00541EDD"/>
    <w:rsid w:val="005421F0"/>
    <w:rsid w:val="005425AD"/>
    <w:rsid w:val="00542743"/>
    <w:rsid w:val="005428A2"/>
    <w:rsid w:val="00542A18"/>
    <w:rsid w:val="00542C2D"/>
    <w:rsid w:val="00543004"/>
    <w:rsid w:val="00543116"/>
    <w:rsid w:val="0054323E"/>
    <w:rsid w:val="005435CB"/>
    <w:rsid w:val="00543E81"/>
    <w:rsid w:val="00543FDC"/>
    <w:rsid w:val="0054411A"/>
    <w:rsid w:val="005445E3"/>
    <w:rsid w:val="00544E02"/>
    <w:rsid w:val="00544E12"/>
    <w:rsid w:val="00544E2D"/>
    <w:rsid w:val="00544E8D"/>
    <w:rsid w:val="005452E5"/>
    <w:rsid w:val="0054570D"/>
    <w:rsid w:val="00545E6F"/>
    <w:rsid w:val="0054605C"/>
    <w:rsid w:val="0054615E"/>
    <w:rsid w:val="00546168"/>
    <w:rsid w:val="00546169"/>
    <w:rsid w:val="005462EB"/>
    <w:rsid w:val="00546E3D"/>
    <w:rsid w:val="00547745"/>
    <w:rsid w:val="005478BD"/>
    <w:rsid w:val="005479E3"/>
    <w:rsid w:val="00547ABC"/>
    <w:rsid w:val="00547DEF"/>
    <w:rsid w:val="005501F5"/>
    <w:rsid w:val="00550287"/>
    <w:rsid w:val="005502F0"/>
    <w:rsid w:val="00550443"/>
    <w:rsid w:val="00551985"/>
    <w:rsid w:val="0055210C"/>
    <w:rsid w:val="005524E7"/>
    <w:rsid w:val="005527A5"/>
    <w:rsid w:val="005527DF"/>
    <w:rsid w:val="00552BD3"/>
    <w:rsid w:val="005532A0"/>
    <w:rsid w:val="0055363F"/>
    <w:rsid w:val="005536EB"/>
    <w:rsid w:val="00553A98"/>
    <w:rsid w:val="005542FB"/>
    <w:rsid w:val="00554607"/>
    <w:rsid w:val="00554E0A"/>
    <w:rsid w:val="00555109"/>
    <w:rsid w:val="005555F6"/>
    <w:rsid w:val="005559C4"/>
    <w:rsid w:val="00555D71"/>
    <w:rsid w:val="00556A96"/>
    <w:rsid w:val="00556B35"/>
    <w:rsid w:val="00556DA7"/>
    <w:rsid w:val="00556FE8"/>
    <w:rsid w:val="005573A0"/>
    <w:rsid w:val="0055741A"/>
    <w:rsid w:val="00557555"/>
    <w:rsid w:val="00557598"/>
    <w:rsid w:val="00557630"/>
    <w:rsid w:val="00557937"/>
    <w:rsid w:val="00557C96"/>
    <w:rsid w:val="00557D74"/>
    <w:rsid w:val="005604E6"/>
    <w:rsid w:val="0056066E"/>
    <w:rsid w:val="00560755"/>
    <w:rsid w:val="005611B7"/>
    <w:rsid w:val="0056161E"/>
    <w:rsid w:val="0056182E"/>
    <w:rsid w:val="005618D4"/>
    <w:rsid w:val="00561B16"/>
    <w:rsid w:val="00561E5E"/>
    <w:rsid w:val="00561FC5"/>
    <w:rsid w:val="005620B9"/>
    <w:rsid w:val="00562544"/>
    <w:rsid w:val="005627A2"/>
    <w:rsid w:val="00562877"/>
    <w:rsid w:val="00563283"/>
    <w:rsid w:val="00563444"/>
    <w:rsid w:val="00563C66"/>
    <w:rsid w:val="00564163"/>
    <w:rsid w:val="005641B8"/>
    <w:rsid w:val="0056482A"/>
    <w:rsid w:val="00564FD8"/>
    <w:rsid w:val="0056545C"/>
    <w:rsid w:val="00565537"/>
    <w:rsid w:val="00565816"/>
    <w:rsid w:val="00565BDA"/>
    <w:rsid w:val="00565DF0"/>
    <w:rsid w:val="00565F82"/>
    <w:rsid w:val="005660D8"/>
    <w:rsid w:val="00566139"/>
    <w:rsid w:val="005661CF"/>
    <w:rsid w:val="0056657F"/>
    <w:rsid w:val="005666B2"/>
    <w:rsid w:val="005666CA"/>
    <w:rsid w:val="00566957"/>
    <w:rsid w:val="0056696F"/>
    <w:rsid w:val="00566CAD"/>
    <w:rsid w:val="00566ED7"/>
    <w:rsid w:val="0056709E"/>
    <w:rsid w:val="00567CA4"/>
    <w:rsid w:val="00567E2A"/>
    <w:rsid w:val="00567F4B"/>
    <w:rsid w:val="00567F56"/>
    <w:rsid w:val="005706B2"/>
    <w:rsid w:val="00570895"/>
    <w:rsid w:val="00570D88"/>
    <w:rsid w:val="00570E0B"/>
    <w:rsid w:val="005712F3"/>
    <w:rsid w:val="0057152D"/>
    <w:rsid w:val="00572269"/>
    <w:rsid w:val="0057244A"/>
    <w:rsid w:val="0057258B"/>
    <w:rsid w:val="0057272E"/>
    <w:rsid w:val="00572755"/>
    <w:rsid w:val="00572EB9"/>
    <w:rsid w:val="00572F26"/>
    <w:rsid w:val="0057353D"/>
    <w:rsid w:val="00573642"/>
    <w:rsid w:val="00573FBF"/>
    <w:rsid w:val="005742A7"/>
    <w:rsid w:val="0057444B"/>
    <w:rsid w:val="005744AC"/>
    <w:rsid w:val="005744F6"/>
    <w:rsid w:val="005750C5"/>
    <w:rsid w:val="005752DE"/>
    <w:rsid w:val="00575CC5"/>
    <w:rsid w:val="00575D8D"/>
    <w:rsid w:val="005762B1"/>
    <w:rsid w:val="00576315"/>
    <w:rsid w:val="00576972"/>
    <w:rsid w:val="00576982"/>
    <w:rsid w:val="00576A37"/>
    <w:rsid w:val="00576DD0"/>
    <w:rsid w:val="005774ED"/>
    <w:rsid w:val="005778B8"/>
    <w:rsid w:val="00577ADF"/>
    <w:rsid w:val="0058004F"/>
    <w:rsid w:val="00580444"/>
    <w:rsid w:val="0058079A"/>
    <w:rsid w:val="00580935"/>
    <w:rsid w:val="005812A8"/>
    <w:rsid w:val="005814F2"/>
    <w:rsid w:val="005816F8"/>
    <w:rsid w:val="00581747"/>
    <w:rsid w:val="005819CA"/>
    <w:rsid w:val="005819ED"/>
    <w:rsid w:val="0058327A"/>
    <w:rsid w:val="00583378"/>
    <w:rsid w:val="00583699"/>
    <w:rsid w:val="005839CD"/>
    <w:rsid w:val="00583D15"/>
    <w:rsid w:val="00583F92"/>
    <w:rsid w:val="005841FC"/>
    <w:rsid w:val="00584344"/>
    <w:rsid w:val="005844E7"/>
    <w:rsid w:val="0058461C"/>
    <w:rsid w:val="00584A3D"/>
    <w:rsid w:val="00584AD2"/>
    <w:rsid w:val="00584CE6"/>
    <w:rsid w:val="00585B68"/>
    <w:rsid w:val="00585CDD"/>
    <w:rsid w:val="00585D0C"/>
    <w:rsid w:val="00585FC6"/>
    <w:rsid w:val="005860BA"/>
    <w:rsid w:val="005865E4"/>
    <w:rsid w:val="0058672F"/>
    <w:rsid w:val="00586C2F"/>
    <w:rsid w:val="00586D52"/>
    <w:rsid w:val="00586DD3"/>
    <w:rsid w:val="00586F5E"/>
    <w:rsid w:val="00587058"/>
    <w:rsid w:val="005874B2"/>
    <w:rsid w:val="00590157"/>
    <w:rsid w:val="00590226"/>
    <w:rsid w:val="0059067D"/>
    <w:rsid w:val="00590BE4"/>
    <w:rsid w:val="00590D8B"/>
    <w:rsid w:val="00591043"/>
    <w:rsid w:val="005914E1"/>
    <w:rsid w:val="00591957"/>
    <w:rsid w:val="00592843"/>
    <w:rsid w:val="00592997"/>
    <w:rsid w:val="00592DC0"/>
    <w:rsid w:val="00593011"/>
    <w:rsid w:val="0059331F"/>
    <w:rsid w:val="005934FD"/>
    <w:rsid w:val="00593552"/>
    <w:rsid w:val="005938F0"/>
    <w:rsid w:val="005939B5"/>
    <w:rsid w:val="0059447E"/>
    <w:rsid w:val="005949FD"/>
    <w:rsid w:val="00594DC5"/>
    <w:rsid w:val="005950FB"/>
    <w:rsid w:val="00595870"/>
    <w:rsid w:val="00595B8D"/>
    <w:rsid w:val="005961C8"/>
    <w:rsid w:val="00596427"/>
    <w:rsid w:val="00596B70"/>
    <w:rsid w:val="0059715C"/>
    <w:rsid w:val="00597732"/>
    <w:rsid w:val="00597826"/>
    <w:rsid w:val="005979B6"/>
    <w:rsid w:val="00597A96"/>
    <w:rsid w:val="00597BF9"/>
    <w:rsid w:val="00597C49"/>
    <w:rsid w:val="00597C6F"/>
    <w:rsid w:val="00597F9B"/>
    <w:rsid w:val="00597FF3"/>
    <w:rsid w:val="005A0CFE"/>
    <w:rsid w:val="005A1D6A"/>
    <w:rsid w:val="005A2408"/>
    <w:rsid w:val="005A24B5"/>
    <w:rsid w:val="005A2509"/>
    <w:rsid w:val="005A26C3"/>
    <w:rsid w:val="005A3050"/>
    <w:rsid w:val="005A309A"/>
    <w:rsid w:val="005A33D1"/>
    <w:rsid w:val="005A3430"/>
    <w:rsid w:val="005A351D"/>
    <w:rsid w:val="005A373D"/>
    <w:rsid w:val="005A3F85"/>
    <w:rsid w:val="005A41BC"/>
    <w:rsid w:val="005A4BAF"/>
    <w:rsid w:val="005A5131"/>
    <w:rsid w:val="005A5B5E"/>
    <w:rsid w:val="005A5E93"/>
    <w:rsid w:val="005A5EFF"/>
    <w:rsid w:val="005A603E"/>
    <w:rsid w:val="005A6B69"/>
    <w:rsid w:val="005A6BA1"/>
    <w:rsid w:val="005A6DA7"/>
    <w:rsid w:val="005A6F2E"/>
    <w:rsid w:val="005A72B4"/>
    <w:rsid w:val="005A772C"/>
    <w:rsid w:val="005A7A2B"/>
    <w:rsid w:val="005B0066"/>
    <w:rsid w:val="005B044E"/>
    <w:rsid w:val="005B05D9"/>
    <w:rsid w:val="005B063F"/>
    <w:rsid w:val="005B0B58"/>
    <w:rsid w:val="005B0CFF"/>
    <w:rsid w:val="005B11CD"/>
    <w:rsid w:val="005B11D8"/>
    <w:rsid w:val="005B1475"/>
    <w:rsid w:val="005B1AB2"/>
    <w:rsid w:val="005B20BB"/>
    <w:rsid w:val="005B2A95"/>
    <w:rsid w:val="005B2C0C"/>
    <w:rsid w:val="005B33A1"/>
    <w:rsid w:val="005B3BE3"/>
    <w:rsid w:val="005B459E"/>
    <w:rsid w:val="005B4E53"/>
    <w:rsid w:val="005B4F51"/>
    <w:rsid w:val="005B53AE"/>
    <w:rsid w:val="005B53EC"/>
    <w:rsid w:val="005B546B"/>
    <w:rsid w:val="005B5857"/>
    <w:rsid w:val="005B5B2D"/>
    <w:rsid w:val="005B5B65"/>
    <w:rsid w:val="005B61FC"/>
    <w:rsid w:val="005B63C7"/>
    <w:rsid w:val="005B6459"/>
    <w:rsid w:val="005B66E1"/>
    <w:rsid w:val="005B681A"/>
    <w:rsid w:val="005B6981"/>
    <w:rsid w:val="005B69D6"/>
    <w:rsid w:val="005B70A5"/>
    <w:rsid w:val="005B7416"/>
    <w:rsid w:val="005B7845"/>
    <w:rsid w:val="005C05DB"/>
    <w:rsid w:val="005C08D1"/>
    <w:rsid w:val="005C0BAE"/>
    <w:rsid w:val="005C0C57"/>
    <w:rsid w:val="005C0CC2"/>
    <w:rsid w:val="005C0DF1"/>
    <w:rsid w:val="005C1216"/>
    <w:rsid w:val="005C163F"/>
    <w:rsid w:val="005C171C"/>
    <w:rsid w:val="005C17AA"/>
    <w:rsid w:val="005C1875"/>
    <w:rsid w:val="005C1B83"/>
    <w:rsid w:val="005C1DCC"/>
    <w:rsid w:val="005C23BF"/>
    <w:rsid w:val="005C25FF"/>
    <w:rsid w:val="005C2A86"/>
    <w:rsid w:val="005C2CD3"/>
    <w:rsid w:val="005C2D55"/>
    <w:rsid w:val="005C2D7E"/>
    <w:rsid w:val="005C305C"/>
    <w:rsid w:val="005C346B"/>
    <w:rsid w:val="005C3B3F"/>
    <w:rsid w:val="005C3C5F"/>
    <w:rsid w:val="005C3DF8"/>
    <w:rsid w:val="005C428E"/>
    <w:rsid w:val="005C48CF"/>
    <w:rsid w:val="005C4CC7"/>
    <w:rsid w:val="005C4D3B"/>
    <w:rsid w:val="005C4FFF"/>
    <w:rsid w:val="005C5000"/>
    <w:rsid w:val="005C53BA"/>
    <w:rsid w:val="005C6E98"/>
    <w:rsid w:val="005C7327"/>
    <w:rsid w:val="005C7594"/>
    <w:rsid w:val="005C7668"/>
    <w:rsid w:val="005C7823"/>
    <w:rsid w:val="005C7A20"/>
    <w:rsid w:val="005C7FCA"/>
    <w:rsid w:val="005D008E"/>
    <w:rsid w:val="005D0156"/>
    <w:rsid w:val="005D031E"/>
    <w:rsid w:val="005D044D"/>
    <w:rsid w:val="005D09D0"/>
    <w:rsid w:val="005D0ABD"/>
    <w:rsid w:val="005D158C"/>
    <w:rsid w:val="005D18AD"/>
    <w:rsid w:val="005D1D53"/>
    <w:rsid w:val="005D2503"/>
    <w:rsid w:val="005D2622"/>
    <w:rsid w:val="005D26B4"/>
    <w:rsid w:val="005D299B"/>
    <w:rsid w:val="005D2AEB"/>
    <w:rsid w:val="005D3572"/>
    <w:rsid w:val="005D35B5"/>
    <w:rsid w:val="005D366B"/>
    <w:rsid w:val="005D3A2A"/>
    <w:rsid w:val="005D3C62"/>
    <w:rsid w:val="005D3E45"/>
    <w:rsid w:val="005D4448"/>
    <w:rsid w:val="005D4BB1"/>
    <w:rsid w:val="005D51ED"/>
    <w:rsid w:val="005D5464"/>
    <w:rsid w:val="005D548F"/>
    <w:rsid w:val="005D5763"/>
    <w:rsid w:val="005D64C2"/>
    <w:rsid w:val="005D677C"/>
    <w:rsid w:val="005D7084"/>
    <w:rsid w:val="005D7275"/>
    <w:rsid w:val="005D7282"/>
    <w:rsid w:val="005D7A5E"/>
    <w:rsid w:val="005D7B3D"/>
    <w:rsid w:val="005D7EEA"/>
    <w:rsid w:val="005E0197"/>
    <w:rsid w:val="005E0288"/>
    <w:rsid w:val="005E0369"/>
    <w:rsid w:val="005E04FA"/>
    <w:rsid w:val="005E0503"/>
    <w:rsid w:val="005E0ED3"/>
    <w:rsid w:val="005E17FE"/>
    <w:rsid w:val="005E1837"/>
    <w:rsid w:val="005E202F"/>
    <w:rsid w:val="005E240F"/>
    <w:rsid w:val="005E2542"/>
    <w:rsid w:val="005E2A26"/>
    <w:rsid w:val="005E3F24"/>
    <w:rsid w:val="005E4348"/>
    <w:rsid w:val="005E4DA5"/>
    <w:rsid w:val="005E4E4F"/>
    <w:rsid w:val="005E50F3"/>
    <w:rsid w:val="005E510F"/>
    <w:rsid w:val="005E54FC"/>
    <w:rsid w:val="005E57E8"/>
    <w:rsid w:val="005E58B7"/>
    <w:rsid w:val="005E5D51"/>
    <w:rsid w:val="005E5E2C"/>
    <w:rsid w:val="005E6A96"/>
    <w:rsid w:val="005E6CBC"/>
    <w:rsid w:val="005E725A"/>
    <w:rsid w:val="005E72FF"/>
    <w:rsid w:val="005E73C0"/>
    <w:rsid w:val="005E75E3"/>
    <w:rsid w:val="005E777F"/>
    <w:rsid w:val="005E7AAC"/>
    <w:rsid w:val="005E7C0B"/>
    <w:rsid w:val="005E7E88"/>
    <w:rsid w:val="005E7FF6"/>
    <w:rsid w:val="005F01A1"/>
    <w:rsid w:val="005F0810"/>
    <w:rsid w:val="005F0869"/>
    <w:rsid w:val="005F10EE"/>
    <w:rsid w:val="005F11AA"/>
    <w:rsid w:val="005F1217"/>
    <w:rsid w:val="005F1602"/>
    <w:rsid w:val="005F16E8"/>
    <w:rsid w:val="005F16FA"/>
    <w:rsid w:val="005F2706"/>
    <w:rsid w:val="005F2C24"/>
    <w:rsid w:val="005F2E6E"/>
    <w:rsid w:val="005F2F9C"/>
    <w:rsid w:val="005F3208"/>
    <w:rsid w:val="005F37F1"/>
    <w:rsid w:val="005F3903"/>
    <w:rsid w:val="005F46CA"/>
    <w:rsid w:val="005F4BEB"/>
    <w:rsid w:val="005F4E4C"/>
    <w:rsid w:val="005F5045"/>
    <w:rsid w:val="005F584D"/>
    <w:rsid w:val="005F5A28"/>
    <w:rsid w:val="005F5AA2"/>
    <w:rsid w:val="005F5F1C"/>
    <w:rsid w:val="005F5F30"/>
    <w:rsid w:val="005F5F53"/>
    <w:rsid w:val="005F6766"/>
    <w:rsid w:val="005F6A8F"/>
    <w:rsid w:val="005F6BB7"/>
    <w:rsid w:val="005F6BD0"/>
    <w:rsid w:val="005F7532"/>
    <w:rsid w:val="005F7588"/>
    <w:rsid w:val="005F7679"/>
    <w:rsid w:val="005F7CEE"/>
    <w:rsid w:val="00600409"/>
    <w:rsid w:val="006014D8"/>
    <w:rsid w:val="00602012"/>
    <w:rsid w:val="006024BE"/>
    <w:rsid w:val="006024CA"/>
    <w:rsid w:val="0060293E"/>
    <w:rsid w:val="00602E9E"/>
    <w:rsid w:val="006030DE"/>
    <w:rsid w:val="00603282"/>
    <w:rsid w:val="0060369A"/>
    <w:rsid w:val="006037C1"/>
    <w:rsid w:val="00603BCF"/>
    <w:rsid w:val="00603DB9"/>
    <w:rsid w:val="00603DFD"/>
    <w:rsid w:val="00603E1D"/>
    <w:rsid w:val="00604301"/>
    <w:rsid w:val="00604307"/>
    <w:rsid w:val="00604482"/>
    <w:rsid w:val="0060448E"/>
    <w:rsid w:val="00604515"/>
    <w:rsid w:val="006045CA"/>
    <w:rsid w:val="0060466F"/>
    <w:rsid w:val="00604D9F"/>
    <w:rsid w:val="0060506C"/>
    <w:rsid w:val="00605480"/>
    <w:rsid w:val="006057BD"/>
    <w:rsid w:val="00605E1C"/>
    <w:rsid w:val="00606648"/>
    <w:rsid w:val="00606FBA"/>
    <w:rsid w:val="0060714C"/>
    <w:rsid w:val="006074A9"/>
    <w:rsid w:val="00607669"/>
    <w:rsid w:val="006076F4"/>
    <w:rsid w:val="0060798E"/>
    <w:rsid w:val="006079C5"/>
    <w:rsid w:val="00607AFD"/>
    <w:rsid w:val="00610309"/>
    <w:rsid w:val="006103BA"/>
    <w:rsid w:val="00610958"/>
    <w:rsid w:val="00610DE8"/>
    <w:rsid w:val="00610E63"/>
    <w:rsid w:val="0061111F"/>
    <w:rsid w:val="00611BBF"/>
    <w:rsid w:val="006124D7"/>
    <w:rsid w:val="006126C8"/>
    <w:rsid w:val="00612BEC"/>
    <w:rsid w:val="00612CEB"/>
    <w:rsid w:val="00612D06"/>
    <w:rsid w:val="00612F97"/>
    <w:rsid w:val="0061345D"/>
    <w:rsid w:val="00613B26"/>
    <w:rsid w:val="00613DC6"/>
    <w:rsid w:val="00614E69"/>
    <w:rsid w:val="0061518F"/>
    <w:rsid w:val="0061530E"/>
    <w:rsid w:val="0061549B"/>
    <w:rsid w:val="00615BCA"/>
    <w:rsid w:val="00616802"/>
    <w:rsid w:val="00616B05"/>
    <w:rsid w:val="006170D2"/>
    <w:rsid w:val="00617316"/>
    <w:rsid w:val="006174CC"/>
    <w:rsid w:val="006174EC"/>
    <w:rsid w:val="00617B72"/>
    <w:rsid w:val="00617E12"/>
    <w:rsid w:val="00620771"/>
    <w:rsid w:val="00620A95"/>
    <w:rsid w:val="00620B08"/>
    <w:rsid w:val="00620C25"/>
    <w:rsid w:val="00621477"/>
    <w:rsid w:val="00621ADA"/>
    <w:rsid w:val="00621B7A"/>
    <w:rsid w:val="00621D1E"/>
    <w:rsid w:val="0062202C"/>
    <w:rsid w:val="0062203C"/>
    <w:rsid w:val="006227AB"/>
    <w:rsid w:val="00622A63"/>
    <w:rsid w:val="00622B16"/>
    <w:rsid w:val="0062315F"/>
    <w:rsid w:val="0062321A"/>
    <w:rsid w:val="006233EC"/>
    <w:rsid w:val="00623A7B"/>
    <w:rsid w:val="00623C69"/>
    <w:rsid w:val="00623F7B"/>
    <w:rsid w:val="00624A15"/>
    <w:rsid w:val="00624CE6"/>
    <w:rsid w:val="00624D10"/>
    <w:rsid w:val="00625148"/>
    <w:rsid w:val="0062533B"/>
    <w:rsid w:val="00625D54"/>
    <w:rsid w:val="00625DB4"/>
    <w:rsid w:val="006262F1"/>
    <w:rsid w:val="006267FB"/>
    <w:rsid w:val="0062688F"/>
    <w:rsid w:val="00626928"/>
    <w:rsid w:val="00627059"/>
    <w:rsid w:val="006272D7"/>
    <w:rsid w:val="006274A5"/>
    <w:rsid w:val="0062752A"/>
    <w:rsid w:val="0062766F"/>
    <w:rsid w:val="006278FC"/>
    <w:rsid w:val="00627999"/>
    <w:rsid w:val="006303A9"/>
    <w:rsid w:val="00630526"/>
    <w:rsid w:val="00630930"/>
    <w:rsid w:val="0063113D"/>
    <w:rsid w:val="0063158F"/>
    <w:rsid w:val="00631AB2"/>
    <w:rsid w:val="00631C97"/>
    <w:rsid w:val="00631D6B"/>
    <w:rsid w:val="00631FF5"/>
    <w:rsid w:val="00632183"/>
    <w:rsid w:val="00632750"/>
    <w:rsid w:val="006329EF"/>
    <w:rsid w:val="00632B9A"/>
    <w:rsid w:val="00632FEA"/>
    <w:rsid w:val="00633015"/>
    <w:rsid w:val="006330A1"/>
    <w:rsid w:val="006330BE"/>
    <w:rsid w:val="0063344C"/>
    <w:rsid w:val="00633C5E"/>
    <w:rsid w:val="00633C87"/>
    <w:rsid w:val="00633DAD"/>
    <w:rsid w:val="00634046"/>
    <w:rsid w:val="006343A2"/>
    <w:rsid w:val="0063479F"/>
    <w:rsid w:val="00634821"/>
    <w:rsid w:val="006353F0"/>
    <w:rsid w:val="006355D4"/>
    <w:rsid w:val="006357B5"/>
    <w:rsid w:val="0063639A"/>
    <w:rsid w:val="006364A1"/>
    <w:rsid w:val="0063677A"/>
    <w:rsid w:val="0063678E"/>
    <w:rsid w:val="00636876"/>
    <w:rsid w:val="00636F78"/>
    <w:rsid w:val="00637034"/>
    <w:rsid w:val="0063725E"/>
    <w:rsid w:val="00637BFD"/>
    <w:rsid w:val="00640750"/>
    <w:rsid w:val="006409DF"/>
    <w:rsid w:val="00641009"/>
    <w:rsid w:val="00641218"/>
    <w:rsid w:val="00641274"/>
    <w:rsid w:val="00641C4E"/>
    <w:rsid w:val="00641FB3"/>
    <w:rsid w:val="00642644"/>
    <w:rsid w:val="00642977"/>
    <w:rsid w:val="00642B7B"/>
    <w:rsid w:val="00642D5F"/>
    <w:rsid w:val="00642DB8"/>
    <w:rsid w:val="00643217"/>
    <w:rsid w:val="006434F1"/>
    <w:rsid w:val="00643957"/>
    <w:rsid w:val="00643D09"/>
    <w:rsid w:val="006441D3"/>
    <w:rsid w:val="00644300"/>
    <w:rsid w:val="0064434C"/>
    <w:rsid w:val="0064436C"/>
    <w:rsid w:val="00645185"/>
    <w:rsid w:val="006455D9"/>
    <w:rsid w:val="0064582E"/>
    <w:rsid w:val="00645C80"/>
    <w:rsid w:val="00645E26"/>
    <w:rsid w:val="00645EBB"/>
    <w:rsid w:val="006469D6"/>
    <w:rsid w:val="006471CC"/>
    <w:rsid w:val="006473DB"/>
    <w:rsid w:val="0064760B"/>
    <w:rsid w:val="00647A29"/>
    <w:rsid w:val="00650367"/>
    <w:rsid w:val="00650442"/>
    <w:rsid w:val="00650551"/>
    <w:rsid w:val="0065079F"/>
    <w:rsid w:val="00650970"/>
    <w:rsid w:val="00651401"/>
    <w:rsid w:val="006517D1"/>
    <w:rsid w:val="00651CFB"/>
    <w:rsid w:val="00651DE2"/>
    <w:rsid w:val="006521BA"/>
    <w:rsid w:val="006529B4"/>
    <w:rsid w:val="00652A28"/>
    <w:rsid w:val="00652A46"/>
    <w:rsid w:val="00652E35"/>
    <w:rsid w:val="00652FCB"/>
    <w:rsid w:val="00653061"/>
    <w:rsid w:val="0065379F"/>
    <w:rsid w:val="00653E86"/>
    <w:rsid w:val="006541D2"/>
    <w:rsid w:val="00654CE8"/>
    <w:rsid w:val="0065519C"/>
    <w:rsid w:val="0065580C"/>
    <w:rsid w:val="0065580F"/>
    <w:rsid w:val="00655F36"/>
    <w:rsid w:val="00656060"/>
    <w:rsid w:val="0065615F"/>
    <w:rsid w:val="00656188"/>
    <w:rsid w:val="0065698A"/>
    <w:rsid w:val="0065715A"/>
    <w:rsid w:val="00657339"/>
    <w:rsid w:val="0065783A"/>
    <w:rsid w:val="0066014F"/>
    <w:rsid w:val="006601BB"/>
    <w:rsid w:val="0066054A"/>
    <w:rsid w:val="00660758"/>
    <w:rsid w:val="006608D0"/>
    <w:rsid w:val="006610B5"/>
    <w:rsid w:val="006610F1"/>
    <w:rsid w:val="00661858"/>
    <w:rsid w:val="0066191A"/>
    <w:rsid w:val="00661AC1"/>
    <w:rsid w:val="00661AF6"/>
    <w:rsid w:val="00661C6B"/>
    <w:rsid w:val="00661E90"/>
    <w:rsid w:val="00662210"/>
    <w:rsid w:val="00662841"/>
    <w:rsid w:val="006628F4"/>
    <w:rsid w:val="0066294F"/>
    <w:rsid w:val="00662B86"/>
    <w:rsid w:val="0066300A"/>
    <w:rsid w:val="006637E0"/>
    <w:rsid w:val="00663879"/>
    <w:rsid w:val="006638D0"/>
    <w:rsid w:val="00663B04"/>
    <w:rsid w:val="00663B07"/>
    <w:rsid w:val="0066490E"/>
    <w:rsid w:val="00664A1D"/>
    <w:rsid w:val="00664AC0"/>
    <w:rsid w:val="00664BB4"/>
    <w:rsid w:val="0066527C"/>
    <w:rsid w:val="006652A3"/>
    <w:rsid w:val="00665401"/>
    <w:rsid w:val="00665701"/>
    <w:rsid w:val="006664B7"/>
    <w:rsid w:val="006669B3"/>
    <w:rsid w:val="00666C8D"/>
    <w:rsid w:val="00667141"/>
    <w:rsid w:val="00667A09"/>
    <w:rsid w:val="00667F05"/>
    <w:rsid w:val="00667FB4"/>
    <w:rsid w:val="006703CA"/>
    <w:rsid w:val="00670BA2"/>
    <w:rsid w:val="00671004"/>
    <w:rsid w:val="006718F3"/>
    <w:rsid w:val="00671B54"/>
    <w:rsid w:val="006721BE"/>
    <w:rsid w:val="00672349"/>
    <w:rsid w:val="00672646"/>
    <w:rsid w:val="006728C2"/>
    <w:rsid w:val="00672F0B"/>
    <w:rsid w:val="006735D5"/>
    <w:rsid w:val="0067375D"/>
    <w:rsid w:val="00673ED4"/>
    <w:rsid w:val="00674233"/>
    <w:rsid w:val="00674ACB"/>
    <w:rsid w:val="00674C2F"/>
    <w:rsid w:val="00674E42"/>
    <w:rsid w:val="006755D1"/>
    <w:rsid w:val="0067594B"/>
    <w:rsid w:val="00675C8C"/>
    <w:rsid w:val="00675D35"/>
    <w:rsid w:val="006761D7"/>
    <w:rsid w:val="0067665F"/>
    <w:rsid w:val="006766EA"/>
    <w:rsid w:val="006769DD"/>
    <w:rsid w:val="00676E44"/>
    <w:rsid w:val="00677106"/>
    <w:rsid w:val="00677567"/>
    <w:rsid w:val="00677746"/>
    <w:rsid w:val="00677D0E"/>
    <w:rsid w:val="006813F8"/>
    <w:rsid w:val="0068154C"/>
    <w:rsid w:val="00681D9C"/>
    <w:rsid w:val="00682112"/>
    <w:rsid w:val="00682688"/>
    <w:rsid w:val="00682800"/>
    <w:rsid w:val="00682B37"/>
    <w:rsid w:val="00682BA6"/>
    <w:rsid w:val="00682EB8"/>
    <w:rsid w:val="00682EFD"/>
    <w:rsid w:val="0068324D"/>
    <w:rsid w:val="006836D2"/>
    <w:rsid w:val="006838D7"/>
    <w:rsid w:val="00683A20"/>
    <w:rsid w:val="00684504"/>
    <w:rsid w:val="00684A35"/>
    <w:rsid w:val="00684C00"/>
    <w:rsid w:val="00685BB6"/>
    <w:rsid w:val="00685FF3"/>
    <w:rsid w:val="00686256"/>
    <w:rsid w:val="00686957"/>
    <w:rsid w:val="00686A92"/>
    <w:rsid w:val="00686C40"/>
    <w:rsid w:val="006871DC"/>
    <w:rsid w:val="006872BA"/>
    <w:rsid w:val="0068752D"/>
    <w:rsid w:val="0068794F"/>
    <w:rsid w:val="00687AB4"/>
    <w:rsid w:val="00690530"/>
    <w:rsid w:val="00690641"/>
    <w:rsid w:val="00690795"/>
    <w:rsid w:val="006908F0"/>
    <w:rsid w:val="00691648"/>
    <w:rsid w:val="006917D7"/>
    <w:rsid w:val="00692532"/>
    <w:rsid w:val="006928A0"/>
    <w:rsid w:val="00692932"/>
    <w:rsid w:val="00692F6E"/>
    <w:rsid w:val="00693717"/>
    <w:rsid w:val="00693F09"/>
    <w:rsid w:val="00694193"/>
    <w:rsid w:val="0069434C"/>
    <w:rsid w:val="006945CE"/>
    <w:rsid w:val="00694A80"/>
    <w:rsid w:val="00694F44"/>
    <w:rsid w:val="0069523C"/>
    <w:rsid w:val="0069527F"/>
    <w:rsid w:val="00695A0D"/>
    <w:rsid w:val="00695AC4"/>
    <w:rsid w:val="00695CD0"/>
    <w:rsid w:val="00695E52"/>
    <w:rsid w:val="00695FF6"/>
    <w:rsid w:val="00696012"/>
    <w:rsid w:val="006967CB"/>
    <w:rsid w:val="00696C2B"/>
    <w:rsid w:val="00696F28"/>
    <w:rsid w:val="00696F51"/>
    <w:rsid w:val="0069742D"/>
    <w:rsid w:val="00697803"/>
    <w:rsid w:val="006979A5"/>
    <w:rsid w:val="00697A5B"/>
    <w:rsid w:val="006A06C9"/>
    <w:rsid w:val="006A0A0F"/>
    <w:rsid w:val="006A0AB7"/>
    <w:rsid w:val="006A0C15"/>
    <w:rsid w:val="006A0EB5"/>
    <w:rsid w:val="006A1325"/>
    <w:rsid w:val="006A14D6"/>
    <w:rsid w:val="006A1632"/>
    <w:rsid w:val="006A1643"/>
    <w:rsid w:val="006A1BB3"/>
    <w:rsid w:val="006A1C1C"/>
    <w:rsid w:val="006A1D0D"/>
    <w:rsid w:val="006A1F46"/>
    <w:rsid w:val="006A2F7F"/>
    <w:rsid w:val="006A3AAE"/>
    <w:rsid w:val="006A3AE1"/>
    <w:rsid w:val="006A50CD"/>
    <w:rsid w:val="006A529E"/>
    <w:rsid w:val="006A554D"/>
    <w:rsid w:val="006A613A"/>
    <w:rsid w:val="006A6B99"/>
    <w:rsid w:val="006A6EE9"/>
    <w:rsid w:val="006A7656"/>
    <w:rsid w:val="006A7CB1"/>
    <w:rsid w:val="006A7E5F"/>
    <w:rsid w:val="006B038D"/>
    <w:rsid w:val="006B0631"/>
    <w:rsid w:val="006B096B"/>
    <w:rsid w:val="006B0E9F"/>
    <w:rsid w:val="006B0F3C"/>
    <w:rsid w:val="006B0FEE"/>
    <w:rsid w:val="006B110B"/>
    <w:rsid w:val="006B170B"/>
    <w:rsid w:val="006B2110"/>
    <w:rsid w:val="006B2617"/>
    <w:rsid w:val="006B261B"/>
    <w:rsid w:val="006B2C5F"/>
    <w:rsid w:val="006B2C90"/>
    <w:rsid w:val="006B3282"/>
    <w:rsid w:val="006B35E6"/>
    <w:rsid w:val="006B3873"/>
    <w:rsid w:val="006B38A7"/>
    <w:rsid w:val="006B3A28"/>
    <w:rsid w:val="006B3A6C"/>
    <w:rsid w:val="006B3C39"/>
    <w:rsid w:val="006B3DB8"/>
    <w:rsid w:val="006B4192"/>
    <w:rsid w:val="006B4263"/>
    <w:rsid w:val="006B4478"/>
    <w:rsid w:val="006B44D2"/>
    <w:rsid w:val="006B465A"/>
    <w:rsid w:val="006B4993"/>
    <w:rsid w:val="006B4A84"/>
    <w:rsid w:val="006B4B46"/>
    <w:rsid w:val="006B51EF"/>
    <w:rsid w:val="006B555B"/>
    <w:rsid w:val="006B6049"/>
    <w:rsid w:val="006B61E7"/>
    <w:rsid w:val="006B65F7"/>
    <w:rsid w:val="006B662B"/>
    <w:rsid w:val="006B686D"/>
    <w:rsid w:val="006B6DD0"/>
    <w:rsid w:val="006B6E18"/>
    <w:rsid w:val="006B6E70"/>
    <w:rsid w:val="006B7340"/>
    <w:rsid w:val="006B77DD"/>
    <w:rsid w:val="006B7813"/>
    <w:rsid w:val="006B7C09"/>
    <w:rsid w:val="006B7ED4"/>
    <w:rsid w:val="006C0399"/>
    <w:rsid w:val="006C04B1"/>
    <w:rsid w:val="006C08AF"/>
    <w:rsid w:val="006C0AA3"/>
    <w:rsid w:val="006C0F25"/>
    <w:rsid w:val="006C1F3D"/>
    <w:rsid w:val="006C1F55"/>
    <w:rsid w:val="006C1FB9"/>
    <w:rsid w:val="006C22A5"/>
    <w:rsid w:val="006C23C9"/>
    <w:rsid w:val="006C2532"/>
    <w:rsid w:val="006C2A8E"/>
    <w:rsid w:val="006C2D72"/>
    <w:rsid w:val="006C2E76"/>
    <w:rsid w:val="006C2F22"/>
    <w:rsid w:val="006C2FA9"/>
    <w:rsid w:val="006C3158"/>
    <w:rsid w:val="006C3255"/>
    <w:rsid w:val="006C3666"/>
    <w:rsid w:val="006C3A04"/>
    <w:rsid w:val="006C3F26"/>
    <w:rsid w:val="006C4569"/>
    <w:rsid w:val="006C4B19"/>
    <w:rsid w:val="006C582D"/>
    <w:rsid w:val="006C773F"/>
    <w:rsid w:val="006C77EA"/>
    <w:rsid w:val="006C79AA"/>
    <w:rsid w:val="006C7CC5"/>
    <w:rsid w:val="006D0504"/>
    <w:rsid w:val="006D075F"/>
    <w:rsid w:val="006D0D17"/>
    <w:rsid w:val="006D0DCB"/>
    <w:rsid w:val="006D0FE3"/>
    <w:rsid w:val="006D110D"/>
    <w:rsid w:val="006D1316"/>
    <w:rsid w:val="006D1AFB"/>
    <w:rsid w:val="006D1F1C"/>
    <w:rsid w:val="006D2B50"/>
    <w:rsid w:val="006D34A9"/>
    <w:rsid w:val="006D34E1"/>
    <w:rsid w:val="006D3988"/>
    <w:rsid w:val="006D3C7D"/>
    <w:rsid w:val="006D3D71"/>
    <w:rsid w:val="006D3E74"/>
    <w:rsid w:val="006D3F45"/>
    <w:rsid w:val="006D4059"/>
    <w:rsid w:val="006D40A2"/>
    <w:rsid w:val="006D414D"/>
    <w:rsid w:val="006D42FD"/>
    <w:rsid w:val="006D4372"/>
    <w:rsid w:val="006D4446"/>
    <w:rsid w:val="006D4501"/>
    <w:rsid w:val="006D4659"/>
    <w:rsid w:val="006D4953"/>
    <w:rsid w:val="006D4C30"/>
    <w:rsid w:val="006D4D4C"/>
    <w:rsid w:val="006D4F8E"/>
    <w:rsid w:val="006D500D"/>
    <w:rsid w:val="006D5CCD"/>
    <w:rsid w:val="006D5D5F"/>
    <w:rsid w:val="006D633A"/>
    <w:rsid w:val="006D6494"/>
    <w:rsid w:val="006D6886"/>
    <w:rsid w:val="006D68C5"/>
    <w:rsid w:val="006D68FB"/>
    <w:rsid w:val="006D6979"/>
    <w:rsid w:val="006D6B83"/>
    <w:rsid w:val="006D706B"/>
    <w:rsid w:val="006E01A5"/>
    <w:rsid w:val="006E0AD9"/>
    <w:rsid w:val="006E0B1A"/>
    <w:rsid w:val="006E1294"/>
    <w:rsid w:val="006E1367"/>
    <w:rsid w:val="006E27A7"/>
    <w:rsid w:val="006E2868"/>
    <w:rsid w:val="006E2999"/>
    <w:rsid w:val="006E2D45"/>
    <w:rsid w:val="006E2E52"/>
    <w:rsid w:val="006E3710"/>
    <w:rsid w:val="006E390F"/>
    <w:rsid w:val="006E3A3F"/>
    <w:rsid w:val="006E3A43"/>
    <w:rsid w:val="006E3D62"/>
    <w:rsid w:val="006E3E23"/>
    <w:rsid w:val="006E3EE6"/>
    <w:rsid w:val="006E45B1"/>
    <w:rsid w:val="006E4701"/>
    <w:rsid w:val="006E4D30"/>
    <w:rsid w:val="006E576C"/>
    <w:rsid w:val="006E5ADC"/>
    <w:rsid w:val="006E5BC6"/>
    <w:rsid w:val="006E5E87"/>
    <w:rsid w:val="006E6218"/>
    <w:rsid w:val="006E6315"/>
    <w:rsid w:val="006E6909"/>
    <w:rsid w:val="006E6A04"/>
    <w:rsid w:val="006E6A46"/>
    <w:rsid w:val="006E6C3B"/>
    <w:rsid w:val="006E6DC1"/>
    <w:rsid w:val="006F0021"/>
    <w:rsid w:val="006F03F0"/>
    <w:rsid w:val="006F0A88"/>
    <w:rsid w:val="006F0F28"/>
    <w:rsid w:val="006F10DF"/>
    <w:rsid w:val="006F1719"/>
    <w:rsid w:val="006F18E3"/>
    <w:rsid w:val="006F1F06"/>
    <w:rsid w:val="006F2222"/>
    <w:rsid w:val="006F2989"/>
    <w:rsid w:val="006F2B32"/>
    <w:rsid w:val="006F306C"/>
    <w:rsid w:val="006F36E0"/>
    <w:rsid w:val="006F36F5"/>
    <w:rsid w:val="006F37B1"/>
    <w:rsid w:val="006F4011"/>
    <w:rsid w:val="006F434A"/>
    <w:rsid w:val="006F5095"/>
    <w:rsid w:val="006F51C2"/>
    <w:rsid w:val="006F5F50"/>
    <w:rsid w:val="006F63A5"/>
    <w:rsid w:val="006F6914"/>
    <w:rsid w:val="006F6D8A"/>
    <w:rsid w:val="006F7473"/>
    <w:rsid w:val="006F77BB"/>
    <w:rsid w:val="006F77DA"/>
    <w:rsid w:val="006F7DE6"/>
    <w:rsid w:val="007001C2"/>
    <w:rsid w:val="007003AA"/>
    <w:rsid w:val="007010E1"/>
    <w:rsid w:val="0070142B"/>
    <w:rsid w:val="00701EA8"/>
    <w:rsid w:val="0070258E"/>
    <w:rsid w:val="0070276E"/>
    <w:rsid w:val="007027DA"/>
    <w:rsid w:val="00702EFC"/>
    <w:rsid w:val="00702F8F"/>
    <w:rsid w:val="00703449"/>
    <w:rsid w:val="007035B9"/>
    <w:rsid w:val="007037CB"/>
    <w:rsid w:val="0070399A"/>
    <w:rsid w:val="00703B26"/>
    <w:rsid w:val="00703ECF"/>
    <w:rsid w:val="007041E4"/>
    <w:rsid w:val="00704A07"/>
    <w:rsid w:val="00704C09"/>
    <w:rsid w:val="00704EB9"/>
    <w:rsid w:val="00704EDD"/>
    <w:rsid w:val="007053A5"/>
    <w:rsid w:val="00705579"/>
    <w:rsid w:val="00706034"/>
    <w:rsid w:val="007060E7"/>
    <w:rsid w:val="00706386"/>
    <w:rsid w:val="00706F9F"/>
    <w:rsid w:val="0070727F"/>
    <w:rsid w:val="0070765D"/>
    <w:rsid w:val="007077F4"/>
    <w:rsid w:val="007079FC"/>
    <w:rsid w:val="00710018"/>
    <w:rsid w:val="007100C0"/>
    <w:rsid w:val="00710432"/>
    <w:rsid w:val="007104D4"/>
    <w:rsid w:val="007107EC"/>
    <w:rsid w:val="00710815"/>
    <w:rsid w:val="007108CD"/>
    <w:rsid w:val="0071093D"/>
    <w:rsid w:val="00710A4E"/>
    <w:rsid w:val="007113CC"/>
    <w:rsid w:val="007115E8"/>
    <w:rsid w:val="0071161A"/>
    <w:rsid w:val="00711A36"/>
    <w:rsid w:val="00712A5A"/>
    <w:rsid w:val="00712D60"/>
    <w:rsid w:val="00712E8C"/>
    <w:rsid w:val="007130DD"/>
    <w:rsid w:val="00713194"/>
    <w:rsid w:val="00713202"/>
    <w:rsid w:val="00713590"/>
    <w:rsid w:val="007137E5"/>
    <w:rsid w:val="00713C75"/>
    <w:rsid w:val="00713EFF"/>
    <w:rsid w:val="00714320"/>
    <w:rsid w:val="00714893"/>
    <w:rsid w:val="00714A1D"/>
    <w:rsid w:val="00714C26"/>
    <w:rsid w:val="00714FBA"/>
    <w:rsid w:val="0071529C"/>
    <w:rsid w:val="007159C3"/>
    <w:rsid w:val="00715AFF"/>
    <w:rsid w:val="00715D72"/>
    <w:rsid w:val="0071693C"/>
    <w:rsid w:val="00716966"/>
    <w:rsid w:val="00716BC6"/>
    <w:rsid w:val="00716DF7"/>
    <w:rsid w:val="007170DA"/>
    <w:rsid w:val="0071715A"/>
    <w:rsid w:val="007172AD"/>
    <w:rsid w:val="0071772B"/>
    <w:rsid w:val="00717747"/>
    <w:rsid w:val="00717D12"/>
    <w:rsid w:val="00720277"/>
    <w:rsid w:val="00720801"/>
    <w:rsid w:val="00720AC0"/>
    <w:rsid w:val="007214FF"/>
    <w:rsid w:val="00721FA3"/>
    <w:rsid w:val="00722970"/>
    <w:rsid w:val="007229DC"/>
    <w:rsid w:val="00722B1B"/>
    <w:rsid w:val="00722BD4"/>
    <w:rsid w:val="00722E28"/>
    <w:rsid w:val="0072416F"/>
    <w:rsid w:val="00724638"/>
    <w:rsid w:val="007249B8"/>
    <w:rsid w:val="00724C5C"/>
    <w:rsid w:val="00724F6D"/>
    <w:rsid w:val="007251B9"/>
    <w:rsid w:val="007259EE"/>
    <w:rsid w:val="0072699F"/>
    <w:rsid w:val="00726A10"/>
    <w:rsid w:val="00726B30"/>
    <w:rsid w:val="0072751C"/>
    <w:rsid w:val="0072762B"/>
    <w:rsid w:val="0072789B"/>
    <w:rsid w:val="00727C0A"/>
    <w:rsid w:val="00727C94"/>
    <w:rsid w:val="00727F8F"/>
    <w:rsid w:val="007302DA"/>
    <w:rsid w:val="00730473"/>
    <w:rsid w:val="007308E5"/>
    <w:rsid w:val="00730B14"/>
    <w:rsid w:val="00731345"/>
    <w:rsid w:val="007316D0"/>
    <w:rsid w:val="00731B0A"/>
    <w:rsid w:val="00731EAE"/>
    <w:rsid w:val="00731F7B"/>
    <w:rsid w:val="00732BF6"/>
    <w:rsid w:val="00733073"/>
    <w:rsid w:val="0073358D"/>
    <w:rsid w:val="0073379C"/>
    <w:rsid w:val="007340DC"/>
    <w:rsid w:val="00734208"/>
    <w:rsid w:val="007344B5"/>
    <w:rsid w:val="00734A43"/>
    <w:rsid w:val="00735033"/>
    <w:rsid w:val="00735328"/>
    <w:rsid w:val="0073537B"/>
    <w:rsid w:val="00735640"/>
    <w:rsid w:val="00735991"/>
    <w:rsid w:val="00735A00"/>
    <w:rsid w:val="00735F51"/>
    <w:rsid w:val="00735FDB"/>
    <w:rsid w:val="0073685B"/>
    <w:rsid w:val="00736A7F"/>
    <w:rsid w:val="00736D42"/>
    <w:rsid w:val="00736D9B"/>
    <w:rsid w:val="00736E39"/>
    <w:rsid w:val="007373AE"/>
    <w:rsid w:val="00737451"/>
    <w:rsid w:val="00737474"/>
    <w:rsid w:val="00737AA0"/>
    <w:rsid w:val="00737D25"/>
    <w:rsid w:val="0074047E"/>
    <w:rsid w:val="007407FC"/>
    <w:rsid w:val="00740B1A"/>
    <w:rsid w:val="0074176C"/>
    <w:rsid w:val="00741922"/>
    <w:rsid w:val="00741948"/>
    <w:rsid w:val="00741DEE"/>
    <w:rsid w:val="00742863"/>
    <w:rsid w:val="00742EF8"/>
    <w:rsid w:val="00743300"/>
    <w:rsid w:val="00743816"/>
    <w:rsid w:val="00743952"/>
    <w:rsid w:val="007445F8"/>
    <w:rsid w:val="007449BF"/>
    <w:rsid w:val="00744C00"/>
    <w:rsid w:val="007453F3"/>
    <w:rsid w:val="0074540A"/>
    <w:rsid w:val="00745A02"/>
    <w:rsid w:val="00745ACF"/>
    <w:rsid w:val="00745D01"/>
    <w:rsid w:val="00746B4F"/>
    <w:rsid w:val="00746BC0"/>
    <w:rsid w:val="00747088"/>
    <w:rsid w:val="00747A05"/>
    <w:rsid w:val="00747AFA"/>
    <w:rsid w:val="00747C64"/>
    <w:rsid w:val="007506D0"/>
    <w:rsid w:val="007506ED"/>
    <w:rsid w:val="00750AAD"/>
    <w:rsid w:val="007510B4"/>
    <w:rsid w:val="007517FD"/>
    <w:rsid w:val="00751A20"/>
    <w:rsid w:val="00751AE5"/>
    <w:rsid w:val="00752142"/>
    <w:rsid w:val="00752305"/>
    <w:rsid w:val="007523F9"/>
    <w:rsid w:val="00752B04"/>
    <w:rsid w:val="00753041"/>
    <w:rsid w:val="00753250"/>
    <w:rsid w:val="00753313"/>
    <w:rsid w:val="0075357E"/>
    <w:rsid w:val="00753728"/>
    <w:rsid w:val="00753CDA"/>
    <w:rsid w:val="00753E21"/>
    <w:rsid w:val="0075484A"/>
    <w:rsid w:val="00754B81"/>
    <w:rsid w:val="00754FE1"/>
    <w:rsid w:val="007552EC"/>
    <w:rsid w:val="00755488"/>
    <w:rsid w:val="00755FB0"/>
    <w:rsid w:val="00756639"/>
    <w:rsid w:val="0075664A"/>
    <w:rsid w:val="007568BD"/>
    <w:rsid w:val="007568EB"/>
    <w:rsid w:val="00756943"/>
    <w:rsid w:val="00756AF0"/>
    <w:rsid w:val="00756CEB"/>
    <w:rsid w:val="00756E4B"/>
    <w:rsid w:val="00756EAD"/>
    <w:rsid w:val="007571C4"/>
    <w:rsid w:val="00757299"/>
    <w:rsid w:val="007572C3"/>
    <w:rsid w:val="007573E8"/>
    <w:rsid w:val="00757488"/>
    <w:rsid w:val="00757AA7"/>
    <w:rsid w:val="00760C4E"/>
    <w:rsid w:val="00760D08"/>
    <w:rsid w:val="00760F9E"/>
    <w:rsid w:val="00761394"/>
    <w:rsid w:val="00761424"/>
    <w:rsid w:val="007617E2"/>
    <w:rsid w:val="00761B28"/>
    <w:rsid w:val="00761CB4"/>
    <w:rsid w:val="00761DC4"/>
    <w:rsid w:val="00761EE6"/>
    <w:rsid w:val="00761F2D"/>
    <w:rsid w:val="00761F47"/>
    <w:rsid w:val="00762437"/>
    <w:rsid w:val="007627BE"/>
    <w:rsid w:val="00762B02"/>
    <w:rsid w:val="00762DEC"/>
    <w:rsid w:val="007639D4"/>
    <w:rsid w:val="00763CE7"/>
    <w:rsid w:val="00763EC8"/>
    <w:rsid w:val="00764197"/>
    <w:rsid w:val="00764620"/>
    <w:rsid w:val="007648E4"/>
    <w:rsid w:val="00764A04"/>
    <w:rsid w:val="00764F03"/>
    <w:rsid w:val="00765AC0"/>
    <w:rsid w:val="00765B1A"/>
    <w:rsid w:val="00765F71"/>
    <w:rsid w:val="0076631E"/>
    <w:rsid w:val="00766448"/>
    <w:rsid w:val="00766458"/>
    <w:rsid w:val="0076651D"/>
    <w:rsid w:val="007667AE"/>
    <w:rsid w:val="00766847"/>
    <w:rsid w:val="00766C79"/>
    <w:rsid w:val="00766D23"/>
    <w:rsid w:val="00766F2B"/>
    <w:rsid w:val="00766FEC"/>
    <w:rsid w:val="007670A5"/>
    <w:rsid w:val="00767D8D"/>
    <w:rsid w:val="00767F19"/>
    <w:rsid w:val="007700F0"/>
    <w:rsid w:val="00770DF1"/>
    <w:rsid w:val="00771464"/>
    <w:rsid w:val="00771AF5"/>
    <w:rsid w:val="0077227E"/>
    <w:rsid w:val="0077273F"/>
    <w:rsid w:val="00772C78"/>
    <w:rsid w:val="007736A5"/>
    <w:rsid w:val="00773788"/>
    <w:rsid w:val="007737EA"/>
    <w:rsid w:val="00773BE6"/>
    <w:rsid w:val="00773C8A"/>
    <w:rsid w:val="00773DAC"/>
    <w:rsid w:val="007746F9"/>
    <w:rsid w:val="007749A6"/>
    <w:rsid w:val="0077514D"/>
    <w:rsid w:val="00775196"/>
    <w:rsid w:val="007752C4"/>
    <w:rsid w:val="007752FD"/>
    <w:rsid w:val="007753FC"/>
    <w:rsid w:val="0077582D"/>
    <w:rsid w:val="00775A37"/>
    <w:rsid w:val="00775C9C"/>
    <w:rsid w:val="00775D05"/>
    <w:rsid w:val="007761C6"/>
    <w:rsid w:val="00776AED"/>
    <w:rsid w:val="00776C0A"/>
    <w:rsid w:val="00777335"/>
    <w:rsid w:val="00777BEC"/>
    <w:rsid w:val="007801FE"/>
    <w:rsid w:val="0078029A"/>
    <w:rsid w:val="00781891"/>
    <w:rsid w:val="00781A3C"/>
    <w:rsid w:val="0078203A"/>
    <w:rsid w:val="007824D2"/>
    <w:rsid w:val="00782635"/>
    <w:rsid w:val="00782717"/>
    <w:rsid w:val="00782EB6"/>
    <w:rsid w:val="00783F50"/>
    <w:rsid w:val="007843C6"/>
    <w:rsid w:val="007843F2"/>
    <w:rsid w:val="0078490B"/>
    <w:rsid w:val="00784C0F"/>
    <w:rsid w:val="00784FAF"/>
    <w:rsid w:val="00785A61"/>
    <w:rsid w:val="00785A9F"/>
    <w:rsid w:val="00785C8B"/>
    <w:rsid w:val="007869D5"/>
    <w:rsid w:val="00786E96"/>
    <w:rsid w:val="007870B5"/>
    <w:rsid w:val="00787BE8"/>
    <w:rsid w:val="00787D32"/>
    <w:rsid w:val="00790015"/>
    <w:rsid w:val="00790551"/>
    <w:rsid w:val="00790574"/>
    <w:rsid w:val="00790C2B"/>
    <w:rsid w:val="00791809"/>
    <w:rsid w:val="007918B6"/>
    <w:rsid w:val="0079196E"/>
    <w:rsid w:val="007925DF"/>
    <w:rsid w:val="00792B1C"/>
    <w:rsid w:val="00792C37"/>
    <w:rsid w:val="00792DE1"/>
    <w:rsid w:val="00793279"/>
    <w:rsid w:val="00793705"/>
    <w:rsid w:val="007937B3"/>
    <w:rsid w:val="00793843"/>
    <w:rsid w:val="00793859"/>
    <w:rsid w:val="00793DA8"/>
    <w:rsid w:val="00794500"/>
    <w:rsid w:val="00794646"/>
    <w:rsid w:val="007946F9"/>
    <w:rsid w:val="00794733"/>
    <w:rsid w:val="00794793"/>
    <w:rsid w:val="007947AF"/>
    <w:rsid w:val="00795CD5"/>
    <w:rsid w:val="00796335"/>
    <w:rsid w:val="0079633E"/>
    <w:rsid w:val="0079636E"/>
    <w:rsid w:val="00796662"/>
    <w:rsid w:val="007966E4"/>
    <w:rsid w:val="00796C08"/>
    <w:rsid w:val="00796F5A"/>
    <w:rsid w:val="0079704D"/>
    <w:rsid w:val="0079705F"/>
    <w:rsid w:val="0079714E"/>
    <w:rsid w:val="00797A15"/>
    <w:rsid w:val="007A0229"/>
    <w:rsid w:val="007A059D"/>
    <w:rsid w:val="007A08AA"/>
    <w:rsid w:val="007A0988"/>
    <w:rsid w:val="007A0A12"/>
    <w:rsid w:val="007A0CB1"/>
    <w:rsid w:val="007A1222"/>
    <w:rsid w:val="007A132D"/>
    <w:rsid w:val="007A1345"/>
    <w:rsid w:val="007A18F0"/>
    <w:rsid w:val="007A1E9F"/>
    <w:rsid w:val="007A27B7"/>
    <w:rsid w:val="007A2CF3"/>
    <w:rsid w:val="007A2DDB"/>
    <w:rsid w:val="007A30DF"/>
    <w:rsid w:val="007A32BB"/>
    <w:rsid w:val="007A3446"/>
    <w:rsid w:val="007A34AB"/>
    <w:rsid w:val="007A380C"/>
    <w:rsid w:val="007A39B7"/>
    <w:rsid w:val="007A3ABF"/>
    <w:rsid w:val="007A484E"/>
    <w:rsid w:val="007A4FAD"/>
    <w:rsid w:val="007A501F"/>
    <w:rsid w:val="007A55F7"/>
    <w:rsid w:val="007A5679"/>
    <w:rsid w:val="007A5DD8"/>
    <w:rsid w:val="007A6405"/>
    <w:rsid w:val="007A69CF"/>
    <w:rsid w:val="007A6ACC"/>
    <w:rsid w:val="007A70BA"/>
    <w:rsid w:val="007A7375"/>
    <w:rsid w:val="007A78E5"/>
    <w:rsid w:val="007A7A38"/>
    <w:rsid w:val="007A7B7C"/>
    <w:rsid w:val="007B0D68"/>
    <w:rsid w:val="007B1B5F"/>
    <w:rsid w:val="007B1CD9"/>
    <w:rsid w:val="007B1E8A"/>
    <w:rsid w:val="007B2198"/>
    <w:rsid w:val="007B23ED"/>
    <w:rsid w:val="007B251D"/>
    <w:rsid w:val="007B2F41"/>
    <w:rsid w:val="007B2FC6"/>
    <w:rsid w:val="007B2FCC"/>
    <w:rsid w:val="007B30F3"/>
    <w:rsid w:val="007B342B"/>
    <w:rsid w:val="007B37D8"/>
    <w:rsid w:val="007B383E"/>
    <w:rsid w:val="007B3AC3"/>
    <w:rsid w:val="007B408E"/>
    <w:rsid w:val="007B4259"/>
    <w:rsid w:val="007B4460"/>
    <w:rsid w:val="007B4560"/>
    <w:rsid w:val="007B47B4"/>
    <w:rsid w:val="007B4F58"/>
    <w:rsid w:val="007B528D"/>
    <w:rsid w:val="007B5521"/>
    <w:rsid w:val="007B55B7"/>
    <w:rsid w:val="007B5A8A"/>
    <w:rsid w:val="007B5DEB"/>
    <w:rsid w:val="007B63CA"/>
    <w:rsid w:val="007B63E7"/>
    <w:rsid w:val="007B682A"/>
    <w:rsid w:val="007B6BBA"/>
    <w:rsid w:val="007B7168"/>
    <w:rsid w:val="007B77D1"/>
    <w:rsid w:val="007B7C76"/>
    <w:rsid w:val="007B7EDC"/>
    <w:rsid w:val="007B7F8B"/>
    <w:rsid w:val="007C07C7"/>
    <w:rsid w:val="007C089D"/>
    <w:rsid w:val="007C1741"/>
    <w:rsid w:val="007C1745"/>
    <w:rsid w:val="007C1C40"/>
    <w:rsid w:val="007C1C50"/>
    <w:rsid w:val="007C1CD9"/>
    <w:rsid w:val="007C2205"/>
    <w:rsid w:val="007C32EF"/>
    <w:rsid w:val="007C3581"/>
    <w:rsid w:val="007C361D"/>
    <w:rsid w:val="007C395D"/>
    <w:rsid w:val="007C447C"/>
    <w:rsid w:val="007C4671"/>
    <w:rsid w:val="007C47A2"/>
    <w:rsid w:val="007C4870"/>
    <w:rsid w:val="007C4A9B"/>
    <w:rsid w:val="007C4AA9"/>
    <w:rsid w:val="007C4B84"/>
    <w:rsid w:val="007C57EB"/>
    <w:rsid w:val="007C588B"/>
    <w:rsid w:val="007C635F"/>
    <w:rsid w:val="007C6481"/>
    <w:rsid w:val="007C68FF"/>
    <w:rsid w:val="007C692A"/>
    <w:rsid w:val="007C69C5"/>
    <w:rsid w:val="007C6DB0"/>
    <w:rsid w:val="007C70D9"/>
    <w:rsid w:val="007C70FF"/>
    <w:rsid w:val="007C7338"/>
    <w:rsid w:val="007C73E6"/>
    <w:rsid w:val="007C7569"/>
    <w:rsid w:val="007C7682"/>
    <w:rsid w:val="007C7A11"/>
    <w:rsid w:val="007C7C25"/>
    <w:rsid w:val="007D004F"/>
    <w:rsid w:val="007D0408"/>
    <w:rsid w:val="007D0784"/>
    <w:rsid w:val="007D0AFB"/>
    <w:rsid w:val="007D0B38"/>
    <w:rsid w:val="007D0DBA"/>
    <w:rsid w:val="007D0E32"/>
    <w:rsid w:val="007D0F92"/>
    <w:rsid w:val="007D11D1"/>
    <w:rsid w:val="007D135E"/>
    <w:rsid w:val="007D1944"/>
    <w:rsid w:val="007D1B71"/>
    <w:rsid w:val="007D2C8F"/>
    <w:rsid w:val="007D2F72"/>
    <w:rsid w:val="007D324D"/>
    <w:rsid w:val="007D410B"/>
    <w:rsid w:val="007D436A"/>
    <w:rsid w:val="007D479E"/>
    <w:rsid w:val="007D4E52"/>
    <w:rsid w:val="007D4E9E"/>
    <w:rsid w:val="007D4F7A"/>
    <w:rsid w:val="007D5003"/>
    <w:rsid w:val="007D5440"/>
    <w:rsid w:val="007D55F4"/>
    <w:rsid w:val="007D5F03"/>
    <w:rsid w:val="007D5FD3"/>
    <w:rsid w:val="007D6386"/>
    <w:rsid w:val="007D69EB"/>
    <w:rsid w:val="007D734F"/>
    <w:rsid w:val="007E032B"/>
    <w:rsid w:val="007E0697"/>
    <w:rsid w:val="007E0699"/>
    <w:rsid w:val="007E0BFD"/>
    <w:rsid w:val="007E0DF0"/>
    <w:rsid w:val="007E0E2A"/>
    <w:rsid w:val="007E1272"/>
    <w:rsid w:val="007E128F"/>
    <w:rsid w:val="007E14F4"/>
    <w:rsid w:val="007E19B3"/>
    <w:rsid w:val="007E36F8"/>
    <w:rsid w:val="007E43DF"/>
    <w:rsid w:val="007E4663"/>
    <w:rsid w:val="007E4DF4"/>
    <w:rsid w:val="007E4F40"/>
    <w:rsid w:val="007E50B0"/>
    <w:rsid w:val="007E5227"/>
    <w:rsid w:val="007E5A86"/>
    <w:rsid w:val="007E7195"/>
    <w:rsid w:val="007E73DC"/>
    <w:rsid w:val="007E74A3"/>
    <w:rsid w:val="007E78D2"/>
    <w:rsid w:val="007F04D5"/>
    <w:rsid w:val="007F1017"/>
    <w:rsid w:val="007F1071"/>
    <w:rsid w:val="007F1099"/>
    <w:rsid w:val="007F113C"/>
    <w:rsid w:val="007F1184"/>
    <w:rsid w:val="007F1BB3"/>
    <w:rsid w:val="007F1F9B"/>
    <w:rsid w:val="007F225D"/>
    <w:rsid w:val="007F3767"/>
    <w:rsid w:val="007F41DF"/>
    <w:rsid w:val="007F4A3F"/>
    <w:rsid w:val="007F4A61"/>
    <w:rsid w:val="007F4B63"/>
    <w:rsid w:val="007F4DED"/>
    <w:rsid w:val="007F4EE0"/>
    <w:rsid w:val="007F5051"/>
    <w:rsid w:val="007F5061"/>
    <w:rsid w:val="007F50B9"/>
    <w:rsid w:val="007F5255"/>
    <w:rsid w:val="007F528D"/>
    <w:rsid w:val="007F56CC"/>
    <w:rsid w:val="007F61C2"/>
    <w:rsid w:val="007F6747"/>
    <w:rsid w:val="007F6E6C"/>
    <w:rsid w:val="007F6E6E"/>
    <w:rsid w:val="007F7365"/>
    <w:rsid w:val="007F74B4"/>
    <w:rsid w:val="007F776D"/>
    <w:rsid w:val="007F7C0B"/>
    <w:rsid w:val="007F7DB2"/>
    <w:rsid w:val="007F7FB9"/>
    <w:rsid w:val="0080002F"/>
    <w:rsid w:val="008007BE"/>
    <w:rsid w:val="00800EAF"/>
    <w:rsid w:val="0080109D"/>
    <w:rsid w:val="00801426"/>
    <w:rsid w:val="00801571"/>
    <w:rsid w:val="00801815"/>
    <w:rsid w:val="00801BBE"/>
    <w:rsid w:val="00801E2D"/>
    <w:rsid w:val="00801E94"/>
    <w:rsid w:val="008027ED"/>
    <w:rsid w:val="00802882"/>
    <w:rsid w:val="00802BF8"/>
    <w:rsid w:val="00803754"/>
    <w:rsid w:val="00803CE0"/>
    <w:rsid w:val="00803F6E"/>
    <w:rsid w:val="00805142"/>
    <w:rsid w:val="008053CD"/>
    <w:rsid w:val="00805FCE"/>
    <w:rsid w:val="0080603F"/>
    <w:rsid w:val="00806379"/>
    <w:rsid w:val="00806BBC"/>
    <w:rsid w:val="00806C15"/>
    <w:rsid w:val="00806C28"/>
    <w:rsid w:val="00806DE0"/>
    <w:rsid w:val="00806DFF"/>
    <w:rsid w:val="00806FA9"/>
    <w:rsid w:val="00807184"/>
    <w:rsid w:val="00807A8B"/>
    <w:rsid w:val="00807D3F"/>
    <w:rsid w:val="0081010E"/>
    <w:rsid w:val="00810391"/>
    <w:rsid w:val="008107E4"/>
    <w:rsid w:val="00810C4D"/>
    <w:rsid w:val="0081123F"/>
    <w:rsid w:val="0081136C"/>
    <w:rsid w:val="00811383"/>
    <w:rsid w:val="00811488"/>
    <w:rsid w:val="0081164F"/>
    <w:rsid w:val="00811874"/>
    <w:rsid w:val="00811AF0"/>
    <w:rsid w:val="00812149"/>
    <w:rsid w:val="0081260B"/>
    <w:rsid w:val="00812802"/>
    <w:rsid w:val="00812B7A"/>
    <w:rsid w:val="00812BDF"/>
    <w:rsid w:val="00812CAC"/>
    <w:rsid w:val="008134EC"/>
    <w:rsid w:val="00813667"/>
    <w:rsid w:val="00813859"/>
    <w:rsid w:val="00813A69"/>
    <w:rsid w:val="00813C18"/>
    <w:rsid w:val="00813E5B"/>
    <w:rsid w:val="008146F1"/>
    <w:rsid w:val="00814A85"/>
    <w:rsid w:val="00814C31"/>
    <w:rsid w:val="00814E69"/>
    <w:rsid w:val="008152DF"/>
    <w:rsid w:val="0081534C"/>
    <w:rsid w:val="008153CF"/>
    <w:rsid w:val="008157DA"/>
    <w:rsid w:val="0081613E"/>
    <w:rsid w:val="008162E2"/>
    <w:rsid w:val="00816361"/>
    <w:rsid w:val="00816567"/>
    <w:rsid w:val="008166EF"/>
    <w:rsid w:val="008167CE"/>
    <w:rsid w:val="00816FEF"/>
    <w:rsid w:val="00817336"/>
    <w:rsid w:val="008173ED"/>
    <w:rsid w:val="008178C2"/>
    <w:rsid w:val="008178EA"/>
    <w:rsid w:val="0081799B"/>
    <w:rsid w:val="00817E0C"/>
    <w:rsid w:val="00817F7A"/>
    <w:rsid w:val="00820A8C"/>
    <w:rsid w:val="008215FB"/>
    <w:rsid w:val="008216F7"/>
    <w:rsid w:val="0082196B"/>
    <w:rsid w:val="0082206F"/>
    <w:rsid w:val="0082215D"/>
    <w:rsid w:val="0082228A"/>
    <w:rsid w:val="00822456"/>
    <w:rsid w:val="008225CA"/>
    <w:rsid w:val="00822B13"/>
    <w:rsid w:val="00823174"/>
    <w:rsid w:val="008233D5"/>
    <w:rsid w:val="008234BD"/>
    <w:rsid w:val="008235B9"/>
    <w:rsid w:val="00823A4F"/>
    <w:rsid w:val="00823CAD"/>
    <w:rsid w:val="00824AA9"/>
    <w:rsid w:val="00824F74"/>
    <w:rsid w:val="00825751"/>
    <w:rsid w:val="008257FC"/>
    <w:rsid w:val="00825D6C"/>
    <w:rsid w:val="008264EB"/>
    <w:rsid w:val="00826A65"/>
    <w:rsid w:val="00826E57"/>
    <w:rsid w:val="008276D4"/>
    <w:rsid w:val="0082795F"/>
    <w:rsid w:val="00827AF8"/>
    <w:rsid w:val="00827BBF"/>
    <w:rsid w:val="00827DB0"/>
    <w:rsid w:val="008305AC"/>
    <w:rsid w:val="0083066B"/>
    <w:rsid w:val="008307D0"/>
    <w:rsid w:val="00830C60"/>
    <w:rsid w:val="00831115"/>
    <w:rsid w:val="00831418"/>
    <w:rsid w:val="008314C0"/>
    <w:rsid w:val="008314FD"/>
    <w:rsid w:val="008318A4"/>
    <w:rsid w:val="008324B6"/>
    <w:rsid w:val="008324D0"/>
    <w:rsid w:val="00832582"/>
    <w:rsid w:val="008326A3"/>
    <w:rsid w:val="00832B0D"/>
    <w:rsid w:val="00832FB1"/>
    <w:rsid w:val="008332EE"/>
    <w:rsid w:val="0083376C"/>
    <w:rsid w:val="00833B05"/>
    <w:rsid w:val="00833D38"/>
    <w:rsid w:val="00833D94"/>
    <w:rsid w:val="0083426E"/>
    <w:rsid w:val="00834876"/>
    <w:rsid w:val="00834913"/>
    <w:rsid w:val="00834B3B"/>
    <w:rsid w:val="00834BAB"/>
    <w:rsid w:val="00835553"/>
    <w:rsid w:val="00835638"/>
    <w:rsid w:val="00835A4F"/>
    <w:rsid w:val="00835ED7"/>
    <w:rsid w:val="008362B4"/>
    <w:rsid w:val="008365E8"/>
    <w:rsid w:val="008368E0"/>
    <w:rsid w:val="00836DF5"/>
    <w:rsid w:val="00837263"/>
    <w:rsid w:val="00837486"/>
    <w:rsid w:val="008379B5"/>
    <w:rsid w:val="00837BD4"/>
    <w:rsid w:val="00840332"/>
    <w:rsid w:val="008403C5"/>
    <w:rsid w:val="0084073A"/>
    <w:rsid w:val="008407BC"/>
    <w:rsid w:val="00840821"/>
    <w:rsid w:val="00840CA2"/>
    <w:rsid w:val="00840D19"/>
    <w:rsid w:val="0084116B"/>
    <w:rsid w:val="00841203"/>
    <w:rsid w:val="008416F4"/>
    <w:rsid w:val="00842173"/>
    <w:rsid w:val="00842197"/>
    <w:rsid w:val="00842381"/>
    <w:rsid w:val="00842400"/>
    <w:rsid w:val="00842427"/>
    <w:rsid w:val="00842720"/>
    <w:rsid w:val="008427D9"/>
    <w:rsid w:val="008428BE"/>
    <w:rsid w:val="00843410"/>
    <w:rsid w:val="0084374F"/>
    <w:rsid w:val="00843D55"/>
    <w:rsid w:val="00844A22"/>
    <w:rsid w:val="008457F6"/>
    <w:rsid w:val="008458A2"/>
    <w:rsid w:val="008459F2"/>
    <w:rsid w:val="00845ADD"/>
    <w:rsid w:val="00845BD7"/>
    <w:rsid w:val="00845CB7"/>
    <w:rsid w:val="00845EDF"/>
    <w:rsid w:val="00846199"/>
    <w:rsid w:val="00846363"/>
    <w:rsid w:val="008466EF"/>
    <w:rsid w:val="00846957"/>
    <w:rsid w:val="00846E6E"/>
    <w:rsid w:val="00846F5C"/>
    <w:rsid w:val="00847589"/>
    <w:rsid w:val="00847692"/>
    <w:rsid w:val="00847703"/>
    <w:rsid w:val="00847811"/>
    <w:rsid w:val="00847B5B"/>
    <w:rsid w:val="00847DF5"/>
    <w:rsid w:val="0085021B"/>
    <w:rsid w:val="008507D6"/>
    <w:rsid w:val="00850A41"/>
    <w:rsid w:val="00851741"/>
    <w:rsid w:val="0085274C"/>
    <w:rsid w:val="008529F9"/>
    <w:rsid w:val="00852B10"/>
    <w:rsid w:val="00852D63"/>
    <w:rsid w:val="00852DED"/>
    <w:rsid w:val="00852E33"/>
    <w:rsid w:val="0085309D"/>
    <w:rsid w:val="008530DE"/>
    <w:rsid w:val="00853644"/>
    <w:rsid w:val="00853CC3"/>
    <w:rsid w:val="00853F1B"/>
    <w:rsid w:val="008542B3"/>
    <w:rsid w:val="00854565"/>
    <w:rsid w:val="008546C1"/>
    <w:rsid w:val="00854E41"/>
    <w:rsid w:val="008552FC"/>
    <w:rsid w:val="008553CE"/>
    <w:rsid w:val="00855AB2"/>
    <w:rsid w:val="00856206"/>
    <w:rsid w:val="00856897"/>
    <w:rsid w:val="0085698C"/>
    <w:rsid w:val="00856BE4"/>
    <w:rsid w:val="00856E9A"/>
    <w:rsid w:val="00857258"/>
    <w:rsid w:val="0085725C"/>
    <w:rsid w:val="00857904"/>
    <w:rsid w:val="00857C82"/>
    <w:rsid w:val="00857D04"/>
    <w:rsid w:val="00857D4B"/>
    <w:rsid w:val="0086075D"/>
    <w:rsid w:val="008607C8"/>
    <w:rsid w:val="008615AD"/>
    <w:rsid w:val="008615FA"/>
    <w:rsid w:val="00861779"/>
    <w:rsid w:val="00861A82"/>
    <w:rsid w:val="00861EF0"/>
    <w:rsid w:val="00862375"/>
    <w:rsid w:val="00862502"/>
    <w:rsid w:val="0086269A"/>
    <w:rsid w:val="00862CC1"/>
    <w:rsid w:val="00862D6F"/>
    <w:rsid w:val="00862EA6"/>
    <w:rsid w:val="0086358B"/>
    <w:rsid w:val="00863815"/>
    <w:rsid w:val="00863A68"/>
    <w:rsid w:val="00863ECB"/>
    <w:rsid w:val="0086417C"/>
    <w:rsid w:val="00864540"/>
    <w:rsid w:val="00864DC3"/>
    <w:rsid w:val="00864E72"/>
    <w:rsid w:val="00865287"/>
    <w:rsid w:val="0086571E"/>
    <w:rsid w:val="00865767"/>
    <w:rsid w:val="00865A23"/>
    <w:rsid w:val="00865C0E"/>
    <w:rsid w:val="008660D4"/>
    <w:rsid w:val="0086611C"/>
    <w:rsid w:val="00866695"/>
    <w:rsid w:val="00867138"/>
    <w:rsid w:val="00867D3F"/>
    <w:rsid w:val="00870A79"/>
    <w:rsid w:val="00870E53"/>
    <w:rsid w:val="00871309"/>
    <w:rsid w:val="00871517"/>
    <w:rsid w:val="008717BD"/>
    <w:rsid w:val="00871CC5"/>
    <w:rsid w:val="00871CD9"/>
    <w:rsid w:val="00871F0D"/>
    <w:rsid w:val="00871FA9"/>
    <w:rsid w:val="0087232A"/>
    <w:rsid w:val="008728E9"/>
    <w:rsid w:val="00873574"/>
    <w:rsid w:val="008736D8"/>
    <w:rsid w:val="00873712"/>
    <w:rsid w:val="00873FE1"/>
    <w:rsid w:val="008742B7"/>
    <w:rsid w:val="0087492F"/>
    <w:rsid w:val="00874FEA"/>
    <w:rsid w:val="0087501A"/>
    <w:rsid w:val="008756C8"/>
    <w:rsid w:val="00876A06"/>
    <w:rsid w:val="00876AA0"/>
    <w:rsid w:val="00876BD1"/>
    <w:rsid w:val="0087732C"/>
    <w:rsid w:val="0087759D"/>
    <w:rsid w:val="0087780D"/>
    <w:rsid w:val="00877A21"/>
    <w:rsid w:val="00877A22"/>
    <w:rsid w:val="00880788"/>
    <w:rsid w:val="00880B51"/>
    <w:rsid w:val="008814E5"/>
    <w:rsid w:val="00881885"/>
    <w:rsid w:val="008818B5"/>
    <w:rsid w:val="00881B08"/>
    <w:rsid w:val="00881B4E"/>
    <w:rsid w:val="00881E38"/>
    <w:rsid w:val="008822B1"/>
    <w:rsid w:val="00882385"/>
    <w:rsid w:val="00882874"/>
    <w:rsid w:val="00882BD0"/>
    <w:rsid w:val="00882DDC"/>
    <w:rsid w:val="00882E3C"/>
    <w:rsid w:val="00883072"/>
    <w:rsid w:val="0088309C"/>
    <w:rsid w:val="008833A2"/>
    <w:rsid w:val="00883750"/>
    <w:rsid w:val="00883787"/>
    <w:rsid w:val="0088388D"/>
    <w:rsid w:val="008838CB"/>
    <w:rsid w:val="00883A48"/>
    <w:rsid w:val="00883BC7"/>
    <w:rsid w:val="00884783"/>
    <w:rsid w:val="008847B0"/>
    <w:rsid w:val="00884B47"/>
    <w:rsid w:val="00884CC0"/>
    <w:rsid w:val="0088503F"/>
    <w:rsid w:val="0088507A"/>
    <w:rsid w:val="008851FE"/>
    <w:rsid w:val="008854D3"/>
    <w:rsid w:val="008855E4"/>
    <w:rsid w:val="00885FA6"/>
    <w:rsid w:val="008860CD"/>
    <w:rsid w:val="00886519"/>
    <w:rsid w:val="00886743"/>
    <w:rsid w:val="00886CD2"/>
    <w:rsid w:val="00886D6F"/>
    <w:rsid w:val="00887567"/>
    <w:rsid w:val="0088773B"/>
    <w:rsid w:val="008878AD"/>
    <w:rsid w:val="00890F08"/>
    <w:rsid w:val="008913CD"/>
    <w:rsid w:val="00891526"/>
    <w:rsid w:val="0089178F"/>
    <w:rsid w:val="00891E6F"/>
    <w:rsid w:val="008924E7"/>
    <w:rsid w:val="008925E5"/>
    <w:rsid w:val="0089275D"/>
    <w:rsid w:val="00892A36"/>
    <w:rsid w:val="00892C7E"/>
    <w:rsid w:val="00893239"/>
    <w:rsid w:val="008934B7"/>
    <w:rsid w:val="00893B73"/>
    <w:rsid w:val="00893FA0"/>
    <w:rsid w:val="00893FD6"/>
    <w:rsid w:val="00893FDE"/>
    <w:rsid w:val="008942EE"/>
    <w:rsid w:val="00894489"/>
    <w:rsid w:val="00894640"/>
    <w:rsid w:val="0089483E"/>
    <w:rsid w:val="008948B1"/>
    <w:rsid w:val="00894AB5"/>
    <w:rsid w:val="00894C44"/>
    <w:rsid w:val="00894CC5"/>
    <w:rsid w:val="00894FC7"/>
    <w:rsid w:val="00895A82"/>
    <w:rsid w:val="00895B2C"/>
    <w:rsid w:val="008963A5"/>
    <w:rsid w:val="00896C36"/>
    <w:rsid w:val="00896D5D"/>
    <w:rsid w:val="00896ED0"/>
    <w:rsid w:val="0089710D"/>
    <w:rsid w:val="008976AB"/>
    <w:rsid w:val="008977CB"/>
    <w:rsid w:val="00897DA6"/>
    <w:rsid w:val="008A0A39"/>
    <w:rsid w:val="008A1425"/>
    <w:rsid w:val="008A16FC"/>
    <w:rsid w:val="008A18E0"/>
    <w:rsid w:val="008A19BC"/>
    <w:rsid w:val="008A1BB1"/>
    <w:rsid w:val="008A20A2"/>
    <w:rsid w:val="008A22FD"/>
    <w:rsid w:val="008A2E96"/>
    <w:rsid w:val="008A3363"/>
    <w:rsid w:val="008A3371"/>
    <w:rsid w:val="008A3505"/>
    <w:rsid w:val="008A356E"/>
    <w:rsid w:val="008A379F"/>
    <w:rsid w:val="008A3C3E"/>
    <w:rsid w:val="008A3EB4"/>
    <w:rsid w:val="008A4463"/>
    <w:rsid w:val="008A46BF"/>
    <w:rsid w:val="008A49CF"/>
    <w:rsid w:val="008A49DF"/>
    <w:rsid w:val="008A5617"/>
    <w:rsid w:val="008A5656"/>
    <w:rsid w:val="008A57B8"/>
    <w:rsid w:val="008A588F"/>
    <w:rsid w:val="008A5AAF"/>
    <w:rsid w:val="008A5DBB"/>
    <w:rsid w:val="008A5F33"/>
    <w:rsid w:val="008A668B"/>
    <w:rsid w:val="008A66EB"/>
    <w:rsid w:val="008A6DBF"/>
    <w:rsid w:val="008A6F24"/>
    <w:rsid w:val="008A762C"/>
    <w:rsid w:val="008A79DE"/>
    <w:rsid w:val="008A7B9C"/>
    <w:rsid w:val="008A7D06"/>
    <w:rsid w:val="008B0077"/>
    <w:rsid w:val="008B071F"/>
    <w:rsid w:val="008B07F5"/>
    <w:rsid w:val="008B0987"/>
    <w:rsid w:val="008B0AB7"/>
    <w:rsid w:val="008B1058"/>
    <w:rsid w:val="008B115D"/>
    <w:rsid w:val="008B14CC"/>
    <w:rsid w:val="008B1757"/>
    <w:rsid w:val="008B17DD"/>
    <w:rsid w:val="008B1AD7"/>
    <w:rsid w:val="008B1CA9"/>
    <w:rsid w:val="008B20CF"/>
    <w:rsid w:val="008B2196"/>
    <w:rsid w:val="008B23A2"/>
    <w:rsid w:val="008B2433"/>
    <w:rsid w:val="008B2DCB"/>
    <w:rsid w:val="008B38FE"/>
    <w:rsid w:val="008B397F"/>
    <w:rsid w:val="008B399F"/>
    <w:rsid w:val="008B408F"/>
    <w:rsid w:val="008B40CA"/>
    <w:rsid w:val="008B4767"/>
    <w:rsid w:val="008B48EF"/>
    <w:rsid w:val="008B4C31"/>
    <w:rsid w:val="008B5215"/>
    <w:rsid w:val="008B575B"/>
    <w:rsid w:val="008B58B9"/>
    <w:rsid w:val="008B5A7D"/>
    <w:rsid w:val="008B5E1E"/>
    <w:rsid w:val="008B643F"/>
    <w:rsid w:val="008B65FD"/>
    <w:rsid w:val="008B678C"/>
    <w:rsid w:val="008B67E1"/>
    <w:rsid w:val="008B6E28"/>
    <w:rsid w:val="008B7992"/>
    <w:rsid w:val="008B7A6E"/>
    <w:rsid w:val="008B7C2F"/>
    <w:rsid w:val="008B7D57"/>
    <w:rsid w:val="008B7D7E"/>
    <w:rsid w:val="008B7F5D"/>
    <w:rsid w:val="008C0276"/>
    <w:rsid w:val="008C0465"/>
    <w:rsid w:val="008C06FA"/>
    <w:rsid w:val="008C07D5"/>
    <w:rsid w:val="008C089C"/>
    <w:rsid w:val="008C116B"/>
    <w:rsid w:val="008C1179"/>
    <w:rsid w:val="008C175D"/>
    <w:rsid w:val="008C1760"/>
    <w:rsid w:val="008C18CE"/>
    <w:rsid w:val="008C19CB"/>
    <w:rsid w:val="008C1C7D"/>
    <w:rsid w:val="008C21A2"/>
    <w:rsid w:val="008C2343"/>
    <w:rsid w:val="008C27C3"/>
    <w:rsid w:val="008C2BE1"/>
    <w:rsid w:val="008C2E2E"/>
    <w:rsid w:val="008C34C8"/>
    <w:rsid w:val="008C3873"/>
    <w:rsid w:val="008C3F21"/>
    <w:rsid w:val="008C435C"/>
    <w:rsid w:val="008C4E29"/>
    <w:rsid w:val="008C55D3"/>
    <w:rsid w:val="008C5610"/>
    <w:rsid w:val="008C5739"/>
    <w:rsid w:val="008C5910"/>
    <w:rsid w:val="008C65FA"/>
    <w:rsid w:val="008C680E"/>
    <w:rsid w:val="008C68EA"/>
    <w:rsid w:val="008C6B61"/>
    <w:rsid w:val="008C6BD1"/>
    <w:rsid w:val="008C6DD9"/>
    <w:rsid w:val="008C71D8"/>
    <w:rsid w:val="008C7356"/>
    <w:rsid w:val="008C7927"/>
    <w:rsid w:val="008C7962"/>
    <w:rsid w:val="008C79BA"/>
    <w:rsid w:val="008C7B69"/>
    <w:rsid w:val="008C7C79"/>
    <w:rsid w:val="008C7ECB"/>
    <w:rsid w:val="008D013D"/>
    <w:rsid w:val="008D0A87"/>
    <w:rsid w:val="008D0AC7"/>
    <w:rsid w:val="008D1581"/>
    <w:rsid w:val="008D19F5"/>
    <w:rsid w:val="008D1EBC"/>
    <w:rsid w:val="008D20B0"/>
    <w:rsid w:val="008D22C3"/>
    <w:rsid w:val="008D273F"/>
    <w:rsid w:val="008D2DFC"/>
    <w:rsid w:val="008D3310"/>
    <w:rsid w:val="008D36FC"/>
    <w:rsid w:val="008D393B"/>
    <w:rsid w:val="008D3B86"/>
    <w:rsid w:val="008D458B"/>
    <w:rsid w:val="008D45C4"/>
    <w:rsid w:val="008D4755"/>
    <w:rsid w:val="008D4995"/>
    <w:rsid w:val="008D4C3D"/>
    <w:rsid w:val="008D4C7C"/>
    <w:rsid w:val="008D510A"/>
    <w:rsid w:val="008D5FB0"/>
    <w:rsid w:val="008D62D3"/>
    <w:rsid w:val="008D69A6"/>
    <w:rsid w:val="008D6BD3"/>
    <w:rsid w:val="008D6F0D"/>
    <w:rsid w:val="008D6F4D"/>
    <w:rsid w:val="008D73BF"/>
    <w:rsid w:val="008D743C"/>
    <w:rsid w:val="008D7B86"/>
    <w:rsid w:val="008D7C28"/>
    <w:rsid w:val="008D7FDB"/>
    <w:rsid w:val="008E032C"/>
    <w:rsid w:val="008E033C"/>
    <w:rsid w:val="008E0346"/>
    <w:rsid w:val="008E07AA"/>
    <w:rsid w:val="008E08EB"/>
    <w:rsid w:val="008E08F2"/>
    <w:rsid w:val="008E09D8"/>
    <w:rsid w:val="008E0CAF"/>
    <w:rsid w:val="008E0D3C"/>
    <w:rsid w:val="008E1B9E"/>
    <w:rsid w:val="008E1EF3"/>
    <w:rsid w:val="008E1F91"/>
    <w:rsid w:val="008E24EE"/>
    <w:rsid w:val="008E29D6"/>
    <w:rsid w:val="008E3308"/>
    <w:rsid w:val="008E3B37"/>
    <w:rsid w:val="008E3DCC"/>
    <w:rsid w:val="008E41CB"/>
    <w:rsid w:val="008E41DF"/>
    <w:rsid w:val="008E4502"/>
    <w:rsid w:val="008E4655"/>
    <w:rsid w:val="008E47C9"/>
    <w:rsid w:val="008E4D65"/>
    <w:rsid w:val="008E53AF"/>
    <w:rsid w:val="008E5435"/>
    <w:rsid w:val="008E55AB"/>
    <w:rsid w:val="008E564C"/>
    <w:rsid w:val="008E56C1"/>
    <w:rsid w:val="008E5A21"/>
    <w:rsid w:val="008E5AAC"/>
    <w:rsid w:val="008E5C31"/>
    <w:rsid w:val="008E5F6C"/>
    <w:rsid w:val="008E6149"/>
    <w:rsid w:val="008E678A"/>
    <w:rsid w:val="008E6A65"/>
    <w:rsid w:val="008E721A"/>
    <w:rsid w:val="008E7E35"/>
    <w:rsid w:val="008E7F12"/>
    <w:rsid w:val="008F0251"/>
    <w:rsid w:val="008F08D9"/>
    <w:rsid w:val="008F120A"/>
    <w:rsid w:val="008F19D5"/>
    <w:rsid w:val="008F1CA9"/>
    <w:rsid w:val="008F1CE2"/>
    <w:rsid w:val="008F20A5"/>
    <w:rsid w:val="008F23EB"/>
    <w:rsid w:val="008F27E0"/>
    <w:rsid w:val="008F347C"/>
    <w:rsid w:val="008F37E9"/>
    <w:rsid w:val="008F42C1"/>
    <w:rsid w:val="008F42CD"/>
    <w:rsid w:val="008F4463"/>
    <w:rsid w:val="008F4737"/>
    <w:rsid w:val="008F48EB"/>
    <w:rsid w:val="008F4C24"/>
    <w:rsid w:val="008F4F0B"/>
    <w:rsid w:val="008F5605"/>
    <w:rsid w:val="008F563E"/>
    <w:rsid w:val="008F5C97"/>
    <w:rsid w:val="008F5E6B"/>
    <w:rsid w:val="008F6313"/>
    <w:rsid w:val="008F6444"/>
    <w:rsid w:val="008F65C6"/>
    <w:rsid w:val="008F6864"/>
    <w:rsid w:val="008F6963"/>
    <w:rsid w:val="008F7008"/>
    <w:rsid w:val="008F7509"/>
    <w:rsid w:val="008F775C"/>
    <w:rsid w:val="008F77E5"/>
    <w:rsid w:val="008F78EF"/>
    <w:rsid w:val="008F7FE6"/>
    <w:rsid w:val="0090022A"/>
    <w:rsid w:val="009009AC"/>
    <w:rsid w:val="00900D74"/>
    <w:rsid w:val="00900F96"/>
    <w:rsid w:val="00901CDE"/>
    <w:rsid w:val="009022EC"/>
    <w:rsid w:val="00902767"/>
    <w:rsid w:val="00902866"/>
    <w:rsid w:val="009028C1"/>
    <w:rsid w:val="00902DBF"/>
    <w:rsid w:val="00902DD2"/>
    <w:rsid w:val="009030CE"/>
    <w:rsid w:val="0090325A"/>
    <w:rsid w:val="00903AF9"/>
    <w:rsid w:val="00903FCC"/>
    <w:rsid w:val="009046C4"/>
    <w:rsid w:val="00904E82"/>
    <w:rsid w:val="00904F88"/>
    <w:rsid w:val="009050DF"/>
    <w:rsid w:val="0090564B"/>
    <w:rsid w:val="00905804"/>
    <w:rsid w:val="0090599F"/>
    <w:rsid w:val="00905A29"/>
    <w:rsid w:val="00905A86"/>
    <w:rsid w:val="00905B50"/>
    <w:rsid w:val="009061A1"/>
    <w:rsid w:val="009061FA"/>
    <w:rsid w:val="0090622C"/>
    <w:rsid w:val="009062A5"/>
    <w:rsid w:val="009064E7"/>
    <w:rsid w:val="00906505"/>
    <w:rsid w:val="009065DB"/>
    <w:rsid w:val="0090681D"/>
    <w:rsid w:val="00906B3B"/>
    <w:rsid w:val="00906C59"/>
    <w:rsid w:val="0090754E"/>
    <w:rsid w:val="00907739"/>
    <w:rsid w:val="00907C6F"/>
    <w:rsid w:val="0091053C"/>
    <w:rsid w:val="0091078C"/>
    <w:rsid w:val="0091082B"/>
    <w:rsid w:val="00910FA7"/>
    <w:rsid w:val="00911158"/>
    <w:rsid w:val="00911272"/>
    <w:rsid w:val="00911428"/>
    <w:rsid w:val="0091210B"/>
    <w:rsid w:val="009121B2"/>
    <w:rsid w:val="009125ED"/>
    <w:rsid w:val="00912F10"/>
    <w:rsid w:val="0091318E"/>
    <w:rsid w:val="00913223"/>
    <w:rsid w:val="009135D6"/>
    <w:rsid w:val="00913C1A"/>
    <w:rsid w:val="00913DA9"/>
    <w:rsid w:val="00914A9A"/>
    <w:rsid w:val="00914C77"/>
    <w:rsid w:val="00914DB9"/>
    <w:rsid w:val="00915200"/>
    <w:rsid w:val="0091528C"/>
    <w:rsid w:val="00915923"/>
    <w:rsid w:val="00915B6B"/>
    <w:rsid w:val="00915C0B"/>
    <w:rsid w:val="00915D6E"/>
    <w:rsid w:val="00916145"/>
    <w:rsid w:val="00916440"/>
    <w:rsid w:val="0091692E"/>
    <w:rsid w:val="00916D25"/>
    <w:rsid w:val="00916D76"/>
    <w:rsid w:val="00916F5C"/>
    <w:rsid w:val="00916F7B"/>
    <w:rsid w:val="00916F8F"/>
    <w:rsid w:val="00917A39"/>
    <w:rsid w:val="0092073F"/>
    <w:rsid w:val="00920D95"/>
    <w:rsid w:val="00920EBE"/>
    <w:rsid w:val="009212A4"/>
    <w:rsid w:val="00921ACB"/>
    <w:rsid w:val="00921D13"/>
    <w:rsid w:val="00921E99"/>
    <w:rsid w:val="00922447"/>
    <w:rsid w:val="00922E03"/>
    <w:rsid w:val="00922F7D"/>
    <w:rsid w:val="009232F9"/>
    <w:rsid w:val="0092369B"/>
    <w:rsid w:val="009240BB"/>
    <w:rsid w:val="00924653"/>
    <w:rsid w:val="00924700"/>
    <w:rsid w:val="00925141"/>
    <w:rsid w:val="00925220"/>
    <w:rsid w:val="009258D2"/>
    <w:rsid w:val="00925AFD"/>
    <w:rsid w:val="00925E64"/>
    <w:rsid w:val="00926534"/>
    <w:rsid w:val="009265AA"/>
    <w:rsid w:val="00926C54"/>
    <w:rsid w:val="00927739"/>
    <w:rsid w:val="009277CF"/>
    <w:rsid w:val="009278B0"/>
    <w:rsid w:val="00927FA0"/>
    <w:rsid w:val="00930411"/>
    <w:rsid w:val="00930991"/>
    <w:rsid w:val="00930CB4"/>
    <w:rsid w:val="00930D0F"/>
    <w:rsid w:val="00930F26"/>
    <w:rsid w:val="00931375"/>
    <w:rsid w:val="009319EA"/>
    <w:rsid w:val="00931C3E"/>
    <w:rsid w:val="00931F30"/>
    <w:rsid w:val="009320A3"/>
    <w:rsid w:val="0093334A"/>
    <w:rsid w:val="009334A4"/>
    <w:rsid w:val="00933821"/>
    <w:rsid w:val="009339B0"/>
    <w:rsid w:val="00933C40"/>
    <w:rsid w:val="00933F4D"/>
    <w:rsid w:val="00934131"/>
    <w:rsid w:val="009346B7"/>
    <w:rsid w:val="00934988"/>
    <w:rsid w:val="00936AE0"/>
    <w:rsid w:val="00937089"/>
    <w:rsid w:val="00937214"/>
    <w:rsid w:val="00937D6E"/>
    <w:rsid w:val="00937E4D"/>
    <w:rsid w:val="00940435"/>
    <w:rsid w:val="009404EA"/>
    <w:rsid w:val="00940867"/>
    <w:rsid w:val="00940F45"/>
    <w:rsid w:val="0094131A"/>
    <w:rsid w:val="00941433"/>
    <w:rsid w:val="00941796"/>
    <w:rsid w:val="00941909"/>
    <w:rsid w:val="00941A27"/>
    <w:rsid w:val="00941AC2"/>
    <w:rsid w:val="00941E47"/>
    <w:rsid w:val="00942671"/>
    <w:rsid w:val="009428DB"/>
    <w:rsid w:val="00942EA6"/>
    <w:rsid w:val="00942F2C"/>
    <w:rsid w:val="009430BE"/>
    <w:rsid w:val="00943137"/>
    <w:rsid w:val="009434AC"/>
    <w:rsid w:val="009438D8"/>
    <w:rsid w:val="00943B15"/>
    <w:rsid w:val="00943CD0"/>
    <w:rsid w:val="00943DCD"/>
    <w:rsid w:val="00943EBE"/>
    <w:rsid w:val="00943F97"/>
    <w:rsid w:val="00944156"/>
    <w:rsid w:val="0094415B"/>
    <w:rsid w:val="009442F3"/>
    <w:rsid w:val="00944A5F"/>
    <w:rsid w:val="00944A82"/>
    <w:rsid w:val="00944BF9"/>
    <w:rsid w:val="00944C5F"/>
    <w:rsid w:val="00944D5C"/>
    <w:rsid w:val="00944F8A"/>
    <w:rsid w:val="00945251"/>
    <w:rsid w:val="00945616"/>
    <w:rsid w:val="009457DF"/>
    <w:rsid w:val="0094662B"/>
    <w:rsid w:val="00946B62"/>
    <w:rsid w:val="00946D10"/>
    <w:rsid w:val="00946DD9"/>
    <w:rsid w:val="0094707D"/>
    <w:rsid w:val="009475F4"/>
    <w:rsid w:val="00947826"/>
    <w:rsid w:val="00947948"/>
    <w:rsid w:val="009479A4"/>
    <w:rsid w:val="00947C22"/>
    <w:rsid w:val="00947D10"/>
    <w:rsid w:val="00950022"/>
    <w:rsid w:val="00950817"/>
    <w:rsid w:val="00950EBA"/>
    <w:rsid w:val="009510A2"/>
    <w:rsid w:val="009510C2"/>
    <w:rsid w:val="0095126A"/>
    <w:rsid w:val="009512F7"/>
    <w:rsid w:val="0095180B"/>
    <w:rsid w:val="00951D13"/>
    <w:rsid w:val="00951D8E"/>
    <w:rsid w:val="009525A8"/>
    <w:rsid w:val="00952E30"/>
    <w:rsid w:val="009531F5"/>
    <w:rsid w:val="0095321B"/>
    <w:rsid w:val="00953257"/>
    <w:rsid w:val="00953455"/>
    <w:rsid w:val="00953C72"/>
    <w:rsid w:val="00953CB0"/>
    <w:rsid w:val="00953D69"/>
    <w:rsid w:val="00953E37"/>
    <w:rsid w:val="0095427F"/>
    <w:rsid w:val="00954382"/>
    <w:rsid w:val="0095474C"/>
    <w:rsid w:val="00955255"/>
    <w:rsid w:val="009556BB"/>
    <w:rsid w:val="00955CF1"/>
    <w:rsid w:val="009564F2"/>
    <w:rsid w:val="00956802"/>
    <w:rsid w:val="009568FC"/>
    <w:rsid w:val="00956BC4"/>
    <w:rsid w:val="00956FFB"/>
    <w:rsid w:val="00956FFD"/>
    <w:rsid w:val="009572AE"/>
    <w:rsid w:val="00957A56"/>
    <w:rsid w:val="00957B28"/>
    <w:rsid w:val="00957F80"/>
    <w:rsid w:val="009602CE"/>
    <w:rsid w:val="00960424"/>
    <w:rsid w:val="009608C5"/>
    <w:rsid w:val="00960AD2"/>
    <w:rsid w:val="0096183C"/>
    <w:rsid w:val="00961D27"/>
    <w:rsid w:val="00962A08"/>
    <w:rsid w:val="00962CB9"/>
    <w:rsid w:val="00962E2E"/>
    <w:rsid w:val="0096307E"/>
    <w:rsid w:val="009630D0"/>
    <w:rsid w:val="00963130"/>
    <w:rsid w:val="00963324"/>
    <w:rsid w:val="00963331"/>
    <w:rsid w:val="0096378F"/>
    <w:rsid w:val="00963F72"/>
    <w:rsid w:val="00963FBA"/>
    <w:rsid w:val="0096427C"/>
    <w:rsid w:val="00964312"/>
    <w:rsid w:val="00964486"/>
    <w:rsid w:val="00964B2F"/>
    <w:rsid w:val="00964D7B"/>
    <w:rsid w:val="00965021"/>
    <w:rsid w:val="0096544B"/>
    <w:rsid w:val="00965B8A"/>
    <w:rsid w:val="00965DCA"/>
    <w:rsid w:val="0096604B"/>
    <w:rsid w:val="00966219"/>
    <w:rsid w:val="00966718"/>
    <w:rsid w:val="00966A02"/>
    <w:rsid w:val="00966AC9"/>
    <w:rsid w:val="00966F74"/>
    <w:rsid w:val="00967824"/>
    <w:rsid w:val="00967CDF"/>
    <w:rsid w:val="00967F71"/>
    <w:rsid w:val="00967FFB"/>
    <w:rsid w:val="0097071F"/>
    <w:rsid w:val="009707C1"/>
    <w:rsid w:val="00970B73"/>
    <w:rsid w:val="00970D88"/>
    <w:rsid w:val="00970E8C"/>
    <w:rsid w:val="00971051"/>
    <w:rsid w:val="009710A7"/>
    <w:rsid w:val="00971325"/>
    <w:rsid w:val="00971381"/>
    <w:rsid w:val="00971586"/>
    <w:rsid w:val="009715A2"/>
    <w:rsid w:val="009717AC"/>
    <w:rsid w:val="009718D9"/>
    <w:rsid w:val="00971BA7"/>
    <w:rsid w:val="00972581"/>
    <w:rsid w:val="00972C56"/>
    <w:rsid w:val="00972DE4"/>
    <w:rsid w:val="00973816"/>
    <w:rsid w:val="0097390A"/>
    <w:rsid w:val="00974012"/>
    <w:rsid w:val="00974057"/>
    <w:rsid w:val="0097440B"/>
    <w:rsid w:val="00974462"/>
    <w:rsid w:val="0097455D"/>
    <w:rsid w:val="0097481C"/>
    <w:rsid w:val="009748B0"/>
    <w:rsid w:val="00974992"/>
    <w:rsid w:val="009749C8"/>
    <w:rsid w:val="00974D5E"/>
    <w:rsid w:val="00974EA6"/>
    <w:rsid w:val="00974EA7"/>
    <w:rsid w:val="00974ECA"/>
    <w:rsid w:val="00974EF1"/>
    <w:rsid w:val="00974F58"/>
    <w:rsid w:val="009751C1"/>
    <w:rsid w:val="00976333"/>
    <w:rsid w:val="0097689D"/>
    <w:rsid w:val="0097698A"/>
    <w:rsid w:val="00976D9B"/>
    <w:rsid w:val="00976FE9"/>
    <w:rsid w:val="009772D8"/>
    <w:rsid w:val="00977651"/>
    <w:rsid w:val="009777A3"/>
    <w:rsid w:val="00980531"/>
    <w:rsid w:val="00980657"/>
    <w:rsid w:val="00980A07"/>
    <w:rsid w:val="00980C58"/>
    <w:rsid w:val="00980E51"/>
    <w:rsid w:val="00980EC6"/>
    <w:rsid w:val="00981014"/>
    <w:rsid w:val="009811F1"/>
    <w:rsid w:val="00981303"/>
    <w:rsid w:val="009813B4"/>
    <w:rsid w:val="00981826"/>
    <w:rsid w:val="00981925"/>
    <w:rsid w:val="00981A58"/>
    <w:rsid w:val="00981E70"/>
    <w:rsid w:val="009820DE"/>
    <w:rsid w:val="009823DA"/>
    <w:rsid w:val="00982E2A"/>
    <w:rsid w:val="00982E80"/>
    <w:rsid w:val="00983419"/>
    <w:rsid w:val="0098372E"/>
    <w:rsid w:val="009839A0"/>
    <w:rsid w:val="00983D20"/>
    <w:rsid w:val="00983E57"/>
    <w:rsid w:val="00984019"/>
    <w:rsid w:val="0098447B"/>
    <w:rsid w:val="00984715"/>
    <w:rsid w:val="00984775"/>
    <w:rsid w:val="009849ED"/>
    <w:rsid w:val="00984BEB"/>
    <w:rsid w:val="00984BEF"/>
    <w:rsid w:val="00985580"/>
    <w:rsid w:val="009857F0"/>
    <w:rsid w:val="00985DE2"/>
    <w:rsid w:val="00985F9E"/>
    <w:rsid w:val="009865EE"/>
    <w:rsid w:val="0098675D"/>
    <w:rsid w:val="0098743E"/>
    <w:rsid w:val="009903CE"/>
    <w:rsid w:val="0099061C"/>
    <w:rsid w:val="00990B9B"/>
    <w:rsid w:val="00990CA6"/>
    <w:rsid w:val="00990F69"/>
    <w:rsid w:val="009917E3"/>
    <w:rsid w:val="00991886"/>
    <w:rsid w:val="009918F8"/>
    <w:rsid w:val="00991FF9"/>
    <w:rsid w:val="009923B8"/>
    <w:rsid w:val="00992511"/>
    <w:rsid w:val="009926B4"/>
    <w:rsid w:val="009926E0"/>
    <w:rsid w:val="0099285F"/>
    <w:rsid w:val="0099338D"/>
    <w:rsid w:val="009936BE"/>
    <w:rsid w:val="009937BD"/>
    <w:rsid w:val="00994371"/>
    <w:rsid w:val="0099451E"/>
    <w:rsid w:val="00994527"/>
    <w:rsid w:val="00994C12"/>
    <w:rsid w:val="00994D63"/>
    <w:rsid w:val="00995503"/>
    <w:rsid w:val="00995775"/>
    <w:rsid w:val="00995794"/>
    <w:rsid w:val="00995944"/>
    <w:rsid w:val="00995C2A"/>
    <w:rsid w:val="00995E8F"/>
    <w:rsid w:val="009962A8"/>
    <w:rsid w:val="00996346"/>
    <w:rsid w:val="009964C8"/>
    <w:rsid w:val="00996B1A"/>
    <w:rsid w:val="00996C5C"/>
    <w:rsid w:val="00996C90"/>
    <w:rsid w:val="00996D19"/>
    <w:rsid w:val="009978A4"/>
    <w:rsid w:val="00997AFC"/>
    <w:rsid w:val="00997BDE"/>
    <w:rsid w:val="009A01F4"/>
    <w:rsid w:val="009A048E"/>
    <w:rsid w:val="009A0AC1"/>
    <w:rsid w:val="009A0C28"/>
    <w:rsid w:val="009A1021"/>
    <w:rsid w:val="009A1643"/>
    <w:rsid w:val="009A1B44"/>
    <w:rsid w:val="009A227E"/>
    <w:rsid w:val="009A2667"/>
    <w:rsid w:val="009A2DCC"/>
    <w:rsid w:val="009A2DE0"/>
    <w:rsid w:val="009A3104"/>
    <w:rsid w:val="009A3522"/>
    <w:rsid w:val="009A39F3"/>
    <w:rsid w:val="009A3D20"/>
    <w:rsid w:val="009A4D07"/>
    <w:rsid w:val="009A5512"/>
    <w:rsid w:val="009A5721"/>
    <w:rsid w:val="009A5768"/>
    <w:rsid w:val="009A586F"/>
    <w:rsid w:val="009A5ABC"/>
    <w:rsid w:val="009A63C6"/>
    <w:rsid w:val="009A6B32"/>
    <w:rsid w:val="009A6D7F"/>
    <w:rsid w:val="009A6DD4"/>
    <w:rsid w:val="009A6DF1"/>
    <w:rsid w:val="009A7A2A"/>
    <w:rsid w:val="009A7AB3"/>
    <w:rsid w:val="009A7E0A"/>
    <w:rsid w:val="009A7F10"/>
    <w:rsid w:val="009B151C"/>
    <w:rsid w:val="009B159E"/>
    <w:rsid w:val="009B2B66"/>
    <w:rsid w:val="009B2C0B"/>
    <w:rsid w:val="009B2CF6"/>
    <w:rsid w:val="009B3652"/>
    <w:rsid w:val="009B3991"/>
    <w:rsid w:val="009B3D4F"/>
    <w:rsid w:val="009B3E26"/>
    <w:rsid w:val="009B3F7B"/>
    <w:rsid w:val="009B421E"/>
    <w:rsid w:val="009B453C"/>
    <w:rsid w:val="009B4806"/>
    <w:rsid w:val="009B4A12"/>
    <w:rsid w:val="009B4FF9"/>
    <w:rsid w:val="009B5823"/>
    <w:rsid w:val="009B5FDC"/>
    <w:rsid w:val="009B631F"/>
    <w:rsid w:val="009B6F4C"/>
    <w:rsid w:val="009B73FC"/>
    <w:rsid w:val="009B77F3"/>
    <w:rsid w:val="009B7E1E"/>
    <w:rsid w:val="009C0075"/>
    <w:rsid w:val="009C022E"/>
    <w:rsid w:val="009C0865"/>
    <w:rsid w:val="009C12B4"/>
    <w:rsid w:val="009C16C4"/>
    <w:rsid w:val="009C210F"/>
    <w:rsid w:val="009C2116"/>
    <w:rsid w:val="009C25EE"/>
    <w:rsid w:val="009C27C3"/>
    <w:rsid w:val="009C2834"/>
    <w:rsid w:val="009C2A06"/>
    <w:rsid w:val="009C2CDB"/>
    <w:rsid w:val="009C2F59"/>
    <w:rsid w:val="009C32EF"/>
    <w:rsid w:val="009C3706"/>
    <w:rsid w:val="009C3866"/>
    <w:rsid w:val="009C3867"/>
    <w:rsid w:val="009C3A3A"/>
    <w:rsid w:val="009C4215"/>
    <w:rsid w:val="009C502E"/>
    <w:rsid w:val="009C5A6E"/>
    <w:rsid w:val="009C6CEA"/>
    <w:rsid w:val="009C6E9F"/>
    <w:rsid w:val="009C7B85"/>
    <w:rsid w:val="009D0225"/>
    <w:rsid w:val="009D0254"/>
    <w:rsid w:val="009D05B1"/>
    <w:rsid w:val="009D0660"/>
    <w:rsid w:val="009D0A23"/>
    <w:rsid w:val="009D0AAD"/>
    <w:rsid w:val="009D0C9A"/>
    <w:rsid w:val="009D0D0E"/>
    <w:rsid w:val="009D10AF"/>
    <w:rsid w:val="009D13B3"/>
    <w:rsid w:val="009D154A"/>
    <w:rsid w:val="009D18C7"/>
    <w:rsid w:val="009D198A"/>
    <w:rsid w:val="009D1A64"/>
    <w:rsid w:val="009D245B"/>
    <w:rsid w:val="009D24FC"/>
    <w:rsid w:val="009D2542"/>
    <w:rsid w:val="009D284D"/>
    <w:rsid w:val="009D298C"/>
    <w:rsid w:val="009D2F9F"/>
    <w:rsid w:val="009D3203"/>
    <w:rsid w:val="009D3AB2"/>
    <w:rsid w:val="009D4D00"/>
    <w:rsid w:val="009D4EFE"/>
    <w:rsid w:val="009D58DF"/>
    <w:rsid w:val="009D5B91"/>
    <w:rsid w:val="009D5BAF"/>
    <w:rsid w:val="009D60E5"/>
    <w:rsid w:val="009D66CE"/>
    <w:rsid w:val="009D68E2"/>
    <w:rsid w:val="009D6D50"/>
    <w:rsid w:val="009D6D5C"/>
    <w:rsid w:val="009D7780"/>
    <w:rsid w:val="009D792E"/>
    <w:rsid w:val="009E07EC"/>
    <w:rsid w:val="009E0C7E"/>
    <w:rsid w:val="009E0CA9"/>
    <w:rsid w:val="009E0DFE"/>
    <w:rsid w:val="009E0F75"/>
    <w:rsid w:val="009E1472"/>
    <w:rsid w:val="009E189E"/>
    <w:rsid w:val="009E1BD7"/>
    <w:rsid w:val="009E261F"/>
    <w:rsid w:val="009E26A0"/>
    <w:rsid w:val="009E2BB0"/>
    <w:rsid w:val="009E2CFF"/>
    <w:rsid w:val="009E2EA7"/>
    <w:rsid w:val="009E2ECD"/>
    <w:rsid w:val="009E2F2C"/>
    <w:rsid w:val="009E309D"/>
    <w:rsid w:val="009E31F6"/>
    <w:rsid w:val="009E398A"/>
    <w:rsid w:val="009E3BD0"/>
    <w:rsid w:val="009E3C03"/>
    <w:rsid w:val="009E3DFE"/>
    <w:rsid w:val="009E40B2"/>
    <w:rsid w:val="009E42E9"/>
    <w:rsid w:val="009E43B5"/>
    <w:rsid w:val="009E4564"/>
    <w:rsid w:val="009E47A1"/>
    <w:rsid w:val="009E4A37"/>
    <w:rsid w:val="009E4C07"/>
    <w:rsid w:val="009E4E99"/>
    <w:rsid w:val="009E5086"/>
    <w:rsid w:val="009E50ED"/>
    <w:rsid w:val="009E5D7E"/>
    <w:rsid w:val="009E5E97"/>
    <w:rsid w:val="009E6026"/>
    <w:rsid w:val="009E6745"/>
    <w:rsid w:val="009E6890"/>
    <w:rsid w:val="009E76EA"/>
    <w:rsid w:val="009E7A12"/>
    <w:rsid w:val="009F02F2"/>
    <w:rsid w:val="009F03E6"/>
    <w:rsid w:val="009F05AD"/>
    <w:rsid w:val="009F08DF"/>
    <w:rsid w:val="009F1740"/>
    <w:rsid w:val="009F18B2"/>
    <w:rsid w:val="009F1CBD"/>
    <w:rsid w:val="009F1DAB"/>
    <w:rsid w:val="009F208A"/>
    <w:rsid w:val="009F26E6"/>
    <w:rsid w:val="009F297F"/>
    <w:rsid w:val="009F354B"/>
    <w:rsid w:val="009F3BAE"/>
    <w:rsid w:val="009F3C9B"/>
    <w:rsid w:val="009F469F"/>
    <w:rsid w:val="009F4A5C"/>
    <w:rsid w:val="009F4C8F"/>
    <w:rsid w:val="009F4E8F"/>
    <w:rsid w:val="009F5794"/>
    <w:rsid w:val="009F58CC"/>
    <w:rsid w:val="009F5BC0"/>
    <w:rsid w:val="009F614B"/>
    <w:rsid w:val="009F6C78"/>
    <w:rsid w:val="009F7545"/>
    <w:rsid w:val="009F763D"/>
    <w:rsid w:val="009F76AF"/>
    <w:rsid w:val="009F7F41"/>
    <w:rsid w:val="00A0005C"/>
    <w:rsid w:val="00A001B6"/>
    <w:rsid w:val="00A003F9"/>
    <w:rsid w:val="00A00CE0"/>
    <w:rsid w:val="00A01184"/>
    <w:rsid w:val="00A011CA"/>
    <w:rsid w:val="00A01512"/>
    <w:rsid w:val="00A020D4"/>
    <w:rsid w:val="00A026B2"/>
    <w:rsid w:val="00A027C6"/>
    <w:rsid w:val="00A029F6"/>
    <w:rsid w:val="00A02C31"/>
    <w:rsid w:val="00A02F57"/>
    <w:rsid w:val="00A037C2"/>
    <w:rsid w:val="00A03944"/>
    <w:rsid w:val="00A03A8E"/>
    <w:rsid w:val="00A03AD1"/>
    <w:rsid w:val="00A03D43"/>
    <w:rsid w:val="00A03F8D"/>
    <w:rsid w:val="00A04380"/>
    <w:rsid w:val="00A04B12"/>
    <w:rsid w:val="00A04CFD"/>
    <w:rsid w:val="00A05386"/>
    <w:rsid w:val="00A05472"/>
    <w:rsid w:val="00A0557D"/>
    <w:rsid w:val="00A05B6A"/>
    <w:rsid w:val="00A05C32"/>
    <w:rsid w:val="00A05C92"/>
    <w:rsid w:val="00A06017"/>
    <w:rsid w:val="00A064FD"/>
    <w:rsid w:val="00A0653F"/>
    <w:rsid w:val="00A06898"/>
    <w:rsid w:val="00A06EEC"/>
    <w:rsid w:val="00A0756F"/>
    <w:rsid w:val="00A077D8"/>
    <w:rsid w:val="00A078FF"/>
    <w:rsid w:val="00A07995"/>
    <w:rsid w:val="00A101D2"/>
    <w:rsid w:val="00A10DC7"/>
    <w:rsid w:val="00A11186"/>
    <w:rsid w:val="00A116B4"/>
    <w:rsid w:val="00A1175D"/>
    <w:rsid w:val="00A11CD0"/>
    <w:rsid w:val="00A12832"/>
    <w:rsid w:val="00A128D7"/>
    <w:rsid w:val="00A12D15"/>
    <w:rsid w:val="00A13948"/>
    <w:rsid w:val="00A14788"/>
    <w:rsid w:val="00A147A3"/>
    <w:rsid w:val="00A147B8"/>
    <w:rsid w:val="00A14C78"/>
    <w:rsid w:val="00A14D13"/>
    <w:rsid w:val="00A14EB3"/>
    <w:rsid w:val="00A150D7"/>
    <w:rsid w:val="00A153C2"/>
    <w:rsid w:val="00A1555B"/>
    <w:rsid w:val="00A155C5"/>
    <w:rsid w:val="00A15D9C"/>
    <w:rsid w:val="00A16485"/>
    <w:rsid w:val="00A16790"/>
    <w:rsid w:val="00A16AD8"/>
    <w:rsid w:val="00A16E02"/>
    <w:rsid w:val="00A17073"/>
    <w:rsid w:val="00A17169"/>
    <w:rsid w:val="00A17AF4"/>
    <w:rsid w:val="00A17DAF"/>
    <w:rsid w:val="00A17DCF"/>
    <w:rsid w:val="00A20CF3"/>
    <w:rsid w:val="00A21295"/>
    <w:rsid w:val="00A21671"/>
    <w:rsid w:val="00A216E3"/>
    <w:rsid w:val="00A217F5"/>
    <w:rsid w:val="00A218A2"/>
    <w:rsid w:val="00A21C95"/>
    <w:rsid w:val="00A21CF3"/>
    <w:rsid w:val="00A22275"/>
    <w:rsid w:val="00A22288"/>
    <w:rsid w:val="00A223F2"/>
    <w:rsid w:val="00A228BB"/>
    <w:rsid w:val="00A22F57"/>
    <w:rsid w:val="00A23194"/>
    <w:rsid w:val="00A231ED"/>
    <w:rsid w:val="00A2341A"/>
    <w:rsid w:val="00A23782"/>
    <w:rsid w:val="00A238C7"/>
    <w:rsid w:val="00A23C1C"/>
    <w:rsid w:val="00A23F8C"/>
    <w:rsid w:val="00A24112"/>
    <w:rsid w:val="00A24187"/>
    <w:rsid w:val="00A241B4"/>
    <w:rsid w:val="00A24813"/>
    <w:rsid w:val="00A24CDB"/>
    <w:rsid w:val="00A2517D"/>
    <w:rsid w:val="00A25B43"/>
    <w:rsid w:val="00A25F14"/>
    <w:rsid w:val="00A26487"/>
    <w:rsid w:val="00A2660A"/>
    <w:rsid w:val="00A26ADD"/>
    <w:rsid w:val="00A2739F"/>
    <w:rsid w:val="00A276F9"/>
    <w:rsid w:val="00A27AEC"/>
    <w:rsid w:val="00A27F36"/>
    <w:rsid w:val="00A27FEA"/>
    <w:rsid w:val="00A30411"/>
    <w:rsid w:val="00A310F1"/>
    <w:rsid w:val="00A31271"/>
    <w:rsid w:val="00A31F69"/>
    <w:rsid w:val="00A320DB"/>
    <w:rsid w:val="00A321E3"/>
    <w:rsid w:val="00A32623"/>
    <w:rsid w:val="00A3266D"/>
    <w:rsid w:val="00A32A54"/>
    <w:rsid w:val="00A32F51"/>
    <w:rsid w:val="00A33480"/>
    <w:rsid w:val="00A3351E"/>
    <w:rsid w:val="00A33A7E"/>
    <w:rsid w:val="00A33E3D"/>
    <w:rsid w:val="00A341C9"/>
    <w:rsid w:val="00A34400"/>
    <w:rsid w:val="00A34B00"/>
    <w:rsid w:val="00A35044"/>
    <w:rsid w:val="00A359FF"/>
    <w:rsid w:val="00A35A49"/>
    <w:rsid w:val="00A35D16"/>
    <w:rsid w:val="00A35DFF"/>
    <w:rsid w:val="00A3623F"/>
    <w:rsid w:val="00A36515"/>
    <w:rsid w:val="00A367F4"/>
    <w:rsid w:val="00A36B50"/>
    <w:rsid w:val="00A36B68"/>
    <w:rsid w:val="00A3787F"/>
    <w:rsid w:val="00A37BCD"/>
    <w:rsid w:val="00A40027"/>
    <w:rsid w:val="00A4046C"/>
    <w:rsid w:val="00A40D77"/>
    <w:rsid w:val="00A40FF9"/>
    <w:rsid w:val="00A41689"/>
    <w:rsid w:val="00A419E5"/>
    <w:rsid w:val="00A41D98"/>
    <w:rsid w:val="00A42592"/>
    <w:rsid w:val="00A42764"/>
    <w:rsid w:val="00A42928"/>
    <w:rsid w:val="00A42AE7"/>
    <w:rsid w:val="00A42EC3"/>
    <w:rsid w:val="00A43357"/>
    <w:rsid w:val="00A43827"/>
    <w:rsid w:val="00A439A8"/>
    <w:rsid w:val="00A43C59"/>
    <w:rsid w:val="00A43C5F"/>
    <w:rsid w:val="00A443E2"/>
    <w:rsid w:val="00A447F4"/>
    <w:rsid w:val="00A45213"/>
    <w:rsid w:val="00A45430"/>
    <w:rsid w:val="00A45B86"/>
    <w:rsid w:val="00A46199"/>
    <w:rsid w:val="00A46975"/>
    <w:rsid w:val="00A46B7D"/>
    <w:rsid w:val="00A47121"/>
    <w:rsid w:val="00A476EA"/>
    <w:rsid w:val="00A47A29"/>
    <w:rsid w:val="00A47C41"/>
    <w:rsid w:val="00A47E0C"/>
    <w:rsid w:val="00A50136"/>
    <w:rsid w:val="00A50ECD"/>
    <w:rsid w:val="00A50EF3"/>
    <w:rsid w:val="00A512BF"/>
    <w:rsid w:val="00A518F3"/>
    <w:rsid w:val="00A5212E"/>
    <w:rsid w:val="00A5230A"/>
    <w:rsid w:val="00A52729"/>
    <w:rsid w:val="00A52B5C"/>
    <w:rsid w:val="00A52F5C"/>
    <w:rsid w:val="00A5307A"/>
    <w:rsid w:val="00A532FD"/>
    <w:rsid w:val="00A53398"/>
    <w:rsid w:val="00A533B8"/>
    <w:rsid w:val="00A53480"/>
    <w:rsid w:val="00A53668"/>
    <w:rsid w:val="00A53675"/>
    <w:rsid w:val="00A537A6"/>
    <w:rsid w:val="00A538C7"/>
    <w:rsid w:val="00A5418C"/>
    <w:rsid w:val="00A54771"/>
    <w:rsid w:val="00A5487A"/>
    <w:rsid w:val="00A54BC0"/>
    <w:rsid w:val="00A54CCC"/>
    <w:rsid w:val="00A557D6"/>
    <w:rsid w:val="00A558E8"/>
    <w:rsid w:val="00A55DDC"/>
    <w:rsid w:val="00A5610E"/>
    <w:rsid w:val="00A564D7"/>
    <w:rsid w:val="00A56B6A"/>
    <w:rsid w:val="00A56E3F"/>
    <w:rsid w:val="00A56EA2"/>
    <w:rsid w:val="00A570B3"/>
    <w:rsid w:val="00A570D2"/>
    <w:rsid w:val="00A5723B"/>
    <w:rsid w:val="00A5739C"/>
    <w:rsid w:val="00A57443"/>
    <w:rsid w:val="00A578DC"/>
    <w:rsid w:val="00A57A97"/>
    <w:rsid w:val="00A60CD9"/>
    <w:rsid w:val="00A6112B"/>
    <w:rsid w:val="00A61203"/>
    <w:rsid w:val="00A612D4"/>
    <w:rsid w:val="00A614AA"/>
    <w:rsid w:val="00A617B2"/>
    <w:rsid w:val="00A61A92"/>
    <w:rsid w:val="00A61F29"/>
    <w:rsid w:val="00A62566"/>
    <w:rsid w:val="00A629B1"/>
    <w:rsid w:val="00A62C57"/>
    <w:rsid w:val="00A63483"/>
    <w:rsid w:val="00A6375C"/>
    <w:rsid w:val="00A63AC2"/>
    <w:rsid w:val="00A63BF7"/>
    <w:rsid w:val="00A63EC7"/>
    <w:rsid w:val="00A640E2"/>
    <w:rsid w:val="00A64116"/>
    <w:rsid w:val="00A64223"/>
    <w:rsid w:val="00A6428B"/>
    <w:rsid w:val="00A647EA"/>
    <w:rsid w:val="00A64827"/>
    <w:rsid w:val="00A648B8"/>
    <w:rsid w:val="00A64D65"/>
    <w:rsid w:val="00A65532"/>
    <w:rsid w:val="00A65D14"/>
    <w:rsid w:val="00A65FB3"/>
    <w:rsid w:val="00A66BC1"/>
    <w:rsid w:val="00A6725B"/>
    <w:rsid w:val="00A6769C"/>
    <w:rsid w:val="00A67B04"/>
    <w:rsid w:val="00A67CA8"/>
    <w:rsid w:val="00A7000F"/>
    <w:rsid w:val="00A70605"/>
    <w:rsid w:val="00A70BCE"/>
    <w:rsid w:val="00A70EB1"/>
    <w:rsid w:val="00A71044"/>
    <w:rsid w:val="00A71A27"/>
    <w:rsid w:val="00A72232"/>
    <w:rsid w:val="00A7223A"/>
    <w:rsid w:val="00A72288"/>
    <w:rsid w:val="00A72528"/>
    <w:rsid w:val="00A726E4"/>
    <w:rsid w:val="00A72D42"/>
    <w:rsid w:val="00A73134"/>
    <w:rsid w:val="00A7320E"/>
    <w:rsid w:val="00A733D3"/>
    <w:rsid w:val="00A7351A"/>
    <w:rsid w:val="00A73A42"/>
    <w:rsid w:val="00A73C90"/>
    <w:rsid w:val="00A73E98"/>
    <w:rsid w:val="00A749FF"/>
    <w:rsid w:val="00A753FD"/>
    <w:rsid w:val="00A75CD2"/>
    <w:rsid w:val="00A76001"/>
    <w:rsid w:val="00A7623C"/>
    <w:rsid w:val="00A769F4"/>
    <w:rsid w:val="00A76C5F"/>
    <w:rsid w:val="00A76FA6"/>
    <w:rsid w:val="00A76FB7"/>
    <w:rsid w:val="00A7734D"/>
    <w:rsid w:val="00A777B2"/>
    <w:rsid w:val="00A777EF"/>
    <w:rsid w:val="00A77CAD"/>
    <w:rsid w:val="00A77E87"/>
    <w:rsid w:val="00A80270"/>
    <w:rsid w:val="00A8030E"/>
    <w:rsid w:val="00A8071E"/>
    <w:rsid w:val="00A81118"/>
    <w:rsid w:val="00A825D4"/>
    <w:rsid w:val="00A8260A"/>
    <w:rsid w:val="00A828F6"/>
    <w:rsid w:val="00A82B73"/>
    <w:rsid w:val="00A82CF0"/>
    <w:rsid w:val="00A82DFB"/>
    <w:rsid w:val="00A831AD"/>
    <w:rsid w:val="00A83A47"/>
    <w:rsid w:val="00A84547"/>
    <w:rsid w:val="00A84576"/>
    <w:rsid w:val="00A8466F"/>
    <w:rsid w:val="00A84CE7"/>
    <w:rsid w:val="00A853AC"/>
    <w:rsid w:val="00A85460"/>
    <w:rsid w:val="00A859F2"/>
    <w:rsid w:val="00A85B16"/>
    <w:rsid w:val="00A860B9"/>
    <w:rsid w:val="00A86449"/>
    <w:rsid w:val="00A865D5"/>
    <w:rsid w:val="00A866F8"/>
    <w:rsid w:val="00A868BE"/>
    <w:rsid w:val="00A86DB5"/>
    <w:rsid w:val="00A86E30"/>
    <w:rsid w:val="00A86E8B"/>
    <w:rsid w:val="00A87164"/>
    <w:rsid w:val="00A87227"/>
    <w:rsid w:val="00A8740E"/>
    <w:rsid w:val="00A87717"/>
    <w:rsid w:val="00A879B9"/>
    <w:rsid w:val="00A87C70"/>
    <w:rsid w:val="00A87F1E"/>
    <w:rsid w:val="00A902E3"/>
    <w:rsid w:val="00A903BE"/>
    <w:rsid w:val="00A90466"/>
    <w:rsid w:val="00A906D2"/>
    <w:rsid w:val="00A90A78"/>
    <w:rsid w:val="00A90B61"/>
    <w:rsid w:val="00A90E7F"/>
    <w:rsid w:val="00A90FE6"/>
    <w:rsid w:val="00A91046"/>
    <w:rsid w:val="00A9104C"/>
    <w:rsid w:val="00A91431"/>
    <w:rsid w:val="00A9154E"/>
    <w:rsid w:val="00A9177C"/>
    <w:rsid w:val="00A91A35"/>
    <w:rsid w:val="00A91B42"/>
    <w:rsid w:val="00A91B86"/>
    <w:rsid w:val="00A9229E"/>
    <w:rsid w:val="00A93072"/>
    <w:rsid w:val="00A93348"/>
    <w:rsid w:val="00A93527"/>
    <w:rsid w:val="00A93623"/>
    <w:rsid w:val="00A93795"/>
    <w:rsid w:val="00A938BD"/>
    <w:rsid w:val="00A93953"/>
    <w:rsid w:val="00A93B74"/>
    <w:rsid w:val="00A93D7F"/>
    <w:rsid w:val="00A94EE6"/>
    <w:rsid w:val="00A95899"/>
    <w:rsid w:val="00A959D8"/>
    <w:rsid w:val="00A9604A"/>
    <w:rsid w:val="00A960D4"/>
    <w:rsid w:val="00A969B6"/>
    <w:rsid w:val="00A96B86"/>
    <w:rsid w:val="00A96ED1"/>
    <w:rsid w:val="00A97C3F"/>
    <w:rsid w:val="00AA00B9"/>
    <w:rsid w:val="00AA07A6"/>
    <w:rsid w:val="00AA0B9C"/>
    <w:rsid w:val="00AA0CA3"/>
    <w:rsid w:val="00AA113D"/>
    <w:rsid w:val="00AA123E"/>
    <w:rsid w:val="00AA1BDF"/>
    <w:rsid w:val="00AA2429"/>
    <w:rsid w:val="00AA2A86"/>
    <w:rsid w:val="00AA2E71"/>
    <w:rsid w:val="00AA2E72"/>
    <w:rsid w:val="00AA30BC"/>
    <w:rsid w:val="00AA35D3"/>
    <w:rsid w:val="00AA37DE"/>
    <w:rsid w:val="00AA389B"/>
    <w:rsid w:val="00AA3A4A"/>
    <w:rsid w:val="00AA3B7D"/>
    <w:rsid w:val="00AA3D20"/>
    <w:rsid w:val="00AA4EF6"/>
    <w:rsid w:val="00AA54B1"/>
    <w:rsid w:val="00AA577F"/>
    <w:rsid w:val="00AA6202"/>
    <w:rsid w:val="00AA645D"/>
    <w:rsid w:val="00AA6BD5"/>
    <w:rsid w:val="00AA6BD8"/>
    <w:rsid w:val="00AA6C7D"/>
    <w:rsid w:val="00AA6E02"/>
    <w:rsid w:val="00AA74C6"/>
    <w:rsid w:val="00AA760F"/>
    <w:rsid w:val="00AA7A24"/>
    <w:rsid w:val="00AA7BC8"/>
    <w:rsid w:val="00AA7D71"/>
    <w:rsid w:val="00AA7FD6"/>
    <w:rsid w:val="00AB0191"/>
    <w:rsid w:val="00AB042A"/>
    <w:rsid w:val="00AB0A1B"/>
    <w:rsid w:val="00AB0C3D"/>
    <w:rsid w:val="00AB0DC7"/>
    <w:rsid w:val="00AB1189"/>
    <w:rsid w:val="00AB12F6"/>
    <w:rsid w:val="00AB1443"/>
    <w:rsid w:val="00AB19EF"/>
    <w:rsid w:val="00AB1E6A"/>
    <w:rsid w:val="00AB20E5"/>
    <w:rsid w:val="00AB20FE"/>
    <w:rsid w:val="00AB2D34"/>
    <w:rsid w:val="00AB31D5"/>
    <w:rsid w:val="00AB3306"/>
    <w:rsid w:val="00AB3430"/>
    <w:rsid w:val="00AB37B9"/>
    <w:rsid w:val="00AB3CEE"/>
    <w:rsid w:val="00AB3FF2"/>
    <w:rsid w:val="00AB41EE"/>
    <w:rsid w:val="00AB422D"/>
    <w:rsid w:val="00AB47F5"/>
    <w:rsid w:val="00AB48E7"/>
    <w:rsid w:val="00AB4AD1"/>
    <w:rsid w:val="00AB51D6"/>
    <w:rsid w:val="00AB52E1"/>
    <w:rsid w:val="00AB570C"/>
    <w:rsid w:val="00AB5CE3"/>
    <w:rsid w:val="00AB5E07"/>
    <w:rsid w:val="00AB6812"/>
    <w:rsid w:val="00AB6D29"/>
    <w:rsid w:val="00AB6F2D"/>
    <w:rsid w:val="00AB6FF9"/>
    <w:rsid w:val="00AB744F"/>
    <w:rsid w:val="00AB7536"/>
    <w:rsid w:val="00AB7AA0"/>
    <w:rsid w:val="00AB7CFA"/>
    <w:rsid w:val="00AC060A"/>
    <w:rsid w:val="00AC0694"/>
    <w:rsid w:val="00AC0FD7"/>
    <w:rsid w:val="00AC1540"/>
    <w:rsid w:val="00AC16D5"/>
    <w:rsid w:val="00AC1BDC"/>
    <w:rsid w:val="00AC1D1D"/>
    <w:rsid w:val="00AC2215"/>
    <w:rsid w:val="00AC293A"/>
    <w:rsid w:val="00AC2D4D"/>
    <w:rsid w:val="00AC3314"/>
    <w:rsid w:val="00AC3373"/>
    <w:rsid w:val="00AC361A"/>
    <w:rsid w:val="00AC3B3D"/>
    <w:rsid w:val="00AC3D41"/>
    <w:rsid w:val="00AC44DF"/>
    <w:rsid w:val="00AC472E"/>
    <w:rsid w:val="00AC4A16"/>
    <w:rsid w:val="00AC4B43"/>
    <w:rsid w:val="00AC50FA"/>
    <w:rsid w:val="00AC5264"/>
    <w:rsid w:val="00AC53C3"/>
    <w:rsid w:val="00AC5B48"/>
    <w:rsid w:val="00AC6786"/>
    <w:rsid w:val="00AC6E31"/>
    <w:rsid w:val="00AC7793"/>
    <w:rsid w:val="00AD03FF"/>
    <w:rsid w:val="00AD06C8"/>
    <w:rsid w:val="00AD1450"/>
    <w:rsid w:val="00AD1671"/>
    <w:rsid w:val="00AD1771"/>
    <w:rsid w:val="00AD1FB1"/>
    <w:rsid w:val="00AD298E"/>
    <w:rsid w:val="00AD29EA"/>
    <w:rsid w:val="00AD2CA9"/>
    <w:rsid w:val="00AD312E"/>
    <w:rsid w:val="00AD323F"/>
    <w:rsid w:val="00AD3273"/>
    <w:rsid w:val="00AD3805"/>
    <w:rsid w:val="00AD4269"/>
    <w:rsid w:val="00AD426A"/>
    <w:rsid w:val="00AD4AB3"/>
    <w:rsid w:val="00AD579F"/>
    <w:rsid w:val="00AD5812"/>
    <w:rsid w:val="00AD6183"/>
    <w:rsid w:val="00AD6502"/>
    <w:rsid w:val="00AD659B"/>
    <w:rsid w:val="00AD687B"/>
    <w:rsid w:val="00AD77C8"/>
    <w:rsid w:val="00AD79CF"/>
    <w:rsid w:val="00AD7C72"/>
    <w:rsid w:val="00AE0081"/>
    <w:rsid w:val="00AE0555"/>
    <w:rsid w:val="00AE0695"/>
    <w:rsid w:val="00AE0837"/>
    <w:rsid w:val="00AE091F"/>
    <w:rsid w:val="00AE0E1D"/>
    <w:rsid w:val="00AE1640"/>
    <w:rsid w:val="00AE18B6"/>
    <w:rsid w:val="00AE19EE"/>
    <w:rsid w:val="00AE1A1E"/>
    <w:rsid w:val="00AE29B0"/>
    <w:rsid w:val="00AE3086"/>
    <w:rsid w:val="00AE33C5"/>
    <w:rsid w:val="00AE3E7E"/>
    <w:rsid w:val="00AE4143"/>
    <w:rsid w:val="00AE424B"/>
    <w:rsid w:val="00AE457C"/>
    <w:rsid w:val="00AE4676"/>
    <w:rsid w:val="00AE4758"/>
    <w:rsid w:val="00AE4A8A"/>
    <w:rsid w:val="00AE4AE3"/>
    <w:rsid w:val="00AE4F25"/>
    <w:rsid w:val="00AE58A5"/>
    <w:rsid w:val="00AE5D91"/>
    <w:rsid w:val="00AE6343"/>
    <w:rsid w:val="00AE657E"/>
    <w:rsid w:val="00AE6722"/>
    <w:rsid w:val="00AE67E9"/>
    <w:rsid w:val="00AE695E"/>
    <w:rsid w:val="00AE6B6C"/>
    <w:rsid w:val="00AE72CA"/>
    <w:rsid w:val="00AE7AB4"/>
    <w:rsid w:val="00AF016C"/>
    <w:rsid w:val="00AF0411"/>
    <w:rsid w:val="00AF07A0"/>
    <w:rsid w:val="00AF0C50"/>
    <w:rsid w:val="00AF100B"/>
    <w:rsid w:val="00AF1020"/>
    <w:rsid w:val="00AF1315"/>
    <w:rsid w:val="00AF147B"/>
    <w:rsid w:val="00AF18C5"/>
    <w:rsid w:val="00AF19BF"/>
    <w:rsid w:val="00AF19C9"/>
    <w:rsid w:val="00AF1A02"/>
    <w:rsid w:val="00AF2029"/>
    <w:rsid w:val="00AF24DA"/>
    <w:rsid w:val="00AF2571"/>
    <w:rsid w:val="00AF2DC3"/>
    <w:rsid w:val="00AF3115"/>
    <w:rsid w:val="00AF3282"/>
    <w:rsid w:val="00AF3720"/>
    <w:rsid w:val="00AF3A0D"/>
    <w:rsid w:val="00AF3D31"/>
    <w:rsid w:val="00AF3E16"/>
    <w:rsid w:val="00AF3ECF"/>
    <w:rsid w:val="00AF3F25"/>
    <w:rsid w:val="00AF3F36"/>
    <w:rsid w:val="00AF4952"/>
    <w:rsid w:val="00AF496C"/>
    <w:rsid w:val="00AF5163"/>
    <w:rsid w:val="00AF5653"/>
    <w:rsid w:val="00AF568E"/>
    <w:rsid w:val="00AF576C"/>
    <w:rsid w:val="00AF59B6"/>
    <w:rsid w:val="00AF6019"/>
    <w:rsid w:val="00AF608C"/>
    <w:rsid w:val="00AF64A2"/>
    <w:rsid w:val="00AF6E6C"/>
    <w:rsid w:val="00AF6E79"/>
    <w:rsid w:val="00AF7007"/>
    <w:rsid w:val="00AF7672"/>
    <w:rsid w:val="00B000DC"/>
    <w:rsid w:val="00B00726"/>
    <w:rsid w:val="00B00834"/>
    <w:rsid w:val="00B0159C"/>
    <w:rsid w:val="00B0185A"/>
    <w:rsid w:val="00B02099"/>
    <w:rsid w:val="00B02A56"/>
    <w:rsid w:val="00B02B2D"/>
    <w:rsid w:val="00B030B7"/>
    <w:rsid w:val="00B0333B"/>
    <w:rsid w:val="00B033E5"/>
    <w:rsid w:val="00B0379B"/>
    <w:rsid w:val="00B03A63"/>
    <w:rsid w:val="00B04160"/>
    <w:rsid w:val="00B04629"/>
    <w:rsid w:val="00B04989"/>
    <w:rsid w:val="00B04D1E"/>
    <w:rsid w:val="00B0509B"/>
    <w:rsid w:val="00B0517F"/>
    <w:rsid w:val="00B053BD"/>
    <w:rsid w:val="00B05650"/>
    <w:rsid w:val="00B05747"/>
    <w:rsid w:val="00B05C73"/>
    <w:rsid w:val="00B05D40"/>
    <w:rsid w:val="00B05D86"/>
    <w:rsid w:val="00B0612E"/>
    <w:rsid w:val="00B06678"/>
    <w:rsid w:val="00B066BD"/>
    <w:rsid w:val="00B0674E"/>
    <w:rsid w:val="00B067FC"/>
    <w:rsid w:val="00B0718E"/>
    <w:rsid w:val="00B07BC9"/>
    <w:rsid w:val="00B1010B"/>
    <w:rsid w:val="00B1048B"/>
    <w:rsid w:val="00B107C4"/>
    <w:rsid w:val="00B10E02"/>
    <w:rsid w:val="00B10EF3"/>
    <w:rsid w:val="00B11371"/>
    <w:rsid w:val="00B1171E"/>
    <w:rsid w:val="00B11845"/>
    <w:rsid w:val="00B1210A"/>
    <w:rsid w:val="00B1216A"/>
    <w:rsid w:val="00B121E1"/>
    <w:rsid w:val="00B124A3"/>
    <w:rsid w:val="00B124FF"/>
    <w:rsid w:val="00B127F1"/>
    <w:rsid w:val="00B1295D"/>
    <w:rsid w:val="00B13421"/>
    <w:rsid w:val="00B13CDA"/>
    <w:rsid w:val="00B147F3"/>
    <w:rsid w:val="00B14917"/>
    <w:rsid w:val="00B14A64"/>
    <w:rsid w:val="00B14FB0"/>
    <w:rsid w:val="00B150FF"/>
    <w:rsid w:val="00B154DB"/>
    <w:rsid w:val="00B155B5"/>
    <w:rsid w:val="00B15946"/>
    <w:rsid w:val="00B160D4"/>
    <w:rsid w:val="00B161CB"/>
    <w:rsid w:val="00B16B1C"/>
    <w:rsid w:val="00B16E65"/>
    <w:rsid w:val="00B17074"/>
    <w:rsid w:val="00B174D9"/>
    <w:rsid w:val="00B17974"/>
    <w:rsid w:val="00B17B62"/>
    <w:rsid w:val="00B201A4"/>
    <w:rsid w:val="00B201D1"/>
    <w:rsid w:val="00B209AF"/>
    <w:rsid w:val="00B20F9B"/>
    <w:rsid w:val="00B210FF"/>
    <w:rsid w:val="00B2110E"/>
    <w:rsid w:val="00B211FA"/>
    <w:rsid w:val="00B213A6"/>
    <w:rsid w:val="00B21439"/>
    <w:rsid w:val="00B217BB"/>
    <w:rsid w:val="00B21ABB"/>
    <w:rsid w:val="00B21B1C"/>
    <w:rsid w:val="00B21B7C"/>
    <w:rsid w:val="00B21E26"/>
    <w:rsid w:val="00B22052"/>
    <w:rsid w:val="00B220B0"/>
    <w:rsid w:val="00B2294D"/>
    <w:rsid w:val="00B22957"/>
    <w:rsid w:val="00B232A2"/>
    <w:rsid w:val="00B235B0"/>
    <w:rsid w:val="00B23B3F"/>
    <w:rsid w:val="00B23F26"/>
    <w:rsid w:val="00B24239"/>
    <w:rsid w:val="00B24422"/>
    <w:rsid w:val="00B2498E"/>
    <w:rsid w:val="00B24DF6"/>
    <w:rsid w:val="00B256EC"/>
    <w:rsid w:val="00B25B0F"/>
    <w:rsid w:val="00B25DE1"/>
    <w:rsid w:val="00B25F4C"/>
    <w:rsid w:val="00B262C0"/>
    <w:rsid w:val="00B26320"/>
    <w:rsid w:val="00B26324"/>
    <w:rsid w:val="00B267BF"/>
    <w:rsid w:val="00B26834"/>
    <w:rsid w:val="00B26EFD"/>
    <w:rsid w:val="00B27052"/>
    <w:rsid w:val="00B271E9"/>
    <w:rsid w:val="00B278F3"/>
    <w:rsid w:val="00B27D66"/>
    <w:rsid w:val="00B27FB1"/>
    <w:rsid w:val="00B3016D"/>
    <w:rsid w:val="00B30BFA"/>
    <w:rsid w:val="00B30CAD"/>
    <w:rsid w:val="00B30D44"/>
    <w:rsid w:val="00B30F14"/>
    <w:rsid w:val="00B31F12"/>
    <w:rsid w:val="00B3234B"/>
    <w:rsid w:val="00B326B1"/>
    <w:rsid w:val="00B32C10"/>
    <w:rsid w:val="00B32FB0"/>
    <w:rsid w:val="00B3335E"/>
    <w:rsid w:val="00B33BAA"/>
    <w:rsid w:val="00B33C72"/>
    <w:rsid w:val="00B33E94"/>
    <w:rsid w:val="00B3497E"/>
    <w:rsid w:val="00B34B2C"/>
    <w:rsid w:val="00B34FE2"/>
    <w:rsid w:val="00B3515C"/>
    <w:rsid w:val="00B35166"/>
    <w:rsid w:val="00B3561D"/>
    <w:rsid w:val="00B357D8"/>
    <w:rsid w:val="00B357E6"/>
    <w:rsid w:val="00B35B7F"/>
    <w:rsid w:val="00B35BC1"/>
    <w:rsid w:val="00B360F4"/>
    <w:rsid w:val="00B36A00"/>
    <w:rsid w:val="00B36B88"/>
    <w:rsid w:val="00B36D27"/>
    <w:rsid w:val="00B36F12"/>
    <w:rsid w:val="00B36FBE"/>
    <w:rsid w:val="00B37BFC"/>
    <w:rsid w:val="00B37D6B"/>
    <w:rsid w:val="00B37DF6"/>
    <w:rsid w:val="00B40358"/>
    <w:rsid w:val="00B403FF"/>
    <w:rsid w:val="00B405F6"/>
    <w:rsid w:val="00B405FB"/>
    <w:rsid w:val="00B40A84"/>
    <w:rsid w:val="00B40CBA"/>
    <w:rsid w:val="00B40ECE"/>
    <w:rsid w:val="00B4126C"/>
    <w:rsid w:val="00B41528"/>
    <w:rsid w:val="00B41614"/>
    <w:rsid w:val="00B418EC"/>
    <w:rsid w:val="00B419C8"/>
    <w:rsid w:val="00B41F5C"/>
    <w:rsid w:val="00B423D5"/>
    <w:rsid w:val="00B426CA"/>
    <w:rsid w:val="00B42851"/>
    <w:rsid w:val="00B42F80"/>
    <w:rsid w:val="00B430D2"/>
    <w:rsid w:val="00B431A5"/>
    <w:rsid w:val="00B435CB"/>
    <w:rsid w:val="00B43A33"/>
    <w:rsid w:val="00B43FF5"/>
    <w:rsid w:val="00B44250"/>
    <w:rsid w:val="00B44273"/>
    <w:rsid w:val="00B448CF"/>
    <w:rsid w:val="00B44BE6"/>
    <w:rsid w:val="00B44E88"/>
    <w:rsid w:val="00B453B0"/>
    <w:rsid w:val="00B45776"/>
    <w:rsid w:val="00B45BA0"/>
    <w:rsid w:val="00B45C75"/>
    <w:rsid w:val="00B45F76"/>
    <w:rsid w:val="00B4608F"/>
    <w:rsid w:val="00B4617E"/>
    <w:rsid w:val="00B46528"/>
    <w:rsid w:val="00B467C1"/>
    <w:rsid w:val="00B46ABE"/>
    <w:rsid w:val="00B479DD"/>
    <w:rsid w:val="00B47A62"/>
    <w:rsid w:val="00B50378"/>
    <w:rsid w:val="00B505BB"/>
    <w:rsid w:val="00B505C8"/>
    <w:rsid w:val="00B50A30"/>
    <w:rsid w:val="00B50B2D"/>
    <w:rsid w:val="00B50DB8"/>
    <w:rsid w:val="00B514B7"/>
    <w:rsid w:val="00B51659"/>
    <w:rsid w:val="00B520F2"/>
    <w:rsid w:val="00B5211B"/>
    <w:rsid w:val="00B5286B"/>
    <w:rsid w:val="00B52DFA"/>
    <w:rsid w:val="00B53543"/>
    <w:rsid w:val="00B535A3"/>
    <w:rsid w:val="00B53654"/>
    <w:rsid w:val="00B536F3"/>
    <w:rsid w:val="00B53905"/>
    <w:rsid w:val="00B5398A"/>
    <w:rsid w:val="00B53A68"/>
    <w:rsid w:val="00B54287"/>
    <w:rsid w:val="00B5443B"/>
    <w:rsid w:val="00B546DE"/>
    <w:rsid w:val="00B54A59"/>
    <w:rsid w:val="00B54B5B"/>
    <w:rsid w:val="00B54FD9"/>
    <w:rsid w:val="00B5562E"/>
    <w:rsid w:val="00B5576D"/>
    <w:rsid w:val="00B55B89"/>
    <w:rsid w:val="00B55C86"/>
    <w:rsid w:val="00B55D65"/>
    <w:rsid w:val="00B55EA7"/>
    <w:rsid w:val="00B560E1"/>
    <w:rsid w:val="00B5611D"/>
    <w:rsid w:val="00B5682E"/>
    <w:rsid w:val="00B56D07"/>
    <w:rsid w:val="00B57000"/>
    <w:rsid w:val="00B571C0"/>
    <w:rsid w:val="00B57541"/>
    <w:rsid w:val="00B602E3"/>
    <w:rsid w:val="00B6044E"/>
    <w:rsid w:val="00B60661"/>
    <w:rsid w:val="00B60939"/>
    <w:rsid w:val="00B60AFD"/>
    <w:rsid w:val="00B60CD7"/>
    <w:rsid w:val="00B60CFF"/>
    <w:rsid w:val="00B61A4A"/>
    <w:rsid w:val="00B61AC8"/>
    <w:rsid w:val="00B61B39"/>
    <w:rsid w:val="00B61BED"/>
    <w:rsid w:val="00B61DCA"/>
    <w:rsid w:val="00B61EAD"/>
    <w:rsid w:val="00B61F40"/>
    <w:rsid w:val="00B6257A"/>
    <w:rsid w:val="00B62715"/>
    <w:rsid w:val="00B631FC"/>
    <w:rsid w:val="00B6394C"/>
    <w:rsid w:val="00B641CF"/>
    <w:rsid w:val="00B643ED"/>
    <w:rsid w:val="00B649A3"/>
    <w:rsid w:val="00B64C9E"/>
    <w:rsid w:val="00B64CDB"/>
    <w:rsid w:val="00B64FA1"/>
    <w:rsid w:val="00B65046"/>
    <w:rsid w:val="00B651C1"/>
    <w:rsid w:val="00B652D7"/>
    <w:rsid w:val="00B65611"/>
    <w:rsid w:val="00B6564C"/>
    <w:rsid w:val="00B659E1"/>
    <w:rsid w:val="00B65AE4"/>
    <w:rsid w:val="00B66098"/>
    <w:rsid w:val="00B661DC"/>
    <w:rsid w:val="00B662CA"/>
    <w:rsid w:val="00B667EE"/>
    <w:rsid w:val="00B66800"/>
    <w:rsid w:val="00B669CD"/>
    <w:rsid w:val="00B66BD0"/>
    <w:rsid w:val="00B66D0C"/>
    <w:rsid w:val="00B670BB"/>
    <w:rsid w:val="00B672A6"/>
    <w:rsid w:val="00B6739A"/>
    <w:rsid w:val="00B6795E"/>
    <w:rsid w:val="00B70096"/>
    <w:rsid w:val="00B703E9"/>
    <w:rsid w:val="00B70A2D"/>
    <w:rsid w:val="00B70D43"/>
    <w:rsid w:val="00B70E8E"/>
    <w:rsid w:val="00B711EF"/>
    <w:rsid w:val="00B71FF7"/>
    <w:rsid w:val="00B72285"/>
    <w:rsid w:val="00B724E7"/>
    <w:rsid w:val="00B72FD7"/>
    <w:rsid w:val="00B73261"/>
    <w:rsid w:val="00B73F42"/>
    <w:rsid w:val="00B74051"/>
    <w:rsid w:val="00B747E6"/>
    <w:rsid w:val="00B74855"/>
    <w:rsid w:val="00B74A09"/>
    <w:rsid w:val="00B74A4C"/>
    <w:rsid w:val="00B74E81"/>
    <w:rsid w:val="00B74F27"/>
    <w:rsid w:val="00B7502A"/>
    <w:rsid w:val="00B756BD"/>
    <w:rsid w:val="00B759B3"/>
    <w:rsid w:val="00B76558"/>
    <w:rsid w:val="00B767CD"/>
    <w:rsid w:val="00B76C59"/>
    <w:rsid w:val="00B76C92"/>
    <w:rsid w:val="00B76CAB"/>
    <w:rsid w:val="00B76F6B"/>
    <w:rsid w:val="00B77A1B"/>
    <w:rsid w:val="00B77B22"/>
    <w:rsid w:val="00B77DEE"/>
    <w:rsid w:val="00B801AC"/>
    <w:rsid w:val="00B80868"/>
    <w:rsid w:val="00B80B33"/>
    <w:rsid w:val="00B80BE1"/>
    <w:rsid w:val="00B81762"/>
    <w:rsid w:val="00B818A4"/>
    <w:rsid w:val="00B81B34"/>
    <w:rsid w:val="00B81C00"/>
    <w:rsid w:val="00B81F11"/>
    <w:rsid w:val="00B82432"/>
    <w:rsid w:val="00B8281C"/>
    <w:rsid w:val="00B8290F"/>
    <w:rsid w:val="00B82E70"/>
    <w:rsid w:val="00B835B8"/>
    <w:rsid w:val="00B83734"/>
    <w:rsid w:val="00B837CA"/>
    <w:rsid w:val="00B839A1"/>
    <w:rsid w:val="00B83E31"/>
    <w:rsid w:val="00B84117"/>
    <w:rsid w:val="00B84564"/>
    <w:rsid w:val="00B849AA"/>
    <w:rsid w:val="00B84D2C"/>
    <w:rsid w:val="00B84DEF"/>
    <w:rsid w:val="00B858F0"/>
    <w:rsid w:val="00B85AA2"/>
    <w:rsid w:val="00B8649C"/>
    <w:rsid w:val="00B864A5"/>
    <w:rsid w:val="00B8695D"/>
    <w:rsid w:val="00B8710F"/>
    <w:rsid w:val="00B875C6"/>
    <w:rsid w:val="00B87F0A"/>
    <w:rsid w:val="00B90043"/>
    <w:rsid w:val="00B900CF"/>
    <w:rsid w:val="00B900DA"/>
    <w:rsid w:val="00B903A6"/>
    <w:rsid w:val="00B90622"/>
    <w:rsid w:val="00B9108A"/>
    <w:rsid w:val="00B914E0"/>
    <w:rsid w:val="00B91A3A"/>
    <w:rsid w:val="00B91C2D"/>
    <w:rsid w:val="00B91CD0"/>
    <w:rsid w:val="00B91F02"/>
    <w:rsid w:val="00B91FB3"/>
    <w:rsid w:val="00B928BE"/>
    <w:rsid w:val="00B92D0B"/>
    <w:rsid w:val="00B93B98"/>
    <w:rsid w:val="00B93D2E"/>
    <w:rsid w:val="00B9402C"/>
    <w:rsid w:val="00B941A4"/>
    <w:rsid w:val="00B94605"/>
    <w:rsid w:val="00B946B5"/>
    <w:rsid w:val="00B94945"/>
    <w:rsid w:val="00B94C5A"/>
    <w:rsid w:val="00B94DD6"/>
    <w:rsid w:val="00B9506E"/>
    <w:rsid w:val="00B951A4"/>
    <w:rsid w:val="00B959FB"/>
    <w:rsid w:val="00B95A4E"/>
    <w:rsid w:val="00B95D5C"/>
    <w:rsid w:val="00B95E80"/>
    <w:rsid w:val="00B960EE"/>
    <w:rsid w:val="00B9633B"/>
    <w:rsid w:val="00B9635E"/>
    <w:rsid w:val="00B96384"/>
    <w:rsid w:val="00B965BE"/>
    <w:rsid w:val="00B96882"/>
    <w:rsid w:val="00B96915"/>
    <w:rsid w:val="00B96FFF"/>
    <w:rsid w:val="00B97082"/>
    <w:rsid w:val="00B9784B"/>
    <w:rsid w:val="00B97BC5"/>
    <w:rsid w:val="00BA0545"/>
    <w:rsid w:val="00BA05D1"/>
    <w:rsid w:val="00BA06A1"/>
    <w:rsid w:val="00BA0B17"/>
    <w:rsid w:val="00BA0B4C"/>
    <w:rsid w:val="00BA0E1F"/>
    <w:rsid w:val="00BA0E33"/>
    <w:rsid w:val="00BA1318"/>
    <w:rsid w:val="00BA178B"/>
    <w:rsid w:val="00BA1BE2"/>
    <w:rsid w:val="00BA2392"/>
    <w:rsid w:val="00BA24E8"/>
    <w:rsid w:val="00BA28BE"/>
    <w:rsid w:val="00BA2E34"/>
    <w:rsid w:val="00BA2E43"/>
    <w:rsid w:val="00BA3038"/>
    <w:rsid w:val="00BA322D"/>
    <w:rsid w:val="00BA36A0"/>
    <w:rsid w:val="00BA36F3"/>
    <w:rsid w:val="00BA3BFE"/>
    <w:rsid w:val="00BA3CEB"/>
    <w:rsid w:val="00BA44A2"/>
    <w:rsid w:val="00BA492E"/>
    <w:rsid w:val="00BA49BD"/>
    <w:rsid w:val="00BA4AE5"/>
    <w:rsid w:val="00BA4CC0"/>
    <w:rsid w:val="00BA526B"/>
    <w:rsid w:val="00BA5744"/>
    <w:rsid w:val="00BA5883"/>
    <w:rsid w:val="00BA58B1"/>
    <w:rsid w:val="00BA58FC"/>
    <w:rsid w:val="00BA595E"/>
    <w:rsid w:val="00BA598B"/>
    <w:rsid w:val="00BA5A9B"/>
    <w:rsid w:val="00BA63FA"/>
    <w:rsid w:val="00BA6652"/>
    <w:rsid w:val="00BA6B46"/>
    <w:rsid w:val="00BA6B6B"/>
    <w:rsid w:val="00BA7547"/>
    <w:rsid w:val="00BA76E3"/>
    <w:rsid w:val="00BA7A3F"/>
    <w:rsid w:val="00BA7B3B"/>
    <w:rsid w:val="00BA7C12"/>
    <w:rsid w:val="00BA7CB1"/>
    <w:rsid w:val="00BB00B3"/>
    <w:rsid w:val="00BB021B"/>
    <w:rsid w:val="00BB0397"/>
    <w:rsid w:val="00BB03CF"/>
    <w:rsid w:val="00BB06B9"/>
    <w:rsid w:val="00BB0BDD"/>
    <w:rsid w:val="00BB14BA"/>
    <w:rsid w:val="00BB173B"/>
    <w:rsid w:val="00BB1766"/>
    <w:rsid w:val="00BB176C"/>
    <w:rsid w:val="00BB18B1"/>
    <w:rsid w:val="00BB1996"/>
    <w:rsid w:val="00BB1C2E"/>
    <w:rsid w:val="00BB1D2B"/>
    <w:rsid w:val="00BB1E03"/>
    <w:rsid w:val="00BB1F70"/>
    <w:rsid w:val="00BB22CE"/>
    <w:rsid w:val="00BB26DC"/>
    <w:rsid w:val="00BB28E1"/>
    <w:rsid w:val="00BB2A73"/>
    <w:rsid w:val="00BB35FC"/>
    <w:rsid w:val="00BB3783"/>
    <w:rsid w:val="00BB37C9"/>
    <w:rsid w:val="00BB3897"/>
    <w:rsid w:val="00BB3A45"/>
    <w:rsid w:val="00BB3F8C"/>
    <w:rsid w:val="00BB4148"/>
    <w:rsid w:val="00BB4467"/>
    <w:rsid w:val="00BB45A7"/>
    <w:rsid w:val="00BB4ACC"/>
    <w:rsid w:val="00BB5776"/>
    <w:rsid w:val="00BB5B50"/>
    <w:rsid w:val="00BB6355"/>
    <w:rsid w:val="00BB67C5"/>
    <w:rsid w:val="00BB6CB5"/>
    <w:rsid w:val="00BB6CD7"/>
    <w:rsid w:val="00BB703E"/>
    <w:rsid w:val="00BB732D"/>
    <w:rsid w:val="00BB7405"/>
    <w:rsid w:val="00BB7BA4"/>
    <w:rsid w:val="00BB7D72"/>
    <w:rsid w:val="00BB7E75"/>
    <w:rsid w:val="00BC019C"/>
    <w:rsid w:val="00BC01CF"/>
    <w:rsid w:val="00BC0290"/>
    <w:rsid w:val="00BC0DAF"/>
    <w:rsid w:val="00BC15FF"/>
    <w:rsid w:val="00BC1622"/>
    <w:rsid w:val="00BC204B"/>
    <w:rsid w:val="00BC20DB"/>
    <w:rsid w:val="00BC20F4"/>
    <w:rsid w:val="00BC2775"/>
    <w:rsid w:val="00BC2D81"/>
    <w:rsid w:val="00BC3043"/>
    <w:rsid w:val="00BC3631"/>
    <w:rsid w:val="00BC368D"/>
    <w:rsid w:val="00BC4B5F"/>
    <w:rsid w:val="00BC51DB"/>
    <w:rsid w:val="00BC561D"/>
    <w:rsid w:val="00BC591F"/>
    <w:rsid w:val="00BC601D"/>
    <w:rsid w:val="00BC6572"/>
    <w:rsid w:val="00BC6DE7"/>
    <w:rsid w:val="00BC713A"/>
    <w:rsid w:val="00BC7D6D"/>
    <w:rsid w:val="00BC7F8A"/>
    <w:rsid w:val="00BD02B6"/>
    <w:rsid w:val="00BD0701"/>
    <w:rsid w:val="00BD19B7"/>
    <w:rsid w:val="00BD1D9A"/>
    <w:rsid w:val="00BD2108"/>
    <w:rsid w:val="00BD21B9"/>
    <w:rsid w:val="00BD2427"/>
    <w:rsid w:val="00BD29B4"/>
    <w:rsid w:val="00BD29B7"/>
    <w:rsid w:val="00BD29CF"/>
    <w:rsid w:val="00BD2D56"/>
    <w:rsid w:val="00BD3237"/>
    <w:rsid w:val="00BD330C"/>
    <w:rsid w:val="00BD3AF7"/>
    <w:rsid w:val="00BD4AE8"/>
    <w:rsid w:val="00BD4BF5"/>
    <w:rsid w:val="00BD4D1F"/>
    <w:rsid w:val="00BD54EB"/>
    <w:rsid w:val="00BD5710"/>
    <w:rsid w:val="00BD5738"/>
    <w:rsid w:val="00BD578B"/>
    <w:rsid w:val="00BD58E6"/>
    <w:rsid w:val="00BD5AE9"/>
    <w:rsid w:val="00BD5E13"/>
    <w:rsid w:val="00BD634A"/>
    <w:rsid w:val="00BD65CD"/>
    <w:rsid w:val="00BD6811"/>
    <w:rsid w:val="00BD68A3"/>
    <w:rsid w:val="00BD6915"/>
    <w:rsid w:val="00BD6938"/>
    <w:rsid w:val="00BD6C3D"/>
    <w:rsid w:val="00BD6CF3"/>
    <w:rsid w:val="00BD71BC"/>
    <w:rsid w:val="00BD7AFA"/>
    <w:rsid w:val="00BD7F67"/>
    <w:rsid w:val="00BE01C4"/>
    <w:rsid w:val="00BE0700"/>
    <w:rsid w:val="00BE0D4A"/>
    <w:rsid w:val="00BE0ECA"/>
    <w:rsid w:val="00BE1114"/>
    <w:rsid w:val="00BE12BE"/>
    <w:rsid w:val="00BE158B"/>
    <w:rsid w:val="00BE1625"/>
    <w:rsid w:val="00BE1AE0"/>
    <w:rsid w:val="00BE2180"/>
    <w:rsid w:val="00BE21F2"/>
    <w:rsid w:val="00BE2231"/>
    <w:rsid w:val="00BE249F"/>
    <w:rsid w:val="00BE294D"/>
    <w:rsid w:val="00BE35D1"/>
    <w:rsid w:val="00BE397E"/>
    <w:rsid w:val="00BE3C51"/>
    <w:rsid w:val="00BE3C64"/>
    <w:rsid w:val="00BE425E"/>
    <w:rsid w:val="00BE4275"/>
    <w:rsid w:val="00BE43D9"/>
    <w:rsid w:val="00BE4ABC"/>
    <w:rsid w:val="00BE4B15"/>
    <w:rsid w:val="00BE4BF2"/>
    <w:rsid w:val="00BE4C58"/>
    <w:rsid w:val="00BE4F61"/>
    <w:rsid w:val="00BE513F"/>
    <w:rsid w:val="00BE63A7"/>
    <w:rsid w:val="00BE680C"/>
    <w:rsid w:val="00BE7A56"/>
    <w:rsid w:val="00BE7C9A"/>
    <w:rsid w:val="00BF06AE"/>
    <w:rsid w:val="00BF0F95"/>
    <w:rsid w:val="00BF1530"/>
    <w:rsid w:val="00BF1EDE"/>
    <w:rsid w:val="00BF22DC"/>
    <w:rsid w:val="00BF2433"/>
    <w:rsid w:val="00BF2502"/>
    <w:rsid w:val="00BF2575"/>
    <w:rsid w:val="00BF28B7"/>
    <w:rsid w:val="00BF2DBE"/>
    <w:rsid w:val="00BF30AF"/>
    <w:rsid w:val="00BF33B8"/>
    <w:rsid w:val="00BF35A9"/>
    <w:rsid w:val="00BF38F6"/>
    <w:rsid w:val="00BF3CD6"/>
    <w:rsid w:val="00BF3F58"/>
    <w:rsid w:val="00BF552D"/>
    <w:rsid w:val="00BF5E0F"/>
    <w:rsid w:val="00BF61C9"/>
    <w:rsid w:val="00BF6A27"/>
    <w:rsid w:val="00BF6C94"/>
    <w:rsid w:val="00BF71F8"/>
    <w:rsid w:val="00BF7688"/>
    <w:rsid w:val="00BF7697"/>
    <w:rsid w:val="00BF76B6"/>
    <w:rsid w:val="00BF7A37"/>
    <w:rsid w:val="00C00424"/>
    <w:rsid w:val="00C0057F"/>
    <w:rsid w:val="00C005B8"/>
    <w:rsid w:val="00C00BF1"/>
    <w:rsid w:val="00C00D83"/>
    <w:rsid w:val="00C01313"/>
    <w:rsid w:val="00C01BF0"/>
    <w:rsid w:val="00C026E1"/>
    <w:rsid w:val="00C0330C"/>
    <w:rsid w:val="00C03F45"/>
    <w:rsid w:val="00C047B4"/>
    <w:rsid w:val="00C04A9A"/>
    <w:rsid w:val="00C04E7C"/>
    <w:rsid w:val="00C05CA3"/>
    <w:rsid w:val="00C05D28"/>
    <w:rsid w:val="00C06874"/>
    <w:rsid w:val="00C06AF6"/>
    <w:rsid w:val="00C0703E"/>
    <w:rsid w:val="00C07176"/>
    <w:rsid w:val="00C073A5"/>
    <w:rsid w:val="00C0740E"/>
    <w:rsid w:val="00C0756B"/>
    <w:rsid w:val="00C0761E"/>
    <w:rsid w:val="00C07FF8"/>
    <w:rsid w:val="00C10148"/>
    <w:rsid w:val="00C10203"/>
    <w:rsid w:val="00C10253"/>
    <w:rsid w:val="00C102EA"/>
    <w:rsid w:val="00C108DF"/>
    <w:rsid w:val="00C1097F"/>
    <w:rsid w:val="00C10C9F"/>
    <w:rsid w:val="00C10D52"/>
    <w:rsid w:val="00C10E18"/>
    <w:rsid w:val="00C1179F"/>
    <w:rsid w:val="00C1181D"/>
    <w:rsid w:val="00C11B82"/>
    <w:rsid w:val="00C11BD3"/>
    <w:rsid w:val="00C11E10"/>
    <w:rsid w:val="00C12069"/>
    <w:rsid w:val="00C1224B"/>
    <w:rsid w:val="00C126AC"/>
    <w:rsid w:val="00C128B4"/>
    <w:rsid w:val="00C12C14"/>
    <w:rsid w:val="00C13440"/>
    <w:rsid w:val="00C13554"/>
    <w:rsid w:val="00C13AED"/>
    <w:rsid w:val="00C13F7B"/>
    <w:rsid w:val="00C142C0"/>
    <w:rsid w:val="00C1446B"/>
    <w:rsid w:val="00C14B44"/>
    <w:rsid w:val="00C15498"/>
    <w:rsid w:val="00C15683"/>
    <w:rsid w:val="00C1583C"/>
    <w:rsid w:val="00C158DB"/>
    <w:rsid w:val="00C15F04"/>
    <w:rsid w:val="00C15FEC"/>
    <w:rsid w:val="00C16769"/>
    <w:rsid w:val="00C1697D"/>
    <w:rsid w:val="00C16B7E"/>
    <w:rsid w:val="00C170E6"/>
    <w:rsid w:val="00C1744D"/>
    <w:rsid w:val="00C178BE"/>
    <w:rsid w:val="00C179B3"/>
    <w:rsid w:val="00C179CF"/>
    <w:rsid w:val="00C17E3F"/>
    <w:rsid w:val="00C200AA"/>
    <w:rsid w:val="00C2017A"/>
    <w:rsid w:val="00C2050B"/>
    <w:rsid w:val="00C20721"/>
    <w:rsid w:val="00C20B24"/>
    <w:rsid w:val="00C20C7A"/>
    <w:rsid w:val="00C217C1"/>
    <w:rsid w:val="00C21B82"/>
    <w:rsid w:val="00C2216C"/>
    <w:rsid w:val="00C227AE"/>
    <w:rsid w:val="00C22841"/>
    <w:rsid w:val="00C22989"/>
    <w:rsid w:val="00C22F5B"/>
    <w:rsid w:val="00C22F8F"/>
    <w:rsid w:val="00C22F9B"/>
    <w:rsid w:val="00C23015"/>
    <w:rsid w:val="00C23423"/>
    <w:rsid w:val="00C236C7"/>
    <w:rsid w:val="00C237ED"/>
    <w:rsid w:val="00C23906"/>
    <w:rsid w:val="00C23C3A"/>
    <w:rsid w:val="00C24632"/>
    <w:rsid w:val="00C24ABE"/>
    <w:rsid w:val="00C24B88"/>
    <w:rsid w:val="00C24C54"/>
    <w:rsid w:val="00C24E1C"/>
    <w:rsid w:val="00C25026"/>
    <w:rsid w:val="00C25418"/>
    <w:rsid w:val="00C25470"/>
    <w:rsid w:val="00C2548F"/>
    <w:rsid w:val="00C25ACB"/>
    <w:rsid w:val="00C25D9C"/>
    <w:rsid w:val="00C2616A"/>
    <w:rsid w:val="00C2658B"/>
    <w:rsid w:val="00C26792"/>
    <w:rsid w:val="00C26D38"/>
    <w:rsid w:val="00C26E3B"/>
    <w:rsid w:val="00C26F53"/>
    <w:rsid w:val="00C2712F"/>
    <w:rsid w:val="00C27731"/>
    <w:rsid w:val="00C2778B"/>
    <w:rsid w:val="00C27FBA"/>
    <w:rsid w:val="00C31649"/>
    <w:rsid w:val="00C31964"/>
    <w:rsid w:val="00C31C35"/>
    <w:rsid w:val="00C320C9"/>
    <w:rsid w:val="00C320FC"/>
    <w:rsid w:val="00C3240D"/>
    <w:rsid w:val="00C32A6F"/>
    <w:rsid w:val="00C32B20"/>
    <w:rsid w:val="00C32C13"/>
    <w:rsid w:val="00C32CEE"/>
    <w:rsid w:val="00C33516"/>
    <w:rsid w:val="00C3434C"/>
    <w:rsid w:val="00C343B1"/>
    <w:rsid w:val="00C34EC0"/>
    <w:rsid w:val="00C351CA"/>
    <w:rsid w:val="00C35356"/>
    <w:rsid w:val="00C35A28"/>
    <w:rsid w:val="00C35CDB"/>
    <w:rsid w:val="00C35D54"/>
    <w:rsid w:val="00C35E33"/>
    <w:rsid w:val="00C368CA"/>
    <w:rsid w:val="00C369A2"/>
    <w:rsid w:val="00C371AD"/>
    <w:rsid w:val="00C37784"/>
    <w:rsid w:val="00C37C7A"/>
    <w:rsid w:val="00C37E61"/>
    <w:rsid w:val="00C4006C"/>
    <w:rsid w:val="00C40385"/>
    <w:rsid w:val="00C412CD"/>
    <w:rsid w:val="00C415B1"/>
    <w:rsid w:val="00C41768"/>
    <w:rsid w:val="00C41BDA"/>
    <w:rsid w:val="00C41FDC"/>
    <w:rsid w:val="00C42333"/>
    <w:rsid w:val="00C42591"/>
    <w:rsid w:val="00C428D3"/>
    <w:rsid w:val="00C42979"/>
    <w:rsid w:val="00C43012"/>
    <w:rsid w:val="00C4392C"/>
    <w:rsid w:val="00C43EEC"/>
    <w:rsid w:val="00C4443D"/>
    <w:rsid w:val="00C449E3"/>
    <w:rsid w:val="00C44BAE"/>
    <w:rsid w:val="00C44C13"/>
    <w:rsid w:val="00C452F3"/>
    <w:rsid w:val="00C4595D"/>
    <w:rsid w:val="00C45FFE"/>
    <w:rsid w:val="00C46179"/>
    <w:rsid w:val="00C462F9"/>
    <w:rsid w:val="00C46CDA"/>
    <w:rsid w:val="00C47073"/>
    <w:rsid w:val="00C475AA"/>
    <w:rsid w:val="00C4788A"/>
    <w:rsid w:val="00C47C4D"/>
    <w:rsid w:val="00C50962"/>
    <w:rsid w:val="00C511F2"/>
    <w:rsid w:val="00C514D3"/>
    <w:rsid w:val="00C51B35"/>
    <w:rsid w:val="00C525C8"/>
    <w:rsid w:val="00C52908"/>
    <w:rsid w:val="00C52C9D"/>
    <w:rsid w:val="00C52DB8"/>
    <w:rsid w:val="00C531EB"/>
    <w:rsid w:val="00C53248"/>
    <w:rsid w:val="00C53297"/>
    <w:rsid w:val="00C53543"/>
    <w:rsid w:val="00C535A6"/>
    <w:rsid w:val="00C53814"/>
    <w:rsid w:val="00C53C98"/>
    <w:rsid w:val="00C5410C"/>
    <w:rsid w:val="00C54EC9"/>
    <w:rsid w:val="00C54F40"/>
    <w:rsid w:val="00C55D78"/>
    <w:rsid w:val="00C56001"/>
    <w:rsid w:val="00C56267"/>
    <w:rsid w:val="00C5649F"/>
    <w:rsid w:val="00C56599"/>
    <w:rsid w:val="00C56C15"/>
    <w:rsid w:val="00C56FCF"/>
    <w:rsid w:val="00C5717C"/>
    <w:rsid w:val="00C57739"/>
    <w:rsid w:val="00C57B6C"/>
    <w:rsid w:val="00C57ED4"/>
    <w:rsid w:val="00C605C5"/>
    <w:rsid w:val="00C60809"/>
    <w:rsid w:val="00C60920"/>
    <w:rsid w:val="00C609A8"/>
    <w:rsid w:val="00C613AA"/>
    <w:rsid w:val="00C61827"/>
    <w:rsid w:val="00C61939"/>
    <w:rsid w:val="00C61B47"/>
    <w:rsid w:val="00C61C19"/>
    <w:rsid w:val="00C622C7"/>
    <w:rsid w:val="00C62560"/>
    <w:rsid w:val="00C628A6"/>
    <w:rsid w:val="00C62ED0"/>
    <w:rsid w:val="00C62EEF"/>
    <w:rsid w:val="00C64344"/>
    <w:rsid w:val="00C64482"/>
    <w:rsid w:val="00C64C2D"/>
    <w:rsid w:val="00C64C31"/>
    <w:rsid w:val="00C64D24"/>
    <w:rsid w:val="00C65108"/>
    <w:rsid w:val="00C65576"/>
    <w:rsid w:val="00C6567D"/>
    <w:rsid w:val="00C65C36"/>
    <w:rsid w:val="00C65E3E"/>
    <w:rsid w:val="00C66165"/>
    <w:rsid w:val="00C663CD"/>
    <w:rsid w:val="00C663EA"/>
    <w:rsid w:val="00C66641"/>
    <w:rsid w:val="00C666DC"/>
    <w:rsid w:val="00C667D1"/>
    <w:rsid w:val="00C673EB"/>
    <w:rsid w:val="00C67A40"/>
    <w:rsid w:val="00C70049"/>
    <w:rsid w:val="00C7060A"/>
    <w:rsid w:val="00C706AE"/>
    <w:rsid w:val="00C7082D"/>
    <w:rsid w:val="00C709AB"/>
    <w:rsid w:val="00C7135F"/>
    <w:rsid w:val="00C7151A"/>
    <w:rsid w:val="00C715C3"/>
    <w:rsid w:val="00C717E3"/>
    <w:rsid w:val="00C71F60"/>
    <w:rsid w:val="00C721B6"/>
    <w:rsid w:val="00C72241"/>
    <w:rsid w:val="00C7249F"/>
    <w:rsid w:val="00C724A8"/>
    <w:rsid w:val="00C73191"/>
    <w:rsid w:val="00C73400"/>
    <w:rsid w:val="00C7350F"/>
    <w:rsid w:val="00C73A27"/>
    <w:rsid w:val="00C73BFF"/>
    <w:rsid w:val="00C73CE9"/>
    <w:rsid w:val="00C73D93"/>
    <w:rsid w:val="00C73DAF"/>
    <w:rsid w:val="00C73FE9"/>
    <w:rsid w:val="00C750C8"/>
    <w:rsid w:val="00C752F3"/>
    <w:rsid w:val="00C7560F"/>
    <w:rsid w:val="00C759C2"/>
    <w:rsid w:val="00C75E96"/>
    <w:rsid w:val="00C7632F"/>
    <w:rsid w:val="00C7665B"/>
    <w:rsid w:val="00C7699D"/>
    <w:rsid w:val="00C76F02"/>
    <w:rsid w:val="00C76F80"/>
    <w:rsid w:val="00C76FA5"/>
    <w:rsid w:val="00C77687"/>
    <w:rsid w:val="00C77A4E"/>
    <w:rsid w:val="00C8015B"/>
    <w:rsid w:val="00C80236"/>
    <w:rsid w:val="00C803CA"/>
    <w:rsid w:val="00C8058F"/>
    <w:rsid w:val="00C80A0E"/>
    <w:rsid w:val="00C80B00"/>
    <w:rsid w:val="00C80B18"/>
    <w:rsid w:val="00C80B95"/>
    <w:rsid w:val="00C80C4E"/>
    <w:rsid w:val="00C81177"/>
    <w:rsid w:val="00C812F1"/>
    <w:rsid w:val="00C813E1"/>
    <w:rsid w:val="00C81A1C"/>
    <w:rsid w:val="00C81B54"/>
    <w:rsid w:val="00C81C49"/>
    <w:rsid w:val="00C8213F"/>
    <w:rsid w:val="00C82730"/>
    <w:rsid w:val="00C82780"/>
    <w:rsid w:val="00C8281B"/>
    <w:rsid w:val="00C82B9C"/>
    <w:rsid w:val="00C82C0F"/>
    <w:rsid w:val="00C82D28"/>
    <w:rsid w:val="00C83074"/>
    <w:rsid w:val="00C836E0"/>
    <w:rsid w:val="00C8376E"/>
    <w:rsid w:val="00C837BC"/>
    <w:rsid w:val="00C83C88"/>
    <w:rsid w:val="00C840AE"/>
    <w:rsid w:val="00C843FE"/>
    <w:rsid w:val="00C84492"/>
    <w:rsid w:val="00C85154"/>
    <w:rsid w:val="00C858D1"/>
    <w:rsid w:val="00C85ACB"/>
    <w:rsid w:val="00C86E44"/>
    <w:rsid w:val="00C870E6"/>
    <w:rsid w:val="00C8721C"/>
    <w:rsid w:val="00C8761D"/>
    <w:rsid w:val="00C8797A"/>
    <w:rsid w:val="00C87D3C"/>
    <w:rsid w:val="00C900B8"/>
    <w:rsid w:val="00C905FF"/>
    <w:rsid w:val="00C90616"/>
    <w:rsid w:val="00C90644"/>
    <w:rsid w:val="00C9069E"/>
    <w:rsid w:val="00C90720"/>
    <w:rsid w:val="00C90A9C"/>
    <w:rsid w:val="00C90C71"/>
    <w:rsid w:val="00C90DBE"/>
    <w:rsid w:val="00C90F8F"/>
    <w:rsid w:val="00C91407"/>
    <w:rsid w:val="00C91710"/>
    <w:rsid w:val="00C91833"/>
    <w:rsid w:val="00C9191D"/>
    <w:rsid w:val="00C91B64"/>
    <w:rsid w:val="00C91FD1"/>
    <w:rsid w:val="00C923FA"/>
    <w:rsid w:val="00C92487"/>
    <w:rsid w:val="00C92D1D"/>
    <w:rsid w:val="00C92D6B"/>
    <w:rsid w:val="00C92FE5"/>
    <w:rsid w:val="00C931CF"/>
    <w:rsid w:val="00C93578"/>
    <w:rsid w:val="00C937A6"/>
    <w:rsid w:val="00C938CF"/>
    <w:rsid w:val="00C9398F"/>
    <w:rsid w:val="00C94053"/>
    <w:rsid w:val="00C94337"/>
    <w:rsid w:val="00C94E58"/>
    <w:rsid w:val="00C95103"/>
    <w:rsid w:val="00C95252"/>
    <w:rsid w:val="00C952AF"/>
    <w:rsid w:val="00C953F9"/>
    <w:rsid w:val="00C95675"/>
    <w:rsid w:val="00C956A1"/>
    <w:rsid w:val="00C95856"/>
    <w:rsid w:val="00C95CD9"/>
    <w:rsid w:val="00C95D11"/>
    <w:rsid w:val="00C95DEC"/>
    <w:rsid w:val="00C9624D"/>
    <w:rsid w:val="00C9664D"/>
    <w:rsid w:val="00C969DA"/>
    <w:rsid w:val="00C96A60"/>
    <w:rsid w:val="00C96ABD"/>
    <w:rsid w:val="00C97AA6"/>
    <w:rsid w:val="00C97DA1"/>
    <w:rsid w:val="00CA0593"/>
    <w:rsid w:val="00CA09E0"/>
    <w:rsid w:val="00CA0E96"/>
    <w:rsid w:val="00CA12A0"/>
    <w:rsid w:val="00CA15C1"/>
    <w:rsid w:val="00CA2035"/>
    <w:rsid w:val="00CA24B8"/>
    <w:rsid w:val="00CA2823"/>
    <w:rsid w:val="00CA29D0"/>
    <w:rsid w:val="00CA2B53"/>
    <w:rsid w:val="00CA2C77"/>
    <w:rsid w:val="00CA3C95"/>
    <w:rsid w:val="00CA4009"/>
    <w:rsid w:val="00CA444F"/>
    <w:rsid w:val="00CA4C78"/>
    <w:rsid w:val="00CA4D01"/>
    <w:rsid w:val="00CA5245"/>
    <w:rsid w:val="00CA53B1"/>
    <w:rsid w:val="00CA5ABC"/>
    <w:rsid w:val="00CA5B72"/>
    <w:rsid w:val="00CA610F"/>
    <w:rsid w:val="00CA628F"/>
    <w:rsid w:val="00CA6416"/>
    <w:rsid w:val="00CA68AF"/>
    <w:rsid w:val="00CA6E76"/>
    <w:rsid w:val="00CA70A4"/>
    <w:rsid w:val="00CA713F"/>
    <w:rsid w:val="00CA71F4"/>
    <w:rsid w:val="00CA733E"/>
    <w:rsid w:val="00CA77B2"/>
    <w:rsid w:val="00CA7946"/>
    <w:rsid w:val="00CA7B09"/>
    <w:rsid w:val="00CA7B92"/>
    <w:rsid w:val="00CA7D2F"/>
    <w:rsid w:val="00CB0E7A"/>
    <w:rsid w:val="00CB12A5"/>
    <w:rsid w:val="00CB17B1"/>
    <w:rsid w:val="00CB1B9F"/>
    <w:rsid w:val="00CB1C2E"/>
    <w:rsid w:val="00CB1CAC"/>
    <w:rsid w:val="00CB203E"/>
    <w:rsid w:val="00CB2139"/>
    <w:rsid w:val="00CB260F"/>
    <w:rsid w:val="00CB26C2"/>
    <w:rsid w:val="00CB2B2D"/>
    <w:rsid w:val="00CB2F2A"/>
    <w:rsid w:val="00CB32E2"/>
    <w:rsid w:val="00CB3532"/>
    <w:rsid w:val="00CB3681"/>
    <w:rsid w:val="00CB37ED"/>
    <w:rsid w:val="00CB3C19"/>
    <w:rsid w:val="00CB4B88"/>
    <w:rsid w:val="00CB5065"/>
    <w:rsid w:val="00CB5140"/>
    <w:rsid w:val="00CB53B1"/>
    <w:rsid w:val="00CB567B"/>
    <w:rsid w:val="00CB59A8"/>
    <w:rsid w:val="00CB5AF7"/>
    <w:rsid w:val="00CB5B1A"/>
    <w:rsid w:val="00CB5DBA"/>
    <w:rsid w:val="00CB6176"/>
    <w:rsid w:val="00CB61BA"/>
    <w:rsid w:val="00CB61C1"/>
    <w:rsid w:val="00CB66D1"/>
    <w:rsid w:val="00CB6881"/>
    <w:rsid w:val="00CB6B22"/>
    <w:rsid w:val="00CB6FFF"/>
    <w:rsid w:val="00CB7354"/>
    <w:rsid w:val="00CB77FA"/>
    <w:rsid w:val="00CB7D41"/>
    <w:rsid w:val="00CB7F5F"/>
    <w:rsid w:val="00CC06A4"/>
    <w:rsid w:val="00CC1354"/>
    <w:rsid w:val="00CC1B39"/>
    <w:rsid w:val="00CC1DE4"/>
    <w:rsid w:val="00CC1EB9"/>
    <w:rsid w:val="00CC1EED"/>
    <w:rsid w:val="00CC2361"/>
    <w:rsid w:val="00CC240E"/>
    <w:rsid w:val="00CC285F"/>
    <w:rsid w:val="00CC29AE"/>
    <w:rsid w:val="00CC2B0A"/>
    <w:rsid w:val="00CC35E9"/>
    <w:rsid w:val="00CC35EA"/>
    <w:rsid w:val="00CC3848"/>
    <w:rsid w:val="00CC4201"/>
    <w:rsid w:val="00CC43C7"/>
    <w:rsid w:val="00CC4A38"/>
    <w:rsid w:val="00CC5006"/>
    <w:rsid w:val="00CC512D"/>
    <w:rsid w:val="00CC57C5"/>
    <w:rsid w:val="00CC5948"/>
    <w:rsid w:val="00CC60A9"/>
    <w:rsid w:val="00CC6176"/>
    <w:rsid w:val="00CC64EB"/>
    <w:rsid w:val="00CC66ED"/>
    <w:rsid w:val="00CC67FB"/>
    <w:rsid w:val="00CC7A05"/>
    <w:rsid w:val="00CC7B51"/>
    <w:rsid w:val="00CC7E9B"/>
    <w:rsid w:val="00CD01D1"/>
    <w:rsid w:val="00CD06E2"/>
    <w:rsid w:val="00CD081D"/>
    <w:rsid w:val="00CD08D8"/>
    <w:rsid w:val="00CD0A24"/>
    <w:rsid w:val="00CD0C88"/>
    <w:rsid w:val="00CD14FC"/>
    <w:rsid w:val="00CD166C"/>
    <w:rsid w:val="00CD1845"/>
    <w:rsid w:val="00CD1ACB"/>
    <w:rsid w:val="00CD1C25"/>
    <w:rsid w:val="00CD21AF"/>
    <w:rsid w:val="00CD2350"/>
    <w:rsid w:val="00CD24FB"/>
    <w:rsid w:val="00CD2857"/>
    <w:rsid w:val="00CD2978"/>
    <w:rsid w:val="00CD2AE7"/>
    <w:rsid w:val="00CD2B59"/>
    <w:rsid w:val="00CD2BE0"/>
    <w:rsid w:val="00CD2D18"/>
    <w:rsid w:val="00CD34FD"/>
    <w:rsid w:val="00CD36AF"/>
    <w:rsid w:val="00CD3CC1"/>
    <w:rsid w:val="00CD3D2C"/>
    <w:rsid w:val="00CD3F77"/>
    <w:rsid w:val="00CD4B69"/>
    <w:rsid w:val="00CD5089"/>
    <w:rsid w:val="00CD55D0"/>
    <w:rsid w:val="00CD5653"/>
    <w:rsid w:val="00CD58A5"/>
    <w:rsid w:val="00CD5921"/>
    <w:rsid w:val="00CD5BD2"/>
    <w:rsid w:val="00CD5F0D"/>
    <w:rsid w:val="00CD6ADC"/>
    <w:rsid w:val="00CD6C64"/>
    <w:rsid w:val="00CD70BB"/>
    <w:rsid w:val="00CD7193"/>
    <w:rsid w:val="00CD7BF6"/>
    <w:rsid w:val="00CD7E91"/>
    <w:rsid w:val="00CE03E0"/>
    <w:rsid w:val="00CE0AA3"/>
    <w:rsid w:val="00CE0BD2"/>
    <w:rsid w:val="00CE0DBA"/>
    <w:rsid w:val="00CE122C"/>
    <w:rsid w:val="00CE1727"/>
    <w:rsid w:val="00CE1EB0"/>
    <w:rsid w:val="00CE1F79"/>
    <w:rsid w:val="00CE21C0"/>
    <w:rsid w:val="00CE26EF"/>
    <w:rsid w:val="00CE2A4A"/>
    <w:rsid w:val="00CE2D3F"/>
    <w:rsid w:val="00CE2FD1"/>
    <w:rsid w:val="00CE3658"/>
    <w:rsid w:val="00CE3808"/>
    <w:rsid w:val="00CE38C8"/>
    <w:rsid w:val="00CE4070"/>
    <w:rsid w:val="00CE4971"/>
    <w:rsid w:val="00CE5411"/>
    <w:rsid w:val="00CE541C"/>
    <w:rsid w:val="00CE56CC"/>
    <w:rsid w:val="00CE5871"/>
    <w:rsid w:val="00CE616F"/>
    <w:rsid w:val="00CE6274"/>
    <w:rsid w:val="00CE6498"/>
    <w:rsid w:val="00CE660B"/>
    <w:rsid w:val="00CE6776"/>
    <w:rsid w:val="00CE68ED"/>
    <w:rsid w:val="00CE6E25"/>
    <w:rsid w:val="00CE71D7"/>
    <w:rsid w:val="00CE75B9"/>
    <w:rsid w:val="00CE778A"/>
    <w:rsid w:val="00CE77B6"/>
    <w:rsid w:val="00CE7872"/>
    <w:rsid w:val="00CE7CA2"/>
    <w:rsid w:val="00CE7DA7"/>
    <w:rsid w:val="00CF00BC"/>
    <w:rsid w:val="00CF07BF"/>
    <w:rsid w:val="00CF0963"/>
    <w:rsid w:val="00CF0C82"/>
    <w:rsid w:val="00CF1081"/>
    <w:rsid w:val="00CF1234"/>
    <w:rsid w:val="00CF15B3"/>
    <w:rsid w:val="00CF180B"/>
    <w:rsid w:val="00CF2457"/>
    <w:rsid w:val="00CF2ACC"/>
    <w:rsid w:val="00CF2B8D"/>
    <w:rsid w:val="00CF2D7B"/>
    <w:rsid w:val="00CF30BE"/>
    <w:rsid w:val="00CF30C8"/>
    <w:rsid w:val="00CF3169"/>
    <w:rsid w:val="00CF356B"/>
    <w:rsid w:val="00CF35EB"/>
    <w:rsid w:val="00CF39CD"/>
    <w:rsid w:val="00CF3B1F"/>
    <w:rsid w:val="00CF3B34"/>
    <w:rsid w:val="00CF456B"/>
    <w:rsid w:val="00CF4604"/>
    <w:rsid w:val="00CF4B15"/>
    <w:rsid w:val="00CF53C4"/>
    <w:rsid w:val="00CF56BE"/>
    <w:rsid w:val="00CF57E7"/>
    <w:rsid w:val="00CF5A22"/>
    <w:rsid w:val="00CF632A"/>
    <w:rsid w:val="00CF658B"/>
    <w:rsid w:val="00CF69A2"/>
    <w:rsid w:val="00CF6A16"/>
    <w:rsid w:val="00CF6D68"/>
    <w:rsid w:val="00CF7549"/>
    <w:rsid w:val="00CF7574"/>
    <w:rsid w:val="00D0153F"/>
    <w:rsid w:val="00D0172D"/>
    <w:rsid w:val="00D0177B"/>
    <w:rsid w:val="00D01929"/>
    <w:rsid w:val="00D01D1F"/>
    <w:rsid w:val="00D0257D"/>
    <w:rsid w:val="00D0262E"/>
    <w:rsid w:val="00D02986"/>
    <w:rsid w:val="00D02FCB"/>
    <w:rsid w:val="00D03167"/>
    <w:rsid w:val="00D0370A"/>
    <w:rsid w:val="00D049C0"/>
    <w:rsid w:val="00D04C76"/>
    <w:rsid w:val="00D051C9"/>
    <w:rsid w:val="00D0549E"/>
    <w:rsid w:val="00D05516"/>
    <w:rsid w:val="00D05E3D"/>
    <w:rsid w:val="00D06139"/>
    <w:rsid w:val="00D06A24"/>
    <w:rsid w:val="00D06B59"/>
    <w:rsid w:val="00D06DC5"/>
    <w:rsid w:val="00D07086"/>
    <w:rsid w:val="00D074E2"/>
    <w:rsid w:val="00D10085"/>
    <w:rsid w:val="00D10344"/>
    <w:rsid w:val="00D10894"/>
    <w:rsid w:val="00D108C6"/>
    <w:rsid w:val="00D10A87"/>
    <w:rsid w:val="00D110BD"/>
    <w:rsid w:val="00D113A3"/>
    <w:rsid w:val="00D11AE2"/>
    <w:rsid w:val="00D11B74"/>
    <w:rsid w:val="00D11DEC"/>
    <w:rsid w:val="00D12182"/>
    <w:rsid w:val="00D122AC"/>
    <w:rsid w:val="00D123F5"/>
    <w:rsid w:val="00D12C32"/>
    <w:rsid w:val="00D12ECB"/>
    <w:rsid w:val="00D13006"/>
    <w:rsid w:val="00D13675"/>
    <w:rsid w:val="00D13BB4"/>
    <w:rsid w:val="00D13C37"/>
    <w:rsid w:val="00D13DF4"/>
    <w:rsid w:val="00D141E1"/>
    <w:rsid w:val="00D14490"/>
    <w:rsid w:val="00D14983"/>
    <w:rsid w:val="00D14F17"/>
    <w:rsid w:val="00D15314"/>
    <w:rsid w:val="00D1557E"/>
    <w:rsid w:val="00D15AEC"/>
    <w:rsid w:val="00D15B58"/>
    <w:rsid w:val="00D17B33"/>
    <w:rsid w:val="00D17BE7"/>
    <w:rsid w:val="00D17D6C"/>
    <w:rsid w:val="00D17D80"/>
    <w:rsid w:val="00D20011"/>
    <w:rsid w:val="00D205ED"/>
    <w:rsid w:val="00D20779"/>
    <w:rsid w:val="00D20801"/>
    <w:rsid w:val="00D20832"/>
    <w:rsid w:val="00D20F67"/>
    <w:rsid w:val="00D2155B"/>
    <w:rsid w:val="00D2169E"/>
    <w:rsid w:val="00D21731"/>
    <w:rsid w:val="00D21879"/>
    <w:rsid w:val="00D21A7C"/>
    <w:rsid w:val="00D21BC4"/>
    <w:rsid w:val="00D21CFF"/>
    <w:rsid w:val="00D22077"/>
    <w:rsid w:val="00D22862"/>
    <w:rsid w:val="00D22EE6"/>
    <w:rsid w:val="00D23474"/>
    <w:rsid w:val="00D23B62"/>
    <w:rsid w:val="00D23B86"/>
    <w:rsid w:val="00D23D11"/>
    <w:rsid w:val="00D23EBE"/>
    <w:rsid w:val="00D23F9F"/>
    <w:rsid w:val="00D2413F"/>
    <w:rsid w:val="00D24256"/>
    <w:rsid w:val="00D244B6"/>
    <w:rsid w:val="00D24522"/>
    <w:rsid w:val="00D247AB"/>
    <w:rsid w:val="00D25250"/>
    <w:rsid w:val="00D253AC"/>
    <w:rsid w:val="00D25C3D"/>
    <w:rsid w:val="00D25C94"/>
    <w:rsid w:val="00D25F3B"/>
    <w:rsid w:val="00D26777"/>
    <w:rsid w:val="00D2720E"/>
    <w:rsid w:val="00D2754D"/>
    <w:rsid w:val="00D277EF"/>
    <w:rsid w:val="00D27B27"/>
    <w:rsid w:val="00D27CE7"/>
    <w:rsid w:val="00D30A8F"/>
    <w:rsid w:val="00D30BEF"/>
    <w:rsid w:val="00D30D98"/>
    <w:rsid w:val="00D31475"/>
    <w:rsid w:val="00D31600"/>
    <w:rsid w:val="00D3258F"/>
    <w:rsid w:val="00D3273C"/>
    <w:rsid w:val="00D33242"/>
    <w:rsid w:val="00D33442"/>
    <w:rsid w:val="00D3373C"/>
    <w:rsid w:val="00D337D1"/>
    <w:rsid w:val="00D339EB"/>
    <w:rsid w:val="00D33B69"/>
    <w:rsid w:val="00D33B9F"/>
    <w:rsid w:val="00D33BB1"/>
    <w:rsid w:val="00D33BE9"/>
    <w:rsid w:val="00D33DD2"/>
    <w:rsid w:val="00D33F81"/>
    <w:rsid w:val="00D33F93"/>
    <w:rsid w:val="00D343D2"/>
    <w:rsid w:val="00D34648"/>
    <w:rsid w:val="00D34B31"/>
    <w:rsid w:val="00D34DD5"/>
    <w:rsid w:val="00D353F4"/>
    <w:rsid w:val="00D35429"/>
    <w:rsid w:val="00D356D7"/>
    <w:rsid w:val="00D3570F"/>
    <w:rsid w:val="00D357FF"/>
    <w:rsid w:val="00D35834"/>
    <w:rsid w:val="00D35BB4"/>
    <w:rsid w:val="00D35D78"/>
    <w:rsid w:val="00D36609"/>
    <w:rsid w:val="00D36E92"/>
    <w:rsid w:val="00D370C1"/>
    <w:rsid w:val="00D370DB"/>
    <w:rsid w:val="00D37304"/>
    <w:rsid w:val="00D3772E"/>
    <w:rsid w:val="00D37A93"/>
    <w:rsid w:val="00D37FCE"/>
    <w:rsid w:val="00D40238"/>
    <w:rsid w:val="00D40491"/>
    <w:rsid w:val="00D405D7"/>
    <w:rsid w:val="00D40EF2"/>
    <w:rsid w:val="00D4112E"/>
    <w:rsid w:val="00D4178D"/>
    <w:rsid w:val="00D421A6"/>
    <w:rsid w:val="00D424C7"/>
    <w:rsid w:val="00D43090"/>
    <w:rsid w:val="00D43B2A"/>
    <w:rsid w:val="00D43C94"/>
    <w:rsid w:val="00D43D83"/>
    <w:rsid w:val="00D43F13"/>
    <w:rsid w:val="00D441D1"/>
    <w:rsid w:val="00D44387"/>
    <w:rsid w:val="00D44478"/>
    <w:rsid w:val="00D44ADD"/>
    <w:rsid w:val="00D44B75"/>
    <w:rsid w:val="00D44D9C"/>
    <w:rsid w:val="00D44EB3"/>
    <w:rsid w:val="00D4597A"/>
    <w:rsid w:val="00D460AE"/>
    <w:rsid w:val="00D46A66"/>
    <w:rsid w:val="00D46C45"/>
    <w:rsid w:val="00D474D9"/>
    <w:rsid w:val="00D47575"/>
    <w:rsid w:val="00D50151"/>
    <w:rsid w:val="00D503DF"/>
    <w:rsid w:val="00D50B4D"/>
    <w:rsid w:val="00D50C54"/>
    <w:rsid w:val="00D50CAB"/>
    <w:rsid w:val="00D51259"/>
    <w:rsid w:val="00D51FEE"/>
    <w:rsid w:val="00D522DB"/>
    <w:rsid w:val="00D5243B"/>
    <w:rsid w:val="00D52443"/>
    <w:rsid w:val="00D5255D"/>
    <w:rsid w:val="00D5271D"/>
    <w:rsid w:val="00D5318A"/>
    <w:rsid w:val="00D531FF"/>
    <w:rsid w:val="00D533EC"/>
    <w:rsid w:val="00D539EE"/>
    <w:rsid w:val="00D53CD0"/>
    <w:rsid w:val="00D54055"/>
    <w:rsid w:val="00D546FE"/>
    <w:rsid w:val="00D5481F"/>
    <w:rsid w:val="00D5482C"/>
    <w:rsid w:val="00D551B8"/>
    <w:rsid w:val="00D55430"/>
    <w:rsid w:val="00D55565"/>
    <w:rsid w:val="00D55D47"/>
    <w:rsid w:val="00D56873"/>
    <w:rsid w:val="00D56A95"/>
    <w:rsid w:val="00D56AA9"/>
    <w:rsid w:val="00D56BB2"/>
    <w:rsid w:val="00D57260"/>
    <w:rsid w:val="00D57D71"/>
    <w:rsid w:val="00D605A8"/>
    <w:rsid w:val="00D6085A"/>
    <w:rsid w:val="00D611EE"/>
    <w:rsid w:val="00D616B7"/>
    <w:rsid w:val="00D61864"/>
    <w:rsid w:val="00D61D5F"/>
    <w:rsid w:val="00D6203B"/>
    <w:rsid w:val="00D621E2"/>
    <w:rsid w:val="00D6223A"/>
    <w:rsid w:val="00D623D1"/>
    <w:rsid w:val="00D627F9"/>
    <w:rsid w:val="00D62AAE"/>
    <w:rsid w:val="00D62B7F"/>
    <w:rsid w:val="00D62BD0"/>
    <w:rsid w:val="00D630F5"/>
    <w:rsid w:val="00D6386A"/>
    <w:rsid w:val="00D638CC"/>
    <w:rsid w:val="00D639BE"/>
    <w:rsid w:val="00D63B5B"/>
    <w:rsid w:val="00D6427A"/>
    <w:rsid w:val="00D642E2"/>
    <w:rsid w:val="00D64641"/>
    <w:rsid w:val="00D65006"/>
    <w:rsid w:val="00D6537F"/>
    <w:rsid w:val="00D66224"/>
    <w:rsid w:val="00D66AD5"/>
    <w:rsid w:val="00D66E26"/>
    <w:rsid w:val="00D66E54"/>
    <w:rsid w:val="00D674E1"/>
    <w:rsid w:val="00D6783E"/>
    <w:rsid w:val="00D67A3B"/>
    <w:rsid w:val="00D67A7C"/>
    <w:rsid w:val="00D67BC5"/>
    <w:rsid w:val="00D67C7A"/>
    <w:rsid w:val="00D67D42"/>
    <w:rsid w:val="00D67D6A"/>
    <w:rsid w:val="00D67D79"/>
    <w:rsid w:val="00D70072"/>
    <w:rsid w:val="00D70AEC"/>
    <w:rsid w:val="00D70F16"/>
    <w:rsid w:val="00D7111A"/>
    <w:rsid w:val="00D71741"/>
    <w:rsid w:val="00D71B5A"/>
    <w:rsid w:val="00D71BF5"/>
    <w:rsid w:val="00D71E50"/>
    <w:rsid w:val="00D72217"/>
    <w:rsid w:val="00D7221E"/>
    <w:rsid w:val="00D7240B"/>
    <w:rsid w:val="00D729CE"/>
    <w:rsid w:val="00D72E78"/>
    <w:rsid w:val="00D72F57"/>
    <w:rsid w:val="00D7359A"/>
    <w:rsid w:val="00D73722"/>
    <w:rsid w:val="00D74B56"/>
    <w:rsid w:val="00D74E3C"/>
    <w:rsid w:val="00D74E60"/>
    <w:rsid w:val="00D74F5A"/>
    <w:rsid w:val="00D75268"/>
    <w:rsid w:val="00D7546C"/>
    <w:rsid w:val="00D757CE"/>
    <w:rsid w:val="00D758B0"/>
    <w:rsid w:val="00D75BCB"/>
    <w:rsid w:val="00D7659F"/>
    <w:rsid w:val="00D7695F"/>
    <w:rsid w:val="00D769BE"/>
    <w:rsid w:val="00D76A44"/>
    <w:rsid w:val="00D76CB4"/>
    <w:rsid w:val="00D76DF4"/>
    <w:rsid w:val="00D76F73"/>
    <w:rsid w:val="00D774BC"/>
    <w:rsid w:val="00D775B0"/>
    <w:rsid w:val="00D77A35"/>
    <w:rsid w:val="00D77A79"/>
    <w:rsid w:val="00D77A85"/>
    <w:rsid w:val="00D77B42"/>
    <w:rsid w:val="00D800ED"/>
    <w:rsid w:val="00D8020C"/>
    <w:rsid w:val="00D8033F"/>
    <w:rsid w:val="00D80F6D"/>
    <w:rsid w:val="00D81340"/>
    <w:rsid w:val="00D815EF"/>
    <w:rsid w:val="00D81DA7"/>
    <w:rsid w:val="00D81EED"/>
    <w:rsid w:val="00D81F26"/>
    <w:rsid w:val="00D821B9"/>
    <w:rsid w:val="00D821C3"/>
    <w:rsid w:val="00D82693"/>
    <w:rsid w:val="00D8378C"/>
    <w:rsid w:val="00D837D1"/>
    <w:rsid w:val="00D84098"/>
    <w:rsid w:val="00D844B9"/>
    <w:rsid w:val="00D847CE"/>
    <w:rsid w:val="00D84A75"/>
    <w:rsid w:val="00D84AB3"/>
    <w:rsid w:val="00D84D7B"/>
    <w:rsid w:val="00D84EA4"/>
    <w:rsid w:val="00D84ED7"/>
    <w:rsid w:val="00D85129"/>
    <w:rsid w:val="00D8548A"/>
    <w:rsid w:val="00D85C3D"/>
    <w:rsid w:val="00D86231"/>
    <w:rsid w:val="00D86489"/>
    <w:rsid w:val="00D86AD0"/>
    <w:rsid w:val="00D86CDE"/>
    <w:rsid w:val="00D87263"/>
    <w:rsid w:val="00D8795A"/>
    <w:rsid w:val="00D8795C"/>
    <w:rsid w:val="00D87A28"/>
    <w:rsid w:val="00D87D90"/>
    <w:rsid w:val="00D90177"/>
    <w:rsid w:val="00D90785"/>
    <w:rsid w:val="00D90E2F"/>
    <w:rsid w:val="00D90E84"/>
    <w:rsid w:val="00D90F04"/>
    <w:rsid w:val="00D912B3"/>
    <w:rsid w:val="00D91427"/>
    <w:rsid w:val="00D91923"/>
    <w:rsid w:val="00D919E2"/>
    <w:rsid w:val="00D91AA8"/>
    <w:rsid w:val="00D91EDD"/>
    <w:rsid w:val="00D91F8C"/>
    <w:rsid w:val="00D9216A"/>
    <w:rsid w:val="00D932B7"/>
    <w:rsid w:val="00D93753"/>
    <w:rsid w:val="00D93A2D"/>
    <w:rsid w:val="00D93C00"/>
    <w:rsid w:val="00D93D24"/>
    <w:rsid w:val="00D93D6D"/>
    <w:rsid w:val="00D9421D"/>
    <w:rsid w:val="00D947DF"/>
    <w:rsid w:val="00D9493B"/>
    <w:rsid w:val="00D94C04"/>
    <w:rsid w:val="00D95105"/>
    <w:rsid w:val="00D95553"/>
    <w:rsid w:val="00D95A32"/>
    <w:rsid w:val="00D96361"/>
    <w:rsid w:val="00D9680E"/>
    <w:rsid w:val="00D96875"/>
    <w:rsid w:val="00D968CB"/>
    <w:rsid w:val="00D96B73"/>
    <w:rsid w:val="00D97127"/>
    <w:rsid w:val="00D97673"/>
    <w:rsid w:val="00D9777F"/>
    <w:rsid w:val="00D97EDD"/>
    <w:rsid w:val="00DA01A2"/>
    <w:rsid w:val="00DA0899"/>
    <w:rsid w:val="00DA0AF8"/>
    <w:rsid w:val="00DA0D65"/>
    <w:rsid w:val="00DA0FFB"/>
    <w:rsid w:val="00DA18B5"/>
    <w:rsid w:val="00DA20E5"/>
    <w:rsid w:val="00DA2135"/>
    <w:rsid w:val="00DA2505"/>
    <w:rsid w:val="00DA2A74"/>
    <w:rsid w:val="00DA3167"/>
    <w:rsid w:val="00DA318C"/>
    <w:rsid w:val="00DA31D1"/>
    <w:rsid w:val="00DA358C"/>
    <w:rsid w:val="00DA35EF"/>
    <w:rsid w:val="00DA3D58"/>
    <w:rsid w:val="00DA3F5D"/>
    <w:rsid w:val="00DA44C1"/>
    <w:rsid w:val="00DA45DE"/>
    <w:rsid w:val="00DA45F8"/>
    <w:rsid w:val="00DA4710"/>
    <w:rsid w:val="00DA47D6"/>
    <w:rsid w:val="00DA4BD1"/>
    <w:rsid w:val="00DA4DC3"/>
    <w:rsid w:val="00DA51C4"/>
    <w:rsid w:val="00DA5BEF"/>
    <w:rsid w:val="00DA5E0C"/>
    <w:rsid w:val="00DA5E21"/>
    <w:rsid w:val="00DA5EF5"/>
    <w:rsid w:val="00DA5F85"/>
    <w:rsid w:val="00DA5F92"/>
    <w:rsid w:val="00DA62C5"/>
    <w:rsid w:val="00DA6A5E"/>
    <w:rsid w:val="00DA6BC0"/>
    <w:rsid w:val="00DA6E1F"/>
    <w:rsid w:val="00DA7377"/>
    <w:rsid w:val="00DA73FA"/>
    <w:rsid w:val="00DA7531"/>
    <w:rsid w:val="00DA779C"/>
    <w:rsid w:val="00DA77A5"/>
    <w:rsid w:val="00DA7865"/>
    <w:rsid w:val="00DA7942"/>
    <w:rsid w:val="00DA7F76"/>
    <w:rsid w:val="00DB042A"/>
    <w:rsid w:val="00DB107D"/>
    <w:rsid w:val="00DB1182"/>
    <w:rsid w:val="00DB13FE"/>
    <w:rsid w:val="00DB16D8"/>
    <w:rsid w:val="00DB1760"/>
    <w:rsid w:val="00DB1E26"/>
    <w:rsid w:val="00DB2037"/>
    <w:rsid w:val="00DB2213"/>
    <w:rsid w:val="00DB259F"/>
    <w:rsid w:val="00DB2AF6"/>
    <w:rsid w:val="00DB2C6C"/>
    <w:rsid w:val="00DB2CDA"/>
    <w:rsid w:val="00DB2FAB"/>
    <w:rsid w:val="00DB379B"/>
    <w:rsid w:val="00DB3DBF"/>
    <w:rsid w:val="00DB3E16"/>
    <w:rsid w:val="00DB4273"/>
    <w:rsid w:val="00DB484F"/>
    <w:rsid w:val="00DB4BAD"/>
    <w:rsid w:val="00DB4E15"/>
    <w:rsid w:val="00DB54EF"/>
    <w:rsid w:val="00DB586F"/>
    <w:rsid w:val="00DB5ECA"/>
    <w:rsid w:val="00DB5EFA"/>
    <w:rsid w:val="00DB61A1"/>
    <w:rsid w:val="00DB62E3"/>
    <w:rsid w:val="00DB63C8"/>
    <w:rsid w:val="00DB675C"/>
    <w:rsid w:val="00DB6772"/>
    <w:rsid w:val="00DB6809"/>
    <w:rsid w:val="00DB6DDD"/>
    <w:rsid w:val="00DB6E7C"/>
    <w:rsid w:val="00DB7264"/>
    <w:rsid w:val="00DB7784"/>
    <w:rsid w:val="00DB78B0"/>
    <w:rsid w:val="00DB7F20"/>
    <w:rsid w:val="00DB7F30"/>
    <w:rsid w:val="00DC04F6"/>
    <w:rsid w:val="00DC0690"/>
    <w:rsid w:val="00DC08A3"/>
    <w:rsid w:val="00DC101F"/>
    <w:rsid w:val="00DC1459"/>
    <w:rsid w:val="00DC1A73"/>
    <w:rsid w:val="00DC1BAD"/>
    <w:rsid w:val="00DC1CF4"/>
    <w:rsid w:val="00DC1D65"/>
    <w:rsid w:val="00DC28B4"/>
    <w:rsid w:val="00DC2C3A"/>
    <w:rsid w:val="00DC2C55"/>
    <w:rsid w:val="00DC2D60"/>
    <w:rsid w:val="00DC3502"/>
    <w:rsid w:val="00DC3646"/>
    <w:rsid w:val="00DC3753"/>
    <w:rsid w:val="00DC3754"/>
    <w:rsid w:val="00DC3769"/>
    <w:rsid w:val="00DC3C57"/>
    <w:rsid w:val="00DC40A3"/>
    <w:rsid w:val="00DC4304"/>
    <w:rsid w:val="00DC4404"/>
    <w:rsid w:val="00DC471E"/>
    <w:rsid w:val="00DC489F"/>
    <w:rsid w:val="00DC492A"/>
    <w:rsid w:val="00DC4E7F"/>
    <w:rsid w:val="00DC4F97"/>
    <w:rsid w:val="00DC5019"/>
    <w:rsid w:val="00DC5198"/>
    <w:rsid w:val="00DC5440"/>
    <w:rsid w:val="00DC5501"/>
    <w:rsid w:val="00DC57D0"/>
    <w:rsid w:val="00DC62D3"/>
    <w:rsid w:val="00DC65D3"/>
    <w:rsid w:val="00DC6FFC"/>
    <w:rsid w:val="00DC7154"/>
    <w:rsid w:val="00DC731F"/>
    <w:rsid w:val="00DC77FB"/>
    <w:rsid w:val="00DC79E9"/>
    <w:rsid w:val="00DC7E8A"/>
    <w:rsid w:val="00DD01EB"/>
    <w:rsid w:val="00DD0DD4"/>
    <w:rsid w:val="00DD0F78"/>
    <w:rsid w:val="00DD100A"/>
    <w:rsid w:val="00DD10DB"/>
    <w:rsid w:val="00DD1538"/>
    <w:rsid w:val="00DD1DAF"/>
    <w:rsid w:val="00DD2337"/>
    <w:rsid w:val="00DD23AC"/>
    <w:rsid w:val="00DD2448"/>
    <w:rsid w:val="00DD273C"/>
    <w:rsid w:val="00DD2C32"/>
    <w:rsid w:val="00DD2F6B"/>
    <w:rsid w:val="00DD31B4"/>
    <w:rsid w:val="00DD3356"/>
    <w:rsid w:val="00DD39F2"/>
    <w:rsid w:val="00DD3AC3"/>
    <w:rsid w:val="00DD3F28"/>
    <w:rsid w:val="00DD401A"/>
    <w:rsid w:val="00DD4537"/>
    <w:rsid w:val="00DD4E15"/>
    <w:rsid w:val="00DD50E5"/>
    <w:rsid w:val="00DD5808"/>
    <w:rsid w:val="00DD5816"/>
    <w:rsid w:val="00DD5985"/>
    <w:rsid w:val="00DD6D34"/>
    <w:rsid w:val="00DD7110"/>
    <w:rsid w:val="00DD762F"/>
    <w:rsid w:val="00DD79B2"/>
    <w:rsid w:val="00DD7EAF"/>
    <w:rsid w:val="00DE0091"/>
    <w:rsid w:val="00DE0291"/>
    <w:rsid w:val="00DE069F"/>
    <w:rsid w:val="00DE06C9"/>
    <w:rsid w:val="00DE0AC1"/>
    <w:rsid w:val="00DE0B0D"/>
    <w:rsid w:val="00DE16FE"/>
    <w:rsid w:val="00DE1726"/>
    <w:rsid w:val="00DE19D7"/>
    <w:rsid w:val="00DE1C0F"/>
    <w:rsid w:val="00DE2304"/>
    <w:rsid w:val="00DE2742"/>
    <w:rsid w:val="00DE2E72"/>
    <w:rsid w:val="00DE3138"/>
    <w:rsid w:val="00DE37F8"/>
    <w:rsid w:val="00DE3BE2"/>
    <w:rsid w:val="00DE3C50"/>
    <w:rsid w:val="00DE3F77"/>
    <w:rsid w:val="00DE42CE"/>
    <w:rsid w:val="00DE43FB"/>
    <w:rsid w:val="00DE478C"/>
    <w:rsid w:val="00DE4961"/>
    <w:rsid w:val="00DE4C22"/>
    <w:rsid w:val="00DE4FCB"/>
    <w:rsid w:val="00DE5010"/>
    <w:rsid w:val="00DE5485"/>
    <w:rsid w:val="00DE5533"/>
    <w:rsid w:val="00DE5D07"/>
    <w:rsid w:val="00DE61E0"/>
    <w:rsid w:val="00DE657B"/>
    <w:rsid w:val="00DE6639"/>
    <w:rsid w:val="00DE6794"/>
    <w:rsid w:val="00DE6919"/>
    <w:rsid w:val="00DE6A1A"/>
    <w:rsid w:val="00DE6B22"/>
    <w:rsid w:val="00DE6C82"/>
    <w:rsid w:val="00DE72A7"/>
    <w:rsid w:val="00DE767C"/>
    <w:rsid w:val="00DE7832"/>
    <w:rsid w:val="00DE7969"/>
    <w:rsid w:val="00DE7CD8"/>
    <w:rsid w:val="00DE7DD4"/>
    <w:rsid w:val="00DF07BE"/>
    <w:rsid w:val="00DF0F72"/>
    <w:rsid w:val="00DF0F7C"/>
    <w:rsid w:val="00DF18FC"/>
    <w:rsid w:val="00DF21F8"/>
    <w:rsid w:val="00DF23DF"/>
    <w:rsid w:val="00DF2639"/>
    <w:rsid w:val="00DF2855"/>
    <w:rsid w:val="00DF2E05"/>
    <w:rsid w:val="00DF3742"/>
    <w:rsid w:val="00DF3AA1"/>
    <w:rsid w:val="00DF467C"/>
    <w:rsid w:val="00DF4B5F"/>
    <w:rsid w:val="00DF4F0F"/>
    <w:rsid w:val="00DF535D"/>
    <w:rsid w:val="00DF561C"/>
    <w:rsid w:val="00DF5D2B"/>
    <w:rsid w:val="00DF63D9"/>
    <w:rsid w:val="00DF6EEF"/>
    <w:rsid w:val="00DF778A"/>
    <w:rsid w:val="00DF783A"/>
    <w:rsid w:val="00DF7B70"/>
    <w:rsid w:val="00DF7EBA"/>
    <w:rsid w:val="00E0043A"/>
    <w:rsid w:val="00E00E8E"/>
    <w:rsid w:val="00E01EC5"/>
    <w:rsid w:val="00E02082"/>
    <w:rsid w:val="00E023E3"/>
    <w:rsid w:val="00E029E0"/>
    <w:rsid w:val="00E02A8C"/>
    <w:rsid w:val="00E02D53"/>
    <w:rsid w:val="00E02EF8"/>
    <w:rsid w:val="00E02FAE"/>
    <w:rsid w:val="00E03998"/>
    <w:rsid w:val="00E03F32"/>
    <w:rsid w:val="00E04039"/>
    <w:rsid w:val="00E0432D"/>
    <w:rsid w:val="00E04A57"/>
    <w:rsid w:val="00E04F2E"/>
    <w:rsid w:val="00E05479"/>
    <w:rsid w:val="00E0555B"/>
    <w:rsid w:val="00E05630"/>
    <w:rsid w:val="00E05A07"/>
    <w:rsid w:val="00E05D03"/>
    <w:rsid w:val="00E05DED"/>
    <w:rsid w:val="00E05F07"/>
    <w:rsid w:val="00E06126"/>
    <w:rsid w:val="00E06934"/>
    <w:rsid w:val="00E06D51"/>
    <w:rsid w:val="00E06DBB"/>
    <w:rsid w:val="00E07250"/>
    <w:rsid w:val="00E07B0F"/>
    <w:rsid w:val="00E10149"/>
    <w:rsid w:val="00E10256"/>
    <w:rsid w:val="00E10298"/>
    <w:rsid w:val="00E1030F"/>
    <w:rsid w:val="00E10808"/>
    <w:rsid w:val="00E111D0"/>
    <w:rsid w:val="00E11340"/>
    <w:rsid w:val="00E11C07"/>
    <w:rsid w:val="00E11E30"/>
    <w:rsid w:val="00E122A1"/>
    <w:rsid w:val="00E135D2"/>
    <w:rsid w:val="00E13D43"/>
    <w:rsid w:val="00E13F0E"/>
    <w:rsid w:val="00E13F29"/>
    <w:rsid w:val="00E14417"/>
    <w:rsid w:val="00E14783"/>
    <w:rsid w:val="00E14946"/>
    <w:rsid w:val="00E14D12"/>
    <w:rsid w:val="00E14F22"/>
    <w:rsid w:val="00E15157"/>
    <w:rsid w:val="00E15639"/>
    <w:rsid w:val="00E15978"/>
    <w:rsid w:val="00E16372"/>
    <w:rsid w:val="00E167AA"/>
    <w:rsid w:val="00E16C44"/>
    <w:rsid w:val="00E16CA9"/>
    <w:rsid w:val="00E16DC3"/>
    <w:rsid w:val="00E174DA"/>
    <w:rsid w:val="00E1763C"/>
    <w:rsid w:val="00E17AB1"/>
    <w:rsid w:val="00E20037"/>
    <w:rsid w:val="00E20324"/>
    <w:rsid w:val="00E2038B"/>
    <w:rsid w:val="00E2051B"/>
    <w:rsid w:val="00E209C3"/>
    <w:rsid w:val="00E20B5E"/>
    <w:rsid w:val="00E20E4D"/>
    <w:rsid w:val="00E20ED6"/>
    <w:rsid w:val="00E211F3"/>
    <w:rsid w:val="00E21358"/>
    <w:rsid w:val="00E2157B"/>
    <w:rsid w:val="00E220BD"/>
    <w:rsid w:val="00E2249B"/>
    <w:rsid w:val="00E226E2"/>
    <w:rsid w:val="00E22704"/>
    <w:rsid w:val="00E22A01"/>
    <w:rsid w:val="00E22A0D"/>
    <w:rsid w:val="00E236C4"/>
    <w:rsid w:val="00E23CD3"/>
    <w:rsid w:val="00E23EB2"/>
    <w:rsid w:val="00E2405B"/>
    <w:rsid w:val="00E24365"/>
    <w:rsid w:val="00E244F6"/>
    <w:rsid w:val="00E24B15"/>
    <w:rsid w:val="00E24F3E"/>
    <w:rsid w:val="00E250A0"/>
    <w:rsid w:val="00E25195"/>
    <w:rsid w:val="00E25280"/>
    <w:rsid w:val="00E252CA"/>
    <w:rsid w:val="00E25A25"/>
    <w:rsid w:val="00E25C54"/>
    <w:rsid w:val="00E25ECC"/>
    <w:rsid w:val="00E26889"/>
    <w:rsid w:val="00E26A7B"/>
    <w:rsid w:val="00E26C69"/>
    <w:rsid w:val="00E27488"/>
    <w:rsid w:val="00E2756D"/>
    <w:rsid w:val="00E275F6"/>
    <w:rsid w:val="00E2771E"/>
    <w:rsid w:val="00E278D4"/>
    <w:rsid w:val="00E27F03"/>
    <w:rsid w:val="00E302BB"/>
    <w:rsid w:val="00E30CD0"/>
    <w:rsid w:val="00E311EF"/>
    <w:rsid w:val="00E32180"/>
    <w:rsid w:val="00E32806"/>
    <w:rsid w:val="00E32B9C"/>
    <w:rsid w:val="00E32F75"/>
    <w:rsid w:val="00E330E9"/>
    <w:rsid w:val="00E3324E"/>
    <w:rsid w:val="00E33365"/>
    <w:rsid w:val="00E339E9"/>
    <w:rsid w:val="00E339FE"/>
    <w:rsid w:val="00E34426"/>
    <w:rsid w:val="00E34948"/>
    <w:rsid w:val="00E3586F"/>
    <w:rsid w:val="00E35C83"/>
    <w:rsid w:val="00E360B1"/>
    <w:rsid w:val="00E3655A"/>
    <w:rsid w:val="00E3691A"/>
    <w:rsid w:val="00E37569"/>
    <w:rsid w:val="00E3756E"/>
    <w:rsid w:val="00E378F4"/>
    <w:rsid w:val="00E379C3"/>
    <w:rsid w:val="00E401B2"/>
    <w:rsid w:val="00E40B11"/>
    <w:rsid w:val="00E40F57"/>
    <w:rsid w:val="00E41677"/>
    <w:rsid w:val="00E418B6"/>
    <w:rsid w:val="00E41B45"/>
    <w:rsid w:val="00E41DC0"/>
    <w:rsid w:val="00E41E19"/>
    <w:rsid w:val="00E41E30"/>
    <w:rsid w:val="00E41FCA"/>
    <w:rsid w:val="00E4211D"/>
    <w:rsid w:val="00E4256C"/>
    <w:rsid w:val="00E426D4"/>
    <w:rsid w:val="00E42CB5"/>
    <w:rsid w:val="00E42F40"/>
    <w:rsid w:val="00E42F73"/>
    <w:rsid w:val="00E432AB"/>
    <w:rsid w:val="00E439DF"/>
    <w:rsid w:val="00E43A7A"/>
    <w:rsid w:val="00E43B65"/>
    <w:rsid w:val="00E43D70"/>
    <w:rsid w:val="00E44384"/>
    <w:rsid w:val="00E4450A"/>
    <w:rsid w:val="00E453B7"/>
    <w:rsid w:val="00E45B38"/>
    <w:rsid w:val="00E45E16"/>
    <w:rsid w:val="00E466F3"/>
    <w:rsid w:val="00E46724"/>
    <w:rsid w:val="00E46E7D"/>
    <w:rsid w:val="00E4765B"/>
    <w:rsid w:val="00E47B2B"/>
    <w:rsid w:val="00E47B2C"/>
    <w:rsid w:val="00E47C47"/>
    <w:rsid w:val="00E5017A"/>
    <w:rsid w:val="00E50701"/>
    <w:rsid w:val="00E50E9C"/>
    <w:rsid w:val="00E50EEC"/>
    <w:rsid w:val="00E50F39"/>
    <w:rsid w:val="00E51560"/>
    <w:rsid w:val="00E51D76"/>
    <w:rsid w:val="00E523A9"/>
    <w:rsid w:val="00E52BD0"/>
    <w:rsid w:val="00E52DA7"/>
    <w:rsid w:val="00E53AC3"/>
    <w:rsid w:val="00E53FC8"/>
    <w:rsid w:val="00E541EB"/>
    <w:rsid w:val="00E542E6"/>
    <w:rsid w:val="00E54347"/>
    <w:rsid w:val="00E54AFF"/>
    <w:rsid w:val="00E54CEA"/>
    <w:rsid w:val="00E55164"/>
    <w:rsid w:val="00E55173"/>
    <w:rsid w:val="00E55231"/>
    <w:rsid w:val="00E553AE"/>
    <w:rsid w:val="00E55424"/>
    <w:rsid w:val="00E55443"/>
    <w:rsid w:val="00E55623"/>
    <w:rsid w:val="00E55915"/>
    <w:rsid w:val="00E55BB5"/>
    <w:rsid w:val="00E55CB4"/>
    <w:rsid w:val="00E55D18"/>
    <w:rsid w:val="00E56817"/>
    <w:rsid w:val="00E5710C"/>
    <w:rsid w:val="00E574A2"/>
    <w:rsid w:val="00E57554"/>
    <w:rsid w:val="00E57653"/>
    <w:rsid w:val="00E577BC"/>
    <w:rsid w:val="00E57B0B"/>
    <w:rsid w:val="00E57C6E"/>
    <w:rsid w:val="00E57EF1"/>
    <w:rsid w:val="00E57EF4"/>
    <w:rsid w:val="00E60381"/>
    <w:rsid w:val="00E60855"/>
    <w:rsid w:val="00E60A2E"/>
    <w:rsid w:val="00E60B69"/>
    <w:rsid w:val="00E60E90"/>
    <w:rsid w:val="00E616B0"/>
    <w:rsid w:val="00E617EA"/>
    <w:rsid w:val="00E61CDD"/>
    <w:rsid w:val="00E61CDE"/>
    <w:rsid w:val="00E61F7A"/>
    <w:rsid w:val="00E62DB5"/>
    <w:rsid w:val="00E6364D"/>
    <w:rsid w:val="00E6379F"/>
    <w:rsid w:val="00E63FA7"/>
    <w:rsid w:val="00E6531A"/>
    <w:rsid w:val="00E6566A"/>
    <w:rsid w:val="00E65E5E"/>
    <w:rsid w:val="00E65E79"/>
    <w:rsid w:val="00E664C8"/>
    <w:rsid w:val="00E668CE"/>
    <w:rsid w:val="00E66BA2"/>
    <w:rsid w:val="00E6705F"/>
    <w:rsid w:val="00E6729B"/>
    <w:rsid w:val="00E67416"/>
    <w:rsid w:val="00E67716"/>
    <w:rsid w:val="00E67A7D"/>
    <w:rsid w:val="00E67AD6"/>
    <w:rsid w:val="00E701A1"/>
    <w:rsid w:val="00E701BD"/>
    <w:rsid w:val="00E701BE"/>
    <w:rsid w:val="00E706E9"/>
    <w:rsid w:val="00E70945"/>
    <w:rsid w:val="00E70D66"/>
    <w:rsid w:val="00E71295"/>
    <w:rsid w:val="00E718B6"/>
    <w:rsid w:val="00E72225"/>
    <w:rsid w:val="00E723BA"/>
    <w:rsid w:val="00E724E9"/>
    <w:rsid w:val="00E7250C"/>
    <w:rsid w:val="00E72594"/>
    <w:rsid w:val="00E7283E"/>
    <w:rsid w:val="00E72851"/>
    <w:rsid w:val="00E72B44"/>
    <w:rsid w:val="00E72D2A"/>
    <w:rsid w:val="00E72F38"/>
    <w:rsid w:val="00E730D0"/>
    <w:rsid w:val="00E73581"/>
    <w:rsid w:val="00E73797"/>
    <w:rsid w:val="00E73B18"/>
    <w:rsid w:val="00E7406F"/>
    <w:rsid w:val="00E7439E"/>
    <w:rsid w:val="00E744DD"/>
    <w:rsid w:val="00E7450B"/>
    <w:rsid w:val="00E748E9"/>
    <w:rsid w:val="00E75EA5"/>
    <w:rsid w:val="00E75ECA"/>
    <w:rsid w:val="00E76C20"/>
    <w:rsid w:val="00E77366"/>
    <w:rsid w:val="00E7736C"/>
    <w:rsid w:val="00E7792E"/>
    <w:rsid w:val="00E77A4C"/>
    <w:rsid w:val="00E77B62"/>
    <w:rsid w:val="00E77CE0"/>
    <w:rsid w:val="00E80537"/>
    <w:rsid w:val="00E80593"/>
    <w:rsid w:val="00E805C3"/>
    <w:rsid w:val="00E811FB"/>
    <w:rsid w:val="00E814C7"/>
    <w:rsid w:val="00E814F4"/>
    <w:rsid w:val="00E8188E"/>
    <w:rsid w:val="00E81D24"/>
    <w:rsid w:val="00E81EAD"/>
    <w:rsid w:val="00E81F7A"/>
    <w:rsid w:val="00E8260B"/>
    <w:rsid w:val="00E82B7B"/>
    <w:rsid w:val="00E82E7B"/>
    <w:rsid w:val="00E82FC8"/>
    <w:rsid w:val="00E83070"/>
    <w:rsid w:val="00E833F7"/>
    <w:rsid w:val="00E839E4"/>
    <w:rsid w:val="00E83A6F"/>
    <w:rsid w:val="00E83BDF"/>
    <w:rsid w:val="00E84556"/>
    <w:rsid w:val="00E849BE"/>
    <w:rsid w:val="00E84A1C"/>
    <w:rsid w:val="00E84F6E"/>
    <w:rsid w:val="00E850AA"/>
    <w:rsid w:val="00E85509"/>
    <w:rsid w:val="00E85657"/>
    <w:rsid w:val="00E856D2"/>
    <w:rsid w:val="00E85817"/>
    <w:rsid w:val="00E85CF7"/>
    <w:rsid w:val="00E85DFB"/>
    <w:rsid w:val="00E86515"/>
    <w:rsid w:val="00E866CD"/>
    <w:rsid w:val="00E86C39"/>
    <w:rsid w:val="00E8747E"/>
    <w:rsid w:val="00E87551"/>
    <w:rsid w:val="00E875E2"/>
    <w:rsid w:val="00E876EE"/>
    <w:rsid w:val="00E87868"/>
    <w:rsid w:val="00E87A1A"/>
    <w:rsid w:val="00E87A1D"/>
    <w:rsid w:val="00E87AAA"/>
    <w:rsid w:val="00E90279"/>
    <w:rsid w:val="00E9094A"/>
    <w:rsid w:val="00E90DA0"/>
    <w:rsid w:val="00E90E35"/>
    <w:rsid w:val="00E912EA"/>
    <w:rsid w:val="00E91392"/>
    <w:rsid w:val="00E913A7"/>
    <w:rsid w:val="00E9145C"/>
    <w:rsid w:val="00E91733"/>
    <w:rsid w:val="00E91D35"/>
    <w:rsid w:val="00E926A5"/>
    <w:rsid w:val="00E9289C"/>
    <w:rsid w:val="00E92D1F"/>
    <w:rsid w:val="00E9379A"/>
    <w:rsid w:val="00E93B2D"/>
    <w:rsid w:val="00E93F32"/>
    <w:rsid w:val="00E94034"/>
    <w:rsid w:val="00E942FE"/>
    <w:rsid w:val="00E948F2"/>
    <w:rsid w:val="00E94A5A"/>
    <w:rsid w:val="00E94DFD"/>
    <w:rsid w:val="00E94F44"/>
    <w:rsid w:val="00E9543F"/>
    <w:rsid w:val="00E95896"/>
    <w:rsid w:val="00E9592A"/>
    <w:rsid w:val="00E95B6A"/>
    <w:rsid w:val="00E95DC6"/>
    <w:rsid w:val="00E95EB4"/>
    <w:rsid w:val="00E97049"/>
    <w:rsid w:val="00E97187"/>
    <w:rsid w:val="00E97626"/>
    <w:rsid w:val="00E97741"/>
    <w:rsid w:val="00E979C9"/>
    <w:rsid w:val="00EA03A6"/>
    <w:rsid w:val="00EA0CEA"/>
    <w:rsid w:val="00EA0D28"/>
    <w:rsid w:val="00EA1358"/>
    <w:rsid w:val="00EA1593"/>
    <w:rsid w:val="00EA16DD"/>
    <w:rsid w:val="00EA17C3"/>
    <w:rsid w:val="00EA17D8"/>
    <w:rsid w:val="00EA29F6"/>
    <w:rsid w:val="00EA2CAA"/>
    <w:rsid w:val="00EA2E02"/>
    <w:rsid w:val="00EA2FDD"/>
    <w:rsid w:val="00EA35AB"/>
    <w:rsid w:val="00EA3864"/>
    <w:rsid w:val="00EA3A6A"/>
    <w:rsid w:val="00EA3F30"/>
    <w:rsid w:val="00EA4556"/>
    <w:rsid w:val="00EA476B"/>
    <w:rsid w:val="00EA4CD4"/>
    <w:rsid w:val="00EA4E21"/>
    <w:rsid w:val="00EA4F9B"/>
    <w:rsid w:val="00EA58DA"/>
    <w:rsid w:val="00EA5A0F"/>
    <w:rsid w:val="00EA5AA8"/>
    <w:rsid w:val="00EA5B4A"/>
    <w:rsid w:val="00EA5D42"/>
    <w:rsid w:val="00EA5D53"/>
    <w:rsid w:val="00EA62D5"/>
    <w:rsid w:val="00EA6560"/>
    <w:rsid w:val="00EA6DB0"/>
    <w:rsid w:val="00EA7521"/>
    <w:rsid w:val="00EA7A1A"/>
    <w:rsid w:val="00EA7BF8"/>
    <w:rsid w:val="00EA7F1C"/>
    <w:rsid w:val="00EB05BC"/>
    <w:rsid w:val="00EB0799"/>
    <w:rsid w:val="00EB07E5"/>
    <w:rsid w:val="00EB15B6"/>
    <w:rsid w:val="00EB15F2"/>
    <w:rsid w:val="00EB170D"/>
    <w:rsid w:val="00EB183B"/>
    <w:rsid w:val="00EB18E6"/>
    <w:rsid w:val="00EB1A25"/>
    <w:rsid w:val="00EB1A68"/>
    <w:rsid w:val="00EB1B24"/>
    <w:rsid w:val="00EB206C"/>
    <w:rsid w:val="00EB22B7"/>
    <w:rsid w:val="00EB2717"/>
    <w:rsid w:val="00EB29B9"/>
    <w:rsid w:val="00EB29F3"/>
    <w:rsid w:val="00EB2B06"/>
    <w:rsid w:val="00EB2F21"/>
    <w:rsid w:val="00EB3778"/>
    <w:rsid w:val="00EB3D06"/>
    <w:rsid w:val="00EB3E01"/>
    <w:rsid w:val="00EB3F21"/>
    <w:rsid w:val="00EB4916"/>
    <w:rsid w:val="00EB49FF"/>
    <w:rsid w:val="00EB4C14"/>
    <w:rsid w:val="00EB4DE7"/>
    <w:rsid w:val="00EB577B"/>
    <w:rsid w:val="00EB57E9"/>
    <w:rsid w:val="00EB5DC0"/>
    <w:rsid w:val="00EB5E9F"/>
    <w:rsid w:val="00EB600C"/>
    <w:rsid w:val="00EB61C3"/>
    <w:rsid w:val="00EB6444"/>
    <w:rsid w:val="00EB6549"/>
    <w:rsid w:val="00EB6A70"/>
    <w:rsid w:val="00EB6DD7"/>
    <w:rsid w:val="00EB7563"/>
    <w:rsid w:val="00EB76FB"/>
    <w:rsid w:val="00EB780C"/>
    <w:rsid w:val="00EC00C9"/>
    <w:rsid w:val="00EC014E"/>
    <w:rsid w:val="00EC01B2"/>
    <w:rsid w:val="00EC024C"/>
    <w:rsid w:val="00EC046C"/>
    <w:rsid w:val="00EC0DD9"/>
    <w:rsid w:val="00EC0DF2"/>
    <w:rsid w:val="00EC13D2"/>
    <w:rsid w:val="00EC15C6"/>
    <w:rsid w:val="00EC1C12"/>
    <w:rsid w:val="00EC2393"/>
    <w:rsid w:val="00EC2649"/>
    <w:rsid w:val="00EC272D"/>
    <w:rsid w:val="00EC27AA"/>
    <w:rsid w:val="00EC281A"/>
    <w:rsid w:val="00EC2AFA"/>
    <w:rsid w:val="00EC31ED"/>
    <w:rsid w:val="00EC32E6"/>
    <w:rsid w:val="00EC3AF7"/>
    <w:rsid w:val="00EC44DD"/>
    <w:rsid w:val="00EC499A"/>
    <w:rsid w:val="00EC4AA7"/>
    <w:rsid w:val="00EC50DA"/>
    <w:rsid w:val="00EC5127"/>
    <w:rsid w:val="00EC5530"/>
    <w:rsid w:val="00EC57B3"/>
    <w:rsid w:val="00EC5836"/>
    <w:rsid w:val="00EC5BD9"/>
    <w:rsid w:val="00EC5D2E"/>
    <w:rsid w:val="00EC63D8"/>
    <w:rsid w:val="00EC6515"/>
    <w:rsid w:val="00EC65EC"/>
    <w:rsid w:val="00EC688C"/>
    <w:rsid w:val="00EC6985"/>
    <w:rsid w:val="00EC6D7D"/>
    <w:rsid w:val="00EC6DCF"/>
    <w:rsid w:val="00EC739B"/>
    <w:rsid w:val="00EC759E"/>
    <w:rsid w:val="00EC7EDE"/>
    <w:rsid w:val="00EC7FEB"/>
    <w:rsid w:val="00ED0050"/>
    <w:rsid w:val="00ED017F"/>
    <w:rsid w:val="00ED01E8"/>
    <w:rsid w:val="00ED061C"/>
    <w:rsid w:val="00ED06D6"/>
    <w:rsid w:val="00ED09EF"/>
    <w:rsid w:val="00ED0B11"/>
    <w:rsid w:val="00ED0D49"/>
    <w:rsid w:val="00ED16CA"/>
    <w:rsid w:val="00ED1930"/>
    <w:rsid w:val="00ED1A05"/>
    <w:rsid w:val="00ED2C60"/>
    <w:rsid w:val="00ED317E"/>
    <w:rsid w:val="00ED3666"/>
    <w:rsid w:val="00ED3980"/>
    <w:rsid w:val="00ED3B4E"/>
    <w:rsid w:val="00ED3C81"/>
    <w:rsid w:val="00ED41A3"/>
    <w:rsid w:val="00ED41D1"/>
    <w:rsid w:val="00ED44CF"/>
    <w:rsid w:val="00ED45B5"/>
    <w:rsid w:val="00ED49E6"/>
    <w:rsid w:val="00ED49F6"/>
    <w:rsid w:val="00ED5544"/>
    <w:rsid w:val="00ED57EA"/>
    <w:rsid w:val="00ED5BD4"/>
    <w:rsid w:val="00ED5CAA"/>
    <w:rsid w:val="00ED5D3F"/>
    <w:rsid w:val="00ED5E7E"/>
    <w:rsid w:val="00ED5FBD"/>
    <w:rsid w:val="00ED6465"/>
    <w:rsid w:val="00ED64CA"/>
    <w:rsid w:val="00ED6566"/>
    <w:rsid w:val="00ED6794"/>
    <w:rsid w:val="00ED68E3"/>
    <w:rsid w:val="00ED694B"/>
    <w:rsid w:val="00ED7299"/>
    <w:rsid w:val="00ED73AC"/>
    <w:rsid w:val="00EE022C"/>
    <w:rsid w:val="00EE0698"/>
    <w:rsid w:val="00EE07D3"/>
    <w:rsid w:val="00EE0C79"/>
    <w:rsid w:val="00EE0C81"/>
    <w:rsid w:val="00EE0D90"/>
    <w:rsid w:val="00EE13D4"/>
    <w:rsid w:val="00EE1996"/>
    <w:rsid w:val="00EE1A3A"/>
    <w:rsid w:val="00EE1B4C"/>
    <w:rsid w:val="00EE1C01"/>
    <w:rsid w:val="00EE22AF"/>
    <w:rsid w:val="00EE26E0"/>
    <w:rsid w:val="00EE2C16"/>
    <w:rsid w:val="00EE33A5"/>
    <w:rsid w:val="00EE3F9E"/>
    <w:rsid w:val="00EE410E"/>
    <w:rsid w:val="00EE4A95"/>
    <w:rsid w:val="00EE4B77"/>
    <w:rsid w:val="00EE4D42"/>
    <w:rsid w:val="00EE4FF2"/>
    <w:rsid w:val="00EE573B"/>
    <w:rsid w:val="00EE585D"/>
    <w:rsid w:val="00EE59E1"/>
    <w:rsid w:val="00EE5DDC"/>
    <w:rsid w:val="00EE658E"/>
    <w:rsid w:val="00EE6A6B"/>
    <w:rsid w:val="00EE6DE2"/>
    <w:rsid w:val="00EE70EB"/>
    <w:rsid w:val="00EE77F7"/>
    <w:rsid w:val="00EF012F"/>
    <w:rsid w:val="00EF0171"/>
    <w:rsid w:val="00EF0194"/>
    <w:rsid w:val="00EF03D7"/>
    <w:rsid w:val="00EF05F5"/>
    <w:rsid w:val="00EF0ECF"/>
    <w:rsid w:val="00EF119E"/>
    <w:rsid w:val="00EF154D"/>
    <w:rsid w:val="00EF176C"/>
    <w:rsid w:val="00EF1B25"/>
    <w:rsid w:val="00EF1DA0"/>
    <w:rsid w:val="00EF1E7B"/>
    <w:rsid w:val="00EF28FD"/>
    <w:rsid w:val="00EF2952"/>
    <w:rsid w:val="00EF2AD5"/>
    <w:rsid w:val="00EF2C76"/>
    <w:rsid w:val="00EF2C9F"/>
    <w:rsid w:val="00EF2D95"/>
    <w:rsid w:val="00EF31C6"/>
    <w:rsid w:val="00EF3421"/>
    <w:rsid w:val="00EF3B3A"/>
    <w:rsid w:val="00EF3BCD"/>
    <w:rsid w:val="00EF3DCB"/>
    <w:rsid w:val="00EF3E07"/>
    <w:rsid w:val="00EF4004"/>
    <w:rsid w:val="00EF4747"/>
    <w:rsid w:val="00EF47DD"/>
    <w:rsid w:val="00EF49A0"/>
    <w:rsid w:val="00EF4BF8"/>
    <w:rsid w:val="00EF4EF0"/>
    <w:rsid w:val="00EF51F7"/>
    <w:rsid w:val="00EF5214"/>
    <w:rsid w:val="00EF53C8"/>
    <w:rsid w:val="00EF55A5"/>
    <w:rsid w:val="00EF5624"/>
    <w:rsid w:val="00EF7051"/>
    <w:rsid w:val="00EF7380"/>
    <w:rsid w:val="00EF73EE"/>
    <w:rsid w:val="00EF75AA"/>
    <w:rsid w:val="00EF7849"/>
    <w:rsid w:val="00EF7943"/>
    <w:rsid w:val="00EF7F61"/>
    <w:rsid w:val="00F00780"/>
    <w:rsid w:val="00F0112F"/>
    <w:rsid w:val="00F01A74"/>
    <w:rsid w:val="00F01BAE"/>
    <w:rsid w:val="00F01E65"/>
    <w:rsid w:val="00F01ED5"/>
    <w:rsid w:val="00F02253"/>
    <w:rsid w:val="00F030DC"/>
    <w:rsid w:val="00F0387B"/>
    <w:rsid w:val="00F03C2E"/>
    <w:rsid w:val="00F03CD5"/>
    <w:rsid w:val="00F04064"/>
    <w:rsid w:val="00F04215"/>
    <w:rsid w:val="00F04A66"/>
    <w:rsid w:val="00F04B4B"/>
    <w:rsid w:val="00F04E1B"/>
    <w:rsid w:val="00F04FAE"/>
    <w:rsid w:val="00F0516C"/>
    <w:rsid w:val="00F053F5"/>
    <w:rsid w:val="00F053FC"/>
    <w:rsid w:val="00F05CCD"/>
    <w:rsid w:val="00F05CDF"/>
    <w:rsid w:val="00F05DC7"/>
    <w:rsid w:val="00F067A2"/>
    <w:rsid w:val="00F06856"/>
    <w:rsid w:val="00F06C98"/>
    <w:rsid w:val="00F07352"/>
    <w:rsid w:val="00F07495"/>
    <w:rsid w:val="00F0760C"/>
    <w:rsid w:val="00F0770C"/>
    <w:rsid w:val="00F07B9E"/>
    <w:rsid w:val="00F07C51"/>
    <w:rsid w:val="00F07DA6"/>
    <w:rsid w:val="00F07E53"/>
    <w:rsid w:val="00F07FE4"/>
    <w:rsid w:val="00F101A5"/>
    <w:rsid w:val="00F1048F"/>
    <w:rsid w:val="00F10621"/>
    <w:rsid w:val="00F1116F"/>
    <w:rsid w:val="00F113F9"/>
    <w:rsid w:val="00F11854"/>
    <w:rsid w:val="00F1185C"/>
    <w:rsid w:val="00F11926"/>
    <w:rsid w:val="00F11A68"/>
    <w:rsid w:val="00F11DDE"/>
    <w:rsid w:val="00F125DF"/>
    <w:rsid w:val="00F1263A"/>
    <w:rsid w:val="00F129AF"/>
    <w:rsid w:val="00F12CFF"/>
    <w:rsid w:val="00F132A6"/>
    <w:rsid w:val="00F13A3F"/>
    <w:rsid w:val="00F143AA"/>
    <w:rsid w:val="00F148E1"/>
    <w:rsid w:val="00F149DF"/>
    <w:rsid w:val="00F14A93"/>
    <w:rsid w:val="00F151D2"/>
    <w:rsid w:val="00F1527C"/>
    <w:rsid w:val="00F15380"/>
    <w:rsid w:val="00F15B77"/>
    <w:rsid w:val="00F15F28"/>
    <w:rsid w:val="00F1613C"/>
    <w:rsid w:val="00F16148"/>
    <w:rsid w:val="00F16840"/>
    <w:rsid w:val="00F16C79"/>
    <w:rsid w:val="00F173EF"/>
    <w:rsid w:val="00F1759D"/>
    <w:rsid w:val="00F1793E"/>
    <w:rsid w:val="00F17A56"/>
    <w:rsid w:val="00F17A8C"/>
    <w:rsid w:val="00F17BFF"/>
    <w:rsid w:val="00F17D1F"/>
    <w:rsid w:val="00F2027B"/>
    <w:rsid w:val="00F20797"/>
    <w:rsid w:val="00F20A29"/>
    <w:rsid w:val="00F20B7D"/>
    <w:rsid w:val="00F20E9D"/>
    <w:rsid w:val="00F21249"/>
    <w:rsid w:val="00F21408"/>
    <w:rsid w:val="00F214D4"/>
    <w:rsid w:val="00F21829"/>
    <w:rsid w:val="00F21D3D"/>
    <w:rsid w:val="00F22685"/>
    <w:rsid w:val="00F22C90"/>
    <w:rsid w:val="00F22E39"/>
    <w:rsid w:val="00F241AA"/>
    <w:rsid w:val="00F241B2"/>
    <w:rsid w:val="00F24521"/>
    <w:rsid w:val="00F24735"/>
    <w:rsid w:val="00F24778"/>
    <w:rsid w:val="00F24837"/>
    <w:rsid w:val="00F24B58"/>
    <w:rsid w:val="00F24D9B"/>
    <w:rsid w:val="00F24DAF"/>
    <w:rsid w:val="00F25572"/>
    <w:rsid w:val="00F2575F"/>
    <w:rsid w:val="00F258F6"/>
    <w:rsid w:val="00F25A35"/>
    <w:rsid w:val="00F25C4B"/>
    <w:rsid w:val="00F26215"/>
    <w:rsid w:val="00F26436"/>
    <w:rsid w:val="00F26515"/>
    <w:rsid w:val="00F267B1"/>
    <w:rsid w:val="00F26A7D"/>
    <w:rsid w:val="00F26CBB"/>
    <w:rsid w:val="00F26DED"/>
    <w:rsid w:val="00F26E63"/>
    <w:rsid w:val="00F27139"/>
    <w:rsid w:val="00F2721B"/>
    <w:rsid w:val="00F2728C"/>
    <w:rsid w:val="00F27457"/>
    <w:rsid w:val="00F27565"/>
    <w:rsid w:val="00F276A1"/>
    <w:rsid w:val="00F305D7"/>
    <w:rsid w:val="00F310D4"/>
    <w:rsid w:val="00F3120E"/>
    <w:rsid w:val="00F31386"/>
    <w:rsid w:val="00F314C2"/>
    <w:rsid w:val="00F31D5A"/>
    <w:rsid w:val="00F31F52"/>
    <w:rsid w:val="00F3271E"/>
    <w:rsid w:val="00F32DE6"/>
    <w:rsid w:val="00F32FEB"/>
    <w:rsid w:val="00F333BA"/>
    <w:rsid w:val="00F33457"/>
    <w:rsid w:val="00F33975"/>
    <w:rsid w:val="00F33DDA"/>
    <w:rsid w:val="00F33DE9"/>
    <w:rsid w:val="00F33EBB"/>
    <w:rsid w:val="00F34B1D"/>
    <w:rsid w:val="00F34CED"/>
    <w:rsid w:val="00F35007"/>
    <w:rsid w:val="00F35092"/>
    <w:rsid w:val="00F35D17"/>
    <w:rsid w:val="00F35E6D"/>
    <w:rsid w:val="00F35F1A"/>
    <w:rsid w:val="00F36158"/>
    <w:rsid w:val="00F3619A"/>
    <w:rsid w:val="00F36B82"/>
    <w:rsid w:val="00F36C30"/>
    <w:rsid w:val="00F36CC1"/>
    <w:rsid w:val="00F37376"/>
    <w:rsid w:val="00F37615"/>
    <w:rsid w:val="00F3770F"/>
    <w:rsid w:val="00F37F8F"/>
    <w:rsid w:val="00F4020B"/>
    <w:rsid w:val="00F40792"/>
    <w:rsid w:val="00F407D2"/>
    <w:rsid w:val="00F40AAA"/>
    <w:rsid w:val="00F40BA7"/>
    <w:rsid w:val="00F40DBB"/>
    <w:rsid w:val="00F40F9D"/>
    <w:rsid w:val="00F4181B"/>
    <w:rsid w:val="00F41A4F"/>
    <w:rsid w:val="00F41ACD"/>
    <w:rsid w:val="00F41DB5"/>
    <w:rsid w:val="00F42454"/>
    <w:rsid w:val="00F4280F"/>
    <w:rsid w:val="00F4293D"/>
    <w:rsid w:val="00F429E7"/>
    <w:rsid w:val="00F43014"/>
    <w:rsid w:val="00F43121"/>
    <w:rsid w:val="00F4369E"/>
    <w:rsid w:val="00F43C2E"/>
    <w:rsid w:val="00F43E00"/>
    <w:rsid w:val="00F44805"/>
    <w:rsid w:val="00F4501E"/>
    <w:rsid w:val="00F450BC"/>
    <w:rsid w:val="00F451EA"/>
    <w:rsid w:val="00F45425"/>
    <w:rsid w:val="00F45B9C"/>
    <w:rsid w:val="00F4632F"/>
    <w:rsid w:val="00F46B53"/>
    <w:rsid w:val="00F46CB6"/>
    <w:rsid w:val="00F46D09"/>
    <w:rsid w:val="00F46D36"/>
    <w:rsid w:val="00F4756D"/>
    <w:rsid w:val="00F476EB"/>
    <w:rsid w:val="00F47C6F"/>
    <w:rsid w:val="00F47DE8"/>
    <w:rsid w:val="00F47F4A"/>
    <w:rsid w:val="00F507B1"/>
    <w:rsid w:val="00F507BF"/>
    <w:rsid w:val="00F508AA"/>
    <w:rsid w:val="00F50AFC"/>
    <w:rsid w:val="00F50DFF"/>
    <w:rsid w:val="00F50E3C"/>
    <w:rsid w:val="00F51107"/>
    <w:rsid w:val="00F51641"/>
    <w:rsid w:val="00F5175B"/>
    <w:rsid w:val="00F517AB"/>
    <w:rsid w:val="00F51B59"/>
    <w:rsid w:val="00F51E1E"/>
    <w:rsid w:val="00F52074"/>
    <w:rsid w:val="00F525D3"/>
    <w:rsid w:val="00F53005"/>
    <w:rsid w:val="00F5324E"/>
    <w:rsid w:val="00F5395A"/>
    <w:rsid w:val="00F539FA"/>
    <w:rsid w:val="00F54064"/>
    <w:rsid w:val="00F542C1"/>
    <w:rsid w:val="00F54593"/>
    <w:rsid w:val="00F54A93"/>
    <w:rsid w:val="00F54DC8"/>
    <w:rsid w:val="00F54F79"/>
    <w:rsid w:val="00F54FB6"/>
    <w:rsid w:val="00F55554"/>
    <w:rsid w:val="00F557DB"/>
    <w:rsid w:val="00F55E73"/>
    <w:rsid w:val="00F55EDA"/>
    <w:rsid w:val="00F5610C"/>
    <w:rsid w:val="00F56434"/>
    <w:rsid w:val="00F564C5"/>
    <w:rsid w:val="00F56C80"/>
    <w:rsid w:val="00F572A0"/>
    <w:rsid w:val="00F575C8"/>
    <w:rsid w:val="00F57B63"/>
    <w:rsid w:val="00F57E16"/>
    <w:rsid w:val="00F60092"/>
    <w:rsid w:val="00F6078B"/>
    <w:rsid w:val="00F60E74"/>
    <w:rsid w:val="00F61029"/>
    <w:rsid w:val="00F6180A"/>
    <w:rsid w:val="00F61C18"/>
    <w:rsid w:val="00F61DD7"/>
    <w:rsid w:val="00F61DD8"/>
    <w:rsid w:val="00F6258C"/>
    <w:rsid w:val="00F625F9"/>
    <w:rsid w:val="00F62D63"/>
    <w:rsid w:val="00F62F42"/>
    <w:rsid w:val="00F63B31"/>
    <w:rsid w:val="00F63C50"/>
    <w:rsid w:val="00F64487"/>
    <w:rsid w:val="00F6477C"/>
    <w:rsid w:val="00F64A60"/>
    <w:rsid w:val="00F65658"/>
    <w:rsid w:val="00F65A31"/>
    <w:rsid w:val="00F65BFA"/>
    <w:rsid w:val="00F65F4B"/>
    <w:rsid w:val="00F65FAD"/>
    <w:rsid w:val="00F6621D"/>
    <w:rsid w:val="00F662FC"/>
    <w:rsid w:val="00F6634D"/>
    <w:rsid w:val="00F6645E"/>
    <w:rsid w:val="00F67815"/>
    <w:rsid w:val="00F6790D"/>
    <w:rsid w:val="00F67A69"/>
    <w:rsid w:val="00F67FE7"/>
    <w:rsid w:val="00F703FF"/>
    <w:rsid w:val="00F70BFF"/>
    <w:rsid w:val="00F70C9D"/>
    <w:rsid w:val="00F71163"/>
    <w:rsid w:val="00F71D12"/>
    <w:rsid w:val="00F71F97"/>
    <w:rsid w:val="00F723F9"/>
    <w:rsid w:val="00F7268B"/>
    <w:rsid w:val="00F728FE"/>
    <w:rsid w:val="00F72BBC"/>
    <w:rsid w:val="00F72EBA"/>
    <w:rsid w:val="00F72FB3"/>
    <w:rsid w:val="00F73000"/>
    <w:rsid w:val="00F730E8"/>
    <w:rsid w:val="00F73583"/>
    <w:rsid w:val="00F73A68"/>
    <w:rsid w:val="00F74BD8"/>
    <w:rsid w:val="00F74CD9"/>
    <w:rsid w:val="00F756F8"/>
    <w:rsid w:val="00F75792"/>
    <w:rsid w:val="00F758C9"/>
    <w:rsid w:val="00F75D42"/>
    <w:rsid w:val="00F766F0"/>
    <w:rsid w:val="00F7688D"/>
    <w:rsid w:val="00F76993"/>
    <w:rsid w:val="00F770C0"/>
    <w:rsid w:val="00F8076B"/>
    <w:rsid w:val="00F807A7"/>
    <w:rsid w:val="00F80A35"/>
    <w:rsid w:val="00F80A7B"/>
    <w:rsid w:val="00F80C54"/>
    <w:rsid w:val="00F80E5D"/>
    <w:rsid w:val="00F80FE7"/>
    <w:rsid w:val="00F8109A"/>
    <w:rsid w:val="00F817B5"/>
    <w:rsid w:val="00F817CA"/>
    <w:rsid w:val="00F81A6F"/>
    <w:rsid w:val="00F81D5E"/>
    <w:rsid w:val="00F81E78"/>
    <w:rsid w:val="00F8231F"/>
    <w:rsid w:val="00F82D68"/>
    <w:rsid w:val="00F8361C"/>
    <w:rsid w:val="00F839D0"/>
    <w:rsid w:val="00F843E9"/>
    <w:rsid w:val="00F84F7F"/>
    <w:rsid w:val="00F851CE"/>
    <w:rsid w:val="00F855D3"/>
    <w:rsid w:val="00F8569B"/>
    <w:rsid w:val="00F857DC"/>
    <w:rsid w:val="00F85908"/>
    <w:rsid w:val="00F85DE1"/>
    <w:rsid w:val="00F86F71"/>
    <w:rsid w:val="00F8700E"/>
    <w:rsid w:val="00F872A4"/>
    <w:rsid w:val="00F87539"/>
    <w:rsid w:val="00F876B2"/>
    <w:rsid w:val="00F876E1"/>
    <w:rsid w:val="00F87F12"/>
    <w:rsid w:val="00F90147"/>
    <w:rsid w:val="00F90840"/>
    <w:rsid w:val="00F90C15"/>
    <w:rsid w:val="00F91185"/>
    <w:rsid w:val="00F91208"/>
    <w:rsid w:val="00F91219"/>
    <w:rsid w:val="00F915CA"/>
    <w:rsid w:val="00F91AEA"/>
    <w:rsid w:val="00F92444"/>
    <w:rsid w:val="00F92487"/>
    <w:rsid w:val="00F925BE"/>
    <w:rsid w:val="00F92893"/>
    <w:rsid w:val="00F9295A"/>
    <w:rsid w:val="00F92BE1"/>
    <w:rsid w:val="00F92F78"/>
    <w:rsid w:val="00F9363A"/>
    <w:rsid w:val="00F9393E"/>
    <w:rsid w:val="00F93B4D"/>
    <w:rsid w:val="00F93DA7"/>
    <w:rsid w:val="00F93EAC"/>
    <w:rsid w:val="00F9404A"/>
    <w:rsid w:val="00F9457D"/>
    <w:rsid w:val="00F9464E"/>
    <w:rsid w:val="00F94A00"/>
    <w:rsid w:val="00F94EC8"/>
    <w:rsid w:val="00F951EB"/>
    <w:rsid w:val="00F958A8"/>
    <w:rsid w:val="00F95B2C"/>
    <w:rsid w:val="00F95ECE"/>
    <w:rsid w:val="00F96460"/>
    <w:rsid w:val="00F967E7"/>
    <w:rsid w:val="00F96C0B"/>
    <w:rsid w:val="00F96D29"/>
    <w:rsid w:val="00F96FD0"/>
    <w:rsid w:val="00F970FC"/>
    <w:rsid w:val="00F97103"/>
    <w:rsid w:val="00F97126"/>
    <w:rsid w:val="00F97A23"/>
    <w:rsid w:val="00F97A78"/>
    <w:rsid w:val="00FA0157"/>
    <w:rsid w:val="00FA0698"/>
    <w:rsid w:val="00FA0B20"/>
    <w:rsid w:val="00FA0B38"/>
    <w:rsid w:val="00FA1D96"/>
    <w:rsid w:val="00FA24E7"/>
    <w:rsid w:val="00FA2900"/>
    <w:rsid w:val="00FA2E69"/>
    <w:rsid w:val="00FA34BD"/>
    <w:rsid w:val="00FA4099"/>
    <w:rsid w:val="00FA40D8"/>
    <w:rsid w:val="00FA48EF"/>
    <w:rsid w:val="00FA5100"/>
    <w:rsid w:val="00FA5EE6"/>
    <w:rsid w:val="00FA6578"/>
    <w:rsid w:val="00FA677C"/>
    <w:rsid w:val="00FA6AEB"/>
    <w:rsid w:val="00FA6D02"/>
    <w:rsid w:val="00FA6EB7"/>
    <w:rsid w:val="00FA71A5"/>
    <w:rsid w:val="00FA74B3"/>
    <w:rsid w:val="00FA78CE"/>
    <w:rsid w:val="00FA7956"/>
    <w:rsid w:val="00FA7A17"/>
    <w:rsid w:val="00FA7A6E"/>
    <w:rsid w:val="00FA7B7D"/>
    <w:rsid w:val="00FA7CDC"/>
    <w:rsid w:val="00FA7E78"/>
    <w:rsid w:val="00FB01F5"/>
    <w:rsid w:val="00FB0309"/>
    <w:rsid w:val="00FB074A"/>
    <w:rsid w:val="00FB0A6B"/>
    <w:rsid w:val="00FB0C8B"/>
    <w:rsid w:val="00FB0F4A"/>
    <w:rsid w:val="00FB1B8A"/>
    <w:rsid w:val="00FB1DCC"/>
    <w:rsid w:val="00FB251B"/>
    <w:rsid w:val="00FB2590"/>
    <w:rsid w:val="00FB29D0"/>
    <w:rsid w:val="00FB2A22"/>
    <w:rsid w:val="00FB2FCB"/>
    <w:rsid w:val="00FB354E"/>
    <w:rsid w:val="00FB355D"/>
    <w:rsid w:val="00FB389D"/>
    <w:rsid w:val="00FB392A"/>
    <w:rsid w:val="00FB3E22"/>
    <w:rsid w:val="00FB3E41"/>
    <w:rsid w:val="00FB4119"/>
    <w:rsid w:val="00FB467F"/>
    <w:rsid w:val="00FB4C83"/>
    <w:rsid w:val="00FB4CB5"/>
    <w:rsid w:val="00FB4D1E"/>
    <w:rsid w:val="00FB591C"/>
    <w:rsid w:val="00FB5B59"/>
    <w:rsid w:val="00FB5BC4"/>
    <w:rsid w:val="00FB60A3"/>
    <w:rsid w:val="00FB60D3"/>
    <w:rsid w:val="00FB6150"/>
    <w:rsid w:val="00FB62D7"/>
    <w:rsid w:val="00FB6925"/>
    <w:rsid w:val="00FB6F72"/>
    <w:rsid w:val="00FB702A"/>
    <w:rsid w:val="00FB7136"/>
    <w:rsid w:val="00FB7477"/>
    <w:rsid w:val="00FB77F9"/>
    <w:rsid w:val="00FB7B1C"/>
    <w:rsid w:val="00FB7B88"/>
    <w:rsid w:val="00FB7BE3"/>
    <w:rsid w:val="00FB7C55"/>
    <w:rsid w:val="00FC0236"/>
    <w:rsid w:val="00FC0653"/>
    <w:rsid w:val="00FC065F"/>
    <w:rsid w:val="00FC084E"/>
    <w:rsid w:val="00FC0A2D"/>
    <w:rsid w:val="00FC0E5C"/>
    <w:rsid w:val="00FC1074"/>
    <w:rsid w:val="00FC166E"/>
    <w:rsid w:val="00FC1884"/>
    <w:rsid w:val="00FC1D0B"/>
    <w:rsid w:val="00FC1F0E"/>
    <w:rsid w:val="00FC2113"/>
    <w:rsid w:val="00FC2134"/>
    <w:rsid w:val="00FC21AB"/>
    <w:rsid w:val="00FC281B"/>
    <w:rsid w:val="00FC283B"/>
    <w:rsid w:val="00FC2A20"/>
    <w:rsid w:val="00FC3428"/>
    <w:rsid w:val="00FC3456"/>
    <w:rsid w:val="00FC3491"/>
    <w:rsid w:val="00FC371D"/>
    <w:rsid w:val="00FC378C"/>
    <w:rsid w:val="00FC37DF"/>
    <w:rsid w:val="00FC3AC8"/>
    <w:rsid w:val="00FC3F3D"/>
    <w:rsid w:val="00FC4197"/>
    <w:rsid w:val="00FC426C"/>
    <w:rsid w:val="00FC43F9"/>
    <w:rsid w:val="00FC4CAE"/>
    <w:rsid w:val="00FC53C6"/>
    <w:rsid w:val="00FC5553"/>
    <w:rsid w:val="00FC57A6"/>
    <w:rsid w:val="00FC5818"/>
    <w:rsid w:val="00FC5F0B"/>
    <w:rsid w:val="00FC6258"/>
    <w:rsid w:val="00FC789F"/>
    <w:rsid w:val="00FD041B"/>
    <w:rsid w:val="00FD06B1"/>
    <w:rsid w:val="00FD0709"/>
    <w:rsid w:val="00FD0804"/>
    <w:rsid w:val="00FD147F"/>
    <w:rsid w:val="00FD14BC"/>
    <w:rsid w:val="00FD15E4"/>
    <w:rsid w:val="00FD17A4"/>
    <w:rsid w:val="00FD18F7"/>
    <w:rsid w:val="00FD1B71"/>
    <w:rsid w:val="00FD1BD9"/>
    <w:rsid w:val="00FD2100"/>
    <w:rsid w:val="00FD2B9A"/>
    <w:rsid w:val="00FD2C59"/>
    <w:rsid w:val="00FD2E62"/>
    <w:rsid w:val="00FD2F38"/>
    <w:rsid w:val="00FD300B"/>
    <w:rsid w:val="00FD31F6"/>
    <w:rsid w:val="00FD320B"/>
    <w:rsid w:val="00FD347B"/>
    <w:rsid w:val="00FD3623"/>
    <w:rsid w:val="00FD3EBB"/>
    <w:rsid w:val="00FD421B"/>
    <w:rsid w:val="00FD436C"/>
    <w:rsid w:val="00FD446D"/>
    <w:rsid w:val="00FD4594"/>
    <w:rsid w:val="00FD4616"/>
    <w:rsid w:val="00FD47A4"/>
    <w:rsid w:val="00FD4B99"/>
    <w:rsid w:val="00FD4C80"/>
    <w:rsid w:val="00FD4E4F"/>
    <w:rsid w:val="00FD4F2C"/>
    <w:rsid w:val="00FD5056"/>
    <w:rsid w:val="00FD5572"/>
    <w:rsid w:val="00FD58B7"/>
    <w:rsid w:val="00FD6394"/>
    <w:rsid w:val="00FD63F2"/>
    <w:rsid w:val="00FD68AE"/>
    <w:rsid w:val="00FD68D7"/>
    <w:rsid w:val="00FD6EA9"/>
    <w:rsid w:val="00FD79EB"/>
    <w:rsid w:val="00FE0016"/>
    <w:rsid w:val="00FE0575"/>
    <w:rsid w:val="00FE0CCD"/>
    <w:rsid w:val="00FE0E6C"/>
    <w:rsid w:val="00FE0E8D"/>
    <w:rsid w:val="00FE0F3F"/>
    <w:rsid w:val="00FE1214"/>
    <w:rsid w:val="00FE1CDC"/>
    <w:rsid w:val="00FE1E4E"/>
    <w:rsid w:val="00FE1E99"/>
    <w:rsid w:val="00FE1F65"/>
    <w:rsid w:val="00FE2241"/>
    <w:rsid w:val="00FE2C2B"/>
    <w:rsid w:val="00FE3704"/>
    <w:rsid w:val="00FE396B"/>
    <w:rsid w:val="00FE3A14"/>
    <w:rsid w:val="00FE46A6"/>
    <w:rsid w:val="00FE4963"/>
    <w:rsid w:val="00FE4DC1"/>
    <w:rsid w:val="00FE4F71"/>
    <w:rsid w:val="00FE5265"/>
    <w:rsid w:val="00FE5906"/>
    <w:rsid w:val="00FE6965"/>
    <w:rsid w:val="00FE6B21"/>
    <w:rsid w:val="00FE6E2A"/>
    <w:rsid w:val="00FE70C3"/>
    <w:rsid w:val="00FE71D5"/>
    <w:rsid w:val="00FE72D3"/>
    <w:rsid w:val="00FF01F3"/>
    <w:rsid w:val="00FF04A8"/>
    <w:rsid w:val="00FF0584"/>
    <w:rsid w:val="00FF0B55"/>
    <w:rsid w:val="00FF0BA5"/>
    <w:rsid w:val="00FF11DA"/>
    <w:rsid w:val="00FF2241"/>
    <w:rsid w:val="00FF275E"/>
    <w:rsid w:val="00FF2AD9"/>
    <w:rsid w:val="00FF321C"/>
    <w:rsid w:val="00FF359F"/>
    <w:rsid w:val="00FF388E"/>
    <w:rsid w:val="00FF38D2"/>
    <w:rsid w:val="00FF3DCF"/>
    <w:rsid w:val="00FF3E3D"/>
    <w:rsid w:val="00FF3F54"/>
    <w:rsid w:val="00FF4206"/>
    <w:rsid w:val="00FF460B"/>
    <w:rsid w:val="00FF462B"/>
    <w:rsid w:val="00FF492C"/>
    <w:rsid w:val="00FF4A21"/>
    <w:rsid w:val="00FF4B0D"/>
    <w:rsid w:val="00FF4BE8"/>
    <w:rsid w:val="00FF51ED"/>
    <w:rsid w:val="00FF5A2F"/>
    <w:rsid w:val="00FF5AA3"/>
    <w:rsid w:val="00FF5AD8"/>
    <w:rsid w:val="00FF5D07"/>
    <w:rsid w:val="00FF5D69"/>
    <w:rsid w:val="00FF5DFE"/>
    <w:rsid w:val="00FF6040"/>
    <w:rsid w:val="00FF6A62"/>
    <w:rsid w:val="00FF6AEC"/>
    <w:rsid w:val="00FF6D54"/>
    <w:rsid w:val="00FF6DA7"/>
    <w:rsid w:val="00FF71B3"/>
    <w:rsid w:val="00FF7D48"/>
    <w:rsid w:val="0D608629"/>
    <w:rsid w:val="1124F6EE"/>
    <w:rsid w:val="12BF8B9B"/>
    <w:rsid w:val="1359EB02"/>
    <w:rsid w:val="14142467"/>
    <w:rsid w:val="1AD0A366"/>
    <w:rsid w:val="2150F062"/>
    <w:rsid w:val="2848E5CD"/>
    <w:rsid w:val="2879B132"/>
    <w:rsid w:val="29ABBD5F"/>
    <w:rsid w:val="2DB23561"/>
    <w:rsid w:val="36B760EC"/>
    <w:rsid w:val="37859BDE"/>
    <w:rsid w:val="416FC95E"/>
    <w:rsid w:val="4359DCF4"/>
    <w:rsid w:val="54680744"/>
    <w:rsid w:val="5FB429C6"/>
    <w:rsid w:val="63F3ADFA"/>
    <w:rsid w:val="6EF78F4F"/>
    <w:rsid w:val="70ADFC63"/>
    <w:rsid w:val="71202128"/>
    <w:rsid w:val="7A95BE46"/>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A2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next w:val="ListBullet"/>
    <w:link w:val="ListParagraphChar"/>
    <w:uiPriority w:val="72"/>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qFormat/>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2"/>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8"/>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uiPriority w:val="2"/>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table" w:customStyle="1" w:styleId="newstyle1">
    <w:name w:val="new style1"/>
    <w:basedOn w:val="TableNormal"/>
    <w:next w:val="TableGrid"/>
    <w:uiPriority w:val="39"/>
    <w:rsid w:val="009A1021"/>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caption">
    <w:name w:val="Table Figure caption"/>
    <w:link w:val="TableFigurecaptionChar"/>
    <w:qFormat/>
    <w:rsid w:val="002A24C7"/>
    <w:pPr>
      <w:keepNext/>
      <w:keepLines/>
      <w:spacing w:after="480" w:line="276" w:lineRule="auto"/>
      <w:contextualSpacing/>
    </w:pPr>
    <w:rPr>
      <w:rFonts w:ascii="Arial Narrow" w:hAnsi="Arial Narrow"/>
      <w:sz w:val="16"/>
      <w:szCs w:val="18"/>
      <w:lang w:eastAsia="en-US"/>
    </w:rPr>
  </w:style>
  <w:style w:type="character" w:customStyle="1" w:styleId="TableFigurecaptionChar">
    <w:name w:val="Table Figure caption Char"/>
    <w:basedOn w:val="TabletextChar"/>
    <w:link w:val="TableFigurecaption"/>
    <w:rsid w:val="002A24C7"/>
    <w:rPr>
      <w:rFonts w:ascii="Arial Narrow" w:hAnsi="Arial Narrow"/>
      <w:sz w:val="16"/>
      <w:szCs w:val="18"/>
      <w:lang w:eastAsia="en-US"/>
    </w:rPr>
  </w:style>
  <w:style w:type="table" w:customStyle="1" w:styleId="TableGrid61">
    <w:name w:val="Table Grid61"/>
    <w:basedOn w:val="TableNormal"/>
    <w:rsid w:val="000D6501"/>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4320"/>
    <w:pPr>
      <w:autoSpaceDE w:val="0"/>
      <w:autoSpaceDN w:val="0"/>
      <w:adjustRightInd w:val="0"/>
    </w:pPr>
    <w:rPr>
      <w:color w:val="000000"/>
      <w:sz w:val="24"/>
      <w:szCs w:val="24"/>
      <w:lang w:val="en-US" w:eastAsia="en-US"/>
    </w:rPr>
  </w:style>
  <w:style w:type="table" w:customStyle="1" w:styleId="ASDTable31">
    <w:name w:val="ASD Table31"/>
    <w:basedOn w:val="TableNormal"/>
    <w:next w:val="TableGrid"/>
    <w:uiPriority w:val="39"/>
    <w:rsid w:val="00AE1640"/>
    <w:pPr>
      <w:jc w:val="both"/>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entred">
    <w:name w:val="Table Title centred"/>
    <w:basedOn w:val="Normal"/>
    <w:rsid w:val="000F2335"/>
    <w:pPr>
      <w:jc w:val="center"/>
    </w:pPr>
    <w:rPr>
      <w:rFonts w:cs="Times New Roman"/>
      <w:b/>
      <w:sz w:val="18"/>
      <w:szCs w:val="20"/>
      <w:lang w:eastAsia="en-US"/>
    </w:rPr>
  </w:style>
  <w:style w:type="paragraph" w:customStyle="1" w:styleId="TableTextleftalign">
    <w:name w:val="Table Text left align"/>
    <w:basedOn w:val="TableTitlecentred"/>
    <w:link w:val="TableTextleftalignChar"/>
    <w:qFormat/>
    <w:rsid w:val="00D15B58"/>
    <w:pPr>
      <w:jc w:val="left"/>
    </w:pPr>
    <w:rPr>
      <w:b w:val="0"/>
      <w:szCs w:val="18"/>
    </w:rPr>
  </w:style>
  <w:style w:type="character" w:customStyle="1" w:styleId="TableTextleftalignChar">
    <w:name w:val="Table Text left align Char"/>
    <w:basedOn w:val="DefaultParagraphFont"/>
    <w:link w:val="TableTextleftalign"/>
    <w:rsid w:val="00D15B58"/>
    <w:rPr>
      <w:rFonts w:ascii="Calibri" w:hAnsi="Calibri"/>
      <w:sz w:val="18"/>
      <w:szCs w:val="18"/>
      <w:lang w:eastAsia="en-US"/>
    </w:rPr>
  </w:style>
  <w:style w:type="paragraph" w:customStyle="1" w:styleId="InstructionalText">
    <w:name w:val="Instructional Text"/>
    <w:basedOn w:val="Normal"/>
    <w:link w:val="InstructionalTextChar"/>
    <w:uiPriority w:val="3"/>
    <w:qFormat/>
    <w:rsid w:val="004A326C"/>
    <w:pPr>
      <w:spacing w:before="120" w:after="160"/>
    </w:pPr>
    <w:rPr>
      <w:rFonts w:asciiTheme="minorHAnsi" w:eastAsia="Batang" w:hAnsiTheme="minorHAnsi" w:cstheme="minorBidi"/>
      <w:color w:val="0070C0"/>
      <w:szCs w:val="22"/>
      <w:lang w:eastAsia="en-US"/>
    </w:rPr>
  </w:style>
  <w:style w:type="character" w:customStyle="1" w:styleId="InstructionalTextChar">
    <w:name w:val="Instructional Text Char"/>
    <w:basedOn w:val="DefaultParagraphFont"/>
    <w:link w:val="InstructionalText"/>
    <w:uiPriority w:val="3"/>
    <w:rsid w:val="004A326C"/>
    <w:rPr>
      <w:rFonts w:asciiTheme="minorHAnsi" w:eastAsia="Batang" w:hAnsiTheme="minorHAnsi" w:cstheme="minorBidi"/>
      <w:color w:val="0070C0"/>
      <w:sz w:val="24"/>
      <w:szCs w:val="22"/>
      <w:lang w:eastAsia="en-US"/>
    </w:rPr>
  </w:style>
  <w:style w:type="table" w:customStyle="1" w:styleId="PBACTableStyle">
    <w:name w:val="PBAC Table Style"/>
    <w:basedOn w:val="TableGrid1"/>
    <w:uiPriority w:val="99"/>
    <w:rsid w:val="004A326C"/>
    <w:pPr>
      <w:widowControl w:val="0"/>
      <w:spacing w:before="120"/>
      <w:contextualSpacing/>
      <w:jc w:val="center"/>
    </w:pPr>
    <w:rPr>
      <w:rFonts w:ascii="Arial Narrow" w:eastAsia="Batang" w:hAnsi="Arial Narrow" w:cstheme="minorBidi"/>
      <w:color w:val="000000" w:themeColor="text1"/>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Wawati TC" w:hAnsi="Wawati TC"/>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Wawati TC" w:hAnsi="Wawati TC"/>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Wawati TC" w:hAnsi="Wawati TC"/>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4A326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ntBold">
    <w:name w:val="Font Bold"/>
    <w:basedOn w:val="DefaultParagraphFont"/>
    <w:uiPriority w:val="1"/>
    <w:qFormat/>
    <w:rsid w:val="006B170B"/>
    <w:rPr>
      <w:rFonts w:ascii="Calibri" w:hAnsi="Calibri"/>
      <w:b/>
      <w:i w:val="0"/>
      <w:sz w:val="24"/>
    </w:rPr>
  </w:style>
  <w:style w:type="numbering" w:customStyle="1" w:styleId="SectionBi">
    <w:name w:val="Section Bi"/>
    <w:uiPriority w:val="99"/>
    <w:rsid w:val="00F758C9"/>
  </w:style>
  <w:style w:type="character" w:customStyle="1" w:styleId="UnresolvedMention1">
    <w:name w:val="Unresolved Mention1"/>
    <w:basedOn w:val="DefaultParagraphFont"/>
    <w:uiPriority w:val="99"/>
    <w:unhideWhenUsed/>
    <w:rsid w:val="00695A0D"/>
    <w:rPr>
      <w:color w:val="605E5C"/>
      <w:shd w:val="clear" w:color="auto" w:fill="E1DFDD"/>
    </w:rPr>
  </w:style>
  <w:style w:type="table" w:customStyle="1" w:styleId="TableGridbeth1">
    <w:name w:val="Table Gridbeth1"/>
    <w:basedOn w:val="TableNormal"/>
    <w:next w:val="TableGrid"/>
    <w:uiPriority w:val="59"/>
    <w:rsid w:val="00695A0D"/>
    <w:pPr>
      <w:spacing w:before="80" w:after="80" w:line="288"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2">
    <w:name w:val="new style2"/>
    <w:basedOn w:val="TableNormal"/>
    <w:next w:val="TableGrid"/>
    <w:uiPriority w:val="39"/>
    <w:rsid w:val="00695A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3">
    <w:name w:val="new style3"/>
    <w:basedOn w:val="TableNormal"/>
    <w:next w:val="TableGrid"/>
    <w:uiPriority w:val="39"/>
    <w:rsid w:val="00695A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695A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695A0D"/>
    <w:rPr>
      <w:sz w:val="20"/>
      <w:szCs w:val="20"/>
    </w:rPr>
  </w:style>
  <w:style w:type="character" w:customStyle="1" w:styleId="FootnoteTextChar">
    <w:name w:val="Footnote Text Char"/>
    <w:basedOn w:val="DefaultParagraphFont"/>
    <w:link w:val="FootnoteText"/>
    <w:semiHidden/>
    <w:rsid w:val="00695A0D"/>
    <w:rPr>
      <w:rFonts w:ascii="Calibri" w:hAnsi="Calibri" w:cs="Arial"/>
    </w:rPr>
  </w:style>
  <w:style w:type="character" w:styleId="FootnoteReference">
    <w:name w:val="footnote reference"/>
    <w:basedOn w:val="DefaultParagraphFont"/>
    <w:unhideWhenUsed/>
    <w:rsid w:val="00695A0D"/>
    <w:rPr>
      <w:vertAlign w:val="superscript"/>
    </w:rPr>
  </w:style>
  <w:style w:type="table" w:customStyle="1" w:styleId="newstyle6">
    <w:name w:val="new style6"/>
    <w:basedOn w:val="TableNormal"/>
    <w:next w:val="TableGrid"/>
    <w:uiPriority w:val="39"/>
    <w:rsid w:val="00695A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7">
    <w:name w:val="new style7"/>
    <w:basedOn w:val="TableNormal"/>
    <w:next w:val="TableGrid"/>
    <w:uiPriority w:val="39"/>
    <w:rsid w:val="00695A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9">
    <w:name w:val="new style9"/>
    <w:basedOn w:val="TableNormal"/>
    <w:next w:val="TableGrid"/>
    <w:uiPriority w:val="39"/>
    <w:rsid w:val="00695A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12">
    <w:name w:val="new style12"/>
    <w:basedOn w:val="TableNormal"/>
    <w:next w:val="TableGrid"/>
    <w:uiPriority w:val="39"/>
    <w:rsid w:val="00695A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13">
    <w:name w:val="new style13"/>
    <w:basedOn w:val="TableNormal"/>
    <w:next w:val="TableGrid"/>
    <w:uiPriority w:val="39"/>
    <w:rsid w:val="00695A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4">
    <w:name w:val="new style4"/>
    <w:basedOn w:val="TableNormal"/>
    <w:next w:val="TableGrid"/>
    <w:uiPriority w:val="39"/>
    <w:rsid w:val="00695A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AE18B6"/>
    <w:rPr>
      <w:color w:val="2B579A"/>
      <w:shd w:val="clear" w:color="auto" w:fill="E1DFDD"/>
    </w:rPr>
  </w:style>
  <w:style w:type="paragraph" w:customStyle="1" w:styleId="3Bodytext">
    <w:name w:val="3. Body text"/>
    <w:basedOn w:val="ListParagraph"/>
    <w:qFormat/>
    <w:rsid w:val="000C5BE8"/>
    <w:pPr>
      <w:numPr>
        <w:numId w:val="0"/>
      </w:numPr>
      <w:ind w:left="720" w:hanging="720"/>
      <w:jc w:val="left"/>
    </w:pPr>
    <w:rPr>
      <w:rFonts w:eastAsiaTheme="minorHAnsi" w:cstheme="minorBidi"/>
      <w:snapToGrid/>
      <w:szCs w:val="22"/>
    </w:rPr>
  </w:style>
  <w:style w:type="paragraph" w:customStyle="1" w:styleId="ExecSumBodyText">
    <w:name w:val="Exec Sum Body Text"/>
    <w:basedOn w:val="Normal"/>
    <w:link w:val="ExecSumBodyTextChar"/>
    <w:qFormat/>
    <w:rsid w:val="00757299"/>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757299"/>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3060654">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130097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7541244">
      <w:bodyDiv w:val="1"/>
      <w:marLeft w:val="0"/>
      <w:marRight w:val="0"/>
      <w:marTop w:val="0"/>
      <w:marBottom w:val="0"/>
      <w:divBdr>
        <w:top w:val="none" w:sz="0" w:space="0" w:color="auto"/>
        <w:left w:val="none" w:sz="0" w:space="0" w:color="auto"/>
        <w:bottom w:val="none" w:sz="0" w:space="0" w:color="auto"/>
        <w:right w:val="none" w:sz="0" w:space="0" w:color="auto"/>
      </w:divBdr>
    </w:div>
    <w:div w:id="437528261">
      <w:bodyDiv w:val="1"/>
      <w:marLeft w:val="0"/>
      <w:marRight w:val="0"/>
      <w:marTop w:val="0"/>
      <w:marBottom w:val="0"/>
      <w:divBdr>
        <w:top w:val="none" w:sz="0" w:space="0" w:color="auto"/>
        <w:left w:val="none" w:sz="0" w:space="0" w:color="auto"/>
        <w:bottom w:val="none" w:sz="0" w:space="0" w:color="auto"/>
        <w:right w:val="none" w:sz="0" w:space="0" w:color="auto"/>
      </w:divBdr>
    </w:div>
    <w:div w:id="442308684">
      <w:bodyDiv w:val="1"/>
      <w:marLeft w:val="0"/>
      <w:marRight w:val="0"/>
      <w:marTop w:val="0"/>
      <w:marBottom w:val="0"/>
      <w:divBdr>
        <w:top w:val="none" w:sz="0" w:space="0" w:color="auto"/>
        <w:left w:val="none" w:sz="0" w:space="0" w:color="auto"/>
        <w:bottom w:val="none" w:sz="0" w:space="0" w:color="auto"/>
        <w:right w:val="none" w:sz="0" w:space="0" w:color="auto"/>
      </w:divBdr>
    </w:div>
    <w:div w:id="596137202">
      <w:bodyDiv w:val="1"/>
      <w:marLeft w:val="0"/>
      <w:marRight w:val="0"/>
      <w:marTop w:val="0"/>
      <w:marBottom w:val="0"/>
      <w:divBdr>
        <w:top w:val="none" w:sz="0" w:space="0" w:color="auto"/>
        <w:left w:val="none" w:sz="0" w:space="0" w:color="auto"/>
        <w:bottom w:val="none" w:sz="0" w:space="0" w:color="auto"/>
        <w:right w:val="none" w:sz="0" w:space="0" w:color="auto"/>
      </w:divBdr>
    </w:div>
    <w:div w:id="649289186">
      <w:bodyDiv w:val="1"/>
      <w:marLeft w:val="0"/>
      <w:marRight w:val="0"/>
      <w:marTop w:val="0"/>
      <w:marBottom w:val="0"/>
      <w:divBdr>
        <w:top w:val="none" w:sz="0" w:space="0" w:color="auto"/>
        <w:left w:val="none" w:sz="0" w:space="0" w:color="auto"/>
        <w:bottom w:val="none" w:sz="0" w:space="0" w:color="auto"/>
        <w:right w:val="none" w:sz="0" w:space="0" w:color="auto"/>
      </w:divBdr>
      <w:divsChild>
        <w:div w:id="1471896690">
          <w:marLeft w:val="0"/>
          <w:marRight w:val="0"/>
          <w:marTop w:val="0"/>
          <w:marBottom w:val="0"/>
          <w:divBdr>
            <w:top w:val="none" w:sz="0" w:space="0" w:color="auto"/>
            <w:left w:val="none" w:sz="0" w:space="0" w:color="auto"/>
            <w:bottom w:val="none" w:sz="0" w:space="0" w:color="auto"/>
            <w:right w:val="none" w:sz="0" w:space="0" w:color="auto"/>
          </w:divBdr>
          <w:divsChild>
            <w:div w:id="507721020">
              <w:marLeft w:val="0"/>
              <w:marRight w:val="0"/>
              <w:marTop w:val="0"/>
              <w:marBottom w:val="0"/>
              <w:divBdr>
                <w:top w:val="none" w:sz="0" w:space="0" w:color="auto"/>
                <w:left w:val="none" w:sz="0" w:space="0" w:color="auto"/>
                <w:bottom w:val="none" w:sz="0" w:space="0" w:color="auto"/>
                <w:right w:val="none" w:sz="0" w:space="0" w:color="auto"/>
              </w:divBdr>
              <w:divsChild>
                <w:div w:id="3674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08245">
      <w:bodyDiv w:val="1"/>
      <w:marLeft w:val="0"/>
      <w:marRight w:val="0"/>
      <w:marTop w:val="0"/>
      <w:marBottom w:val="0"/>
      <w:divBdr>
        <w:top w:val="none" w:sz="0" w:space="0" w:color="auto"/>
        <w:left w:val="none" w:sz="0" w:space="0" w:color="auto"/>
        <w:bottom w:val="none" w:sz="0" w:space="0" w:color="auto"/>
        <w:right w:val="none" w:sz="0" w:space="0" w:color="auto"/>
      </w:divBdr>
      <w:divsChild>
        <w:div w:id="1965691519">
          <w:marLeft w:val="0"/>
          <w:marRight w:val="0"/>
          <w:marTop w:val="0"/>
          <w:marBottom w:val="0"/>
          <w:divBdr>
            <w:top w:val="none" w:sz="0" w:space="0" w:color="auto"/>
            <w:left w:val="none" w:sz="0" w:space="0" w:color="auto"/>
            <w:bottom w:val="none" w:sz="0" w:space="0" w:color="auto"/>
            <w:right w:val="none" w:sz="0" w:space="0" w:color="auto"/>
          </w:divBdr>
          <w:divsChild>
            <w:div w:id="2050568982">
              <w:marLeft w:val="0"/>
              <w:marRight w:val="0"/>
              <w:marTop w:val="0"/>
              <w:marBottom w:val="0"/>
              <w:divBdr>
                <w:top w:val="none" w:sz="0" w:space="0" w:color="auto"/>
                <w:left w:val="none" w:sz="0" w:space="0" w:color="auto"/>
                <w:bottom w:val="none" w:sz="0" w:space="0" w:color="auto"/>
                <w:right w:val="none" w:sz="0" w:space="0" w:color="auto"/>
              </w:divBdr>
              <w:divsChild>
                <w:div w:id="2360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6557">
      <w:bodyDiv w:val="1"/>
      <w:marLeft w:val="0"/>
      <w:marRight w:val="0"/>
      <w:marTop w:val="0"/>
      <w:marBottom w:val="0"/>
      <w:divBdr>
        <w:top w:val="none" w:sz="0" w:space="0" w:color="auto"/>
        <w:left w:val="none" w:sz="0" w:space="0" w:color="auto"/>
        <w:bottom w:val="none" w:sz="0" w:space="0" w:color="auto"/>
        <w:right w:val="none" w:sz="0" w:space="0" w:color="auto"/>
      </w:divBdr>
    </w:div>
    <w:div w:id="912853320">
      <w:bodyDiv w:val="1"/>
      <w:marLeft w:val="0"/>
      <w:marRight w:val="0"/>
      <w:marTop w:val="0"/>
      <w:marBottom w:val="0"/>
      <w:divBdr>
        <w:top w:val="none" w:sz="0" w:space="0" w:color="auto"/>
        <w:left w:val="none" w:sz="0" w:space="0" w:color="auto"/>
        <w:bottom w:val="none" w:sz="0" w:space="0" w:color="auto"/>
        <w:right w:val="none" w:sz="0" w:space="0" w:color="auto"/>
      </w:divBdr>
    </w:div>
    <w:div w:id="963072186">
      <w:bodyDiv w:val="1"/>
      <w:marLeft w:val="0"/>
      <w:marRight w:val="0"/>
      <w:marTop w:val="0"/>
      <w:marBottom w:val="0"/>
      <w:divBdr>
        <w:top w:val="none" w:sz="0" w:space="0" w:color="auto"/>
        <w:left w:val="none" w:sz="0" w:space="0" w:color="auto"/>
        <w:bottom w:val="none" w:sz="0" w:space="0" w:color="auto"/>
        <w:right w:val="none" w:sz="0" w:space="0" w:color="auto"/>
      </w:divBdr>
    </w:div>
    <w:div w:id="1131751701">
      <w:bodyDiv w:val="1"/>
      <w:marLeft w:val="0"/>
      <w:marRight w:val="0"/>
      <w:marTop w:val="0"/>
      <w:marBottom w:val="0"/>
      <w:divBdr>
        <w:top w:val="none" w:sz="0" w:space="0" w:color="auto"/>
        <w:left w:val="none" w:sz="0" w:space="0" w:color="auto"/>
        <w:bottom w:val="none" w:sz="0" w:space="0" w:color="auto"/>
        <w:right w:val="none" w:sz="0" w:space="0" w:color="auto"/>
      </w:divBdr>
      <w:divsChild>
        <w:div w:id="540871853">
          <w:marLeft w:val="0"/>
          <w:marRight w:val="0"/>
          <w:marTop w:val="0"/>
          <w:marBottom w:val="0"/>
          <w:divBdr>
            <w:top w:val="none" w:sz="0" w:space="0" w:color="auto"/>
            <w:left w:val="none" w:sz="0" w:space="0" w:color="auto"/>
            <w:bottom w:val="none" w:sz="0" w:space="0" w:color="auto"/>
            <w:right w:val="none" w:sz="0" w:space="0" w:color="auto"/>
          </w:divBdr>
          <w:divsChild>
            <w:div w:id="53433654">
              <w:marLeft w:val="0"/>
              <w:marRight w:val="0"/>
              <w:marTop w:val="0"/>
              <w:marBottom w:val="0"/>
              <w:divBdr>
                <w:top w:val="none" w:sz="0" w:space="0" w:color="auto"/>
                <w:left w:val="none" w:sz="0" w:space="0" w:color="auto"/>
                <w:bottom w:val="none" w:sz="0" w:space="0" w:color="auto"/>
                <w:right w:val="none" w:sz="0" w:space="0" w:color="auto"/>
              </w:divBdr>
              <w:divsChild>
                <w:div w:id="17544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47277">
      <w:bodyDiv w:val="1"/>
      <w:marLeft w:val="0"/>
      <w:marRight w:val="0"/>
      <w:marTop w:val="0"/>
      <w:marBottom w:val="0"/>
      <w:divBdr>
        <w:top w:val="none" w:sz="0" w:space="0" w:color="auto"/>
        <w:left w:val="none" w:sz="0" w:space="0" w:color="auto"/>
        <w:bottom w:val="none" w:sz="0" w:space="0" w:color="auto"/>
        <w:right w:val="none" w:sz="0" w:space="0" w:color="auto"/>
      </w:divBdr>
    </w:div>
    <w:div w:id="1286693708">
      <w:bodyDiv w:val="1"/>
      <w:marLeft w:val="0"/>
      <w:marRight w:val="0"/>
      <w:marTop w:val="0"/>
      <w:marBottom w:val="0"/>
      <w:divBdr>
        <w:top w:val="none" w:sz="0" w:space="0" w:color="auto"/>
        <w:left w:val="none" w:sz="0" w:space="0" w:color="auto"/>
        <w:bottom w:val="none" w:sz="0" w:space="0" w:color="auto"/>
        <w:right w:val="none" w:sz="0" w:space="0" w:color="auto"/>
      </w:divBdr>
    </w:div>
    <w:div w:id="1319962258">
      <w:bodyDiv w:val="1"/>
      <w:marLeft w:val="0"/>
      <w:marRight w:val="0"/>
      <w:marTop w:val="0"/>
      <w:marBottom w:val="0"/>
      <w:divBdr>
        <w:top w:val="none" w:sz="0" w:space="0" w:color="auto"/>
        <w:left w:val="none" w:sz="0" w:space="0" w:color="auto"/>
        <w:bottom w:val="none" w:sz="0" w:space="0" w:color="auto"/>
        <w:right w:val="none" w:sz="0" w:space="0" w:color="auto"/>
      </w:divBdr>
      <w:divsChild>
        <w:div w:id="674958999">
          <w:marLeft w:val="0"/>
          <w:marRight w:val="0"/>
          <w:marTop w:val="0"/>
          <w:marBottom w:val="0"/>
          <w:divBdr>
            <w:top w:val="none" w:sz="0" w:space="0" w:color="auto"/>
            <w:left w:val="none" w:sz="0" w:space="0" w:color="auto"/>
            <w:bottom w:val="none" w:sz="0" w:space="0" w:color="auto"/>
            <w:right w:val="none" w:sz="0" w:space="0" w:color="auto"/>
          </w:divBdr>
          <w:divsChild>
            <w:div w:id="2047637296">
              <w:marLeft w:val="0"/>
              <w:marRight w:val="0"/>
              <w:marTop w:val="0"/>
              <w:marBottom w:val="0"/>
              <w:divBdr>
                <w:top w:val="none" w:sz="0" w:space="0" w:color="auto"/>
                <w:left w:val="none" w:sz="0" w:space="0" w:color="auto"/>
                <w:bottom w:val="none" w:sz="0" w:space="0" w:color="auto"/>
                <w:right w:val="none" w:sz="0" w:space="0" w:color="auto"/>
              </w:divBdr>
              <w:divsChild>
                <w:div w:id="1492333535">
                  <w:marLeft w:val="0"/>
                  <w:marRight w:val="0"/>
                  <w:marTop w:val="0"/>
                  <w:marBottom w:val="0"/>
                  <w:divBdr>
                    <w:top w:val="none" w:sz="0" w:space="0" w:color="auto"/>
                    <w:left w:val="none" w:sz="0" w:space="0" w:color="auto"/>
                    <w:bottom w:val="none" w:sz="0" w:space="0" w:color="auto"/>
                    <w:right w:val="none" w:sz="0" w:space="0" w:color="auto"/>
                  </w:divBdr>
                  <w:divsChild>
                    <w:div w:id="20432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454601">
      <w:bodyDiv w:val="1"/>
      <w:marLeft w:val="0"/>
      <w:marRight w:val="0"/>
      <w:marTop w:val="0"/>
      <w:marBottom w:val="0"/>
      <w:divBdr>
        <w:top w:val="none" w:sz="0" w:space="0" w:color="auto"/>
        <w:left w:val="none" w:sz="0" w:space="0" w:color="auto"/>
        <w:bottom w:val="none" w:sz="0" w:space="0" w:color="auto"/>
        <w:right w:val="none" w:sz="0" w:space="0" w:color="auto"/>
      </w:divBdr>
    </w:div>
    <w:div w:id="1494757617">
      <w:bodyDiv w:val="1"/>
      <w:marLeft w:val="0"/>
      <w:marRight w:val="0"/>
      <w:marTop w:val="0"/>
      <w:marBottom w:val="0"/>
      <w:divBdr>
        <w:top w:val="none" w:sz="0" w:space="0" w:color="auto"/>
        <w:left w:val="none" w:sz="0" w:space="0" w:color="auto"/>
        <w:bottom w:val="none" w:sz="0" w:space="0" w:color="auto"/>
        <w:right w:val="none" w:sz="0" w:space="0" w:color="auto"/>
      </w:divBdr>
      <w:divsChild>
        <w:div w:id="1131439997">
          <w:marLeft w:val="0"/>
          <w:marRight w:val="0"/>
          <w:marTop w:val="0"/>
          <w:marBottom w:val="0"/>
          <w:divBdr>
            <w:top w:val="none" w:sz="0" w:space="0" w:color="auto"/>
            <w:left w:val="none" w:sz="0" w:space="0" w:color="auto"/>
            <w:bottom w:val="none" w:sz="0" w:space="0" w:color="auto"/>
            <w:right w:val="none" w:sz="0" w:space="0" w:color="auto"/>
          </w:divBdr>
          <w:divsChild>
            <w:div w:id="1524517665">
              <w:marLeft w:val="0"/>
              <w:marRight w:val="0"/>
              <w:marTop w:val="0"/>
              <w:marBottom w:val="0"/>
              <w:divBdr>
                <w:top w:val="none" w:sz="0" w:space="0" w:color="auto"/>
                <w:left w:val="none" w:sz="0" w:space="0" w:color="auto"/>
                <w:bottom w:val="none" w:sz="0" w:space="0" w:color="auto"/>
                <w:right w:val="none" w:sz="0" w:space="0" w:color="auto"/>
              </w:divBdr>
              <w:divsChild>
                <w:div w:id="1096167246">
                  <w:marLeft w:val="0"/>
                  <w:marRight w:val="0"/>
                  <w:marTop w:val="0"/>
                  <w:marBottom w:val="0"/>
                  <w:divBdr>
                    <w:top w:val="none" w:sz="0" w:space="0" w:color="auto"/>
                    <w:left w:val="none" w:sz="0" w:space="0" w:color="auto"/>
                    <w:bottom w:val="none" w:sz="0" w:space="0" w:color="auto"/>
                    <w:right w:val="none" w:sz="0" w:space="0" w:color="auto"/>
                  </w:divBdr>
                  <w:divsChild>
                    <w:div w:id="5049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4189">
      <w:bodyDiv w:val="1"/>
      <w:marLeft w:val="0"/>
      <w:marRight w:val="0"/>
      <w:marTop w:val="0"/>
      <w:marBottom w:val="0"/>
      <w:divBdr>
        <w:top w:val="none" w:sz="0" w:space="0" w:color="auto"/>
        <w:left w:val="none" w:sz="0" w:space="0" w:color="auto"/>
        <w:bottom w:val="none" w:sz="0" w:space="0" w:color="auto"/>
        <w:right w:val="none" w:sz="0" w:space="0" w:color="auto"/>
      </w:divBdr>
    </w:div>
    <w:div w:id="156987566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9186075">
      <w:bodyDiv w:val="1"/>
      <w:marLeft w:val="0"/>
      <w:marRight w:val="0"/>
      <w:marTop w:val="0"/>
      <w:marBottom w:val="0"/>
      <w:divBdr>
        <w:top w:val="none" w:sz="0" w:space="0" w:color="auto"/>
        <w:left w:val="none" w:sz="0" w:space="0" w:color="auto"/>
        <w:bottom w:val="none" w:sz="0" w:space="0" w:color="auto"/>
        <w:right w:val="none" w:sz="0" w:space="0" w:color="auto"/>
      </w:divBdr>
      <w:divsChild>
        <w:div w:id="1126463539">
          <w:marLeft w:val="0"/>
          <w:marRight w:val="0"/>
          <w:marTop w:val="0"/>
          <w:marBottom w:val="0"/>
          <w:divBdr>
            <w:top w:val="none" w:sz="0" w:space="0" w:color="auto"/>
            <w:left w:val="none" w:sz="0" w:space="0" w:color="auto"/>
            <w:bottom w:val="none" w:sz="0" w:space="0" w:color="auto"/>
            <w:right w:val="none" w:sz="0" w:space="0" w:color="auto"/>
          </w:divBdr>
          <w:divsChild>
            <w:div w:id="1460807341">
              <w:marLeft w:val="0"/>
              <w:marRight w:val="0"/>
              <w:marTop w:val="0"/>
              <w:marBottom w:val="0"/>
              <w:divBdr>
                <w:top w:val="none" w:sz="0" w:space="0" w:color="auto"/>
                <w:left w:val="none" w:sz="0" w:space="0" w:color="auto"/>
                <w:bottom w:val="none" w:sz="0" w:space="0" w:color="auto"/>
                <w:right w:val="none" w:sz="0" w:space="0" w:color="auto"/>
              </w:divBdr>
              <w:divsChild>
                <w:div w:id="1190337663">
                  <w:marLeft w:val="0"/>
                  <w:marRight w:val="0"/>
                  <w:marTop w:val="0"/>
                  <w:marBottom w:val="0"/>
                  <w:divBdr>
                    <w:top w:val="none" w:sz="0" w:space="0" w:color="auto"/>
                    <w:left w:val="none" w:sz="0" w:space="0" w:color="auto"/>
                    <w:bottom w:val="none" w:sz="0" w:space="0" w:color="auto"/>
                    <w:right w:val="none" w:sz="0" w:space="0" w:color="auto"/>
                  </w:divBdr>
                  <w:divsChild>
                    <w:div w:id="3539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81190">
      <w:bodyDiv w:val="1"/>
      <w:marLeft w:val="0"/>
      <w:marRight w:val="0"/>
      <w:marTop w:val="0"/>
      <w:marBottom w:val="0"/>
      <w:divBdr>
        <w:top w:val="none" w:sz="0" w:space="0" w:color="auto"/>
        <w:left w:val="none" w:sz="0" w:space="0" w:color="auto"/>
        <w:bottom w:val="none" w:sz="0" w:space="0" w:color="auto"/>
        <w:right w:val="none" w:sz="0" w:space="0" w:color="auto"/>
      </w:divBdr>
      <w:divsChild>
        <w:div w:id="813374269">
          <w:marLeft w:val="0"/>
          <w:marRight w:val="0"/>
          <w:marTop w:val="0"/>
          <w:marBottom w:val="0"/>
          <w:divBdr>
            <w:top w:val="none" w:sz="0" w:space="0" w:color="auto"/>
            <w:left w:val="none" w:sz="0" w:space="0" w:color="auto"/>
            <w:bottom w:val="none" w:sz="0" w:space="0" w:color="auto"/>
            <w:right w:val="none" w:sz="0" w:space="0" w:color="auto"/>
          </w:divBdr>
        </w:div>
      </w:divsChild>
    </w:div>
    <w:div w:id="2040083355">
      <w:bodyDiv w:val="1"/>
      <w:marLeft w:val="0"/>
      <w:marRight w:val="0"/>
      <w:marTop w:val="0"/>
      <w:marBottom w:val="0"/>
      <w:divBdr>
        <w:top w:val="none" w:sz="0" w:space="0" w:color="auto"/>
        <w:left w:val="none" w:sz="0" w:space="0" w:color="auto"/>
        <w:bottom w:val="none" w:sz="0" w:space="0" w:color="auto"/>
        <w:right w:val="none" w:sz="0" w:space="0" w:color="auto"/>
      </w:divBdr>
    </w:div>
    <w:div w:id="21315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5890-50FC-4043-8147-3512FF2C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16771</Words>
  <Characters>96529</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113074</CharactersWithSpaces>
  <SharedDoc>false</SharedDoc>
  <HLinks>
    <vt:vector size="432" baseType="variant">
      <vt:variant>
        <vt:i4>2818111</vt:i4>
      </vt:variant>
      <vt:variant>
        <vt:i4>549</vt:i4>
      </vt:variant>
      <vt:variant>
        <vt:i4>0</vt:i4>
      </vt:variant>
      <vt:variant>
        <vt:i4>5</vt:i4>
      </vt:variant>
      <vt:variant>
        <vt:lpwstr>https://www.ausee.org/</vt:lpwstr>
      </vt:variant>
      <vt:variant>
        <vt:lpwstr/>
      </vt:variant>
      <vt:variant>
        <vt:i4>1966136</vt:i4>
      </vt:variant>
      <vt:variant>
        <vt:i4>416</vt:i4>
      </vt:variant>
      <vt:variant>
        <vt:i4>0</vt:i4>
      </vt:variant>
      <vt:variant>
        <vt:i4>5</vt:i4>
      </vt:variant>
      <vt:variant>
        <vt:lpwstr/>
      </vt:variant>
      <vt:variant>
        <vt:lpwstr>_Toc58850753</vt:lpwstr>
      </vt:variant>
      <vt:variant>
        <vt:i4>2031672</vt:i4>
      </vt:variant>
      <vt:variant>
        <vt:i4>410</vt:i4>
      </vt:variant>
      <vt:variant>
        <vt:i4>0</vt:i4>
      </vt:variant>
      <vt:variant>
        <vt:i4>5</vt:i4>
      </vt:variant>
      <vt:variant>
        <vt:lpwstr/>
      </vt:variant>
      <vt:variant>
        <vt:lpwstr>_Toc58850752</vt:lpwstr>
      </vt:variant>
      <vt:variant>
        <vt:i4>1835064</vt:i4>
      </vt:variant>
      <vt:variant>
        <vt:i4>404</vt:i4>
      </vt:variant>
      <vt:variant>
        <vt:i4>0</vt:i4>
      </vt:variant>
      <vt:variant>
        <vt:i4>5</vt:i4>
      </vt:variant>
      <vt:variant>
        <vt:lpwstr/>
      </vt:variant>
      <vt:variant>
        <vt:lpwstr>_Toc58850751</vt:lpwstr>
      </vt:variant>
      <vt:variant>
        <vt:i4>1900600</vt:i4>
      </vt:variant>
      <vt:variant>
        <vt:i4>398</vt:i4>
      </vt:variant>
      <vt:variant>
        <vt:i4>0</vt:i4>
      </vt:variant>
      <vt:variant>
        <vt:i4>5</vt:i4>
      </vt:variant>
      <vt:variant>
        <vt:lpwstr/>
      </vt:variant>
      <vt:variant>
        <vt:lpwstr>_Toc58850750</vt:lpwstr>
      </vt:variant>
      <vt:variant>
        <vt:i4>1310777</vt:i4>
      </vt:variant>
      <vt:variant>
        <vt:i4>392</vt:i4>
      </vt:variant>
      <vt:variant>
        <vt:i4>0</vt:i4>
      </vt:variant>
      <vt:variant>
        <vt:i4>5</vt:i4>
      </vt:variant>
      <vt:variant>
        <vt:lpwstr/>
      </vt:variant>
      <vt:variant>
        <vt:lpwstr>_Toc58850749</vt:lpwstr>
      </vt:variant>
      <vt:variant>
        <vt:i4>1376313</vt:i4>
      </vt:variant>
      <vt:variant>
        <vt:i4>386</vt:i4>
      </vt:variant>
      <vt:variant>
        <vt:i4>0</vt:i4>
      </vt:variant>
      <vt:variant>
        <vt:i4>5</vt:i4>
      </vt:variant>
      <vt:variant>
        <vt:lpwstr/>
      </vt:variant>
      <vt:variant>
        <vt:lpwstr>_Toc58850748</vt:lpwstr>
      </vt:variant>
      <vt:variant>
        <vt:i4>1703993</vt:i4>
      </vt:variant>
      <vt:variant>
        <vt:i4>380</vt:i4>
      </vt:variant>
      <vt:variant>
        <vt:i4>0</vt:i4>
      </vt:variant>
      <vt:variant>
        <vt:i4>5</vt:i4>
      </vt:variant>
      <vt:variant>
        <vt:lpwstr/>
      </vt:variant>
      <vt:variant>
        <vt:lpwstr>_Toc58850747</vt:lpwstr>
      </vt:variant>
      <vt:variant>
        <vt:i4>1769529</vt:i4>
      </vt:variant>
      <vt:variant>
        <vt:i4>374</vt:i4>
      </vt:variant>
      <vt:variant>
        <vt:i4>0</vt:i4>
      </vt:variant>
      <vt:variant>
        <vt:i4>5</vt:i4>
      </vt:variant>
      <vt:variant>
        <vt:lpwstr/>
      </vt:variant>
      <vt:variant>
        <vt:lpwstr>_Toc58850746</vt:lpwstr>
      </vt:variant>
      <vt:variant>
        <vt:i4>1572921</vt:i4>
      </vt:variant>
      <vt:variant>
        <vt:i4>368</vt:i4>
      </vt:variant>
      <vt:variant>
        <vt:i4>0</vt:i4>
      </vt:variant>
      <vt:variant>
        <vt:i4>5</vt:i4>
      </vt:variant>
      <vt:variant>
        <vt:lpwstr/>
      </vt:variant>
      <vt:variant>
        <vt:lpwstr>_Toc58850745</vt:lpwstr>
      </vt:variant>
      <vt:variant>
        <vt:i4>1638457</vt:i4>
      </vt:variant>
      <vt:variant>
        <vt:i4>362</vt:i4>
      </vt:variant>
      <vt:variant>
        <vt:i4>0</vt:i4>
      </vt:variant>
      <vt:variant>
        <vt:i4>5</vt:i4>
      </vt:variant>
      <vt:variant>
        <vt:lpwstr/>
      </vt:variant>
      <vt:variant>
        <vt:lpwstr>_Toc58850744</vt:lpwstr>
      </vt:variant>
      <vt:variant>
        <vt:i4>1966137</vt:i4>
      </vt:variant>
      <vt:variant>
        <vt:i4>356</vt:i4>
      </vt:variant>
      <vt:variant>
        <vt:i4>0</vt:i4>
      </vt:variant>
      <vt:variant>
        <vt:i4>5</vt:i4>
      </vt:variant>
      <vt:variant>
        <vt:lpwstr/>
      </vt:variant>
      <vt:variant>
        <vt:lpwstr>_Toc58850743</vt:lpwstr>
      </vt:variant>
      <vt:variant>
        <vt:i4>2031673</vt:i4>
      </vt:variant>
      <vt:variant>
        <vt:i4>350</vt:i4>
      </vt:variant>
      <vt:variant>
        <vt:i4>0</vt:i4>
      </vt:variant>
      <vt:variant>
        <vt:i4>5</vt:i4>
      </vt:variant>
      <vt:variant>
        <vt:lpwstr/>
      </vt:variant>
      <vt:variant>
        <vt:lpwstr>_Toc58850742</vt:lpwstr>
      </vt:variant>
      <vt:variant>
        <vt:i4>1835065</vt:i4>
      </vt:variant>
      <vt:variant>
        <vt:i4>344</vt:i4>
      </vt:variant>
      <vt:variant>
        <vt:i4>0</vt:i4>
      </vt:variant>
      <vt:variant>
        <vt:i4>5</vt:i4>
      </vt:variant>
      <vt:variant>
        <vt:lpwstr/>
      </vt:variant>
      <vt:variant>
        <vt:lpwstr>_Toc58850741</vt:lpwstr>
      </vt:variant>
      <vt:variant>
        <vt:i4>1900601</vt:i4>
      </vt:variant>
      <vt:variant>
        <vt:i4>338</vt:i4>
      </vt:variant>
      <vt:variant>
        <vt:i4>0</vt:i4>
      </vt:variant>
      <vt:variant>
        <vt:i4>5</vt:i4>
      </vt:variant>
      <vt:variant>
        <vt:lpwstr/>
      </vt:variant>
      <vt:variant>
        <vt:lpwstr>_Toc58850740</vt:lpwstr>
      </vt:variant>
      <vt:variant>
        <vt:i4>1310782</vt:i4>
      </vt:variant>
      <vt:variant>
        <vt:i4>332</vt:i4>
      </vt:variant>
      <vt:variant>
        <vt:i4>0</vt:i4>
      </vt:variant>
      <vt:variant>
        <vt:i4>5</vt:i4>
      </vt:variant>
      <vt:variant>
        <vt:lpwstr/>
      </vt:variant>
      <vt:variant>
        <vt:lpwstr>_Toc58850739</vt:lpwstr>
      </vt:variant>
      <vt:variant>
        <vt:i4>1376318</vt:i4>
      </vt:variant>
      <vt:variant>
        <vt:i4>326</vt:i4>
      </vt:variant>
      <vt:variant>
        <vt:i4>0</vt:i4>
      </vt:variant>
      <vt:variant>
        <vt:i4>5</vt:i4>
      </vt:variant>
      <vt:variant>
        <vt:lpwstr/>
      </vt:variant>
      <vt:variant>
        <vt:lpwstr>_Toc58850738</vt:lpwstr>
      </vt:variant>
      <vt:variant>
        <vt:i4>1703998</vt:i4>
      </vt:variant>
      <vt:variant>
        <vt:i4>320</vt:i4>
      </vt:variant>
      <vt:variant>
        <vt:i4>0</vt:i4>
      </vt:variant>
      <vt:variant>
        <vt:i4>5</vt:i4>
      </vt:variant>
      <vt:variant>
        <vt:lpwstr/>
      </vt:variant>
      <vt:variant>
        <vt:lpwstr>_Toc58850737</vt:lpwstr>
      </vt:variant>
      <vt:variant>
        <vt:i4>1769534</vt:i4>
      </vt:variant>
      <vt:variant>
        <vt:i4>314</vt:i4>
      </vt:variant>
      <vt:variant>
        <vt:i4>0</vt:i4>
      </vt:variant>
      <vt:variant>
        <vt:i4>5</vt:i4>
      </vt:variant>
      <vt:variant>
        <vt:lpwstr/>
      </vt:variant>
      <vt:variant>
        <vt:lpwstr>_Toc58850736</vt:lpwstr>
      </vt:variant>
      <vt:variant>
        <vt:i4>1572926</vt:i4>
      </vt:variant>
      <vt:variant>
        <vt:i4>308</vt:i4>
      </vt:variant>
      <vt:variant>
        <vt:i4>0</vt:i4>
      </vt:variant>
      <vt:variant>
        <vt:i4>5</vt:i4>
      </vt:variant>
      <vt:variant>
        <vt:lpwstr/>
      </vt:variant>
      <vt:variant>
        <vt:lpwstr>_Toc58850735</vt:lpwstr>
      </vt:variant>
      <vt:variant>
        <vt:i4>1638462</vt:i4>
      </vt:variant>
      <vt:variant>
        <vt:i4>302</vt:i4>
      </vt:variant>
      <vt:variant>
        <vt:i4>0</vt:i4>
      </vt:variant>
      <vt:variant>
        <vt:i4>5</vt:i4>
      </vt:variant>
      <vt:variant>
        <vt:lpwstr/>
      </vt:variant>
      <vt:variant>
        <vt:lpwstr>_Toc58850734</vt:lpwstr>
      </vt:variant>
      <vt:variant>
        <vt:i4>1966142</vt:i4>
      </vt:variant>
      <vt:variant>
        <vt:i4>296</vt:i4>
      </vt:variant>
      <vt:variant>
        <vt:i4>0</vt:i4>
      </vt:variant>
      <vt:variant>
        <vt:i4>5</vt:i4>
      </vt:variant>
      <vt:variant>
        <vt:lpwstr/>
      </vt:variant>
      <vt:variant>
        <vt:lpwstr>_Toc58850733</vt:lpwstr>
      </vt:variant>
      <vt:variant>
        <vt:i4>2031678</vt:i4>
      </vt:variant>
      <vt:variant>
        <vt:i4>290</vt:i4>
      </vt:variant>
      <vt:variant>
        <vt:i4>0</vt:i4>
      </vt:variant>
      <vt:variant>
        <vt:i4>5</vt:i4>
      </vt:variant>
      <vt:variant>
        <vt:lpwstr/>
      </vt:variant>
      <vt:variant>
        <vt:lpwstr>_Toc58850732</vt:lpwstr>
      </vt:variant>
      <vt:variant>
        <vt:i4>1835070</vt:i4>
      </vt:variant>
      <vt:variant>
        <vt:i4>284</vt:i4>
      </vt:variant>
      <vt:variant>
        <vt:i4>0</vt:i4>
      </vt:variant>
      <vt:variant>
        <vt:i4>5</vt:i4>
      </vt:variant>
      <vt:variant>
        <vt:lpwstr/>
      </vt:variant>
      <vt:variant>
        <vt:lpwstr>_Toc58850731</vt:lpwstr>
      </vt:variant>
      <vt:variant>
        <vt:i4>1900606</vt:i4>
      </vt:variant>
      <vt:variant>
        <vt:i4>278</vt:i4>
      </vt:variant>
      <vt:variant>
        <vt:i4>0</vt:i4>
      </vt:variant>
      <vt:variant>
        <vt:i4>5</vt:i4>
      </vt:variant>
      <vt:variant>
        <vt:lpwstr/>
      </vt:variant>
      <vt:variant>
        <vt:lpwstr>_Toc58850730</vt:lpwstr>
      </vt:variant>
      <vt:variant>
        <vt:i4>1310783</vt:i4>
      </vt:variant>
      <vt:variant>
        <vt:i4>272</vt:i4>
      </vt:variant>
      <vt:variant>
        <vt:i4>0</vt:i4>
      </vt:variant>
      <vt:variant>
        <vt:i4>5</vt:i4>
      </vt:variant>
      <vt:variant>
        <vt:lpwstr/>
      </vt:variant>
      <vt:variant>
        <vt:lpwstr>_Toc58850729</vt:lpwstr>
      </vt:variant>
      <vt:variant>
        <vt:i4>1376319</vt:i4>
      </vt:variant>
      <vt:variant>
        <vt:i4>266</vt:i4>
      </vt:variant>
      <vt:variant>
        <vt:i4>0</vt:i4>
      </vt:variant>
      <vt:variant>
        <vt:i4>5</vt:i4>
      </vt:variant>
      <vt:variant>
        <vt:lpwstr/>
      </vt:variant>
      <vt:variant>
        <vt:lpwstr>_Toc58850728</vt:lpwstr>
      </vt:variant>
      <vt:variant>
        <vt:i4>1703999</vt:i4>
      </vt:variant>
      <vt:variant>
        <vt:i4>260</vt:i4>
      </vt:variant>
      <vt:variant>
        <vt:i4>0</vt:i4>
      </vt:variant>
      <vt:variant>
        <vt:i4>5</vt:i4>
      </vt:variant>
      <vt:variant>
        <vt:lpwstr/>
      </vt:variant>
      <vt:variant>
        <vt:lpwstr>_Toc58850727</vt:lpwstr>
      </vt:variant>
      <vt:variant>
        <vt:i4>1769535</vt:i4>
      </vt:variant>
      <vt:variant>
        <vt:i4>254</vt:i4>
      </vt:variant>
      <vt:variant>
        <vt:i4>0</vt:i4>
      </vt:variant>
      <vt:variant>
        <vt:i4>5</vt:i4>
      </vt:variant>
      <vt:variant>
        <vt:lpwstr/>
      </vt:variant>
      <vt:variant>
        <vt:lpwstr>_Toc58850726</vt:lpwstr>
      </vt:variant>
      <vt:variant>
        <vt:i4>1572927</vt:i4>
      </vt:variant>
      <vt:variant>
        <vt:i4>248</vt:i4>
      </vt:variant>
      <vt:variant>
        <vt:i4>0</vt:i4>
      </vt:variant>
      <vt:variant>
        <vt:i4>5</vt:i4>
      </vt:variant>
      <vt:variant>
        <vt:lpwstr/>
      </vt:variant>
      <vt:variant>
        <vt:lpwstr>_Toc58850725</vt:lpwstr>
      </vt:variant>
      <vt:variant>
        <vt:i4>1638463</vt:i4>
      </vt:variant>
      <vt:variant>
        <vt:i4>242</vt:i4>
      </vt:variant>
      <vt:variant>
        <vt:i4>0</vt:i4>
      </vt:variant>
      <vt:variant>
        <vt:i4>5</vt:i4>
      </vt:variant>
      <vt:variant>
        <vt:lpwstr/>
      </vt:variant>
      <vt:variant>
        <vt:lpwstr>_Toc58850724</vt:lpwstr>
      </vt:variant>
      <vt:variant>
        <vt:i4>1966143</vt:i4>
      </vt:variant>
      <vt:variant>
        <vt:i4>236</vt:i4>
      </vt:variant>
      <vt:variant>
        <vt:i4>0</vt:i4>
      </vt:variant>
      <vt:variant>
        <vt:i4>5</vt:i4>
      </vt:variant>
      <vt:variant>
        <vt:lpwstr/>
      </vt:variant>
      <vt:variant>
        <vt:lpwstr>_Toc58850723</vt:lpwstr>
      </vt:variant>
      <vt:variant>
        <vt:i4>2031679</vt:i4>
      </vt:variant>
      <vt:variant>
        <vt:i4>230</vt:i4>
      </vt:variant>
      <vt:variant>
        <vt:i4>0</vt:i4>
      </vt:variant>
      <vt:variant>
        <vt:i4>5</vt:i4>
      </vt:variant>
      <vt:variant>
        <vt:lpwstr/>
      </vt:variant>
      <vt:variant>
        <vt:lpwstr>_Toc58850722</vt:lpwstr>
      </vt:variant>
      <vt:variant>
        <vt:i4>1835071</vt:i4>
      </vt:variant>
      <vt:variant>
        <vt:i4>224</vt:i4>
      </vt:variant>
      <vt:variant>
        <vt:i4>0</vt:i4>
      </vt:variant>
      <vt:variant>
        <vt:i4>5</vt:i4>
      </vt:variant>
      <vt:variant>
        <vt:lpwstr/>
      </vt:variant>
      <vt:variant>
        <vt:lpwstr>_Toc58850721</vt:lpwstr>
      </vt:variant>
      <vt:variant>
        <vt:i4>1900607</vt:i4>
      </vt:variant>
      <vt:variant>
        <vt:i4>218</vt:i4>
      </vt:variant>
      <vt:variant>
        <vt:i4>0</vt:i4>
      </vt:variant>
      <vt:variant>
        <vt:i4>5</vt:i4>
      </vt:variant>
      <vt:variant>
        <vt:lpwstr/>
      </vt:variant>
      <vt:variant>
        <vt:lpwstr>_Toc58850720</vt:lpwstr>
      </vt:variant>
      <vt:variant>
        <vt:i4>1310780</vt:i4>
      </vt:variant>
      <vt:variant>
        <vt:i4>212</vt:i4>
      </vt:variant>
      <vt:variant>
        <vt:i4>0</vt:i4>
      </vt:variant>
      <vt:variant>
        <vt:i4>5</vt:i4>
      </vt:variant>
      <vt:variant>
        <vt:lpwstr/>
      </vt:variant>
      <vt:variant>
        <vt:lpwstr>_Toc58850719</vt:lpwstr>
      </vt:variant>
      <vt:variant>
        <vt:i4>1376316</vt:i4>
      </vt:variant>
      <vt:variant>
        <vt:i4>206</vt:i4>
      </vt:variant>
      <vt:variant>
        <vt:i4>0</vt:i4>
      </vt:variant>
      <vt:variant>
        <vt:i4>5</vt:i4>
      </vt:variant>
      <vt:variant>
        <vt:lpwstr/>
      </vt:variant>
      <vt:variant>
        <vt:lpwstr>_Toc58850718</vt:lpwstr>
      </vt:variant>
      <vt:variant>
        <vt:i4>1703996</vt:i4>
      </vt:variant>
      <vt:variant>
        <vt:i4>200</vt:i4>
      </vt:variant>
      <vt:variant>
        <vt:i4>0</vt:i4>
      </vt:variant>
      <vt:variant>
        <vt:i4>5</vt:i4>
      </vt:variant>
      <vt:variant>
        <vt:lpwstr/>
      </vt:variant>
      <vt:variant>
        <vt:lpwstr>_Toc58850717</vt:lpwstr>
      </vt:variant>
      <vt:variant>
        <vt:i4>1769532</vt:i4>
      </vt:variant>
      <vt:variant>
        <vt:i4>194</vt:i4>
      </vt:variant>
      <vt:variant>
        <vt:i4>0</vt:i4>
      </vt:variant>
      <vt:variant>
        <vt:i4>5</vt:i4>
      </vt:variant>
      <vt:variant>
        <vt:lpwstr/>
      </vt:variant>
      <vt:variant>
        <vt:lpwstr>_Toc58850716</vt:lpwstr>
      </vt:variant>
      <vt:variant>
        <vt:i4>1572924</vt:i4>
      </vt:variant>
      <vt:variant>
        <vt:i4>188</vt:i4>
      </vt:variant>
      <vt:variant>
        <vt:i4>0</vt:i4>
      </vt:variant>
      <vt:variant>
        <vt:i4>5</vt:i4>
      </vt:variant>
      <vt:variant>
        <vt:lpwstr/>
      </vt:variant>
      <vt:variant>
        <vt:lpwstr>_Toc58850715</vt:lpwstr>
      </vt:variant>
      <vt:variant>
        <vt:i4>1638460</vt:i4>
      </vt:variant>
      <vt:variant>
        <vt:i4>182</vt:i4>
      </vt:variant>
      <vt:variant>
        <vt:i4>0</vt:i4>
      </vt:variant>
      <vt:variant>
        <vt:i4>5</vt:i4>
      </vt:variant>
      <vt:variant>
        <vt:lpwstr/>
      </vt:variant>
      <vt:variant>
        <vt:lpwstr>_Toc58850714</vt:lpwstr>
      </vt:variant>
      <vt:variant>
        <vt:i4>1966140</vt:i4>
      </vt:variant>
      <vt:variant>
        <vt:i4>176</vt:i4>
      </vt:variant>
      <vt:variant>
        <vt:i4>0</vt:i4>
      </vt:variant>
      <vt:variant>
        <vt:i4>5</vt:i4>
      </vt:variant>
      <vt:variant>
        <vt:lpwstr/>
      </vt:variant>
      <vt:variant>
        <vt:lpwstr>_Toc58850713</vt:lpwstr>
      </vt:variant>
      <vt:variant>
        <vt:i4>2031676</vt:i4>
      </vt:variant>
      <vt:variant>
        <vt:i4>170</vt:i4>
      </vt:variant>
      <vt:variant>
        <vt:i4>0</vt:i4>
      </vt:variant>
      <vt:variant>
        <vt:i4>5</vt:i4>
      </vt:variant>
      <vt:variant>
        <vt:lpwstr/>
      </vt:variant>
      <vt:variant>
        <vt:lpwstr>_Toc58850712</vt:lpwstr>
      </vt:variant>
      <vt:variant>
        <vt:i4>1835068</vt:i4>
      </vt:variant>
      <vt:variant>
        <vt:i4>164</vt:i4>
      </vt:variant>
      <vt:variant>
        <vt:i4>0</vt:i4>
      </vt:variant>
      <vt:variant>
        <vt:i4>5</vt:i4>
      </vt:variant>
      <vt:variant>
        <vt:lpwstr/>
      </vt:variant>
      <vt:variant>
        <vt:lpwstr>_Toc58850711</vt:lpwstr>
      </vt:variant>
      <vt:variant>
        <vt:i4>1900604</vt:i4>
      </vt:variant>
      <vt:variant>
        <vt:i4>158</vt:i4>
      </vt:variant>
      <vt:variant>
        <vt:i4>0</vt:i4>
      </vt:variant>
      <vt:variant>
        <vt:i4>5</vt:i4>
      </vt:variant>
      <vt:variant>
        <vt:lpwstr/>
      </vt:variant>
      <vt:variant>
        <vt:lpwstr>_Toc58850710</vt:lpwstr>
      </vt:variant>
      <vt:variant>
        <vt:i4>1310781</vt:i4>
      </vt:variant>
      <vt:variant>
        <vt:i4>152</vt:i4>
      </vt:variant>
      <vt:variant>
        <vt:i4>0</vt:i4>
      </vt:variant>
      <vt:variant>
        <vt:i4>5</vt:i4>
      </vt:variant>
      <vt:variant>
        <vt:lpwstr/>
      </vt:variant>
      <vt:variant>
        <vt:lpwstr>_Toc58850709</vt:lpwstr>
      </vt:variant>
      <vt:variant>
        <vt:i4>1376317</vt:i4>
      </vt:variant>
      <vt:variant>
        <vt:i4>146</vt:i4>
      </vt:variant>
      <vt:variant>
        <vt:i4>0</vt:i4>
      </vt:variant>
      <vt:variant>
        <vt:i4>5</vt:i4>
      </vt:variant>
      <vt:variant>
        <vt:lpwstr/>
      </vt:variant>
      <vt:variant>
        <vt:lpwstr>_Toc58850708</vt:lpwstr>
      </vt:variant>
      <vt:variant>
        <vt:i4>1703997</vt:i4>
      </vt:variant>
      <vt:variant>
        <vt:i4>140</vt:i4>
      </vt:variant>
      <vt:variant>
        <vt:i4>0</vt:i4>
      </vt:variant>
      <vt:variant>
        <vt:i4>5</vt:i4>
      </vt:variant>
      <vt:variant>
        <vt:lpwstr/>
      </vt:variant>
      <vt:variant>
        <vt:lpwstr>_Toc58850707</vt:lpwstr>
      </vt:variant>
      <vt:variant>
        <vt:i4>1769533</vt:i4>
      </vt:variant>
      <vt:variant>
        <vt:i4>134</vt:i4>
      </vt:variant>
      <vt:variant>
        <vt:i4>0</vt:i4>
      </vt:variant>
      <vt:variant>
        <vt:i4>5</vt:i4>
      </vt:variant>
      <vt:variant>
        <vt:lpwstr/>
      </vt:variant>
      <vt:variant>
        <vt:lpwstr>_Toc58850706</vt:lpwstr>
      </vt:variant>
      <vt:variant>
        <vt:i4>1572925</vt:i4>
      </vt:variant>
      <vt:variant>
        <vt:i4>128</vt:i4>
      </vt:variant>
      <vt:variant>
        <vt:i4>0</vt:i4>
      </vt:variant>
      <vt:variant>
        <vt:i4>5</vt:i4>
      </vt:variant>
      <vt:variant>
        <vt:lpwstr/>
      </vt:variant>
      <vt:variant>
        <vt:lpwstr>_Toc58850705</vt:lpwstr>
      </vt:variant>
      <vt:variant>
        <vt:i4>1638461</vt:i4>
      </vt:variant>
      <vt:variant>
        <vt:i4>122</vt:i4>
      </vt:variant>
      <vt:variant>
        <vt:i4>0</vt:i4>
      </vt:variant>
      <vt:variant>
        <vt:i4>5</vt:i4>
      </vt:variant>
      <vt:variant>
        <vt:lpwstr/>
      </vt:variant>
      <vt:variant>
        <vt:lpwstr>_Toc58850704</vt:lpwstr>
      </vt:variant>
      <vt:variant>
        <vt:i4>1966141</vt:i4>
      </vt:variant>
      <vt:variant>
        <vt:i4>116</vt:i4>
      </vt:variant>
      <vt:variant>
        <vt:i4>0</vt:i4>
      </vt:variant>
      <vt:variant>
        <vt:i4>5</vt:i4>
      </vt:variant>
      <vt:variant>
        <vt:lpwstr/>
      </vt:variant>
      <vt:variant>
        <vt:lpwstr>_Toc58850703</vt:lpwstr>
      </vt:variant>
      <vt:variant>
        <vt:i4>2031677</vt:i4>
      </vt:variant>
      <vt:variant>
        <vt:i4>110</vt:i4>
      </vt:variant>
      <vt:variant>
        <vt:i4>0</vt:i4>
      </vt:variant>
      <vt:variant>
        <vt:i4>5</vt:i4>
      </vt:variant>
      <vt:variant>
        <vt:lpwstr/>
      </vt:variant>
      <vt:variant>
        <vt:lpwstr>_Toc58850702</vt:lpwstr>
      </vt:variant>
      <vt:variant>
        <vt:i4>1835069</vt:i4>
      </vt:variant>
      <vt:variant>
        <vt:i4>104</vt:i4>
      </vt:variant>
      <vt:variant>
        <vt:i4>0</vt:i4>
      </vt:variant>
      <vt:variant>
        <vt:i4>5</vt:i4>
      </vt:variant>
      <vt:variant>
        <vt:lpwstr/>
      </vt:variant>
      <vt:variant>
        <vt:lpwstr>_Toc58850701</vt:lpwstr>
      </vt:variant>
      <vt:variant>
        <vt:i4>1900605</vt:i4>
      </vt:variant>
      <vt:variant>
        <vt:i4>98</vt:i4>
      </vt:variant>
      <vt:variant>
        <vt:i4>0</vt:i4>
      </vt:variant>
      <vt:variant>
        <vt:i4>5</vt:i4>
      </vt:variant>
      <vt:variant>
        <vt:lpwstr/>
      </vt:variant>
      <vt:variant>
        <vt:lpwstr>_Toc58850700</vt:lpwstr>
      </vt:variant>
      <vt:variant>
        <vt:i4>1376308</vt:i4>
      </vt:variant>
      <vt:variant>
        <vt:i4>92</vt:i4>
      </vt:variant>
      <vt:variant>
        <vt:i4>0</vt:i4>
      </vt:variant>
      <vt:variant>
        <vt:i4>5</vt:i4>
      </vt:variant>
      <vt:variant>
        <vt:lpwstr/>
      </vt:variant>
      <vt:variant>
        <vt:lpwstr>_Toc58850699</vt:lpwstr>
      </vt:variant>
      <vt:variant>
        <vt:i4>1310772</vt:i4>
      </vt:variant>
      <vt:variant>
        <vt:i4>86</vt:i4>
      </vt:variant>
      <vt:variant>
        <vt:i4>0</vt:i4>
      </vt:variant>
      <vt:variant>
        <vt:i4>5</vt:i4>
      </vt:variant>
      <vt:variant>
        <vt:lpwstr/>
      </vt:variant>
      <vt:variant>
        <vt:lpwstr>_Toc58850698</vt:lpwstr>
      </vt:variant>
      <vt:variant>
        <vt:i4>1769524</vt:i4>
      </vt:variant>
      <vt:variant>
        <vt:i4>80</vt:i4>
      </vt:variant>
      <vt:variant>
        <vt:i4>0</vt:i4>
      </vt:variant>
      <vt:variant>
        <vt:i4>5</vt:i4>
      </vt:variant>
      <vt:variant>
        <vt:lpwstr/>
      </vt:variant>
      <vt:variant>
        <vt:lpwstr>_Toc58850697</vt:lpwstr>
      </vt:variant>
      <vt:variant>
        <vt:i4>1703988</vt:i4>
      </vt:variant>
      <vt:variant>
        <vt:i4>74</vt:i4>
      </vt:variant>
      <vt:variant>
        <vt:i4>0</vt:i4>
      </vt:variant>
      <vt:variant>
        <vt:i4>5</vt:i4>
      </vt:variant>
      <vt:variant>
        <vt:lpwstr/>
      </vt:variant>
      <vt:variant>
        <vt:lpwstr>_Toc58850696</vt:lpwstr>
      </vt:variant>
      <vt:variant>
        <vt:i4>1638452</vt:i4>
      </vt:variant>
      <vt:variant>
        <vt:i4>68</vt:i4>
      </vt:variant>
      <vt:variant>
        <vt:i4>0</vt:i4>
      </vt:variant>
      <vt:variant>
        <vt:i4>5</vt:i4>
      </vt:variant>
      <vt:variant>
        <vt:lpwstr/>
      </vt:variant>
      <vt:variant>
        <vt:lpwstr>_Toc58850695</vt:lpwstr>
      </vt:variant>
      <vt:variant>
        <vt:i4>1572916</vt:i4>
      </vt:variant>
      <vt:variant>
        <vt:i4>62</vt:i4>
      </vt:variant>
      <vt:variant>
        <vt:i4>0</vt:i4>
      </vt:variant>
      <vt:variant>
        <vt:i4>5</vt:i4>
      </vt:variant>
      <vt:variant>
        <vt:lpwstr/>
      </vt:variant>
      <vt:variant>
        <vt:lpwstr>_Toc58850694</vt:lpwstr>
      </vt:variant>
      <vt:variant>
        <vt:i4>2031668</vt:i4>
      </vt:variant>
      <vt:variant>
        <vt:i4>56</vt:i4>
      </vt:variant>
      <vt:variant>
        <vt:i4>0</vt:i4>
      </vt:variant>
      <vt:variant>
        <vt:i4>5</vt:i4>
      </vt:variant>
      <vt:variant>
        <vt:lpwstr/>
      </vt:variant>
      <vt:variant>
        <vt:lpwstr>_Toc58850693</vt:lpwstr>
      </vt:variant>
      <vt:variant>
        <vt:i4>1966132</vt:i4>
      </vt:variant>
      <vt:variant>
        <vt:i4>50</vt:i4>
      </vt:variant>
      <vt:variant>
        <vt:i4>0</vt:i4>
      </vt:variant>
      <vt:variant>
        <vt:i4>5</vt:i4>
      </vt:variant>
      <vt:variant>
        <vt:lpwstr/>
      </vt:variant>
      <vt:variant>
        <vt:lpwstr>_Toc58850692</vt:lpwstr>
      </vt:variant>
      <vt:variant>
        <vt:i4>1900596</vt:i4>
      </vt:variant>
      <vt:variant>
        <vt:i4>44</vt:i4>
      </vt:variant>
      <vt:variant>
        <vt:i4>0</vt:i4>
      </vt:variant>
      <vt:variant>
        <vt:i4>5</vt:i4>
      </vt:variant>
      <vt:variant>
        <vt:lpwstr/>
      </vt:variant>
      <vt:variant>
        <vt:lpwstr>_Toc58850691</vt:lpwstr>
      </vt:variant>
      <vt:variant>
        <vt:i4>1835060</vt:i4>
      </vt:variant>
      <vt:variant>
        <vt:i4>38</vt:i4>
      </vt:variant>
      <vt:variant>
        <vt:i4>0</vt:i4>
      </vt:variant>
      <vt:variant>
        <vt:i4>5</vt:i4>
      </vt:variant>
      <vt:variant>
        <vt:lpwstr/>
      </vt:variant>
      <vt:variant>
        <vt:lpwstr>_Toc58850690</vt:lpwstr>
      </vt:variant>
      <vt:variant>
        <vt:i4>1376309</vt:i4>
      </vt:variant>
      <vt:variant>
        <vt:i4>32</vt:i4>
      </vt:variant>
      <vt:variant>
        <vt:i4>0</vt:i4>
      </vt:variant>
      <vt:variant>
        <vt:i4>5</vt:i4>
      </vt:variant>
      <vt:variant>
        <vt:lpwstr/>
      </vt:variant>
      <vt:variant>
        <vt:lpwstr>_Toc58850689</vt:lpwstr>
      </vt:variant>
      <vt:variant>
        <vt:i4>1310773</vt:i4>
      </vt:variant>
      <vt:variant>
        <vt:i4>26</vt:i4>
      </vt:variant>
      <vt:variant>
        <vt:i4>0</vt:i4>
      </vt:variant>
      <vt:variant>
        <vt:i4>5</vt:i4>
      </vt:variant>
      <vt:variant>
        <vt:lpwstr/>
      </vt:variant>
      <vt:variant>
        <vt:lpwstr>_Toc58850688</vt:lpwstr>
      </vt:variant>
      <vt:variant>
        <vt:i4>1769525</vt:i4>
      </vt:variant>
      <vt:variant>
        <vt:i4>20</vt:i4>
      </vt:variant>
      <vt:variant>
        <vt:i4>0</vt:i4>
      </vt:variant>
      <vt:variant>
        <vt:i4>5</vt:i4>
      </vt:variant>
      <vt:variant>
        <vt:lpwstr/>
      </vt:variant>
      <vt:variant>
        <vt:lpwstr>_Toc58850687</vt:lpwstr>
      </vt:variant>
      <vt:variant>
        <vt:i4>1703989</vt:i4>
      </vt:variant>
      <vt:variant>
        <vt:i4>14</vt:i4>
      </vt:variant>
      <vt:variant>
        <vt:i4>0</vt:i4>
      </vt:variant>
      <vt:variant>
        <vt:i4>5</vt:i4>
      </vt:variant>
      <vt:variant>
        <vt:lpwstr/>
      </vt:variant>
      <vt:variant>
        <vt:lpwstr>_Toc58850686</vt:lpwstr>
      </vt:variant>
      <vt:variant>
        <vt:i4>1638453</vt:i4>
      </vt:variant>
      <vt:variant>
        <vt:i4>8</vt:i4>
      </vt:variant>
      <vt:variant>
        <vt:i4>0</vt:i4>
      </vt:variant>
      <vt:variant>
        <vt:i4>5</vt:i4>
      </vt:variant>
      <vt:variant>
        <vt:lpwstr/>
      </vt:variant>
      <vt:variant>
        <vt:lpwstr>_Toc58850685</vt:lpwstr>
      </vt:variant>
      <vt:variant>
        <vt:i4>1572917</vt:i4>
      </vt:variant>
      <vt:variant>
        <vt:i4>2</vt:i4>
      </vt:variant>
      <vt:variant>
        <vt:i4>0</vt:i4>
      </vt:variant>
      <vt:variant>
        <vt:i4>5</vt:i4>
      </vt:variant>
      <vt:variant>
        <vt:lpwstr/>
      </vt:variant>
      <vt:variant>
        <vt:lpwstr>_Toc58850684</vt:lpwstr>
      </vt:variant>
      <vt:variant>
        <vt:i4>2162754</vt:i4>
      </vt:variant>
      <vt:variant>
        <vt:i4>0</vt:i4>
      </vt:variant>
      <vt:variant>
        <vt:i4>0</vt:i4>
      </vt:variant>
      <vt:variant>
        <vt:i4>5</vt:i4>
      </vt:variant>
      <vt:variant>
        <vt:lpwstr>http://nicedsu.org.uk/wp-content/uploads/2017/05/DSU_3L-to-5L-FINAL.pdf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2021-07-08T02:25:00Z</dcterms:created>
  <dcterms:modified xsi:type="dcterms:W3CDTF">2021-07-08T02:25:00Z</dcterms:modified>
</cp:coreProperties>
</file>