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E209B2" w:rsidRDefault="009E2277" w:rsidP="004A6040">
      <w:pPr>
        <w:pStyle w:val="1-MainHeading"/>
      </w:pPr>
      <w:r w:rsidRPr="00E209B2">
        <w:t>6.02</w:t>
      </w:r>
      <w:r w:rsidR="00163F66" w:rsidRPr="00E209B2">
        <w:tab/>
      </w:r>
      <w:r w:rsidR="002574A6" w:rsidRPr="00E209B2">
        <w:t>AVELUMAB</w:t>
      </w:r>
      <w:r w:rsidR="00163F66" w:rsidRPr="00E209B2">
        <w:t>,</w:t>
      </w:r>
      <w:r w:rsidR="00163F66" w:rsidRPr="00E209B2">
        <w:br/>
      </w:r>
      <w:r w:rsidR="002574A6" w:rsidRPr="00E209B2">
        <w:t>Solution concentrate for I.V. infusion</w:t>
      </w:r>
      <w:r w:rsidR="007C2CD1" w:rsidRPr="00E209B2">
        <w:t xml:space="preserve"> 200 mg in</w:t>
      </w:r>
      <w:r w:rsidR="007C2CD1" w:rsidRPr="00E209B2">
        <w:br/>
      </w:r>
      <w:r w:rsidR="002574A6" w:rsidRPr="00E209B2">
        <w:t>10 mL</w:t>
      </w:r>
      <w:r w:rsidR="00163F66" w:rsidRPr="00E209B2">
        <w:t>,</w:t>
      </w:r>
      <w:r w:rsidR="00163F66" w:rsidRPr="00E209B2">
        <w:br/>
      </w:r>
      <w:r w:rsidR="002574A6" w:rsidRPr="00E209B2">
        <w:t>Bavencio</w:t>
      </w:r>
      <w:r w:rsidR="002574A6" w:rsidRPr="00E209B2">
        <w:rPr>
          <w:rFonts w:cstheme="minorHAnsi"/>
        </w:rPr>
        <w:t>®</w:t>
      </w:r>
      <w:r w:rsidR="004A6040" w:rsidRPr="00E209B2">
        <w:t>,</w:t>
      </w:r>
      <w:r w:rsidR="004A6040" w:rsidRPr="00E209B2">
        <w:br/>
      </w:r>
      <w:r w:rsidR="002574A6" w:rsidRPr="00E209B2">
        <w:t>Merck Healthcare Pty Ltd</w:t>
      </w:r>
      <w:r w:rsidR="00B60939" w:rsidRPr="00E209B2">
        <w:t>.</w:t>
      </w:r>
    </w:p>
    <w:p w:rsidR="00B50DB8" w:rsidRPr="00E209B2" w:rsidRDefault="00B50DB8" w:rsidP="004A6040">
      <w:pPr>
        <w:pStyle w:val="2-SectionHeading"/>
      </w:pPr>
      <w:bookmarkStart w:id="0" w:name="_Toc62036114"/>
      <w:r w:rsidRPr="00E209B2">
        <w:t xml:space="preserve">Purpose of </w:t>
      </w:r>
      <w:r w:rsidR="00CD7193" w:rsidRPr="00E209B2">
        <w:t>s</w:t>
      </w:r>
      <w:r w:rsidR="00BB3A45" w:rsidRPr="00E209B2">
        <w:t>ubmission</w:t>
      </w:r>
      <w:bookmarkEnd w:id="0"/>
    </w:p>
    <w:p w:rsidR="00C2778B" w:rsidRPr="00E209B2" w:rsidRDefault="00FF0097" w:rsidP="001F7F81">
      <w:pPr>
        <w:pStyle w:val="ExecSumBodyText"/>
      </w:pPr>
      <w:r w:rsidRPr="00E209B2">
        <w:t xml:space="preserve">The submission requested a Section 100 (Efficient Funding of Chemotherapy), Authority Required (Streamlined) listing of avelumab, for the maintenance treatment of locally advanced (Stage III) or metastatic (Stage IV) urothelial carcinoma in patients whose disease has not progressed following first-line platinum-based chemotherapy. </w:t>
      </w:r>
      <w:r w:rsidR="005750C5" w:rsidRPr="00E209B2">
        <w:t xml:space="preserve">Listing </w:t>
      </w:r>
      <w:r w:rsidR="006A7372" w:rsidRPr="00E209B2">
        <w:t xml:space="preserve">for avelumab </w:t>
      </w:r>
      <w:r w:rsidR="005750C5" w:rsidRPr="00E209B2">
        <w:t>was requested on the basis of a cost-effectiveness</w:t>
      </w:r>
      <w:r w:rsidRPr="00E209B2">
        <w:t xml:space="preserve"> analysis </w:t>
      </w:r>
      <w:r w:rsidR="006A7372" w:rsidRPr="00E209B2">
        <w:t xml:space="preserve">of avelumab + best supportive care (BSC) </w:t>
      </w:r>
      <w:r w:rsidR="005750C5" w:rsidRPr="00E209B2">
        <w:t xml:space="preserve">versus </w:t>
      </w:r>
      <w:r w:rsidRPr="00E209B2">
        <w:t>BSC</w:t>
      </w:r>
      <w:r w:rsidR="005750C5" w:rsidRPr="00E209B2">
        <w:t xml:space="preserve">. </w:t>
      </w:r>
      <w:r w:rsidRPr="00E209B2">
        <w:rPr>
          <w:iCs/>
        </w:rPr>
        <w:t>The PBAC has not previously considered avelumab for this indication</w:t>
      </w:r>
      <w:r w:rsidR="00E209B2">
        <w:rPr>
          <w:iCs/>
        </w:rPr>
        <w:t xml:space="preserve">. </w:t>
      </w:r>
    </w:p>
    <w:p w:rsidR="008B1757" w:rsidRPr="00E209B2" w:rsidRDefault="008B1757" w:rsidP="00230DB1">
      <w:pPr>
        <w:pStyle w:val="TableFigureCaption"/>
      </w:pPr>
      <w:bookmarkStart w:id="1" w:name="_Hlk61423399"/>
      <w:r w:rsidRPr="00E209B2">
        <w:t xml:space="preserve">Table </w:t>
      </w:r>
      <w:r w:rsidR="00580AA6" w:rsidRPr="00E209B2">
        <w:t>1</w:t>
      </w:r>
      <w:r w:rsidRPr="00E209B2">
        <w:t>:</w:t>
      </w:r>
      <w:r w:rsidR="00BC591F" w:rsidRPr="00E209B2">
        <w:t xml:space="preserve"> </w:t>
      </w:r>
      <w:r w:rsidRPr="00E209B2">
        <w:t xml:space="preserve">Key components of the clinical issue addressed </w:t>
      </w:r>
      <w:r w:rsidR="00D17FAA" w:rsidRPr="00E209B2">
        <w:t>in</w:t>
      </w:r>
      <w:r w:rsidRPr="00E209B2">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E209B2" w:rsidTr="002A2ADE">
        <w:trPr>
          <w:cantSplit/>
          <w:tblHeader/>
        </w:trPr>
        <w:tc>
          <w:tcPr>
            <w:tcW w:w="924" w:type="pct"/>
            <w:shd w:val="clear" w:color="auto" w:fill="auto"/>
          </w:tcPr>
          <w:bookmarkEnd w:id="1"/>
          <w:p w:rsidR="008B1757" w:rsidRPr="00E209B2" w:rsidRDefault="008B1757" w:rsidP="004A6040">
            <w:pPr>
              <w:pStyle w:val="Tableheadingrow"/>
              <w:rPr>
                <w:szCs w:val="20"/>
                <w:lang w:val="en-AU"/>
              </w:rPr>
            </w:pPr>
            <w:r w:rsidRPr="00E209B2">
              <w:rPr>
                <w:lang w:val="en-AU"/>
              </w:rPr>
              <w:t>Component</w:t>
            </w:r>
          </w:p>
        </w:tc>
        <w:tc>
          <w:tcPr>
            <w:tcW w:w="4076" w:type="pct"/>
            <w:shd w:val="clear" w:color="auto" w:fill="auto"/>
          </w:tcPr>
          <w:p w:rsidR="008B1757" w:rsidRPr="00E209B2" w:rsidRDefault="008B1757" w:rsidP="004A6040">
            <w:pPr>
              <w:pStyle w:val="Tableheadingrow"/>
              <w:rPr>
                <w:lang w:val="en-AU"/>
              </w:rPr>
            </w:pPr>
            <w:r w:rsidRPr="00E209B2">
              <w:rPr>
                <w:lang w:val="en-AU"/>
              </w:rPr>
              <w:t>Description</w:t>
            </w:r>
          </w:p>
        </w:tc>
      </w:tr>
      <w:tr w:rsidR="00580AA6" w:rsidRPr="00E209B2" w:rsidTr="0076569E">
        <w:trPr>
          <w:cantSplit/>
        </w:trPr>
        <w:tc>
          <w:tcPr>
            <w:tcW w:w="924" w:type="pct"/>
            <w:shd w:val="clear" w:color="auto" w:fill="auto"/>
            <w:vAlign w:val="center"/>
          </w:tcPr>
          <w:p w:rsidR="00580AA6" w:rsidRPr="00E209B2" w:rsidRDefault="00580AA6" w:rsidP="00580AA6">
            <w:pPr>
              <w:pStyle w:val="TableText"/>
            </w:pPr>
            <w:r w:rsidRPr="00E209B2">
              <w:t>Population</w:t>
            </w:r>
          </w:p>
        </w:tc>
        <w:tc>
          <w:tcPr>
            <w:tcW w:w="4076" w:type="pct"/>
            <w:shd w:val="clear" w:color="auto" w:fill="auto"/>
            <w:vAlign w:val="center"/>
          </w:tcPr>
          <w:p w:rsidR="00580AA6" w:rsidRPr="00E209B2" w:rsidRDefault="00580AA6" w:rsidP="00580AA6">
            <w:pPr>
              <w:pStyle w:val="TableText"/>
              <w:rPr>
                <w:szCs w:val="20"/>
              </w:rPr>
            </w:pPr>
            <w:r w:rsidRPr="00E209B2">
              <w:t>Patients with unresectable locally advanced (Stage III) or metastatic (Stage IV) urothelial carcinoma whose disease has not progressed with first-line platinum-based chemotherapy.</w:t>
            </w:r>
          </w:p>
        </w:tc>
      </w:tr>
      <w:tr w:rsidR="00580AA6" w:rsidRPr="00E209B2" w:rsidTr="001F7F81">
        <w:trPr>
          <w:cantSplit/>
        </w:trPr>
        <w:tc>
          <w:tcPr>
            <w:tcW w:w="924" w:type="pct"/>
            <w:shd w:val="clear" w:color="auto" w:fill="auto"/>
            <w:vAlign w:val="center"/>
          </w:tcPr>
          <w:p w:rsidR="00580AA6" w:rsidRPr="00E209B2" w:rsidRDefault="00580AA6" w:rsidP="00580AA6">
            <w:pPr>
              <w:pStyle w:val="TableText"/>
            </w:pPr>
            <w:r w:rsidRPr="00E209B2">
              <w:t>Intervention</w:t>
            </w:r>
          </w:p>
        </w:tc>
        <w:tc>
          <w:tcPr>
            <w:tcW w:w="4076" w:type="pct"/>
            <w:shd w:val="clear" w:color="auto" w:fill="auto"/>
            <w:vAlign w:val="center"/>
          </w:tcPr>
          <w:p w:rsidR="00580AA6" w:rsidRPr="00E209B2" w:rsidRDefault="00580AA6" w:rsidP="00580AA6">
            <w:pPr>
              <w:pStyle w:val="TableText"/>
            </w:pPr>
            <w:r w:rsidRPr="00E209B2">
              <w:t xml:space="preserve">Avelumab 800 mg </w:t>
            </w:r>
            <w:r w:rsidR="0076569E" w:rsidRPr="00E209B2">
              <w:t>by intravenous infusion</w:t>
            </w:r>
            <w:r w:rsidRPr="00E209B2">
              <w:t xml:space="preserve"> every 2 weeks</w:t>
            </w:r>
          </w:p>
        </w:tc>
      </w:tr>
      <w:tr w:rsidR="00580AA6" w:rsidRPr="00E209B2" w:rsidTr="001F7F81">
        <w:trPr>
          <w:cantSplit/>
        </w:trPr>
        <w:tc>
          <w:tcPr>
            <w:tcW w:w="924" w:type="pct"/>
            <w:shd w:val="clear" w:color="auto" w:fill="auto"/>
            <w:vAlign w:val="center"/>
          </w:tcPr>
          <w:p w:rsidR="00580AA6" w:rsidRPr="00E209B2" w:rsidRDefault="00580AA6" w:rsidP="00580AA6">
            <w:pPr>
              <w:pStyle w:val="TableText"/>
            </w:pPr>
            <w:r w:rsidRPr="00E209B2">
              <w:t>Comparator</w:t>
            </w:r>
          </w:p>
        </w:tc>
        <w:tc>
          <w:tcPr>
            <w:tcW w:w="4076" w:type="pct"/>
            <w:shd w:val="clear" w:color="auto" w:fill="auto"/>
            <w:vAlign w:val="center"/>
          </w:tcPr>
          <w:p w:rsidR="00580AA6" w:rsidRPr="00E209B2" w:rsidRDefault="00580AA6" w:rsidP="00580AA6">
            <w:pPr>
              <w:pStyle w:val="TableText"/>
            </w:pPr>
            <w:r w:rsidRPr="00E209B2">
              <w:t>Best supportive care, representing watch and wait monitoring</w:t>
            </w:r>
            <w:r w:rsidRPr="00E209B2">
              <w:rPr>
                <w:vertAlign w:val="superscript"/>
              </w:rPr>
              <w:t>1</w:t>
            </w:r>
          </w:p>
        </w:tc>
      </w:tr>
      <w:tr w:rsidR="00580AA6" w:rsidRPr="00E209B2" w:rsidTr="001F7F81">
        <w:trPr>
          <w:cantSplit/>
        </w:trPr>
        <w:tc>
          <w:tcPr>
            <w:tcW w:w="924" w:type="pct"/>
            <w:shd w:val="clear" w:color="auto" w:fill="auto"/>
            <w:vAlign w:val="center"/>
          </w:tcPr>
          <w:p w:rsidR="00580AA6" w:rsidRPr="00E209B2" w:rsidRDefault="00580AA6" w:rsidP="00580AA6">
            <w:pPr>
              <w:pStyle w:val="TableText"/>
            </w:pPr>
            <w:r w:rsidRPr="00E209B2">
              <w:t>Outcomes</w:t>
            </w:r>
          </w:p>
        </w:tc>
        <w:tc>
          <w:tcPr>
            <w:tcW w:w="4076" w:type="pct"/>
            <w:shd w:val="clear" w:color="auto" w:fill="auto"/>
            <w:vAlign w:val="center"/>
          </w:tcPr>
          <w:p w:rsidR="00580AA6" w:rsidRPr="00E209B2" w:rsidRDefault="00580AA6" w:rsidP="00580AA6">
            <w:pPr>
              <w:pStyle w:val="TableText"/>
              <w:rPr>
                <w:rFonts w:eastAsia="Times New Roman" w:cs="Arial"/>
                <w:bCs w:val="0"/>
                <w:snapToGrid w:val="0"/>
                <w:color w:val="0066FF"/>
                <w:szCs w:val="20"/>
              </w:rPr>
            </w:pPr>
            <w:r w:rsidRPr="00E209B2">
              <w:t>Overall survival, progression-free survival, safety, quality of life.</w:t>
            </w:r>
          </w:p>
        </w:tc>
      </w:tr>
      <w:tr w:rsidR="00580AA6" w:rsidRPr="00E209B2" w:rsidTr="001F7F81">
        <w:trPr>
          <w:cantSplit/>
        </w:trPr>
        <w:tc>
          <w:tcPr>
            <w:tcW w:w="924" w:type="pct"/>
            <w:shd w:val="clear" w:color="auto" w:fill="auto"/>
            <w:vAlign w:val="center"/>
          </w:tcPr>
          <w:p w:rsidR="00580AA6" w:rsidRPr="00E209B2" w:rsidRDefault="00580AA6" w:rsidP="00580AA6">
            <w:pPr>
              <w:pStyle w:val="TableText"/>
            </w:pPr>
            <w:r w:rsidRPr="00E209B2">
              <w:t>Clinical claim</w:t>
            </w:r>
          </w:p>
        </w:tc>
        <w:tc>
          <w:tcPr>
            <w:tcW w:w="4076" w:type="pct"/>
            <w:shd w:val="clear" w:color="auto" w:fill="auto"/>
            <w:vAlign w:val="center"/>
          </w:tcPr>
          <w:p w:rsidR="00580AA6" w:rsidRPr="00E209B2" w:rsidRDefault="00580AA6" w:rsidP="00580AA6">
            <w:pPr>
              <w:pStyle w:val="TableText"/>
              <w:rPr>
                <w:rFonts w:eastAsia="Times New Roman" w:cs="Arial"/>
                <w:bCs w:val="0"/>
                <w:snapToGrid w:val="0"/>
                <w:color w:val="0066FF"/>
                <w:szCs w:val="20"/>
              </w:rPr>
            </w:pPr>
            <w:r w:rsidRPr="00E209B2">
              <w:t>In patients with locally advanced or metastatic urothelial carcinoma whose disease has not progressed on first-line platinum-based chemotherapy, avelumab is superior in terms of overall and progression-free survival, and inferior in terms of safety compared to best supportive care.</w:t>
            </w:r>
          </w:p>
        </w:tc>
      </w:tr>
    </w:tbl>
    <w:p w:rsidR="00580AA6" w:rsidRPr="00E209B2" w:rsidRDefault="00580AA6" w:rsidP="00580AA6">
      <w:pPr>
        <w:pStyle w:val="TableFigureFooter"/>
      </w:pPr>
      <w:r w:rsidRPr="00E209B2">
        <w:t>Source: Table 1.1-1, p15 of the submission.</w:t>
      </w:r>
    </w:p>
    <w:p w:rsidR="004E43B2" w:rsidRPr="00E209B2" w:rsidRDefault="00580AA6" w:rsidP="004A6040">
      <w:pPr>
        <w:pStyle w:val="TableFigureFooter"/>
      </w:pPr>
      <w:r w:rsidRPr="00E209B2">
        <w:rPr>
          <w:vertAlign w:val="superscript"/>
        </w:rPr>
        <w:t>1</w:t>
      </w:r>
      <w:r w:rsidRPr="00E209B2">
        <w:t xml:space="preserve"> Best supportive care in JAVELIN Bladder 100 trial included treatment with antibiotics, nutritional support, correction of metabolic disorders, optimal symptom control, and pain management (including palliative radiotherapy), but did not include any active antitumour therapy.</w:t>
      </w:r>
    </w:p>
    <w:p w:rsidR="005C25FF" w:rsidRPr="00E209B2" w:rsidRDefault="005C25FF" w:rsidP="004A6040">
      <w:pPr>
        <w:pStyle w:val="2-SectionHeading"/>
      </w:pPr>
      <w:bookmarkStart w:id="2" w:name="_Toc62036115"/>
      <w:r w:rsidRPr="00E209B2">
        <w:t>Background</w:t>
      </w:r>
      <w:bookmarkEnd w:id="2"/>
    </w:p>
    <w:p w:rsidR="005C25FF" w:rsidRPr="00E209B2" w:rsidRDefault="005C25FF" w:rsidP="004A6040">
      <w:pPr>
        <w:pStyle w:val="3-SubsectionHeading"/>
      </w:pPr>
      <w:bookmarkStart w:id="3" w:name="_Toc22897638"/>
      <w:bookmarkStart w:id="4" w:name="_Toc62036116"/>
      <w:r w:rsidRPr="00E209B2">
        <w:t>Registration status</w:t>
      </w:r>
      <w:bookmarkEnd w:id="3"/>
      <w:bookmarkEnd w:id="4"/>
    </w:p>
    <w:p w:rsidR="00580AA6" w:rsidRPr="00E209B2" w:rsidRDefault="00C17BB9" w:rsidP="001F7F81">
      <w:pPr>
        <w:pStyle w:val="ExecSumBodyText"/>
      </w:pPr>
      <w:r w:rsidRPr="00E209B2">
        <w:rPr>
          <w:rFonts w:ascii="Calibri" w:eastAsia="Calibri" w:hAnsi="Calibri"/>
          <w:b/>
          <w:szCs w:val="22"/>
        </w:rPr>
        <w:t xml:space="preserve">TGA status at time of </w:t>
      </w:r>
      <w:r w:rsidR="00091C4E" w:rsidRPr="00E209B2">
        <w:rPr>
          <w:rFonts w:ascii="Calibri" w:eastAsia="Calibri" w:hAnsi="Calibri"/>
          <w:b/>
          <w:szCs w:val="22"/>
        </w:rPr>
        <w:t>PBAC</w:t>
      </w:r>
      <w:r w:rsidRPr="00E209B2">
        <w:rPr>
          <w:rFonts w:ascii="Calibri" w:eastAsia="Calibri" w:hAnsi="Calibri"/>
          <w:b/>
          <w:szCs w:val="22"/>
        </w:rPr>
        <w:t xml:space="preserve"> </w:t>
      </w:r>
      <w:r w:rsidR="00091C4E" w:rsidRPr="00E209B2">
        <w:rPr>
          <w:rFonts w:ascii="Calibri" w:eastAsia="Calibri" w:hAnsi="Calibri"/>
          <w:b/>
          <w:szCs w:val="22"/>
        </w:rPr>
        <w:t>consideration</w:t>
      </w:r>
      <w:r w:rsidRPr="00E209B2">
        <w:rPr>
          <w:rFonts w:ascii="Calibri" w:eastAsia="Calibri" w:hAnsi="Calibri"/>
          <w:szCs w:val="22"/>
        </w:rPr>
        <w:t xml:space="preserve">: </w:t>
      </w:r>
      <w:r w:rsidR="00580AA6" w:rsidRPr="00E209B2">
        <w:t xml:space="preserve">The submission was submitted under the TGA/PBAC parallel process. </w:t>
      </w:r>
      <w:r w:rsidR="00022DD2" w:rsidRPr="00E209B2">
        <w:t>A</w:t>
      </w:r>
      <w:r w:rsidR="00FB1E3E" w:rsidRPr="00E209B2">
        <w:t xml:space="preserve">velumab was registered </w:t>
      </w:r>
      <w:r w:rsidR="00022DD2" w:rsidRPr="00E209B2">
        <w:t xml:space="preserve">on 24 February 2021 </w:t>
      </w:r>
      <w:r w:rsidR="00580AA6" w:rsidRPr="00E209B2">
        <w:t>for the first-line maintenance treatment of patients with locally advanced or metastatic urothelial carcinoma, whose disease has not progressed with first-line platinum-based induction chemotherapy.</w:t>
      </w:r>
    </w:p>
    <w:p w:rsidR="00580AA6" w:rsidRPr="00E209B2" w:rsidRDefault="00580AA6" w:rsidP="001F7F81">
      <w:pPr>
        <w:pStyle w:val="ExecSumBodyText"/>
      </w:pPr>
      <w:r w:rsidRPr="00E209B2">
        <w:lastRenderedPageBreak/>
        <w:t xml:space="preserve">Avelumab was registered on the ARTG in January 2018 for the treatment of adults and paediatric patients 12 years and older with metastatic Merkel </w:t>
      </w:r>
      <w:r w:rsidR="0076569E" w:rsidRPr="00E209B2">
        <w:t>c</w:t>
      </w:r>
      <w:r w:rsidRPr="00E209B2">
        <w:t xml:space="preserve">ell </w:t>
      </w:r>
      <w:r w:rsidR="0076569E" w:rsidRPr="00E209B2">
        <w:t>c</w:t>
      </w:r>
      <w:r w:rsidRPr="00E209B2">
        <w:t>arcinoma. Avelumab was registered on the ARTG in May 2020 for use in combination with axitinib for the first-line treatment of patients with advanced renal cell carcinoma.</w:t>
      </w:r>
    </w:p>
    <w:p w:rsidR="00B60939" w:rsidRPr="00E209B2" w:rsidRDefault="00B50DB8" w:rsidP="004E18E9">
      <w:pPr>
        <w:pStyle w:val="2-SectionHeading"/>
      </w:pPr>
      <w:bookmarkStart w:id="5" w:name="_Toc62036117"/>
      <w:r w:rsidRPr="00E209B2">
        <w:t>Requested listing</w:t>
      </w:r>
      <w:bookmarkEnd w:id="5"/>
    </w:p>
    <w:p w:rsidR="007E5DEA" w:rsidRPr="00E209B2" w:rsidRDefault="007E5DEA" w:rsidP="007E5DEA">
      <w:pPr>
        <w:pStyle w:val="ExecSumBodyText"/>
      </w:pPr>
      <w:r w:rsidRPr="00E209B2">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277"/>
        <w:gridCol w:w="849"/>
        <w:gridCol w:w="851"/>
        <w:gridCol w:w="1701"/>
        <w:gridCol w:w="1650"/>
      </w:tblGrid>
      <w:tr w:rsidR="00A33888" w:rsidRPr="00E209B2" w:rsidTr="00A33888">
        <w:trPr>
          <w:cantSplit/>
          <w:trHeight w:val="471"/>
        </w:trPr>
        <w:tc>
          <w:tcPr>
            <w:tcW w:w="1491" w:type="pct"/>
          </w:tcPr>
          <w:p w:rsidR="00A33888" w:rsidRPr="00E209B2" w:rsidRDefault="00A33888" w:rsidP="00886D2E">
            <w:pPr>
              <w:keepNext/>
              <w:ind w:left="-108"/>
              <w:rPr>
                <w:rFonts w:ascii="Arial Narrow" w:hAnsi="Arial Narrow"/>
                <w:b/>
                <w:sz w:val="18"/>
                <w:szCs w:val="18"/>
              </w:rPr>
            </w:pPr>
            <w:r w:rsidRPr="00E209B2">
              <w:rPr>
                <w:rFonts w:ascii="Arial Narrow" w:hAnsi="Arial Narrow"/>
                <w:b/>
                <w:sz w:val="18"/>
                <w:szCs w:val="18"/>
              </w:rPr>
              <w:t>Name, Restriction,</w:t>
            </w:r>
          </w:p>
          <w:p w:rsidR="00A33888" w:rsidRPr="00E209B2" w:rsidRDefault="00A33888" w:rsidP="00886D2E">
            <w:pPr>
              <w:keepNext/>
              <w:ind w:left="-108"/>
              <w:rPr>
                <w:rFonts w:ascii="Arial Narrow" w:hAnsi="Arial Narrow"/>
                <w:b/>
                <w:sz w:val="18"/>
                <w:szCs w:val="18"/>
              </w:rPr>
            </w:pPr>
            <w:r w:rsidRPr="00E209B2">
              <w:rPr>
                <w:rFonts w:ascii="Arial Narrow" w:hAnsi="Arial Narrow"/>
                <w:b/>
                <w:sz w:val="18"/>
                <w:szCs w:val="18"/>
              </w:rPr>
              <w:t>Manner of administration and form</w:t>
            </w:r>
          </w:p>
        </w:tc>
        <w:tc>
          <w:tcPr>
            <w:tcW w:w="708" w:type="pct"/>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PBS item code</w:t>
            </w:r>
          </w:p>
        </w:tc>
        <w:tc>
          <w:tcPr>
            <w:tcW w:w="471" w:type="pct"/>
            <w:vAlign w:val="center"/>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Max.</w:t>
            </w:r>
          </w:p>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Amount</w:t>
            </w:r>
          </w:p>
        </w:tc>
        <w:tc>
          <w:tcPr>
            <w:tcW w:w="472" w:type="pct"/>
            <w:vAlign w:val="center"/>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№.of</w:t>
            </w:r>
          </w:p>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Rpts</w:t>
            </w:r>
          </w:p>
        </w:tc>
        <w:tc>
          <w:tcPr>
            <w:tcW w:w="943" w:type="pct"/>
            <w:vAlign w:val="center"/>
          </w:tcPr>
          <w:p w:rsidR="00A33888" w:rsidRPr="00E209B2" w:rsidRDefault="00A33888" w:rsidP="00A33888">
            <w:pPr>
              <w:keepNext/>
              <w:jc w:val="center"/>
              <w:rPr>
                <w:rFonts w:ascii="Arial Narrow" w:hAnsi="Arial Narrow"/>
                <w:b/>
                <w:sz w:val="18"/>
                <w:szCs w:val="18"/>
              </w:rPr>
            </w:pPr>
            <w:r w:rsidRPr="00E209B2">
              <w:rPr>
                <w:rFonts w:ascii="Arial Narrow" w:hAnsi="Arial Narrow"/>
                <w:b/>
                <w:sz w:val="18"/>
                <w:szCs w:val="18"/>
              </w:rPr>
              <w:t>Dispensed price for maximum amount</w:t>
            </w:r>
          </w:p>
        </w:tc>
        <w:tc>
          <w:tcPr>
            <w:tcW w:w="915" w:type="pct"/>
            <w:vAlign w:val="center"/>
          </w:tcPr>
          <w:p w:rsidR="00A33888" w:rsidRPr="00E209B2" w:rsidRDefault="00A33888" w:rsidP="00886D2E">
            <w:pPr>
              <w:keepNext/>
              <w:jc w:val="center"/>
              <w:rPr>
                <w:rFonts w:ascii="Arial Narrow" w:hAnsi="Arial Narrow"/>
                <w:b/>
                <w:sz w:val="18"/>
                <w:szCs w:val="18"/>
              </w:rPr>
            </w:pPr>
            <w:r w:rsidRPr="00E209B2">
              <w:rPr>
                <w:rFonts w:ascii="Arial Narrow" w:hAnsi="Arial Narrow"/>
                <w:b/>
                <w:sz w:val="18"/>
                <w:szCs w:val="18"/>
              </w:rPr>
              <w:t>Manufacturer</w:t>
            </w:r>
          </w:p>
        </w:tc>
      </w:tr>
      <w:tr w:rsidR="00A33888" w:rsidRPr="00E209B2" w:rsidTr="00A33888">
        <w:trPr>
          <w:cantSplit/>
          <w:trHeight w:val="577"/>
        </w:trPr>
        <w:tc>
          <w:tcPr>
            <w:tcW w:w="1491" w:type="pct"/>
          </w:tcPr>
          <w:p w:rsidR="00A33888" w:rsidRPr="00E209B2" w:rsidRDefault="00A33888" w:rsidP="00A33888">
            <w:pPr>
              <w:keepNext/>
              <w:ind w:left="-108"/>
              <w:jc w:val="left"/>
              <w:rPr>
                <w:rFonts w:ascii="Arial Narrow" w:hAnsi="Arial Narrow"/>
                <w:sz w:val="18"/>
                <w:szCs w:val="18"/>
              </w:rPr>
            </w:pPr>
            <w:r w:rsidRPr="00E209B2">
              <w:rPr>
                <w:rFonts w:ascii="Arial Narrow" w:hAnsi="Arial Narrow"/>
                <w:sz w:val="18"/>
                <w:szCs w:val="18"/>
              </w:rPr>
              <w:t>AVELUMAB,</w:t>
            </w:r>
          </w:p>
          <w:p w:rsidR="00A33888" w:rsidRPr="00E209B2" w:rsidRDefault="00A33888" w:rsidP="00A33888">
            <w:pPr>
              <w:keepNext/>
              <w:ind w:left="-108"/>
              <w:jc w:val="left"/>
              <w:rPr>
                <w:rFonts w:ascii="Arial Narrow" w:hAnsi="Arial Narrow"/>
                <w:sz w:val="18"/>
                <w:szCs w:val="18"/>
              </w:rPr>
            </w:pPr>
            <w:r w:rsidRPr="00E209B2">
              <w:rPr>
                <w:rFonts w:ascii="Arial Narrow" w:hAnsi="Arial Narrow"/>
                <w:sz w:val="18"/>
                <w:szCs w:val="18"/>
              </w:rPr>
              <w:t>200 mg/10 mL injection, 10 mL vial</w:t>
            </w:r>
          </w:p>
        </w:tc>
        <w:tc>
          <w:tcPr>
            <w:tcW w:w="708" w:type="pct"/>
          </w:tcPr>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NEW (Public)</w:t>
            </w: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NEW (Private)</w:t>
            </w:r>
          </w:p>
        </w:tc>
        <w:tc>
          <w:tcPr>
            <w:tcW w:w="471" w:type="pct"/>
          </w:tcPr>
          <w:p w:rsidR="00A33888" w:rsidRPr="00E209B2" w:rsidRDefault="00A33888" w:rsidP="00A33888">
            <w:pPr>
              <w:keepNext/>
              <w:ind w:left="-108"/>
              <w:jc w:val="center"/>
              <w:rPr>
                <w:rFonts w:ascii="Arial Narrow" w:hAnsi="Arial Narrow"/>
                <w:i/>
                <w:sz w:val="18"/>
                <w:szCs w:val="18"/>
              </w:rPr>
            </w:pPr>
            <w:r w:rsidRPr="00E209B2">
              <w:rPr>
                <w:rFonts w:ascii="Arial Narrow" w:hAnsi="Arial Narrow"/>
                <w:sz w:val="18"/>
                <w:szCs w:val="18"/>
              </w:rPr>
              <w:t>800</w:t>
            </w:r>
          </w:p>
        </w:tc>
        <w:tc>
          <w:tcPr>
            <w:tcW w:w="472" w:type="pct"/>
          </w:tcPr>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7</w:t>
            </w:r>
          </w:p>
        </w:tc>
        <w:tc>
          <w:tcPr>
            <w:tcW w:w="943" w:type="pct"/>
          </w:tcPr>
          <w:p w:rsidR="00A33888" w:rsidRPr="00E209B2" w:rsidRDefault="00A33888" w:rsidP="00A33888">
            <w:pPr>
              <w:keepNext/>
              <w:jc w:val="center"/>
              <w:rPr>
                <w:rFonts w:ascii="Arial Narrow" w:hAnsi="Arial Narrow"/>
                <w:sz w:val="18"/>
                <w:szCs w:val="18"/>
              </w:rPr>
            </w:pPr>
            <w:r w:rsidRPr="00E209B2">
              <w:rPr>
                <w:rFonts w:ascii="Arial Narrow" w:hAnsi="Arial Narrow"/>
                <w:sz w:val="18"/>
                <w:szCs w:val="18"/>
              </w:rPr>
              <w:t>Public:</w:t>
            </w: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$5,515.22 (published)</w:t>
            </w: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w:t>
            </w:r>
            <w:r w:rsidR="001529E4">
              <w:rPr>
                <w:rFonts w:ascii="Arial Narrow" w:hAnsi="Arial Narrow"/>
                <w:noProof/>
                <w:color w:val="000000"/>
                <w:sz w:val="18"/>
                <w:szCs w:val="18"/>
                <w:highlight w:val="black"/>
              </w:rPr>
              <w:t>''''''''''''''''''''</w:t>
            </w:r>
            <w:r w:rsidRPr="00E209B2">
              <w:rPr>
                <w:rFonts w:ascii="Arial Narrow" w:hAnsi="Arial Narrow"/>
                <w:sz w:val="18"/>
                <w:szCs w:val="18"/>
              </w:rPr>
              <w:t xml:space="preserve"> (effective)</w:t>
            </w:r>
          </w:p>
          <w:p w:rsidR="00A33888" w:rsidRPr="00E209B2" w:rsidRDefault="00A33888" w:rsidP="00A33888">
            <w:pPr>
              <w:keepNext/>
              <w:ind w:left="-108"/>
              <w:jc w:val="center"/>
              <w:rPr>
                <w:rFonts w:ascii="Arial Narrow" w:hAnsi="Arial Narrow"/>
                <w:sz w:val="18"/>
                <w:szCs w:val="18"/>
              </w:rPr>
            </w:pP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Private:</w:t>
            </w: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$5,631.86 (published)</w:t>
            </w:r>
          </w:p>
          <w:p w:rsidR="00A33888" w:rsidRPr="00E209B2" w:rsidRDefault="00A33888" w:rsidP="00A33888">
            <w:pPr>
              <w:keepNext/>
              <w:ind w:left="-108"/>
              <w:jc w:val="center"/>
              <w:rPr>
                <w:rFonts w:ascii="Arial Narrow" w:hAnsi="Arial Narrow"/>
                <w:sz w:val="18"/>
                <w:szCs w:val="18"/>
              </w:rPr>
            </w:pPr>
            <w:r w:rsidRPr="00E209B2">
              <w:rPr>
                <w:rFonts w:ascii="Arial Narrow" w:hAnsi="Arial Narrow"/>
                <w:sz w:val="18"/>
                <w:szCs w:val="18"/>
              </w:rPr>
              <w:t>$</w:t>
            </w:r>
            <w:r w:rsidR="001529E4">
              <w:rPr>
                <w:rFonts w:ascii="Arial Narrow" w:hAnsi="Arial Narrow"/>
                <w:noProof/>
                <w:color w:val="000000"/>
                <w:sz w:val="18"/>
                <w:szCs w:val="18"/>
                <w:highlight w:val="black"/>
              </w:rPr>
              <w:t>'''''''''''''''''''''''</w:t>
            </w:r>
            <w:r w:rsidRPr="00E209B2">
              <w:rPr>
                <w:rFonts w:ascii="Arial Narrow" w:hAnsi="Arial Narrow"/>
                <w:sz w:val="18"/>
                <w:szCs w:val="18"/>
              </w:rPr>
              <w:t xml:space="preserve"> (effective)</w:t>
            </w:r>
          </w:p>
        </w:tc>
        <w:tc>
          <w:tcPr>
            <w:tcW w:w="915" w:type="pct"/>
          </w:tcPr>
          <w:p w:rsidR="00A33888" w:rsidRPr="00E209B2" w:rsidRDefault="00A33888" w:rsidP="00A33888">
            <w:pPr>
              <w:keepNext/>
              <w:jc w:val="center"/>
              <w:rPr>
                <w:rFonts w:ascii="Arial Narrow" w:hAnsi="Arial Narrow"/>
                <w:sz w:val="18"/>
                <w:szCs w:val="18"/>
              </w:rPr>
            </w:pPr>
            <w:r w:rsidRPr="00E209B2">
              <w:rPr>
                <w:rFonts w:ascii="Arial Narrow" w:hAnsi="Arial Narrow"/>
                <w:sz w:val="18"/>
                <w:szCs w:val="18"/>
              </w:rPr>
              <w:t>Merck Healthcare Pty Ltd</w:t>
            </w:r>
          </w:p>
        </w:tc>
      </w:tr>
      <w:tr w:rsidR="007E5DEA" w:rsidRPr="00E209B2" w:rsidTr="00886D2E">
        <w:trPr>
          <w:cantSplit/>
          <w:trHeight w:val="225"/>
        </w:trPr>
        <w:tc>
          <w:tcPr>
            <w:tcW w:w="5000" w:type="pct"/>
            <w:gridSpan w:val="6"/>
          </w:tcPr>
          <w:p w:rsidR="007E5DEA" w:rsidRPr="00E209B2" w:rsidRDefault="007E5DEA" w:rsidP="00886D2E">
            <w:pPr>
              <w:keepNext/>
              <w:rPr>
                <w:rFonts w:ascii="Arial Narrow" w:hAnsi="Arial Narrow"/>
                <w:b/>
                <w:sz w:val="18"/>
                <w:szCs w:val="18"/>
              </w:rPr>
            </w:pPr>
            <w:r w:rsidRPr="00E209B2">
              <w:rPr>
                <w:rFonts w:ascii="Arial Narrow" w:hAnsi="Arial Narrow"/>
                <w:b/>
                <w:sz w:val="18"/>
                <w:szCs w:val="18"/>
              </w:rPr>
              <w:t>Available brands</w:t>
            </w:r>
          </w:p>
        </w:tc>
      </w:tr>
      <w:tr w:rsidR="007E5DEA" w:rsidRPr="00E209B2" w:rsidTr="00886D2E">
        <w:trPr>
          <w:cantSplit/>
          <w:trHeight w:val="360"/>
        </w:trPr>
        <w:tc>
          <w:tcPr>
            <w:tcW w:w="5000" w:type="pct"/>
            <w:gridSpan w:val="6"/>
          </w:tcPr>
          <w:p w:rsidR="007E5DEA" w:rsidRPr="00E209B2" w:rsidRDefault="007E5DEA" w:rsidP="00886D2E">
            <w:pPr>
              <w:rPr>
                <w:rFonts w:ascii="Arial Narrow" w:hAnsi="Arial Narrow"/>
                <w:sz w:val="18"/>
                <w:szCs w:val="18"/>
              </w:rPr>
            </w:pPr>
            <w:r w:rsidRPr="00E209B2">
              <w:rPr>
                <w:rFonts w:ascii="Arial Narrow" w:hAnsi="Arial Narrow"/>
                <w:sz w:val="18"/>
                <w:szCs w:val="18"/>
              </w:rPr>
              <w:t>Bavencio</w:t>
            </w:r>
          </w:p>
          <w:p w:rsidR="007E5DEA" w:rsidRPr="00E209B2" w:rsidRDefault="007E5DEA" w:rsidP="00886D2E">
            <w:pPr>
              <w:rPr>
                <w:rFonts w:ascii="Arial Narrow" w:hAnsi="Arial Narrow"/>
                <w:sz w:val="18"/>
                <w:szCs w:val="18"/>
              </w:rPr>
            </w:pPr>
            <w:r w:rsidRPr="00E209B2">
              <w:rPr>
                <w:rFonts w:ascii="Arial Narrow" w:hAnsi="Arial Narrow"/>
                <w:sz w:val="18"/>
                <w:szCs w:val="18"/>
              </w:rPr>
              <w:t>(avelumab 200 mg/10 mL injection, 10 mL vial)</w:t>
            </w:r>
          </w:p>
        </w:tc>
      </w:tr>
    </w:tbl>
    <w:p w:rsidR="007E5DEA" w:rsidRPr="00E209B2" w:rsidRDefault="007E5DEA" w:rsidP="007E5DEA">
      <w:pPr>
        <w:pStyle w:val="2-SectionHeading"/>
        <w:numPr>
          <w:ilvl w:val="0"/>
          <w:numId w:val="0"/>
        </w:numPr>
        <w:spacing w:before="0" w:after="0"/>
        <w:outlineLvl w:val="9"/>
        <w:rPr>
          <w:rFonts w:ascii="Arial Narrow" w:hAnsi="Arial Narrow"/>
          <w:sz w:val="18"/>
          <w:szCs w:val="20"/>
        </w:rPr>
      </w:pPr>
    </w:p>
    <w:p w:rsidR="007E5DEA" w:rsidRPr="00E209B2" w:rsidRDefault="007E5DEA" w:rsidP="001E5647">
      <w:pPr>
        <w:pStyle w:val="2-SectionHeading"/>
        <w:keepNext w:val="0"/>
        <w:widowControl w:val="0"/>
        <w:numPr>
          <w:ilvl w:val="0"/>
          <w:numId w:val="0"/>
        </w:numPr>
        <w:spacing w:before="0" w:after="0"/>
        <w:outlineLvl w:val="9"/>
        <w:rPr>
          <w:rFonts w:ascii="Arial Narrow" w:hAnsi="Arial Narrow"/>
          <w:sz w:val="18"/>
          <w:szCs w:val="20"/>
        </w:rPr>
      </w:pPr>
      <w:r w:rsidRPr="00E209B2">
        <w:rPr>
          <w:rFonts w:ascii="Arial Narrow" w:hAnsi="Arial Narrow"/>
          <w:sz w:val="18"/>
          <w:szCs w:val="20"/>
        </w:rPr>
        <w:t>Initial treatment Restriction Summary [NEW] / Treatment of Concept (ToC): [NEW]</w:t>
      </w:r>
    </w:p>
    <w:tbl>
      <w:tblPr>
        <w:tblW w:w="5000" w:type="pct"/>
        <w:tblLook w:val="0000" w:firstRow="0" w:lastRow="0" w:firstColumn="0" w:lastColumn="0" w:noHBand="0" w:noVBand="0"/>
      </w:tblPr>
      <w:tblGrid>
        <w:gridCol w:w="1414"/>
        <w:gridCol w:w="1984"/>
        <w:gridCol w:w="5619"/>
      </w:tblGrid>
      <w:tr w:rsidR="007E5DEA" w:rsidRPr="00E209B2" w:rsidTr="00364248">
        <w:tc>
          <w:tcPr>
            <w:tcW w:w="784" w:type="pct"/>
            <w:vMerge w:val="restart"/>
            <w:tcBorders>
              <w:top w:val="single" w:sz="4" w:space="0" w:color="auto"/>
              <w:left w:val="single" w:sz="4" w:space="0" w:color="auto"/>
              <w:right w:val="single" w:sz="4" w:space="0" w:color="auto"/>
            </w:tcBorders>
          </w:tcPr>
          <w:p w:rsidR="007E5DEA" w:rsidRPr="00E209B2" w:rsidRDefault="007E5DEA" w:rsidP="001E5647">
            <w:pPr>
              <w:widowControl w:val="0"/>
              <w:jc w:val="center"/>
              <w:rPr>
                <w:rFonts w:ascii="Arial Narrow" w:hAnsi="Arial Narrow"/>
                <w:b/>
                <w:color w:val="000000" w:themeColor="text1"/>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Category / Program:</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7E5DEA" w:rsidRPr="00E209B2" w:rsidTr="00364248">
        <w:tc>
          <w:tcPr>
            <w:tcW w:w="784" w:type="pct"/>
            <w:vMerge/>
            <w:tcBorders>
              <w:left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Prescriber type:</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sz w:val="18"/>
                <w:szCs w:val="18"/>
              </w:rPr>
            </w:pPr>
            <w:r w:rsidRPr="00E209B2">
              <w:rPr>
                <w:rFonts w:ascii="Arial Narrow" w:hAnsi="Arial Narrow"/>
                <w:sz w:val="18"/>
                <w:szCs w:val="18"/>
              </w:rPr>
              <w:t xml:space="preserve">Medical Practitioners  </w:t>
            </w:r>
          </w:p>
        </w:tc>
      </w:tr>
      <w:tr w:rsidR="007E5DEA" w:rsidRPr="00E209B2" w:rsidTr="00364248">
        <w:tc>
          <w:tcPr>
            <w:tcW w:w="784" w:type="pct"/>
            <w:vMerge/>
            <w:tcBorders>
              <w:left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Severity:</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7E5DEA" w:rsidRPr="00E209B2" w:rsidTr="00364248">
        <w:tc>
          <w:tcPr>
            <w:tcW w:w="784" w:type="pct"/>
            <w:vMerge/>
            <w:tcBorders>
              <w:left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Condition:</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Urothelial  cancer</w:t>
            </w:r>
          </w:p>
        </w:tc>
      </w:tr>
      <w:tr w:rsidR="007E5DEA" w:rsidRPr="00E209B2" w:rsidTr="00364248">
        <w:tc>
          <w:tcPr>
            <w:tcW w:w="784" w:type="pct"/>
            <w:vMerge/>
            <w:tcBorders>
              <w:left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PBS Indication:</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 [21171]</w:t>
            </w:r>
          </w:p>
        </w:tc>
      </w:tr>
      <w:tr w:rsidR="007E5DEA" w:rsidRPr="00E209B2" w:rsidTr="00364248">
        <w:tc>
          <w:tcPr>
            <w:tcW w:w="784" w:type="pct"/>
            <w:vMerge/>
            <w:tcBorders>
              <w:left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Treatment phase:</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i/>
                <w:sz w:val="18"/>
                <w:szCs w:val="18"/>
              </w:rPr>
            </w:pPr>
            <w:r w:rsidRPr="00E209B2">
              <w:rPr>
                <w:rFonts w:ascii="Arial Narrow" w:hAnsi="Arial Narrow" w:cstheme="minorHAnsi"/>
                <w:i/>
                <w:sz w:val="18"/>
                <w:szCs w:val="18"/>
              </w:rPr>
              <w:t>Maintenance therapy</w:t>
            </w:r>
            <w:r w:rsidRPr="00E209B2">
              <w:rPr>
                <w:rFonts w:ascii="Arial Narrow" w:hAnsi="Arial Narrow" w:cstheme="minorHAnsi"/>
                <w:sz w:val="18"/>
                <w:szCs w:val="18"/>
              </w:rPr>
              <w:t xml:space="preserve"> - Initial </w:t>
            </w:r>
            <w:r w:rsidRPr="00E209B2">
              <w:rPr>
                <w:rFonts w:ascii="Arial Narrow" w:hAnsi="Arial Narrow" w:cstheme="minorHAnsi"/>
                <w:i/>
                <w:sz w:val="18"/>
                <w:szCs w:val="18"/>
              </w:rPr>
              <w:t>treatment</w:t>
            </w:r>
          </w:p>
        </w:tc>
      </w:tr>
      <w:tr w:rsidR="007E5DEA" w:rsidRPr="00E209B2" w:rsidTr="00364248">
        <w:tc>
          <w:tcPr>
            <w:tcW w:w="784" w:type="pct"/>
            <w:vMerge/>
            <w:tcBorders>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b/>
                <w:sz w:val="18"/>
                <w:szCs w:val="18"/>
              </w:rPr>
            </w:pPr>
            <w:r w:rsidRPr="00E209B2">
              <w:rPr>
                <w:rFonts w:ascii="Arial Narrow" w:hAnsi="Arial Narrow" w:cstheme="minorHAnsi"/>
                <w:b/>
                <w:sz w:val="18"/>
                <w:szCs w:val="18"/>
              </w:rPr>
              <w:t>Restriction Level:</w:t>
            </w:r>
          </w:p>
        </w:tc>
        <w:tc>
          <w:tcPr>
            <w:tcW w:w="3116" w:type="pct"/>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sz w:val="18"/>
                <w:szCs w:val="18"/>
              </w:rPr>
            </w:pPr>
            <w:r w:rsidRPr="00E209B2">
              <w:rPr>
                <w:rFonts w:ascii="Arial Narrow" w:hAnsi="Arial Narrow"/>
                <w:sz w:val="18"/>
                <w:szCs w:val="18"/>
              </w:rPr>
              <w:fldChar w:fldCharType="begin">
                <w:ffData>
                  <w:name w:val="Check3"/>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 xml:space="preserve">Authority Required – immediate/real time assessment by Services Australia </w:t>
            </w:r>
            <w:r w:rsidRPr="00E209B2">
              <w:rPr>
                <w:rFonts w:ascii="Arial Narrow" w:hAnsi="Arial Narrow"/>
                <w:i/>
                <w:sz w:val="18"/>
                <w:szCs w:val="18"/>
              </w:rPr>
              <w:t>(Telephone/electronic)</w:t>
            </w:r>
            <w:r w:rsidRPr="00E209B2">
              <w:rPr>
                <w:rFonts w:ascii="Arial Narrow" w:hAnsi="Arial Narrow"/>
                <w:sz w:val="18"/>
                <w:szCs w:val="18"/>
              </w:rPr>
              <w:t xml:space="preserve"> </w:t>
            </w:r>
            <w:r w:rsidRPr="00E209B2">
              <w:rPr>
                <w:rFonts w:ascii="Arial Narrow" w:hAnsi="Arial Narrow"/>
                <w:strike/>
                <w:sz w:val="18"/>
                <w:szCs w:val="18"/>
              </w:rPr>
              <w:t>(</w:t>
            </w:r>
            <w:r w:rsidRPr="00E209B2">
              <w:rPr>
                <w:rFonts w:ascii="Arial Narrow" w:hAnsi="Arial Narrow"/>
                <w:strike/>
                <w:sz w:val="18"/>
                <w:szCs w:val="18"/>
              </w:rPr>
              <w:fldChar w:fldCharType="begin">
                <w:ffData>
                  <w:name w:val="Check5"/>
                  <w:enabled/>
                  <w:calcOnExit w:val="0"/>
                  <w:checkBox>
                    <w:sizeAuto/>
                    <w:default w:val="1"/>
                  </w:checkBox>
                </w:ffData>
              </w:fldChar>
            </w:r>
            <w:r w:rsidRPr="00E209B2">
              <w:rPr>
                <w:rFonts w:ascii="Arial Narrow" w:hAnsi="Arial Narrow"/>
                <w:strike/>
                <w:sz w:val="18"/>
                <w:szCs w:val="18"/>
              </w:rPr>
              <w:instrText xml:space="preserve"> FORMCHECKBOX </w:instrText>
            </w:r>
            <w:r w:rsidR="001B22DA">
              <w:rPr>
                <w:rFonts w:ascii="Arial Narrow" w:hAnsi="Arial Narrow"/>
                <w:strike/>
                <w:sz w:val="18"/>
                <w:szCs w:val="18"/>
              </w:rPr>
            </w:r>
            <w:r w:rsidR="001B22DA">
              <w:rPr>
                <w:rFonts w:ascii="Arial Narrow" w:hAnsi="Arial Narrow"/>
                <w:strike/>
                <w:sz w:val="18"/>
                <w:szCs w:val="18"/>
              </w:rPr>
              <w:fldChar w:fldCharType="separate"/>
            </w:r>
            <w:r w:rsidRPr="00E209B2">
              <w:rPr>
                <w:rFonts w:ascii="Arial Narrow" w:hAnsi="Arial Narrow"/>
                <w:strike/>
                <w:sz w:val="18"/>
                <w:szCs w:val="18"/>
              </w:rPr>
              <w:fldChar w:fldCharType="end"/>
            </w:r>
            <w:r w:rsidRPr="00E209B2">
              <w:rPr>
                <w:rFonts w:ascii="Arial Narrow" w:hAnsi="Arial Narrow"/>
                <w:strike/>
                <w:sz w:val="18"/>
                <w:szCs w:val="18"/>
              </w:rPr>
              <w:t>Streamlined)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b/>
                <w:bCs/>
                <w:sz w:val="18"/>
                <w:szCs w:val="18"/>
              </w:rPr>
              <w:t>Clinical criteria:</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 xml:space="preserve">Patient must have received </w:t>
            </w:r>
            <w:r w:rsidRPr="00E209B2">
              <w:rPr>
                <w:rFonts w:ascii="Arial Narrow" w:hAnsi="Arial Narrow" w:cstheme="minorHAnsi"/>
                <w:strike/>
                <w:sz w:val="18"/>
                <w:szCs w:val="18"/>
              </w:rPr>
              <w:t>at least one previous</w:t>
            </w:r>
            <w:r w:rsidRPr="00E209B2">
              <w:rPr>
                <w:rFonts w:ascii="Arial Narrow" w:hAnsi="Arial Narrow" w:cstheme="minorHAnsi"/>
                <w:sz w:val="18"/>
                <w:szCs w:val="18"/>
              </w:rPr>
              <w:t xml:space="preserve"> </w:t>
            </w:r>
            <w:r w:rsidRPr="00E209B2">
              <w:rPr>
                <w:rFonts w:ascii="Arial Narrow" w:hAnsi="Arial Narrow" w:cstheme="minorHAnsi"/>
                <w:i/>
                <w:sz w:val="18"/>
                <w:szCs w:val="18"/>
              </w:rPr>
              <w:t>first-line</w:t>
            </w:r>
            <w:r w:rsidRPr="00E209B2">
              <w:rPr>
                <w:rFonts w:ascii="Arial Narrow" w:hAnsi="Arial Narrow" w:cstheme="minorHAnsi"/>
                <w:sz w:val="18"/>
                <w:szCs w:val="18"/>
              </w:rPr>
              <w:t xml:space="preserve"> platinum-</w:t>
            </w:r>
            <w:r w:rsidRPr="00E209B2">
              <w:rPr>
                <w:rFonts w:ascii="Arial Narrow" w:hAnsi="Arial Narrow" w:cstheme="minorHAnsi"/>
                <w:i/>
                <w:sz w:val="18"/>
                <w:szCs w:val="18"/>
              </w:rPr>
              <w:t>based chemotherapy</w:t>
            </w:r>
            <w:r w:rsidRPr="00E209B2">
              <w:rPr>
                <w:rFonts w:ascii="Arial Narrow" w:hAnsi="Arial Narrow" w:cstheme="minorHAnsi"/>
                <w:sz w:val="18"/>
                <w:szCs w:val="18"/>
              </w:rPr>
              <w:t xml:space="preserve"> </w:t>
            </w:r>
            <w:r w:rsidRPr="00E209B2">
              <w:rPr>
                <w:rFonts w:ascii="Arial Narrow" w:hAnsi="Arial Narrow" w:cstheme="minorHAnsi"/>
                <w:strike/>
                <w:sz w:val="18"/>
                <w:szCs w:val="18"/>
              </w:rPr>
              <w:t>containing regimens</w:t>
            </w:r>
            <w:r w:rsidRPr="00E209B2">
              <w:rPr>
                <w:rFonts w:ascii="Arial Narrow" w:hAnsi="Arial Narrow" w:cstheme="minorHAnsi"/>
                <w:sz w:val="18"/>
                <w:szCs w:val="18"/>
              </w:rPr>
              <w:t>,</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i/>
                <w:sz w:val="18"/>
                <w:szCs w:val="18"/>
              </w:rPr>
            </w:pPr>
            <w:r w:rsidRPr="00E209B2">
              <w:rPr>
                <w:rFonts w:ascii="Arial Narrow" w:hAnsi="Arial Narrow"/>
                <w:b/>
                <w:bCs/>
                <w:sz w:val="18"/>
                <w:szCs w:val="18"/>
              </w:rPr>
              <w:t>Clinical criteria:</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sz w:val="18"/>
                <w:szCs w:val="18"/>
              </w:rPr>
              <w:t xml:space="preserve">Patient must not have progressive disease following </w:t>
            </w:r>
            <w:r w:rsidRPr="00E209B2">
              <w:rPr>
                <w:rFonts w:ascii="Arial Narrow" w:hAnsi="Arial Narrow" w:cstheme="minorHAnsi"/>
                <w:i/>
                <w:sz w:val="18"/>
                <w:szCs w:val="18"/>
              </w:rPr>
              <w:t xml:space="preserve">first-line </w:t>
            </w:r>
            <w:r w:rsidRPr="00E209B2">
              <w:rPr>
                <w:rFonts w:ascii="Arial Narrow" w:hAnsi="Arial Narrow" w:cstheme="minorHAnsi"/>
                <w:sz w:val="18"/>
                <w:szCs w:val="18"/>
              </w:rPr>
              <w:t xml:space="preserve">platinum-based chemotherapy </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sz w:val="18"/>
                <w:szCs w:val="18"/>
              </w:rPr>
            </w:pPr>
            <w:r w:rsidRPr="00E209B2">
              <w:rPr>
                <w:rFonts w:ascii="Arial Narrow" w:hAnsi="Arial Narrow" w:cstheme="minorHAnsi"/>
                <w:i/>
                <w:sz w:val="18"/>
                <w:szCs w:val="18"/>
              </w:rPr>
              <w:t>AND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1E5647">
            <w:pPr>
              <w:widowControl w:val="0"/>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1E5647">
            <w:pPr>
              <w:widowControl w:val="0"/>
              <w:rPr>
                <w:rFonts w:ascii="Arial Narrow" w:hAnsi="Arial Narrow" w:cstheme="minorHAnsi"/>
                <w:i/>
                <w:sz w:val="18"/>
                <w:szCs w:val="18"/>
              </w:rPr>
            </w:pPr>
            <w:r w:rsidRPr="00E209B2">
              <w:rPr>
                <w:rFonts w:ascii="Arial Narrow" w:hAnsi="Arial Narrow"/>
                <w:b/>
                <w:bCs/>
                <w:i/>
                <w:sz w:val="18"/>
                <w:szCs w:val="18"/>
              </w:rPr>
              <w:t>Clinical criteria:</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i/>
                <w:sz w:val="18"/>
                <w:szCs w:val="18"/>
              </w:rPr>
              <w:t>Patient must not have received prior treatment with a programmed cell death-1 (PD-1) inhibitor or a programmed cell death ligand-1 (PD-L1) inhibitor for this condition</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b/>
                <w:bCs/>
                <w:sz w:val="18"/>
                <w:szCs w:val="18"/>
              </w:rPr>
              <w:t>Clinical criteria:</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Patient must have a WHO performance status of 0 or 1,</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b/>
                <w:bCs/>
                <w:sz w:val="18"/>
                <w:szCs w:val="18"/>
              </w:rPr>
              <w:t>Clinical criteria:</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cstheme="minorHAnsi"/>
                <w:i/>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cstheme="minorHAnsi"/>
                <w:i/>
                <w:sz w:val="18"/>
                <w:szCs w:val="18"/>
              </w:rPr>
              <w:t>No increase in the maximum quantity or number of units may be authorised.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cstheme="minorHAnsi"/>
                <w:i/>
                <w:sz w:val="18"/>
                <w:szCs w:val="18"/>
              </w:rPr>
              <w:t>No increase in the maximum number of repeats may be authorised.</w:t>
            </w:r>
          </w:p>
        </w:tc>
      </w:tr>
      <w:tr w:rsidR="007E5DEA" w:rsidRPr="00E209B2" w:rsidTr="00364248">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cstheme="minorHAnsi"/>
                <w:i/>
                <w:sz w:val="18"/>
                <w:szCs w:val="18"/>
              </w:rPr>
              <w:t>Special Pricing Arrangements apply</w:t>
            </w:r>
          </w:p>
        </w:tc>
      </w:tr>
    </w:tbl>
    <w:p w:rsidR="00C3371F" w:rsidRDefault="00C3371F" w:rsidP="001E5647">
      <w:pPr>
        <w:pStyle w:val="2-SectionHeading"/>
        <w:keepNext w:val="0"/>
        <w:widowControl w:val="0"/>
        <w:numPr>
          <w:ilvl w:val="0"/>
          <w:numId w:val="0"/>
        </w:numPr>
        <w:spacing w:before="0" w:after="0"/>
        <w:outlineLvl w:val="9"/>
        <w:rPr>
          <w:sz w:val="24"/>
        </w:rPr>
      </w:pPr>
    </w:p>
    <w:p w:rsidR="00C3371F" w:rsidRDefault="00C3371F">
      <w:pPr>
        <w:jc w:val="left"/>
        <w:rPr>
          <w:rFonts w:asciiTheme="minorHAnsi" w:hAnsiTheme="minorHAnsi"/>
          <w:b/>
          <w:snapToGrid w:val="0"/>
          <w:szCs w:val="32"/>
        </w:rPr>
      </w:pPr>
      <w:r>
        <w:br w:type="page"/>
      </w:r>
    </w:p>
    <w:p w:rsidR="007E5DEA" w:rsidRPr="00E209B2" w:rsidRDefault="007E5DEA" w:rsidP="001E5647">
      <w:pPr>
        <w:pStyle w:val="2-SectionHeading"/>
        <w:keepNext w:val="0"/>
        <w:widowControl w:val="0"/>
        <w:numPr>
          <w:ilvl w:val="0"/>
          <w:numId w:val="0"/>
        </w:numPr>
        <w:spacing w:before="0" w:after="0"/>
        <w:outlineLvl w:val="9"/>
        <w:rPr>
          <w:sz w:val="24"/>
        </w:rPr>
      </w:pPr>
    </w:p>
    <w:p w:rsidR="00A33888" w:rsidRPr="00E209B2" w:rsidRDefault="00A33888" w:rsidP="001E5647">
      <w:pPr>
        <w:pStyle w:val="2-SectionHeading"/>
        <w:keepNext w:val="0"/>
        <w:widowControl w:val="0"/>
        <w:numPr>
          <w:ilvl w:val="0"/>
          <w:numId w:val="0"/>
        </w:numPr>
        <w:spacing w:before="0" w:after="0"/>
        <w:outlineLvl w:val="9"/>
        <w:rPr>
          <w:rFonts w:ascii="Arial Narrow" w:hAnsi="Arial Narrow"/>
          <w:sz w:val="18"/>
          <w:szCs w:val="20"/>
        </w:rPr>
      </w:pPr>
      <w:r w:rsidRPr="00E209B2">
        <w:rPr>
          <w:rFonts w:ascii="Arial Narrow" w:hAnsi="Arial Narrow"/>
          <w:sz w:val="18"/>
          <w:szCs w:val="20"/>
        </w:rPr>
        <w:t>Grandfathering treatment Restriction Summary [NEW] / Treatment of Concept (ToC): [NEW]</w:t>
      </w:r>
    </w:p>
    <w:tbl>
      <w:tblPr>
        <w:tblW w:w="5000" w:type="pct"/>
        <w:tblLook w:val="0000" w:firstRow="0" w:lastRow="0" w:firstColumn="0" w:lastColumn="0" w:noHBand="0" w:noVBand="0"/>
      </w:tblPr>
      <w:tblGrid>
        <w:gridCol w:w="1414"/>
        <w:gridCol w:w="2238"/>
        <w:gridCol w:w="5365"/>
      </w:tblGrid>
      <w:tr w:rsidR="00A33888" w:rsidRPr="00E209B2" w:rsidTr="00886D2E">
        <w:trPr>
          <w:cantSplit/>
          <w:trHeight w:val="63"/>
        </w:trPr>
        <w:tc>
          <w:tcPr>
            <w:tcW w:w="784" w:type="pct"/>
            <w:vMerge w:val="restart"/>
            <w:tcBorders>
              <w:top w:val="single" w:sz="4" w:space="0" w:color="auto"/>
              <w:left w:val="single" w:sz="4" w:space="0" w:color="auto"/>
              <w:right w:val="single" w:sz="4" w:space="0" w:color="auto"/>
            </w:tcBorders>
          </w:tcPr>
          <w:p w:rsidR="00A33888" w:rsidRPr="00E209B2" w:rsidRDefault="00A33888" w:rsidP="001E5647">
            <w:pPr>
              <w:widowControl w:val="0"/>
              <w:jc w:val="center"/>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Category / Program:</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A33888" w:rsidRPr="00E209B2" w:rsidTr="00886D2E">
        <w:trPr>
          <w:cantSplit/>
          <w:trHeight w:val="63"/>
        </w:trPr>
        <w:tc>
          <w:tcPr>
            <w:tcW w:w="784" w:type="pct"/>
            <w:vMerge/>
            <w:tcBorders>
              <w:left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Prescriber type:</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sz w:val="18"/>
                <w:szCs w:val="18"/>
              </w:rPr>
            </w:pPr>
            <w:r w:rsidRPr="00E209B2">
              <w:rPr>
                <w:rFonts w:ascii="Arial Narrow" w:hAnsi="Arial Narrow"/>
                <w:sz w:val="18"/>
                <w:szCs w:val="18"/>
              </w:rPr>
              <w:t xml:space="preserve">Medical Practitioners  </w:t>
            </w:r>
          </w:p>
        </w:tc>
      </w:tr>
      <w:tr w:rsidR="00A33888" w:rsidRPr="00E209B2" w:rsidTr="00886D2E">
        <w:trPr>
          <w:cantSplit/>
          <w:trHeight w:val="63"/>
        </w:trPr>
        <w:tc>
          <w:tcPr>
            <w:tcW w:w="784" w:type="pct"/>
            <w:vMerge/>
            <w:tcBorders>
              <w:left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Severity:</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A33888" w:rsidRPr="00E209B2" w:rsidTr="00886D2E">
        <w:trPr>
          <w:cantSplit/>
          <w:trHeight w:val="63"/>
        </w:trPr>
        <w:tc>
          <w:tcPr>
            <w:tcW w:w="784" w:type="pct"/>
            <w:vMerge/>
            <w:tcBorders>
              <w:left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Condition:</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sz w:val="18"/>
                <w:szCs w:val="18"/>
              </w:rPr>
            </w:pPr>
            <w:r w:rsidRPr="00E209B2">
              <w:rPr>
                <w:rFonts w:ascii="Arial Narrow" w:hAnsi="Arial Narrow" w:cstheme="minorHAnsi"/>
                <w:sz w:val="18"/>
                <w:szCs w:val="18"/>
              </w:rPr>
              <w:t xml:space="preserve">Urothelial cancer </w:t>
            </w:r>
          </w:p>
        </w:tc>
      </w:tr>
      <w:tr w:rsidR="00A33888" w:rsidRPr="00E209B2" w:rsidTr="00886D2E">
        <w:trPr>
          <w:cantSplit/>
          <w:trHeight w:val="63"/>
        </w:trPr>
        <w:tc>
          <w:tcPr>
            <w:tcW w:w="784" w:type="pct"/>
            <w:vMerge/>
            <w:tcBorders>
              <w:left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PBS Indication:</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w:t>
            </w:r>
          </w:p>
        </w:tc>
      </w:tr>
      <w:tr w:rsidR="00A33888" w:rsidRPr="00E209B2" w:rsidTr="00886D2E">
        <w:trPr>
          <w:cantSplit/>
          <w:trHeight w:val="63"/>
        </w:trPr>
        <w:tc>
          <w:tcPr>
            <w:tcW w:w="784" w:type="pct"/>
            <w:vMerge/>
            <w:tcBorders>
              <w:left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Treatment phase:</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sz w:val="18"/>
                <w:szCs w:val="18"/>
              </w:rPr>
            </w:pPr>
            <w:r w:rsidRPr="00E209B2">
              <w:rPr>
                <w:rFonts w:ascii="Arial Narrow" w:hAnsi="Arial Narrow" w:cstheme="minorHAnsi"/>
                <w:i/>
                <w:sz w:val="18"/>
                <w:szCs w:val="18"/>
              </w:rPr>
              <w:t xml:space="preserve">Maintenance therapy – </w:t>
            </w:r>
            <w:r w:rsidRPr="00E209B2">
              <w:rPr>
                <w:rFonts w:ascii="Arial Narrow" w:hAnsi="Arial Narrow" w:cstheme="minorHAnsi"/>
                <w:sz w:val="18"/>
                <w:szCs w:val="18"/>
              </w:rPr>
              <w:t>Grandfathering</w:t>
            </w:r>
            <w:r w:rsidRPr="00E209B2">
              <w:rPr>
                <w:rFonts w:ascii="Arial Narrow" w:hAnsi="Arial Narrow" w:cstheme="minorHAnsi"/>
                <w:i/>
                <w:sz w:val="18"/>
                <w:szCs w:val="18"/>
              </w:rPr>
              <w:t xml:space="preserve"> treatment</w:t>
            </w:r>
          </w:p>
        </w:tc>
      </w:tr>
      <w:tr w:rsidR="00A33888" w:rsidRPr="00E209B2" w:rsidTr="00886D2E">
        <w:trPr>
          <w:cantSplit/>
          <w:trHeight w:val="63"/>
        </w:trPr>
        <w:tc>
          <w:tcPr>
            <w:tcW w:w="784" w:type="pct"/>
            <w:vMerge/>
            <w:tcBorders>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cstheme="minorHAnsi"/>
                <w:b/>
                <w:sz w:val="18"/>
                <w:szCs w:val="18"/>
              </w:rPr>
            </w:pPr>
            <w:r w:rsidRPr="00E209B2">
              <w:rPr>
                <w:rFonts w:ascii="Arial Narrow" w:hAnsi="Arial Narrow" w:cstheme="minorHAnsi"/>
                <w:b/>
                <w:sz w:val="18"/>
                <w:szCs w:val="18"/>
              </w:rPr>
              <w:t>Restriction Level:</w:t>
            </w:r>
          </w:p>
        </w:tc>
        <w:tc>
          <w:tcPr>
            <w:tcW w:w="2976" w:type="pct"/>
            <w:tcBorders>
              <w:top w:val="single" w:sz="4" w:space="0" w:color="auto"/>
              <w:left w:val="single" w:sz="4" w:space="0" w:color="auto"/>
              <w:bottom w:val="single" w:sz="4" w:space="0" w:color="auto"/>
              <w:right w:val="single" w:sz="4" w:space="0" w:color="auto"/>
            </w:tcBorders>
          </w:tcPr>
          <w:p w:rsidR="00A33888" w:rsidRPr="00E209B2" w:rsidRDefault="00A33888" w:rsidP="001E5647">
            <w:pPr>
              <w:widowControl w:val="0"/>
              <w:rPr>
                <w:rFonts w:ascii="Arial Narrow" w:hAnsi="Arial Narrow"/>
                <w:sz w:val="18"/>
                <w:szCs w:val="18"/>
                <w:highlight w:val="yellow"/>
              </w:rPr>
            </w:pPr>
            <w:r w:rsidRPr="00E209B2">
              <w:rPr>
                <w:rFonts w:ascii="Arial Narrow" w:hAnsi="Arial Narrow"/>
                <w:sz w:val="18"/>
                <w:szCs w:val="18"/>
              </w:rPr>
              <w:fldChar w:fldCharType="begin">
                <w:ffData>
                  <w:name w:val=""/>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 xml:space="preserve">Authority Required – immediate/real time assessment by Services Australia </w:t>
            </w:r>
            <w:r w:rsidRPr="00E209B2">
              <w:rPr>
                <w:rFonts w:ascii="Arial Narrow" w:hAnsi="Arial Narrow"/>
                <w:i/>
                <w:sz w:val="18"/>
                <w:szCs w:val="18"/>
              </w:rPr>
              <w:t>(Telephone/electronic)</w:t>
            </w:r>
            <w:r w:rsidRPr="00E209B2">
              <w:rPr>
                <w:rFonts w:ascii="Arial Narrow" w:hAnsi="Arial Narrow"/>
                <w:strike/>
                <w:sz w:val="18"/>
                <w:szCs w:val="18"/>
              </w:rPr>
              <w:t xml:space="preserve"> (</w:t>
            </w:r>
            <w:r w:rsidRPr="00E209B2">
              <w:rPr>
                <w:rFonts w:ascii="Arial Narrow" w:hAnsi="Arial Narrow"/>
                <w:strike/>
                <w:sz w:val="18"/>
                <w:szCs w:val="18"/>
              </w:rPr>
              <w:fldChar w:fldCharType="begin">
                <w:ffData>
                  <w:name w:val="Check5"/>
                  <w:enabled/>
                  <w:calcOnExit w:val="0"/>
                  <w:checkBox>
                    <w:sizeAuto/>
                    <w:default w:val="1"/>
                  </w:checkBox>
                </w:ffData>
              </w:fldChar>
            </w:r>
            <w:r w:rsidRPr="00E209B2">
              <w:rPr>
                <w:rFonts w:ascii="Arial Narrow" w:hAnsi="Arial Narrow"/>
                <w:strike/>
                <w:sz w:val="18"/>
                <w:szCs w:val="18"/>
              </w:rPr>
              <w:instrText xml:space="preserve"> FORMCHECKBOX </w:instrText>
            </w:r>
            <w:r w:rsidR="001B22DA">
              <w:rPr>
                <w:rFonts w:ascii="Arial Narrow" w:hAnsi="Arial Narrow"/>
                <w:strike/>
                <w:sz w:val="18"/>
                <w:szCs w:val="18"/>
              </w:rPr>
            </w:r>
            <w:r w:rsidR="001B22DA">
              <w:rPr>
                <w:rFonts w:ascii="Arial Narrow" w:hAnsi="Arial Narrow"/>
                <w:strike/>
                <w:sz w:val="18"/>
                <w:szCs w:val="18"/>
              </w:rPr>
              <w:fldChar w:fldCharType="separate"/>
            </w:r>
            <w:r w:rsidRPr="00E209B2">
              <w:rPr>
                <w:rFonts w:ascii="Arial Narrow" w:hAnsi="Arial Narrow"/>
                <w:strike/>
                <w:sz w:val="18"/>
                <w:szCs w:val="18"/>
              </w:rPr>
              <w:fldChar w:fldCharType="end"/>
            </w:r>
            <w:r w:rsidRPr="00E209B2">
              <w:rPr>
                <w:rFonts w:ascii="Arial Narrow" w:hAnsi="Arial Narrow"/>
                <w:strike/>
                <w:sz w:val="18"/>
                <w:szCs w:val="18"/>
              </w:rPr>
              <w:t>Streamlined)</w:t>
            </w:r>
          </w:p>
        </w:tc>
      </w:tr>
      <w:tr w:rsidR="00A33888" w:rsidRPr="00E209B2" w:rsidTr="00886D2E">
        <w:trPr>
          <w:cantSplit/>
          <w:trHeight w:val="108"/>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sz w:val="18"/>
                <w:szCs w:val="18"/>
              </w:rPr>
            </w:pPr>
            <w:r w:rsidRPr="00E209B2">
              <w:rPr>
                <w:rFonts w:ascii="Arial Narrow" w:hAnsi="Arial Narrow"/>
                <w:sz w:val="18"/>
                <w:szCs w:val="18"/>
              </w:rPr>
              <w:t>Patient must have received non-PBS-subsidised treatment with this drug for this indication prior to [date of PBS listing],</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sz w:val="18"/>
                <w:szCs w:val="18"/>
              </w:rPr>
            </w:pPr>
            <w:r w:rsidRPr="00E209B2">
              <w:rPr>
                <w:rFonts w:ascii="Arial Narrow" w:hAnsi="Arial Narrow" w:cstheme="minorHAns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sz w:val="18"/>
                <w:szCs w:val="18"/>
              </w:rPr>
            </w:pPr>
            <w:r w:rsidRPr="00E209B2">
              <w:rPr>
                <w:rFonts w:ascii="Arial Narrow" w:hAnsi="Arial Narrow"/>
                <w:sz w:val="18"/>
                <w:szCs w:val="18"/>
              </w:rPr>
              <w:t xml:space="preserve">Patient must have received </w:t>
            </w:r>
            <w:r w:rsidRPr="00E209B2">
              <w:rPr>
                <w:rFonts w:ascii="Arial Narrow" w:hAnsi="Arial Narrow"/>
                <w:i/>
                <w:sz w:val="18"/>
                <w:szCs w:val="18"/>
              </w:rPr>
              <w:t>first-line</w:t>
            </w:r>
            <w:r w:rsidRPr="00E209B2">
              <w:rPr>
                <w:rFonts w:ascii="Arial Narrow" w:hAnsi="Arial Narrow"/>
                <w:sz w:val="18"/>
                <w:szCs w:val="18"/>
              </w:rPr>
              <w:t xml:space="preserve"> platinum-based chemotherapy prior to initiation of non-PBS-subsidised treatment with this drug for this condition,</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sz w:val="18"/>
                <w:szCs w:val="18"/>
              </w:rPr>
            </w:pPr>
            <w:r w:rsidRPr="00E209B2">
              <w:rPr>
                <w:rFonts w:ascii="Arial Narrow" w:hAnsi="Arial Narrow" w:cstheme="minorHAns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sz w:val="18"/>
                <w:szCs w:val="18"/>
              </w:rPr>
            </w:pPr>
            <w:r w:rsidRPr="00E209B2">
              <w:rPr>
                <w:rFonts w:ascii="Arial Narrow" w:hAnsi="Arial Narrow" w:cstheme="minorHAnsi"/>
                <w:sz w:val="18"/>
                <w:szCs w:val="18"/>
              </w:rPr>
              <w:t xml:space="preserve">Patient must not have progressive disease following </w:t>
            </w:r>
            <w:r w:rsidRPr="00E209B2">
              <w:rPr>
                <w:rFonts w:ascii="Arial Narrow" w:hAnsi="Arial Narrow" w:cstheme="minorHAnsi"/>
                <w:i/>
                <w:sz w:val="18"/>
                <w:szCs w:val="18"/>
              </w:rPr>
              <w:t xml:space="preserve">first-line </w:t>
            </w:r>
            <w:r w:rsidRPr="00E209B2">
              <w:rPr>
                <w:rFonts w:ascii="Arial Narrow" w:hAnsi="Arial Narrow" w:cstheme="minorHAnsi"/>
                <w:sz w:val="18"/>
                <w:szCs w:val="18"/>
              </w:rPr>
              <w:t>platinum-based chemotherapy</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sz w:val="18"/>
                <w:szCs w:val="18"/>
              </w:rPr>
            </w:pPr>
            <w:r w:rsidRPr="00E209B2">
              <w:rPr>
                <w:rFonts w:ascii="Arial Narrow" w:hAnsi="Arial Narrow" w:cstheme="minorHAns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keepLines/>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keepLines/>
              <w:rPr>
                <w:rFonts w:ascii="Arial Narrow" w:hAnsi="Arial Narrow" w:cstheme="minorHAnsi"/>
                <w:sz w:val="18"/>
                <w:szCs w:val="18"/>
              </w:rPr>
            </w:pPr>
            <w:r w:rsidRPr="00E209B2">
              <w:rPr>
                <w:rFonts w:ascii="Arial Narrow" w:hAnsi="Arial Narrow" w:cstheme="minorHAnsi"/>
                <w:sz w:val="18"/>
                <w:szCs w:val="18"/>
              </w:rPr>
              <w:t>Patient must have had a WHO performance status of 0 or 1 prior to initiation of non-PBS-subsidised treatment with this drug for this condition,</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sz w:val="18"/>
                <w:szCs w:val="18"/>
              </w:rPr>
            </w:pPr>
            <w:r w:rsidRPr="00E209B2">
              <w:rPr>
                <w:rFonts w:ascii="Arial Narrow" w:hAnsi="Arial Narrow" w:cstheme="minorHAns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sz w:val="18"/>
                <w:szCs w:val="18"/>
              </w:rPr>
            </w:pPr>
            <w:r w:rsidRPr="00E209B2">
              <w:rPr>
                <w:rFonts w:ascii="Arial Narrow" w:hAnsi="Arial Narrow" w:cstheme="minorHAnsi"/>
                <w:sz w:val="18"/>
                <w:szCs w:val="18"/>
              </w:rPr>
              <w:t>Patient must not have developed disease progression while being treated with this drug for this condition,</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sz w:val="18"/>
                <w:szCs w:val="18"/>
              </w:rPr>
            </w:pPr>
            <w:r w:rsidRPr="00E209B2">
              <w:rPr>
                <w:rFonts w:ascii="Arial Narrow" w:hAnsi="Arial Narrow" w:cstheme="minorHAns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sz w:val="18"/>
                <w:szCs w:val="18"/>
              </w:rPr>
            </w:pPr>
            <w:r w:rsidRPr="00E209B2">
              <w:rPr>
                <w:rFonts w:ascii="Arial Narrow" w:hAnsi="Arial Narrow" w:cstheme="minorHAnsi"/>
                <w:b/>
                <w:sz w:val="18"/>
                <w:szCs w:val="18"/>
              </w:rPr>
              <w:t>Clinical criteria:</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i/>
                <w:sz w:val="18"/>
                <w:szCs w:val="18"/>
              </w:rPr>
            </w:pPr>
            <w:r w:rsidRPr="00E209B2">
              <w:rPr>
                <w:rFonts w:ascii="Arial Narrow" w:hAnsi="Arial Narrow" w:cstheme="minorHAnsi"/>
                <w:i/>
                <w:sz w:val="18"/>
                <w:szCs w:val="18"/>
              </w:rPr>
              <w:t>AND</w:t>
            </w:r>
          </w:p>
        </w:tc>
      </w:tr>
      <w:tr w:rsidR="00A33888"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i/>
                <w:sz w:val="18"/>
                <w:szCs w:val="18"/>
              </w:rPr>
            </w:pPr>
            <w:r w:rsidRPr="00E209B2">
              <w:rPr>
                <w:rFonts w:ascii="Arial Narrow" w:hAnsi="Arial Narrow" w:cstheme="minorHAnsi"/>
                <w:b/>
                <w:i/>
                <w:sz w:val="18"/>
                <w:szCs w:val="18"/>
              </w:rPr>
              <w:t>Clinical criteria:</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sz w:val="18"/>
                <w:szCs w:val="18"/>
              </w:rPr>
            </w:pPr>
            <w:r w:rsidRPr="00E209B2">
              <w:rPr>
                <w:rFonts w:ascii="Arial Narrow" w:hAnsi="Arial Narrow" w:cstheme="minorHAnsi"/>
                <w:i/>
                <w:sz w:val="18"/>
                <w:szCs w:val="18"/>
              </w:rPr>
              <w:t>Patient must not have received prior treatment with a PBS-subsidised programmed cell death-1 (PD-1) inhibitor or a programmed cell death ligand-1 (PD-L1) inhibitor for this condition</w:t>
            </w:r>
          </w:p>
        </w:tc>
      </w:tr>
      <w:tr w:rsidR="00A33888" w:rsidRPr="00E209B2" w:rsidTr="00886D2E">
        <w:trPr>
          <w:cantSplit/>
          <w:trHeight w:val="525"/>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i/>
                <w:sz w:val="18"/>
                <w:szCs w:val="18"/>
              </w:rPr>
            </w:pPr>
            <w:r w:rsidRPr="00E209B2">
              <w:rPr>
                <w:rFonts w:ascii="Arial Narrow" w:hAnsi="Arial Narrow" w:cstheme="minorHAnsi"/>
                <w:b/>
                <w:i/>
                <w:sz w:val="18"/>
                <w:szCs w:val="18"/>
              </w:rPr>
              <w:t>Administrative advice:</w:t>
            </w:r>
          </w:p>
          <w:p w:rsidR="00A33888" w:rsidRPr="00E209B2" w:rsidRDefault="00A33888" w:rsidP="001E5647">
            <w:pPr>
              <w:rPr>
                <w:rFonts w:ascii="Arial Narrow" w:hAnsi="Arial Narrow"/>
                <w:i/>
                <w:sz w:val="18"/>
                <w:szCs w:val="18"/>
              </w:rPr>
            </w:pPr>
            <w:r w:rsidRPr="00E209B2">
              <w:rPr>
                <w:rFonts w:ascii="Arial Narrow" w:hAnsi="Arial Narrow"/>
                <w:i/>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i/>
                <w:sz w:val="18"/>
                <w:szCs w:val="18"/>
              </w:rPr>
            </w:pPr>
            <w:r w:rsidRPr="00E209B2">
              <w:rPr>
                <w:rFonts w:ascii="Arial Narrow" w:hAnsi="Arial Narrow" w:cstheme="minorHAnsi"/>
                <w:b/>
                <w:i/>
                <w:sz w:val="18"/>
                <w:szCs w:val="18"/>
              </w:rPr>
              <w:t>Administrative advice:</w:t>
            </w:r>
          </w:p>
          <w:p w:rsidR="00A33888" w:rsidRPr="00E209B2" w:rsidRDefault="00A33888" w:rsidP="001E5647">
            <w:pPr>
              <w:rPr>
                <w:rFonts w:ascii="Arial Narrow" w:hAnsi="Arial Narrow"/>
                <w:i/>
                <w:sz w:val="18"/>
                <w:szCs w:val="18"/>
              </w:rPr>
            </w:pPr>
            <w:r w:rsidRPr="00E209B2">
              <w:rPr>
                <w:rFonts w:ascii="Arial Narrow" w:hAnsi="Arial Narrow"/>
                <w:i/>
                <w:sz w:val="18"/>
                <w:szCs w:val="18"/>
              </w:rPr>
              <w:t>No increase in the maximum quantity or number of units may be authorised.</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i/>
                <w:sz w:val="18"/>
                <w:szCs w:val="18"/>
              </w:rPr>
            </w:pPr>
            <w:r w:rsidRPr="00E209B2">
              <w:rPr>
                <w:rFonts w:ascii="Arial Narrow" w:hAnsi="Arial Narrow" w:cstheme="minorHAnsi"/>
                <w:b/>
                <w:i/>
                <w:sz w:val="18"/>
                <w:szCs w:val="18"/>
              </w:rPr>
              <w:t>Administrative advice:</w:t>
            </w:r>
          </w:p>
          <w:p w:rsidR="00A33888" w:rsidRPr="00E209B2" w:rsidRDefault="00A33888" w:rsidP="001E5647">
            <w:pPr>
              <w:rPr>
                <w:rFonts w:ascii="Arial Narrow" w:hAnsi="Arial Narrow"/>
                <w:i/>
                <w:sz w:val="18"/>
                <w:szCs w:val="18"/>
              </w:rPr>
            </w:pPr>
            <w:r w:rsidRPr="00E209B2">
              <w:rPr>
                <w:rFonts w:ascii="Arial Narrow" w:hAnsi="Arial Narrow"/>
                <w:i/>
                <w:sz w:val="18"/>
                <w:szCs w:val="18"/>
              </w:rPr>
              <w:t>No increase in the maximum number of repeats may be authorised.</w:t>
            </w:r>
          </w:p>
        </w:tc>
      </w:tr>
      <w:tr w:rsidR="00A33888"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A33888" w:rsidRPr="00E209B2" w:rsidRDefault="00A33888" w:rsidP="001E5647">
            <w:pPr>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A33888" w:rsidRPr="00E209B2" w:rsidRDefault="00A33888" w:rsidP="001E5647">
            <w:pPr>
              <w:rPr>
                <w:rFonts w:ascii="Arial Narrow" w:hAnsi="Arial Narrow" w:cstheme="minorHAnsi"/>
                <w:b/>
                <w:i/>
                <w:sz w:val="18"/>
                <w:szCs w:val="18"/>
              </w:rPr>
            </w:pPr>
            <w:r w:rsidRPr="00E209B2">
              <w:rPr>
                <w:rFonts w:ascii="Arial Narrow" w:hAnsi="Arial Narrow" w:cstheme="minorHAnsi"/>
                <w:b/>
                <w:i/>
                <w:sz w:val="18"/>
                <w:szCs w:val="18"/>
              </w:rPr>
              <w:t>Administrative advice:</w:t>
            </w:r>
          </w:p>
          <w:p w:rsidR="00A33888" w:rsidRPr="00E209B2" w:rsidRDefault="00A33888" w:rsidP="001E5647">
            <w:pPr>
              <w:rPr>
                <w:rFonts w:ascii="Arial Narrow" w:hAnsi="Arial Narrow"/>
                <w:i/>
                <w:sz w:val="18"/>
                <w:szCs w:val="18"/>
              </w:rPr>
            </w:pPr>
            <w:r w:rsidRPr="00E209B2">
              <w:rPr>
                <w:rFonts w:ascii="Arial Narrow" w:hAnsi="Arial Narrow"/>
                <w:i/>
                <w:sz w:val="18"/>
                <w:szCs w:val="18"/>
              </w:rPr>
              <w:t>Special Pricing Arrangements apply</w:t>
            </w:r>
          </w:p>
        </w:tc>
      </w:tr>
    </w:tbl>
    <w:p w:rsidR="00C3371F" w:rsidRDefault="00C3371F" w:rsidP="007E5DEA">
      <w:pPr>
        <w:pStyle w:val="2-SectionHeading"/>
        <w:numPr>
          <w:ilvl w:val="0"/>
          <w:numId w:val="0"/>
        </w:numPr>
        <w:spacing w:before="0" w:after="0"/>
        <w:outlineLvl w:val="9"/>
        <w:rPr>
          <w:sz w:val="24"/>
        </w:rPr>
      </w:pPr>
    </w:p>
    <w:p w:rsidR="00C3371F" w:rsidRDefault="00C3371F">
      <w:pPr>
        <w:jc w:val="left"/>
        <w:rPr>
          <w:rFonts w:asciiTheme="minorHAnsi" w:hAnsiTheme="minorHAnsi"/>
          <w:b/>
          <w:snapToGrid w:val="0"/>
          <w:szCs w:val="32"/>
        </w:rPr>
      </w:pPr>
      <w:r>
        <w:br w:type="page"/>
      </w:r>
    </w:p>
    <w:p w:rsidR="00A33888" w:rsidRPr="00E209B2" w:rsidRDefault="00A33888" w:rsidP="007E5DEA">
      <w:pPr>
        <w:pStyle w:val="2-SectionHeading"/>
        <w:numPr>
          <w:ilvl w:val="0"/>
          <w:numId w:val="0"/>
        </w:numPr>
        <w:spacing w:before="0" w:after="0"/>
        <w:outlineLvl w:val="9"/>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277"/>
        <w:gridCol w:w="849"/>
        <w:gridCol w:w="851"/>
        <w:gridCol w:w="1701"/>
        <w:gridCol w:w="1650"/>
      </w:tblGrid>
      <w:tr w:rsidR="00A33888" w:rsidRPr="00E209B2" w:rsidTr="00A33888">
        <w:trPr>
          <w:cantSplit/>
          <w:trHeight w:val="471"/>
        </w:trPr>
        <w:tc>
          <w:tcPr>
            <w:tcW w:w="1491" w:type="pct"/>
          </w:tcPr>
          <w:p w:rsidR="00A33888" w:rsidRPr="00E209B2" w:rsidRDefault="00A33888" w:rsidP="00886D2E">
            <w:pPr>
              <w:keepNext/>
              <w:ind w:left="-108"/>
              <w:rPr>
                <w:rFonts w:ascii="Arial Narrow" w:hAnsi="Arial Narrow"/>
                <w:b/>
                <w:sz w:val="18"/>
                <w:szCs w:val="18"/>
              </w:rPr>
            </w:pPr>
            <w:r w:rsidRPr="00E209B2">
              <w:rPr>
                <w:rFonts w:ascii="Arial Narrow" w:hAnsi="Arial Narrow"/>
                <w:b/>
                <w:sz w:val="18"/>
                <w:szCs w:val="18"/>
              </w:rPr>
              <w:t>Name, Restriction,</w:t>
            </w:r>
          </w:p>
          <w:p w:rsidR="00A33888" w:rsidRPr="00E209B2" w:rsidRDefault="00A33888" w:rsidP="00886D2E">
            <w:pPr>
              <w:keepNext/>
              <w:ind w:left="-108"/>
              <w:rPr>
                <w:rFonts w:ascii="Arial Narrow" w:hAnsi="Arial Narrow"/>
                <w:b/>
                <w:sz w:val="18"/>
                <w:szCs w:val="18"/>
              </w:rPr>
            </w:pPr>
            <w:r w:rsidRPr="00E209B2">
              <w:rPr>
                <w:rFonts w:ascii="Arial Narrow" w:hAnsi="Arial Narrow"/>
                <w:b/>
                <w:sz w:val="18"/>
                <w:szCs w:val="18"/>
              </w:rPr>
              <w:t>Manner of administration and form</w:t>
            </w:r>
          </w:p>
        </w:tc>
        <w:tc>
          <w:tcPr>
            <w:tcW w:w="708" w:type="pct"/>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PBS item code</w:t>
            </w:r>
          </w:p>
        </w:tc>
        <w:tc>
          <w:tcPr>
            <w:tcW w:w="471" w:type="pct"/>
            <w:vAlign w:val="center"/>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Max.</w:t>
            </w:r>
          </w:p>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Amount</w:t>
            </w:r>
          </w:p>
        </w:tc>
        <w:tc>
          <w:tcPr>
            <w:tcW w:w="472" w:type="pct"/>
            <w:vAlign w:val="center"/>
          </w:tcPr>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№.of</w:t>
            </w:r>
          </w:p>
          <w:p w:rsidR="00A33888" w:rsidRPr="00E209B2" w:rsidRDefault="00A33888" w:rsidP="00886D2E">
            <w:pPr>
              <w:keepNext/>
              <w:ind w:left="-108"/>
              <w:jc w:val="center"/>
              <w:rPr>
                <w:rFonts w:ascii="Arial Narrow" w:hAnsi="Arial Narrow"/>
                <w:b/>
                <w:sz w:val="18"/>
                <w:szCs w:val="18"/>
              </w:rPr>
            </w:pPr>
            <w:r w:rsidRPr="00E209B2">
              <w:rPr>
                <w:rFonts w:ascii="Arial Narrow" w:hAnsi="Arial Narrow"/>
                <w:b/>
                <w:sz w:val="18"/>
                <w:szCs w:val="18"/>
              </w:rPr>
              <w:t>Rpts</w:t>
            </w:r>
          </w:p>
        </w:tc>
        <w:tc>
          <w:tcPr>
            <w:tcW w:w="943" w:type="pct"/>
            <w:vAlign w:val="center"/>
          </w:tcPr>
          <w:p w:rsidR="00A33888" w:rsidRPr="00E209B2" w:rsidRDefault="00A33888" w:rsidP="00886D2E">
            <w:pPr>
              <w:keepNext/>
              <w:jc w:val="center"/>
              <w:rPr>
                <w:rFonts w:ascii="Arial Narrow" w:hAnsi="Arial Narrow"/>
                <w:b/>
                <w:sz w:val="18"/>
                <w:szCs w:val="18"/>
              </w:rPr>
            </w:pPr>
            <w:r w:rsidRPr="00E209B2">
              <w:rPr>
                <w:rFonts w:ascii="Arial Narrow" w:hAnsi="Arial Narrow"/>
                <w:b/>
                <w:sz w:val="18"/>
                <w:szCs w:val="18"/>
              </w:rPr>
              <w:t>Dispensed price for maximum amount</w:t>
            </w:r>
          </w:p>
        </w:tc>
        <w:tc>
          <w:tcPr>
            <w:tcW w:w="915" w:type="pct"/>
            <w:vAlign w:val="center"/>
          </w:tcPr>
          <w:p w:rsidR="00A33888" w:rsidRPr="00E209B2" w:rsidRDefault="00A33888" w:rsidP="00886D2E">
            <w:pPr>
              <w:keepNext/>
              <w:jc w:val="center"/>
              <w:rPr>
                <w:rFonts w:ascii="Arial Narrow" w:hAnsi="Arial Narrow"/>
                <w:b/>
                <w:sz w:val="18"/>
                <w:szCs w:val="18"/>
              </w:rPr>
            </w:pPr>
            <w:r w:rsidRPr="00E209B2">
              <w:rPr>
                <w:rFonts w:ascii="Arial Narrow" w:hAnsi="Arial Narrow"/>
                <w:b/>
                <w:sz w:val="18"/>
                <w:szCs w:val="18"/>
              </w:rPr>
              <w:t>Manufacturer</w:t>
            </w:r>
          </w:p>
        </w:tc>
      </w:tr>
      <w:tr w:rsidR="00A33888" w:rsidRPr="00E209B2" w:rsidTr="00A33888">
        <w:trPr>
          <w:cantSplit/>
          <w:trHeight w:val="577"/>
        </w:trPr>
        <w:tc>
          <w:tcPr>
            <w:tcW w:w="1491" w:type="pct"/>
          </w:tcPr>
          <w:p w:rsidR="00A33888" w:rsidRPr="00E209B2" w:rsidRDefault="00A33888" w:rsidP="00886D2E">
            <w:pPr>
              <w:keepNext/>
              <w:ind w:left="-108"/>
              <w:jc w:val="left"/>
              <w:rPr>
                <w:rFonts w:ascii="Arial Narrow" w:hAnsi="Arial Narrow"/>
                <w:sz w:val="18"/>
                <w:szCs w:val="18"/>
              </w:rPr>
            </w:pPr>
            <w:r w:rsidRPr="00E209B2">
              <w:rPr>
                <w:rFonts w:ascii="Arial Narrow" w:hAnsi="Arial Narrow"/>
                <w:sz w:val="18"/>
                <w:szCs w:val="18"/>
              </w:rPr>
              <w:t>AVELUMAB,</w:t>
            </w:r>
          </w:p>
          <w:p w:rsidR="00A33888" w:rsidRPr="00E209B2" w:rsidRDefault="00A33888" w:rsidP="00886D2E">
            <w:pPr>
              <w:keepNext/>
              <w:ind w:left="-108"/>
              <w:jc w:val="left"/>
              <w:rPr>
                <w:rFonts w:ascii="Arial Narrow" w:hAnsi="Arial Narrow"/>
                <w:sz w:val="18"/>
                <w:szCs w:val="18"/>
              </w:rPr>
            </w:pPr>
            <w:r w:rsidRPr="00E209B2">
              <w:rPr>
                <w:rFonts w:ascii="Arial Narrow" w:hAnsi="Arial Narrow"/>
                <w:sz w:val="18"/>
                <w:szCs w:val="18"/>
              </w:rPr>
              <w:t>200 mg/10 mL injection, 10 mL vial</w:t>
            </w:r>
          </w:p>
        </w:tc>
        <w:tc>
          <w:tcPr>
            <w:tcW w:w="708" w:type="pct"/>
          </w:tcPr>
          <w:p w:rsidR="00A33888" w:rsidRPr="00E209B2" w:rsidRDefault="00A33888" w:rsidP="00886D2E">
            <w:pPr>
              <w:keepNext/>
              <w:ind w:left="-108"/>
              <w:jc w:val="center"/>
              <w:rPr>
                <w:rFonts w:ascii="Arial Narrow" w:hAnsi="Arial Narrow"/>
                <w:sz w:val="18"/>
                <w:szCs w:val="18"/>
              </w:rPr>
            </w:pPr>
            <w:r w:rsidRPr="00E209B2">
              <w:rPr>
                <w:rFonts w:ascii="Arial Narrow" w:hAnsi="Arial Narrow"/>
                <w:sz w:val="18"/>
                <w:szCs w:val="18"/>
              </w:rPr>
              <w:t>NEW (Public)</w:t>
            </w:r>
          </w:p>
          <w:p w:rsidR="00A33888" w:rsidRPr="00E209B2" w:rsidRDefault="00A33888" w:rsidP="00886D2E">
            <w:pPr>
              <w:keepNext/>
              <w:ind w:left="-108"/>
              <w:jc w:val="center"/>
              <w:rPr>
                <w:rFonts w:ascii="Arial Narrow" w:hAnsi="Arial Narrow"/>
                <w:sz w:val="18"/>
                <w:szCs w:val="18"/>
              </w:rPr>
            </w:pPr>
            <w:r w:rsidRPr="00E209B2">
              <w:rPr>
                <w:rFonts w:ascii="Arial Narrow" w:hAnsi="Arial Narrow"/>
                <w:sz w:val="18"/>
                <w:szCs w:val="18"/>
              </w:rPr>
              <w:t>NEW (Private)</w:t>
            </w:r>
          </w:p>
        </w:tc>
        <w:tc>
          <w:tcPr>
            <w:tcW w:w="471" w:type="pct"/>
          </w:tcPr>
          <w:p w:rsidR="00A33888" w:rsidRPr="00E209B2" w:rsidRDefault="00A33888" w:rsidP="00886D2E">
            <w:pPr>
              <w:keepNext/>
              <w:ind w:left="-108"/>
              <w:jc w:val="center"/>
              <w:rPr>
                <w:rFonts w:ascii="Arial Narrow" w:hAnsi="Arial Narrow"/>
                <w:i/>
                <w:sz w:val="18"/>
                <w:szCs w:val="18"/>
              </w:rPr>
            </w:pPr>
            <w:r w:rsidRPr="00E209B2">
              <w:rPr>
                <w:rFonts w:ascii="Arial Narrow" w:hAnsi="Arial Narrow"/>
                <w:sz w:val="18"/>
                <w:szCs w:val="18"/>
              </w:rPr>
              <w:t>800 mg</w:t>
            </w:r>
          </w:p>
        </w:tc>
        <w:tc>
          <w:tcPr>
            <w:tcW w:w="472" w:type="pct"/>
          </w:tcPr>
          <w:p w:rsidR="00A33888" w:rsidRPr="00E209B2" w:rsidRDefault="00A33888" w:rsidP="00886D2E">
            <w:pPr>
              <w:keepNext/>
              <w:ind w:left="-108"/>
              <w:jc w:val="center"/>
              <w:rPr>
                <w:rFonts w:ascii="Arial Narrow" w:hAnsi="Arial Narrow"/>
                <w:sz w:val="18"/>
                <w:szCs w:val="18"/>
              </w:rPr>
            </w:pPr>
            <w:r w:rsidRPr="00E209B2">
              <w:rPr>
                <w:rFonts w:ascii="Arial Narrow" w:hAnsi="Arial Narrow"/>
                <w:sz w:val="18"/>
                <w:szCs w:val="18"/>
              </w:rPr>
              <w:t>11</w:t>
            </w:r>
          </w:p>
        </w:tc>
        <w:tc>
          <w:tcPr>
            <w:tcW w:w="943" w:type="pct"/>
          </w:tcPr>
          <w:p w:rsidR="00A33888" w:rsidRPr="00E209B2" w:rsidRDefault="00A33888" w:rsidP="00886D2E">
            <w:pPr>
              <w:keepNext/>
              <w:jc w:val="center"/>
              <w:rPr>
                <w:rFonts w:ascii="Arial Narrow" w:hAnsi="Arial Narrow"/>
                <w:sz w:val="18"/>
                <w:szCs w:val="18"/>
              </w:rPr>
            </w:pPr>
            <w:r w:rsidRPr="00E209B2">
              <w:rPr>
                <w:rFonts w:ascii="Arial Narrow" w:hAnsi="Arial Narrow"/>
                <w:sz w:val="18"/>
                <w:szCs w:val="18"/>
              </w:rPr>
              <w:t>Public:</w:t>
            </w:r>
          </w:p>
          <w:p w:rsidR="00A33888" w:rsidRPr="00E209B2" w:rsidRDefault="00A33888" w:rsidP="00886D2E">
            <w:pPr>
              <w:keepNext/>
              <w:jc w:val="center"/>
              <w:rPr>
                <w:rFonts w:ascii="Arial Narrow" w:hAnsi="Arial Narrow"/>
                <w:sz w:val="18"/>
                <w:szCs w:val="18"/>
              </w:rPr>
            </w:pPr>
            <w:r w:rsidRPr="00E209B2">
              <w:rPr>
                <w:rFonts w:ascii="Arial Narrow" w:hAnsi="Arial Narrow"/>
                <w:sz w:val="18"/>
                <w:szCs w:val="18"/>
              </w:rPr>
              <w:t>$5,515.22 (published)</w:t>
            </w:r>
          </w:p>
          <w:p w:rsidR="00A33888" w:rsidRPr="00E209B2" w:rsidRDefault="00A33888" w:rsidP="00886D2E">
            <w:pPr>
              <w:keepNext/>
              <w:jc w:val="center"/>
              <w:rPr>
                <w:rFonts w:ascii="Arial Narrow" w:hAnsi="Arial Narrow"/>
                <w:sz w:val="18"/>
                <w:szCs w:val="18"/>
              </w:rPr>
            </w:pPr>
            <w:r w:rsidRPr="00E209B2">
              <w:rPr>
                <w:rFonts w:ascii="Arial Narrow" w:hAnsi="Arial Narrow"/>
                <w:sz w:val="18"/>
                <w:szCs w:val="18"/>
              </w:rPr>
              <w:t>$</w:t>
            </w:r>
            <w:r w:rsidR="001529E4">
              <w:rPr>
                <w:rFonts w:ascii="Arial Narrow" w:hAnsi="Arial Narrow"/>
                <w:noProof/>
                <w:color w:val="000000"/>
                <w:sz w:val="18"/>
                <w:szCs w:val="18"/>
                <w:highlight w:val="black"/>
              </w:rPr>
              <w:t>'''''''''''''''''''''</w:t>
            </w:r>
            <w:r w:rsidRPr="00E209B2">
              <w:rPr>
                <w:rFonts w:ascii="Arial Narrow" w:hAnsi="Arial Narrow"/>
                <w:sz w:val="18"/>
                <w:szCs w:val="18"/>
              </w:rPr>
              <w:t xml:space="preserve"> (effective)</w:t>
            </w:r>
          </w:p>
          <w:p w:rsidR="00A33888" w:rsidRPr="00E209B2" w:rsidRDefault="00A33888" w:rsidP="00886D2E">
            <w:pPr>
              <w:keepNext/>
              <w:jc w:val="center"/>
              <w:rPr>
                <w:rFonts w:ascii="Arial Narrow" w:hAnsi="Arial Narrow"/>
                <w:sz w:val="18"/>
                <w:szCs w:val="18"/>
              </w:rPr>
            </w:pPr>
          </w:p>
          <w:p w:rsidR="00A33888" w:rsidRPr="00E209B2" w:rsidRDefault="00A33888" w:rsidP="00886D2E">
            <w:pPr>
              <w:pStyle w:val="TableText"/>
              <w:ind w:left="-113" w:right="-113"/>
              <w:jc w:val="center"/>
              <w:rPr>
                <w:rFonts w:eastAsia="Times New Roman" w:cs="Arial"/>
                <w:bCs w:val="0"/>
                <w:sz w:val="18"/>
                <w:szCs w:val="18"/>
              </w:rPr>
            </w:pPr>
            <w:r w:rsidRPr="00E209B2">
              <w:rPr>
                <w:rFonts w:eastAsia="Times New Roman" w:cs="Arial"/>
                <w:bCs w:val="0"/>
                <w:sz w:val="18"/>
                <w:szCs w:val="18"/>
              </w:rPr>
              <w:t>Private:</w:t>
            </w:r>
          </w:p>
          <w:p w:rsidR="00A33888" w:rsidRPr="00E209B2" w:rsidRDefault="00A33888" w:rsidP="00886D2E">
            <w:pPr>
              <w:pStyle w:val="TableText"/>
              <w:ind w:left="-113" w:right="-113"/>
              <w:jc w:val="center"/>
              <w:rPr>
                <w:rFonts w:eastAsia="Times New Roman" w:cs="Arial"/>
                <w:bCs w:val="0"/>
                <w:sz w:val="18"/>
                <w:szCs w:val="18"/>
              </w:rPr>
            </w:pPr>
            <w:r w:rsidRPr="00E209B2">
              <w:rPr>
                <w:rFonts w:eastAsia="Times New Roman" w:cs="Arial"/>
                <w:bCs w:val="0"/>
                <w:sz w:val="18"/>
                <w:szCs w:val="18"/>
              </w:rPr>
              <w:t>$5,631.86 (published)</w:t>
            </w:r>
          </w:p>
          <w:p w:rsidR="00A33888" w:rsidRPr="00E209B2" w:rsidRDefault="00A33888" w:rsidP="00886D2E">
            <w:pPr>
              <w:keepNext/>
              <w:jc w:val="center"/>
              <w:rPr>
                <w:rFonts w:ascii="Arial Narrow" w:hAnsi="Arial Narrow"/>
                <w:sz w:val="18"/>
                <w:szCs w:val="18"/>
              </w:rPr>
            </w:pPr>
            <w:r w:rsidRPr="00E209B2">
              <w:rPr>
                <w:rFonts w:ascii="Arial Narrow" w:hAnsi="Arial Narrow"/>
                <w:sz w:val="18"/>
                <w:szCs w:val="18"/>
              </w:rPr>
              <w:t>$</w:t>
            </w:r>
            <w:r w:rsidR="001529E4">
              <w:rPr>
                <w:rFonts w:ascii="Arial Narrow" w:hAnsi="Arial Narrow"/>
                <w:noProof/>
                <w:color w:val="000000"/>
                <w:sz w:val="18"/>
                <w:szCs w:val="18"/>
                <w:highlight w:val="black"/>
              </w:rPr>
              <w:t>''''''''''''''''''''</w:t>
            </w:r>
            <w:r w:rsidRPr="00E209B2">
              <w:rPr>
                <w:rFonts w:ascii="Arial Narrow" w:hAnsi="Arial Narrow"/>
                <w:sz w:val="18"/>
                <w:szCs w:val="18"/>
              </w:rPr>
              <w:t xml:space="preserve"> (effective)</w:t>
            </w:r>
          </w:p>
        </w:tc>
        <w:tc>
          <w:tcPr>
            <w:tcW w:w="915" w:type="pct"/>
          </w:tcPr>
          <w:p w:rsidR="00A33888" w:rsidRPr="00E209B2" w:rsidRDefault="00A33888" w:rsidP="00886D2E">
            <w:pPr>
              <w:keepNext/>
              <w:jc w:val="center"/>
              <w:rPr>
                <w:rFonts w:ascii="Arial Narrow" w:hAnsi="Arial Narrow"/>
                <w:sz w:val="18"/>
                <w:szCs w:val="18"/>
              </w:rPr>
            </w:pPr>
            <w:r w:rsidRPr="00E209B2">
              <w:rPr>
                <w:rFonts w:ascii="Arial Narrow" w:hAnsi="Arial Narrow"/>
                <w:sz w:val="18"/>
                <w:szCs w:val="18"/>
              </w:rPr>
              <w:t>Merck Healthcare Pty Ltd</w:t>
            </w:r>
          </w:p>
        </w:tc>
      </w:tr>
      <w:tr w:rsidR="00A33888" w:rsidRPr="00E209B2" w:rsidTr="00886D2E">
        <w:trPr>
          <w:cantSplit/>
          <w:trHeight w:val="225"/>
        </w:trPr>
        <w:tc>
          <w:tcPr>
            <w:tcW w:w="5000" w:type="pct"/>
            <w:gridSpan w:val="6"/>
          </w:tcPr>
          <w:p w:rsidR="00A33888" w:rsidRPr="00E209B2" w:rsidRDefault="00A33888" w:rsidP="00886D2E">
            <w:pPr>
              <w:keepNext/>
              <w:rPr>
                <w:rFonts w:ascii="Arial Narrow" w:hAnsi="Arial Narrow"/>
                <w:b/>
                <w:sz w:val="18"/>
                <w:szCs w:val="18"/>
              </w:rPr>
            </w:pPr>
            <w:r w:rsidRPr="00E209B2">
              <w:rPr>
                <w:rFonts w:ascii="Arial Narrow" w:hAnsi="Arial Narrow"/>
                <w:b/>
                <w:sz w:val="18"/>
                <w:szCs w:val="18"/>
              </w:rPr>
              <w:t>Available brands</w:t>
            </w:r>
          </w:p>
        </w:tc>
      </w:tr>
      <w:tr w:rsidR="00A33888" w:rsidRPr="00E209B2" w:rsidTr="00886D2E">
        <w:trPr>
          <w:cantSplit/>
          <w:trHeight w:val="360"/>
        </w:trPr>
        <w:tc>
          <w:tcPr>
            <w:tcW w:w="5000" w:type="pct"/>
            <w:gridSpan w:val="6"/>
          </w:tcPr>
          <w:p w:rsidR="00A33888" w:rsidRPr="00E209B2" w:rsidRDefault="00A33888" w:rsidP="00886D2E">
            <w:pPr>
              <w:rPr>
                <w:rFonts w:ascii="Arial Narrow" w:hAnsi="Arial Narrow"/>
                <w:sz w:val="18"/>
                <w:szCs w:val="18"/>
              </w:rPr>
            </w:pPr>
            <w:r w:rsidRPr="00E209B2">
              <w:rPr>
                <w:rFonts w:ascii="Arial Narrow" w:hAnsi="Arial Narrow"/>
                <w:sz w:val="18"/>
                <w:szCs w:val="18"/>
              </w:rPr>
              <w:t>Bavencio</w:t>
            </w:r>
          </w:p>
          <w:p w:rsidR="00A33888" w:rsidRPr="00E209B2" w:rsidRDefault="00A33888" w:rsidP="00886D2E">
            <w:pPr>
              <w:rPr>
                <w:rFonts w:ascii="Arial Narrow" w:hAnsi="Arial Narrow"/>
                <w:sz w:val="18"/>
                <w:szCs w:val="18"/>
              </w:rPr>
            </w:pPr>
            <w:r w:rsidRPr="00E209B2">
              <w:rPr>
                <w:rFonts w:ascii="Arial Narrow" w:hAnsi="Arial Narrow"/>
                <w:sz w:val="18"/>
                <w:szCs w:val="18"/>
              </w:rPr>
              <w:t>(avelumab 200 mg/10 mL injection, 10 mL vial)</w:t>
            </w:r>
          </w:p>
        </w:tc>
      </w:tr>
    </w:tbl>
    <w:p w:rsidR="007E5DEA" w:rsidRPr="00E209B2" w:rsidRDefault="007E5DEA" w:rsidP="007E5DEA">
      <w:pPr>
        <w:pStyle w:val="2-SectionHeading"/>
        <w:numPr>
          <w:ilvl w:val="0"/>
          <w:numId w:val="0"/>
        </w:numPr>
        <w:spacing w:before="0"/>
        <w:outlineLvl w:val="9"/>
        <w:rPr>
          <w:rFonts w:ascii="Arial Narrow" w:hAnsi="Arial Narrow"/>
          <w:sz w:val="18"/>
          <w:szCs w:val="20"/>
        </w:rPr>
      </w:pPr>
    </w:p>
    <w:p w:rsidR="007E5DEA" w:rsidRPr="00E209B2" w:rsidRDefault="007E5DEA" w:rsidP="001E5647">
      <w:pPr>
        <w:pStyle w:val="2-SectionHeading"/>
        <w:numPr>
          <w:ilvl w:val="0"/>
          <w:numId w:val="0"/>
        </w:numPr>
        <w:spacing w:before="0" w:after="0"/>
        <w:outlineLvl w:val="9"/>
        <w:rPr>
          <w:rFonts w:ascii="Arial Narrow" w:hAnsi="Arial Narrow"/>
          <w:sz w:val="18"/>
          <w:szCs w:val="20"/>
        </w:rPr>
      </w:pPr>
      <w:r w:rsidRPr="00E209B2">
        <w:rPr>
          <w:rFonts w:ascii="Arial Narrow" w:hAnsi="Arial Narrow"/>
          <w:sz w:val="18"/>
          <w:szCs w:val="20"/>
        </w:rPr>
        <w:t>Continuing treatment Restriction Summary [NEW] / Treatment of Concept (ToC): [NEW]</w:t>
      </w:r>
    </w:p>
    <w:tbl>
      <w:tblPr>
        <w:tblW w:w="5000" w:type="pct"/>
        <w:tblLook w:val="0000" w:firstRow="0" w:lastRow="0" w:firstColumn="0" w:lastColumn="0" w:noHBand="0" w:noVBand="0"/>
      </w:tblPr>
      <w:tblGrid>
        <w:gridCol w:w="1413"/>
        <w:gridCol w:w="1701"/>
        <w:gridCol w:w="5903"/>
      </w:tblGrid>
      <w:tr w:rsidR="007E5DEA" w:rsidRPr="00E209B2" w:rsidTr="00886D2E">
        <w:trPr>
          <w:cantSplit/>
          <w:trHeight w:val="63"/>
        </w:trPr>
        <w:tc>
          <w:tcPr>
            <w:tcW w:w="784" w:type="pct"/>
            <w:vMerge w:val="restart"/>
            <w:tcBorders>
              <w:top w:val="single" w:sz="4" w:space="0" w:color="auto"/>
              <w:left w:val="single" w:sz="4" w:space="0" w:color="auto"/>
              <w:right w:val="single" w:sz="4" w:space="0" w:color="auto"/>
            </w:tcBorders>
          </w:tcPr>
          <w:p w:rsidR="007E5DEA" w:rsidRPr="00E209B2" w:rsidRDefault="007E5DEA" w:rsidP="00886D2E">
            <w:pPr>
              <w:keepNext/>
              <w:jc w:val="center"/>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Category / Program:</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7E5DEA" w:rsidRPr="00E209B2" w:rsidTr="00886D2E">
        <w:trPr>
          <w:cantSplit/>
          <w:trHeight w:val="63"/>
        </w:trPr>
        <w:tc>
          <w:tcPr>
            <w:tcW w:w="784" w:type="pct"/>
            <w:vMerge/>
            <w:tcBorders>
              <w:left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Prescriber type:</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 xml:space="preserve">Medical Practitioners  </w:t>
            </w:r>
          </w:p>
        </w:tc>
      </w:tr>
      <w:tr w:rsidR="007E5DEA" w:rsidRPr="00E209B2" w:rsidTr="00886D2E">
        <w:trPr>
          <w:cantSplit/>
          <w:trHeight w:val="63"/>
        </w:trPr>
        <w:tc>
          <w:tcPr>
            <w:tcW w:w="784" w:type="pct"/>
            <w:vMerge/>
            <w:tcBorders>
              <w:left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Severity:</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7E5DEA" w:rsidRPr="00E209B2" w:rsidTr="00886D2E">
        <w:trPr>
          <w:cantSplit/>
          <w:trHeight w:val="63"/>
        </w:trPr>
        <w:tc>
          <w:tcPr>
            <w:tcW w:w="784" w:type="pct"/>
            <w:vMerge/>
            <w:tcBorders>
              <w:left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Condition:</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Urothelial cancer</w:t>
            </w:r>
          </w:p>
        </w:tc>
      </w:tr>
      <w:tr w:rsidR="007E5DEA" w:rsidRPr="00E209B2" w:rsidTr="00886D2E">
        <w:trPr>
          <w:cantSplit/>
          <w:trHeight w:val="63"/>
        </w:trPr>
        <w:tc>
          <w:tcPr>
            <w:tcW w:w="784" w:type="pct"/>
            <w:vMerge/>
            <w:tcBorders>
              <w:left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PBS Indication:</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 [21171]</w:t>
            </w:r>
          </w:p>
        </w:tc>
      </w:tr>
      <w:tr w:rsidR="007E5DEA" w:rsidRPr="00E209B2" w:rsidTr="00886D2E">
        <w:trPr>
          <w:cantSplit/>
          <w:trHeight w:val="63"/>
        </w:trPr>
        <w:tc>
          <w:tcPr>
            <w:tcW w:w="784" w:type="pct"/>
            <w:vMerge/>
            <w:tcBorders>
              <w:left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Treatment phase:</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i/>
                <w:sz w:val="18"/>
                <w:szCs w:val="18"/>
              </w:rPr>
              <w:t>Maintenance therapy</w:t>
            </w:r>
            <w:r w:rsidRPr="00E209B2">
              <w:rPr>
                <w:rFonts w:ascii="Arial Narrow" w:hAnsi="Arial Narrow" w:cstheme="minorHAnsi"/>
                <w:sz w:val="18"/>
                <w:szCs w:val="18"/>
              </w:rPr>
              <w:t xml:space="preserve"> – Continuing </w:t>
            </w:r>
            <w:r w:rsidRPr="00E209B2">
              <w:rPr>
                <w:rFonts w:ascii="Arial Narrow" w:hAnsi="Arial Narrow" w:cstheme="minorHAnsi"/>
                <w:i/>
                <w:sz w:val="18"/>
                <w:szCs w:val="18"/>
              </w:rPr>
              <w:t>treatment</w:t>
            </w:r>
          </w:p>
        </w:tc>
      </w:tr>
      <w:tr w:rsidR="007E5DEA" w:rsidRPr="00E209B2" w:rsidTr="00886D2E">
        <w:trPr>
          <w:cantSplit/>
          <w:trHeight w:val="63"/>
        </w:trPr>
        <w:tc>
          <w:tcPr>
            <w:tcW w:w="784" w:type="pct"/>
            <w:vMerge/>
            <w:tcBorders>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Restriction Level:</w:t>
            </w:r>
          </w:p>
        </w:tc>
        <w:tc>
          <w:tcPr>
            <w:tcW w:w="3273" w:type="pct"/>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sz w:val="18"/>
                <w:szCs w:val="18"/>
                <w:highlight w:val="yellow"/>
              </w:rPr>
            </w:pPr>
            <w:r w:rsidRPr="00E209B2">
              <w:rPr>
                <w:rFonts w:ascii="Arial Narrow" w:hAnsi="Arial Narrow"/>
                <w:sz w:val="18"/>
                <w:szCs w:val="18"/>
              </w:rPr>
              <w:fldChar w:fldCharType="begin">
                <w:ffData>
                  <w:name w:val=""/>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 xml:space="preserve">Authority Required – immediate/real time assessment by Services Australia </w:t>
            </w:r>
            <w:r w:rsidRPr="00E209B2">
              <w:rPr>
                <w:rFonts w:ascii="Arial Narrow" w:hAnsi="Arial Narrow"/>
                <w:i/>
                <w:sz w:val="18"/>
                <w:szCs w:val="18"/>
              </w:rPr>
              <w:t>(Telephone/electronic)</w:t>
            </w:r>
            <w:r w:rsidRPr="00E209B2">
              <w:rPr>
                <w:rFonts w:ascii="Arial Narrow" w:hAnsi="Arial Narrow"/>
                <w:sz w:val="18"/>
                <w:szCs w:val="18"/>
              </w:rPr>
              <w:t xml:space="preserve"> </w:t>
            </w:r>
            <w:r w:rsidRPr="00E209B2">
              <w:rPr>
                <w:rFonts w:ascii="Arial Narrow" w:hAnsi="Arial Narrow"/>
                <w:strike/>
                <w:sz w:val="18"/>
                <w:szCs w:val="18"/>
              </w:rPr>
              <w:t>(</w:t>
            </w:r>
            <w:r w:rsidRPr="00E209B2">
              <w:rPr>
                <w:rFonts w:ascii="Arial Narrow" w:hAnsi="Arial Narrow"/>
                <w:strike/>
                <w:sz w:val="18"/>
                <w:szCs w:val="18"/>
              </w:rPr>
              <w:fldChar w:fldCharType="begin">
                <w:ffData>
                  <w:name w:val="Check5"/>
                  <w:enabled/>
                  <w:calcOnExit w:val="0"/>
                  <w:checkBox>
                    <w:sizeAuto/>
                    <w:default w:val="1"/>
                  </w:checkBox>
                </w:ffData>
              </w:fldChar>
            </w:r>
            <w:r w:rsidRPr="00E209B2">
              <w:rPr>
                <w:rFonts w:ascii="Arial Narrow" w:hAnsi="Arial Narrow"/>
                <w:strike/>
                <w:sz w:val="18"/>
                <w:szCs w:val="18"/>
              </w:rPr>
              <w:instrText xml:space="preserve"> FORMCHECKBOX </w:instrText>
            </w:r>
            <w:r w:rsidR="001B22DA">
              <w:rPr>
                <w:rFonts w:ascii="Arial Narrow" w:hAnsi="Arial Narrow"/>
                <w:strike/>
                <w:sz w:val="18"/>
                <w:szCs w:val="18"/>
              </w:rPr>
            </w:r>
            <w:r w:rsidR="001B22DA">
              <w:rPr>
                <w:rFonts w:ascii="Arial Narrow" w:hAnsi="Arial Narrow"/>
                <w:strike/>
                <w:sz w:val="18"/>
                <w:szCs w:val="18"/>
              </w:rPr>
              <w:fldChar w:fldCharType="separate"/>
            </w:r>
            <w:r w:rsidRPr="00E209B2">
              <w:rPr>
                <w:rFonts w:ascii="Arial Narrow" w:hAnsi="Arial Narrow"/>
                <w:strike/>
                <w:sz w:val="18"/>
                <w:szCs w:val="18"/>
              </w:rPr>
              <w:fldChar w:fldCharType="end"/>
            </w:r>
            <w:r w:rsidRPr="00E209B2">
              <w:rPr>
                <w:rFonts w:ascii="Arial Narrow" w:hAnsi="Arial Narrow"/>
                <w:strike/>
                <w:sz w:val="18"/>
                <w:szCs w:val="18"/>
              </w:rPr>
              <w:t>Streamlined)</w:t>
            </w:r>
          </w:p>
        </w:tc>
      </w:tr>
      <w:tr w:rsidR="007E5DEA" w:rsidRPr="00E209B2" w:rsidTr="00886D2E">
        <w:trPr>
          <w:cantSplit/>
          <w:trHeight w:val="65"/>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Patient must have previously received PBS-subsidised treatment with this drug for this condition,</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trike/>
                <w:sz w:val="18"/>
                <w:szCs w:val="18"/>
              </w:rPr>
              <w:t>Patient must have stable or responding disease</w:t>
            </w:r>
            <w:r w:rsidRPr="00E209B2">
              <w:rPr>
                <w:rFonts w:ascii="Arial Narrow" w:hAnsi="Arial Narrow" w:cstheme="minorHAnsi"/>
                <w:sz w:val="18"/>
                <w:szCs w:val="18"/>
              </w:rPr>
              <w:t xml:space="preserve"> </w:t>
            </w:r>
            <w:r w:rsidRPr="00E209B2">
              <w:rPr>
                <w:rFonts w:ascii="Arial Narrow" w:hAnsi="Arial Narrow" w:cstheme="minorHAnsi"/>
                <w:i/>
                <w:sz w:val="18"/>
                <w:szCs w:val="18"/>
              </w:rPr>
              <w:t>Patient must not have developed disease progression</w:t>
            </w:r>
            <w:r w:rsidRPr="00E209B2">
              <w:t xml:space="preserve"> </w:t>
            </w:r>
            <w:r w:rsidRPr="00E209B2">
              <w:rPr>
                <w:rFonts w:ascii="Arial Narrow" w:hAnsi="Arial Narrow" w:cstheme="minorHAnsi"/>
                <w:i/>
                <w:sz w:val="18"/>
                <w:szCs w:val="18"/>
              </w:rPr>
              <w:t>while being treated with this drug for this condition</w:t>
            </w:r>
          </w:p>
        </w:tc>
      </w:tr>
      <w:tr w:rsidR="007E5DEA" w:rsidRPr="00E209B2" w:rsidTr="00886D2E">
        <w:trPr>
          <w:cantSplit/>
          <w:trHeight w:val="12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trike/>
                <w:sz w:val="18"/>
                <w:szCs w:val="18"/>
              </w:rPr>
            </w:pPr>
            <w:r w:rsidRPr="00E209B2">
              <w:rPr>
                <w:rFonts w:ascii="Arial Narrow" w:hAnsi="Arial Narrow" w:cstheme="minorHAnsi"/>
                <w:b/>
                <w:strike/>
                <w:sz w:val="18"/>
                <w:szCs w:val="18"/>
              </w:rPr>
              <w:t>Clinical criteria:</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sz w:val="18"/>
                <w:szCs w:val="18"/>
              </w:rPr>
            </w:pPr>
            <w:r w:rsidRPr="00E209B2">
              <w:rPr>
                <w:rFonts w:ascii="Arial Narrow" w:hAnsi="Arial Narrow" w:cstheme="minorHAnsi"/>
                <w:strike/>
                <w:sz w:val="18"/>
                <w:szCs w:val="18"/>
              </w:rPr>
              <w:t>The treatment must be maintenance therapy.</w:t>
            </w:r>
          </w:p>
        </w:tc>
      </w:tr>
      <w:tr w:rsidR="007E5DE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7E5DEA" w:rsidRPr="00E209B2" w:rsidRDefault="007E5DE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strike/>
                <w:sz w:val="18"/>
                <w:szCs w:val="18"/>
              </w:rPr>
            </w:pPr>
            <w:r w:rsidRPr="00E209B2">
              <w:rPr>
                <w:rFonts w:ascii="Arial Narrow" w:hAnsi="Arial Narrow" w:cstheme="minorHAnsi"/>
                <w:i/>
                <w:strike/>
                <w:sz w:val="18"/>
                <w:szCs w:val="18"/>
              </w:rPr>
              <w:t>AND</w:t>
            </w:r>
          </w:p>
        </w:tc>
      </w:tr>
      <w:tr w:rsidR="007E5DE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7E5DEA" w:rsidRPr="00E209B2" w:rsidRDefault="007E5DEA" w:rsidP="00886D2E">
            <w:pPr>
              <w:keepNext/>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i/>
                <w:sz w:val="18"/>
                <w:szCs w:val="18"/>
              </w:rPr>
              <w:t>No increase in the maximum quantity or number of units may be authorised.</w:t>
            </w:r>
          </w:p>
        </w:tc>
      </w:tr>
      <w:tr w:rsidR="007E5DE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7E5DEA" w:rsidRPr="00E209B2" w:rsidRDefault="007E5DEA" w:rsidP="00886D2E">
            <w:pPr>
              <w:keepNext/>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i/>
                <w:sz w:val="18"/>
                <w:szCs w:val="18"/>
              </w:rPr>
              <w:t>No increase in the maximum number of repeats may be authorised.</w:t>
            </w:r>
          </w:p>
        </w:tc>
      </w:tr>
      <w:tr w:rsidR="007E5DE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7E5DEA" w:rsidRPr="00E209B2" w:rsidRDefault="007E5DEA" w:rsidP="00886D2E">
            <w:pPr>
              <w:keepNext/>
              <w:jc w:val="center"/>
              <w:rPr>
                <w:rFonts w:ascii="Arial Narrow" w:hAnsi="Arial Narrow" w:cstheme="minorHAnsi"/>
                <w:b/>
                <w: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7E5DEA" w:rsidRPr="00E209B2" w:rsidRDefault="007E5DEA" w:rsidP="00886D2E">
            <w:pPr>
              <w:keepNext/>
              <w:rPr>
                <w:rFonts w:ascii="Arial Narrow" w:hAnsi="Arial Narrow" w:cstheme="minorHAnsi"/>
                <w:b/>
                <w:i/>
                <w:sz w:val="18"/>
                <w:szCs w:val="18"/>
              </w:rPr>
            </w:pPr>
            <w:r w:rsidRPr="00E209B2">
              <w:rPr>
                <w:rFonts w:ascii="Arial Narrow" w:hAnsi="Arial Narrow" w:cstheme="minorHAnsi"/>
                <w:b/>
                <w:i/>
                <w:sz w:val="18"/>
                <w:szCs w:val="18"/>
              </w:rPr>
              <w:t>Administrative advice:</w:t>
            </w:r>
          </w:p>
          <w:p w:rsidR="007E5DEA" w:rsidRPr="00E209B2" w:rsidRDefault="007E5DEA" w:rsidP="00886D2E">
            <w:pPr>
              <w:keepNext/>
              <w:rPr>
                <w:rFonts w:ascii="Arial Narrow" w:hAnsi="Arial Narrow" w:cstheme="minorHAnsi"/>
                <w:i/>
                <w:sz w:val="18"/>
                <w:szCs w:val="18"/>
              </w:rPr>
            </w:pPr>
            <w:r w:rsidRPr="00E209B2">
              <w:rPr>
                <w:rFonts w:ascii="Arial Narrow" w:hAnsi="Arial Narrow"/>
                <w:i/>
                <w:sz w:val="18"/>
                <w:szCs w:val="18"/>
              </w:rPr>
              <w:t>Special Pricing Arrangements apply</w:t>
            </w:r>
          </w:p>
        </w:tc>
      </w:tr>
    </w:tbl>
    <w:p w:rsidR="00B60939" w:rsidRPr="00E209B2" w:rsidRDefault="00B60939" w:rsidP="004B1CB4"/>
    <w:p w:rsidR="00F67A69" w:rsidRPr="00E209B2" w:rsidRDefault="00016AB0" w:rsidP="00F9393E">
      <w:pPr>
        <w:pStyle w:val="ExecSumBodyText"/>
      </w:pPr>
      <w:r w:rsidRPr="00E209B2">
        <w:t xml:space="preserve">The submission requested a special pricing arrangement for avelumab with an effective Public </w:t>
      </w:r>
      <w:r w:rsidR="002F0830" w:rsidRPr="00E209B2">
        <w:t xml:space="preserve">hospital </w:t>
      </w:r>
      <w:r w:rsidRPr="00E209B2">
        <w:t>DP</w:t>
      </w:r>
      <w:r w:rsidR="002F0830" w:rsidRPr="00E209B2">
        <w:t>M</w:t>
      </w:r>
      <w:r w:rsidRPr="00E209B2">
        <w:t>A of $</w:t>
      </w:r>
      <w:r w:rsidR="001529E4">
        <w:rPr>
          <w:noProof/>
          <w:color w:val="000000"/>
          <w:highlight w:val="black"/>
        </w:rPr>
        <w:t>'''''''''''''''''</w:t>
      </w:r>
      <w:r w:rsidRPr="00E209B2">
        <w:t xml:space="preserve"> (published DPMA: $5,515.22). </w:t>
      </w:r>
    </w:p>
    <w:p w:rsidR="00DF3A82" w:rsidRPr="00E209B2" w:rsidRDefault="00673D62" w:rsidP="00F9393E">
      <w:pPr>
        <w:pStyle w:val="ExecSumBodyText"/>
      </w:pPr>
      <w:r w:rsidRPr="00E209B2">
        <w:lastRenderedPageBreak/>
        <w:t xml:space="preserve">The submission proposed a Streamlined authority listing for avelumab so that the restriction is consistent with the current PBS listing for pembrolizumab. The PBAC considered an Authority Required (Telephone/Electronic) listing may be more appropriate for avelumab to allow WHO performance status and prior platinum-based chemotherapy status to be checked by Services Australia. </w:t>
      </w:r>
    </w:p>
    <w:p w:rsidR="00016AB0" w:rsidRPr="00E209B2" w:rsidRDefault="00016AB0" w:rsidP="00DD1505">
      <w:pPr>
        <w:pStyle w:val="ExecSumBodyText"/>
      </w:pPr>
      <w:r w:rsidRPr="00E209B2">
        <w:t>The proposed restriction is narrower than the proposed TGA indication, which does not limit treatment on the basis of WHO performance status</w:t>
      </w:r>
      <w:r w:rsidR="00DF02D5" w:rsidRPr="00E209B2">
        <w:t xml:space="preserve"> or </w:t>
      </w:r>
      <w:r w:rsidRPr="00E209B2">
        <w:t>on the basis of disease stage</w:t>
      </w:r>
      <w:r w:rsidR="000C47BF" w:rsidRPr="00E209B2">
        <w:t xml:space="preserve">; as well as the pembrolizumab listing which requires a performance status of 2 or less. </w:t>
      </w:r>
      <w:r w:rsidR="00DD1505" w:rsidRPr="00E209B2">
        <w:t xml:space="preserve">The PBAC considered including the WHO performance status for avelumab was appropriate and </w:t>
      </w:r>
      <w:r w:rsidR="009B02F7" w:rsidRPr="00E209B2">
        <w:t>noted that a</w:t>
      </w:r>
      <w:r w:rsidR="00DD1505" w:rsidRPr="00E209B2">
        <w:t xml:space="preserve"> performance </w:t>
      </w:r>
      <w:r w:rsidR="009B02F7" w:rsidRPr="00E209B2">
        <w:t>score of</w:t>
      </w:r>
      <w:r w:rsidR="00DD1505" w:rsidRPr="00E209B2">
        <w:t xml:space="preserve"> 0 or 1 </w:t>
      </w:r>
      <w:r w:rsidR="009B02F7" w:rsidRPr="00E209B2">
        <w:t xml:space="preserve">was consistent with the inclusion criteria of the JAVELIN Bladder 100 trial. </w:t>
      </w:r>
    </w:p>
    <w:p w:rsidR="00016AB0" w:rsidRPr="00E209B2" w:rsidRDefault="00016AB0" w:rsidP="00993AF1">
      <w:pPr>
        <w:pStyle w:val="ExecSumBodyText"/>
      </w:pPr>
      <w:r w:rsidRPr="00E209B2">
        <w:t xml:space="preserve">Eligibility criteria for the JAVELIN Bladder 100 trial required documented Stage IV disease, which differs from the population specified in the requested restriction </w:t>
      </w:r>
      <w:r w:rsidR="00993AF1" w:rsidRPr="00E209B2">
        <w:t xml:space="preserve">which included </w:t>
      </w:r>
      <w:r w:rsidRPr="00E209B2">
        <w:t xml:space="preserve">Stage III and Stage IV disease. </w:t>
      </w:r>
      <w:r w:rsidR="00334CAA" w:rsidRPr="00E209B2">
        <w:t>The ESC noted that the inclusion of Stage III and Stage IV was consistent with the current pembrolizumab restriction.</w:t>
      </w:r>
      <w:r w:rsidR="00334CAA" w:rsidRPr="00E209B2">
        <w:rPr>
          <w:i/>
        </w:rPr>
        <w:t xml:space="preserve"> </w:t>
      </w:r>
      <w:r w:rsidRPr="00E209B2">
        <w:t xml:space="preserve">While the financial estimates presented in the submission include patients with Stage III and Stage IV disease, the economic analysis presented was based on the results of the JAVELIN Bladder 100 trial, and may not reflect the population in which the listing is sought. </w:t>
      </w:r>
      <w:r w:rsidR="00B36D65" w:rsidRPr="00E209B2">
        <w:t>Additionally, the JAVELIN Bladder 100 trial recruited patients with unresectable disease, which is not required under the proposed restriction.</w:t>
      </w:r>
      <w:r w:rsidR="00993AF1" w:rsidRPr="00E209B2">
        <w:t xml:space="preserve"> The ESC noted that </w:t>
      </w:r>
      <w:r w:rsidR="00C5037F" w:rsidRPr="00E209B2">
        <w:t xml:space="preserve">according to the AJCC Staging Manual </w:t>
      </w:r>
      <w:r w:rsidR="00993AF1" w:rsidRPr="00E209B2">
        <w:rPr>
          <w:iCs/>
        </w:rPr>
        <w:t>patients can have Stage IV disease without metastases</w:t>
      </w:r>
      <w:r w:rsidR="00A9062D" w:rsidRPr="00E209B2">
        <w:rPr>
          <w:iCs/>
        </w:rPr>
        <w:t xml:space="preserve"> which could be considered ‘locally advanced’</w:t>
      </w:r>
      <w:r w:rsidR="00C5037F" w:rsidRPr="00E209B2">
        <w:rPr>
          <w:iCs/>
        </w:rPr>
        <w:t xml:space="preserve"> (e.g. T4 N0 M0, see </w:t>
      </w:r>
      <w:r w:rsidR="00C5037F" w:rsidRPr="006766A5">
        <w:rPr>
          <w:iCs/>
        </w:rPr>
        <w:t>paragraph 4.4)</w:t>
      </w:r>
      <w:r w:rsidR="00993AF1" w:rsidRPr="006766A5">
        <w:rPr>
          <w:iCs/>
        </w:rPr>
        <w:t>.</w:t>
      </w:r>
      <w:r w:rsidR="00993AF1" w:rsidRPr="00E209B2">
        <w:rPr>
          <w:iCs/>
        </w:rPr>
        <w:t xml:space="preserve"> </w:t>
      </w:r>
      <w:r w:rsidR="00C32A28" w:rsidRPr="00E209B2">
        <w:rPr>
          <w:iCs/>
        </w:rPr>
        <w:t xml:space="preserve">The </w:t>
      </w:r>
      <w:r w:rsidR="009B02F7" w:rsidRPr="00E209B2">
        <w:rPr>
          <w:iCs/>
        </w:rPr>
        <w:t xml:space="preserve">DUSC and </w:t>
      </w:r>
      <w:r w:rsidR="00C32A28" w:rsidRPr="00E209B2">
        <w:rPr>
          <w:iCs/>
        </w:rPr>
        <w:t xml:space="preserve">ESC agreed with the evaluation that the inclusion of reference to Stage III disease in the proposed PBS indication meant that the PBS population would be broader than the trial population. </w:t>
      </w:r>
      <w:r w:rsidR="00427946" w:rsidRPr="00E209B2">
        <w:rPr>
          <w:iCs/>
        </w:rPr>
        <w:t xml:space="preserve">The PBAC considered that </w:t>
      </w:r>
      <w:r w:rsidR="002604A4" w:rsidRPr="00E209B2">
        <w:rPr>
          <w:iCs/>
        </w:rPr>
        <w:t xml:space="preserve">both </w:t>
      </w:r>
      <w:r w:rsidR="00427946" w:rsidRPr="00E209B2">
        <w:rPr>
          <w:iCs/>
        </w:rPr>
        <w:t xml:space="preserve">Stage III and Stage IV </w:t>
      </w:r>
      <w:r w:rsidR="009B02F7" w:rsidRPr="00E209B2">
        <w:rPr>
          <w:iCs/>
        </w:rPr>
        <w:t xml:space="preserve">disease </w:t>
      </w:r>
      <w:r w:rsidR="00427946" w:rsidRPr="00E209B2">
        <w:rPr>
          <w:iCs/>
        </w:rPr>
        <w:t>should be included in the PBS listing to be consistent with the current listing for pembrolizumab.</w:t>
      </w:r>
      <w:r w:rsidR="00C32A28" w:rsidRPr="00E209B2">
        <w:rPr>
          <w:iCs/>
        </w:rPr>
        <w:t xml:space="preserve"> </w:t>
      </w:r>
    </w:p>
    <w:p w:rsidR="00D4099A" w:rsidRPr="00E209B2" w:rsidRDefault="00D4099A" w:rsidP="00281788">
      <w:pPr>
        <w:pStyle w:val="ExecSumBodyText"/>
      </w:pPr>
      <w:r w:rsidRPr="00E209B2">
        <w:t xml:space="preserve">Under the proposed restriction, patients must not have experienced disease progression following platinum-based chemotherapy. The proposed restriction does not specify a required number of platinum-containing chemotherapy cycles. In the JAVELIN Bladder 100 trial, patients were required to have completed 4 to 6 cycles of chemotherapy with gemcitabine + cisplatin and/or gemcitabine + carboplatin. The proposed restriction does not specify the timing of platinum-containing chemotherapy in relation to the commencement of treatment with avelumab. In the JAVELIN Bladder 100 trial, patients were required to have received the last dose of chemotherapy no less than 4 </w:t>
      </w:r>
      <w:r w:rsidR="004804F3" w:rsidRPr="00E209B2">
        <w:t>weeks</w:t>
      </w:r>
      <w:r w:rsidRPr="00E209B2">
        <w:t xml:space="preserve"> and no more than 10 weeks prior to randomisation.</w:t>
      </w:r>
      <w:r w:rsidR="002562CD" w:rsidRPr="00E209B2">
        <w:t xml:space="preserve"> </w:t>
      </w:r>
      <w:r w:rsidR="002562CD" w:rsidRPr="00E209B2">
        <w:rPr>
          <w:rFonts w:cstheme="minorHAnsi"/>
        </w:rPr>
        <w:t xml:space="preserve">The TGA CER (p13) </w:t>
      </w:r>
      <w:r w:rsidR="003C132F" w:rsidRPr="00E209B2">
        <w:rPr>
          <w:rFonts w:cstheme="minorHAnsi"/>
        </w:rPr>
        <w:t xml:space="preserve">noted </w:t>
      </w:r>
      <w:r w:rsidR="002562CD" w:rsidRPr="00E209B2">
        <w:rPr>
          <w:rFonts w:cstheme="minorHAnsi"/>
        </w:rPr>
        <w:t xml:space="preserve">that </w:t>
      </w:r>
      <w:r w:rsidR="00CB5DBA" w:rsidRPr="00E209B2">
        <w:rPr>
          <w:rFonts w:cstheme="minorHAnsi"/>
        </w:rPr>
        <w:t xml:space="preserve">while </w:t>
      </w:r>
      <w:r w:rsidR="002562CD" w:rsidRPr="00E209B2">
        <w:rPr>
          <w:rFonts w:cstheme="minorHAnsi"/>
        </w:rPr>
        <w:t>the Aus</w:t>
      </w:r>
      <w:r w:rsidR="002562CD" w:rsidRPr="00E209B2">
        <w:rPr>
          <w:rFonts w:cstheme="minorHAnsi"/>
        </w:rPr>
        <w:lastRenderedPageBreak/>
        <w:t xml:space="preserve">tralian eviQ guidelines recommend treatment with a platinum-based regimen until disease progression or unacceptable toxicity, treatment is usually for 6 cycles. </w:t>
      </w:r>
      <w:r w:rsidR="008D60F2" w:rsidRPr="00E209B2">
        <w:rPr>
          <w:rFonts w:cstheme="minorHAnsi"/>
        </w:rPr>
        <w:t xml:space="preserve">The </w:t>
      </w:r>
      <w:r w:rsidR="00E91E83" w:rsidRPr="00E209B2">
        <w:rPr>
          <w:iCs/>
        </w:rPr>
        <w:t>Pre-Sub-Committee Response (</w:t>
      </w:r>
      <w:r w:rsidR="008D60F2" w:rsidRPr="00E209B2">
        <w:rPr>
          <w:rFonts w:cstheme="minorHAnsi"/>
        </w:rPr>
        <w:t>PSCR</w:t>
      </w:r>
      <w:r w:rsidR="001E5647" w:rsidRPr="00E209B2">
        <w:rPr>
          <w:rFonts w:cstheme="minorHAnsi"/>
        </w:rPr>
        <w:t>)</w:t>
      </w:r>
      <w:r w:rsidR="008D60F2" w:rsidRPr="00E209B2">
        <w:rPr>
          <w:rFonts w:cstheme="minorHAnsi"/>
        </w:rPr>
        <w:t xml:space="preserve"> noted that </w:t>
      </w:r>
      <w:r w:rsidR="009A454E" w:rsidRPr="00E209B2">
        <w:rPr>
          <w:rFonts w:cstheme="minorHAnsi"/>
        </w:rPr>
        <w:t xml:space="preserve">4 to 6 cycles would be standard practice in Australia </w:t>
      </w:r>
      <w:r w:rsidR="008D60F2" w:rsidRPr="00E209B2">
        <w:rPr>
          <w:rFonts w:cstheme="minorHAnsi"/>
        </w:rPr>
        <w:t>based on advice from the sponsor’s urothelial</w:t>
      </w:r>
      <w:r w:rsidR="009A454E" w:rsidRPr="00E209B2">
        <w:rPr>
          <w:rFonts w:cstheme="minorHAnsi"/>
        </w:rPr>
        <w:t xml:space="preserve"> cancer advisory board meeting</w:t>
      </w:r>
      <w:r w:rsidR="008D60F2" w:rsidRPr="00E209B2">
        <w:rPr>
          <w:rFonts w:cstheme="minorHAnsi"/>
        </w:rPr>
        <w:t xml:space="preserve">. The ESC considered </w:t>
      </w:r>
      <w:r w:rsidR="003C132F" w:rsidRPr="00E209B2">
        <w:rPr>
          <w:rFonts w:cstheme="minorHAnsi"/>
        </w:rPr>
        <w:t xml:space="preserve">4 to 6 cycles </w:t>
      </w:r>
      <w:r w:rsidR="004804F3" w:rsidRPr="00E209B2">
        <w:rPr>
          <w:rFonts w:cstheme="minorHAnsi"/>
        </w:rPr>
        <w:t>appropriate</w:t>
      </w:r>
      <w:r w:rsidR="00281788" w:rsidRPr="00E209B2">
        <w:rPr>
          <w:rFonts w:cstheme="minorHAnsi"/>
        </w:rPr>
        <w:t>, however DUSC noted that in practice, patients may not reach four cycles of treatment due to the toxic nature of platinum therapy, urothelial carcinoma being burdensome and the significant number of comorbidities in these patients.</w:t>
      </w:r>
      <w:r w:rsidR="008D60F2" w:rsidRPr="00E209B2">
        <w:rPr>
          <w:rFonts w:cstheme="minorHAnsi"/>
        </w:rPr>
        <w:t xml:space="preserve"> </w:t>
      </w:r>
      <w:r w:rsidR="00281788" w:rsidRPr="00E209B2">
        <w:rPr>
          <w:rFonts w:cstheme="minorHAnsi"/>
        </w:rPr>
        <w:t xml:space="preserve">The PBAC considered </w:t>
      </w:r>
      <w:r w:rsidR="008D60F2" w:rsidRPr="00E209B2">
        <w:rPr>
          <w:rFonts w:cstheme="minorHAnsi"/>
        </w:rPr>
        <w:t xml:space="preserve">the number of </w:t>
      </w:r>
      <w:r w:rsidR="00DF3A82" w:rsidRPr="00E209B2">
        <w:t xml:space="preserve">platinum-containing chemotherapy </w:t>
      </w:r>
      <w:r w:rsidR="008D60F2" w:rsidRPr="00E209B2">
        <w:rPr>
          <w:rFonts w:cstheme="minorHAnsi"/>
        </w:rPr>
        <w:t xml:space="preserve">cycles administered would </w:t>
      </w:r>
      <w:r w:rsidR="00D934CF" w:rsidRPr="00E209B2">
        <w:rPr>
          <w:rFonts w:cstheme="minorHAnsi"/>
        </w:rPr>
        <w:t xml:space="preserve">likely </w:t>
      </w:r>
      <w:r w:rsidR="008D60F2" w:rsidRPr="00E209B2">
        <w:rPr>
          <w:rFonts w:cstheme="minorHAnsi"/>
        </w:rPr>
        <w:t>be based on clinical judgement.</w:t>
      </w:r>
      <w:r w:rsidR="00281788" w:rsidRPr="00E209B2">
        <w:rPr>
          <w:rFonts w:cstheme="minorHAnsi"/>
        </w:rPr>
        <w:t xml:space="preserve"> </w:t>
      </w:r>
    </w:p>
    <w:p w:rsidR="00D4099A" w:rsidRPr="00E209B2" w:rsidRDefault="00D4099A" w:rsidP="0076439F">
      <w:pPr>
        <w:pStyle w:val="ExecSumBodyText"/>
      </w:pPr>
      <w:r w:rsidRPr="00E209B2">
        <w:t xml:space="preserve">The proposed restriction does not include any requirements regarding PD-L1 expression status. While an improvement in overall survival was reported among the subgroup of patients with PD-L1 negative tumours at baseline </w:t>
      </w:r>
      <w:r w:rsidR="0076439F" w:rsidRPr="00E209B2">
        <w:t>i</w:t>
      </w:r>
      <w:r w:rsidRPr="00E209B2">
        <w:t xml:space="preserve">n the JAVELIN Bladder </w:t>
      </w:r>
      <w:r w:rsidR="009C21DC" w:rsidRPr="00E209B2">
        <w:t xml:space="preserve">100 </w:t>
      </w:r>
      <w:r w:rsidRPr="00E209B2">
        <w:t xml:space="preserve">trial, the difference </w:t>
      </w:r>
      <w:r w:rsidR="0076439F" w:rsidRPr="00E209B2">
        <w:t xml:space="preserve">between </w:t>
      </w:r>
      <w:r w:rsidR="0076439F" w:rsidRPr="00E209B2">
        <w:rPr>
          <w:iCs/>
        </w:rPr>
        <w:t xml:space="preserve">avelumab + BSC and BSC </w:t>
      </w:r>
      <w:r w:rsidRPr="00E209B2">
        <w:t>was not statistically significant.</w:t>
      </w:r>
      <w:r w:rsidR="0088491E" w:rsidRPr="00E209B2">
        <w:t xml:space="preserve"> The ESC considered the benefit in the PD-L1 negative subgroup was unclear based on the clinical data</w:t>
      </w:r>
      <w:r w:rsidR="00264BAD" w:rsidRPr="00E209B2">
        <w:t xml:space="preserve"> (see </w:t>
      </w:r>
      <w:r w:rsidR="00B438D9" w:rsidRPr="006766A5">
        <w:t>paragraph 6.</w:t>
      </w:r>
      <w:r w:rsidR="003D1DFE" w:rsidRPr="006766A5">
        <w:t>30</w:t>
      </w:r>
      <w:r w:rsidR="00264BAD" w:rsidRPr="00E209B2">
        <w:t>)</w:t>
      </w:r>
      <w:r w:rsidR="0088491E" w:rsidRPr="00E209B2">
        <w:t>.</w:t>
      </w:r>
    </w:p>
    <w:p w:rsidR="00932346" w:rsidRPr="00E209B2" w:rsidRDefault="00932346" w:rsidP="00F9393E">
      <w:pPr>
        <w:pStyle w:val="ExecSumBodyText"/>
        <w:rPr>
          <w:iCs/>
        </w:rPr>
      </w:pPr>
      <w:r w:rsidRPr="00E209B2">
        <w:rPr>
          <w:iCs/>
        </w:rPr>
        <w:t>The proposed restriction does not preclude repeat courses o</w:t>
      </w:r>
      <w:r w:rsidR="00CA62D4" w:rsidRPr="00E209B2">
        <w:rPr>
          <w:iCs/>
        </w:rPr>
        <w:t>f</w:t>
      </w:r>
      <w:r w:rsidRPr="00E209B2">
        <w:rPr>
          <w:iCs/>
        </w:rPr>
        <w:t xml:space="preserve"> avelumab </w:t>
      </w:r>
      <w:r w:rsidR="0018439E" w:rsidRPr="00E209B2">
        <w:rPr>
          <w:iCs/>
        </w:rPr>
        <w:t>among</w:t>
      </w:r>
      <w:r w:rsidRPr="00E209B2">
        <w:rPr>
          <w:iCs/>
        </w:rPr>
        <w:t xml:space="preserve"> patients </w:t>
      </w:r>
      <w:r w:rsidR="0018439E" w:rsidRPr="00E209B2">
        <w:rPr>
          <w:iCs/>
        </w:rPr>
        <w:t xml:space="preserve">who </w:t>
      </w:r>
      <w:r w:rsidRPr="00E209B2">
        <w:rPr>
          <w:iCs/>
        </w:rPr>
        <w:t>receive retreatment with platinum-based chemotherapy.</w:t>
      </w:r>
      <w:r w:rsidR="00897DD1" w:rsidRPr="00E209B2">
        <w:rPr>
          <w:iCs/>
        </w:rPr>
        <w:t xml:space="preserve"> </w:t>
      </w:r>
      <w:r w:rsidR="00897DD1" w:rsidRPr="00E209B2">
        <w:rPr>
          <w:rFonts w:cstheme="minorHAnsi"/>
        </w:rPr>
        <w:t>To reduce the potential for use of avelumab in a latter line setting the</w:t>
      </w:r>
      <w:r w:rsidR="005F442C" w:rsidRPr="00E209B2">
        <w:rPr>
          <w:rFonts w:cstheme="minorHAnsi"/>
        </w:rPr>
        <w:t xml:space="preserve"> </w:t>
      </w:r>
      <w:r w:rsidR="006E04F1" w:rsidRPr="00E209B2">
        <w:rPr>
          <w:rFonts w:cstheme="minorHAnsi"/>
        </w:rPr>
        <w:t xml:space="preserve">DUSC and </w:t>
      </w:r>
      <w:r w:rsidR="005F442C" w:rsidRPr="00E209B2">
        <w:rPr>
          <w:rFonts w:cstheme="minorHAnsi"/>
        </w:rPr>
        <w:t>ESC considered that the</w:t>
      </w:r>
      <w:r w:rsidR="00897DD1" w:rsidRPr="00E209B2">
        <w:rPr>
          <w:rFonts w:cstheme="minorHAnsi"/>
        </w:rPr>
        <w:t xml:space="preserve"> initial treatment criteria referencing platinum-based chemotherapy should be modified to include reference to </w:t>
      </w:r>
      <w:r w:rsidR="00B438D9" w:rsidRPr="00E209B2">
        <w:rPr>
          <w:rFonts w:cstheme="minorHAnsi"/>
        </w:rPr>
        <w:t xml:space="preserve">its </w:t>
      </w:r>
      <w:r w:rsidR="00897DD1" w:rsidRPr="00E209B2">
        <w:rPr>
          <w:rFonts w:cstheme="minorHAnsi"/>
        </w:rPr>
        <w:t>use in the first-line setting.</w:t>
      </w:r>
      <w:r w:rsidR="005F442C" w:rsidRPr="00E209B2">
        <w:rPr>
          <w:rFonts w:cstheme="minorHAnsi"/>
        </w:rPr>
        <w:t xml:space="preserve"> </w:t>
      </w:r>
    </w:p>
    <w:p w:rsidR="00FB08A4" w:rsidRPr="00E209B2" w:rsidRDefault="0077162E" w:rsidP="00CD38A0">
      <w:pPr>
        <w:pStyle w:val="ExecSumBodyText"/>
      </w:pPr>
      <w:r w:rsidRPr="00E209B2">
        <w:t>There is potential for use outside of the proposed restriction among patients with disease progression following platinum-based chemotherapy, or among patients who continue treatment despite experiencing disease progression.</w:t>
      </w:r>
      <w:r w:rsidR="00CD38A0" w:rsidRPr="00E209B2">
        <w:t xml:space="preserve"> </w:t>
      </w:r>
      <w:r w:rsidR="00DF3A82" w:rsidRPr="00E209B2">
        <w:rPr>
          <w:rFonts w:cstheme="minorHAnsi"/>
        </w:rPr>
        <w:t xml:space="preserve">No maximum duration of treatment was proposed in the requested restrictions. </w:t>
      </w:r>
      <w:r w:rsidR="00CD38A0" w:rsidRPr="00E209B2">
        <w:t xml:space="preserve">As such, the PBAC considered it appropriate for the following clinical criterion to be included in the continuing restriction ‘Patient must not have developed disease progression’ and advised that this change should flow on to the listing for pembrolizumab. In addition, for consistency with the pembrolizumab restriction, the PBAC considered the following administrative advice should be included in the initial treatment restriction ‘In the first few months </w:t>
      </w:r>
      <w:r w:rsidR="00CD38A0" w:rsidRPr="00E209B2">
        <w:rPr>
          <w:iCs/>
        </w:rPr>
        <w:t>after start of immunotherapy, some patients can have a transient tumour flare with subsequent disease response. When progression is suspected, this should be confirmed through a confirmatory scan, taken at least 4 weeks later.’</w:t>
      </w:r>
    </w:p>
    <w:p w:rsidR="007579DA" w:rsidRPr="00E209B2" w:rsidRDefault="007579DA" w:rsidP="00A218EC">
      <w:pPr>
        <w:pStyle w:val="ExecSumBodyText"/>
      </w:pPr>
      <w:r w:rsidRPr="00E209B2">
        <w:t xml:space="preserve">The submission stated that it is anticipated that the proposed listing of avelumab in the first-line maintenance setting will necessitate flow-on restriction changes to the pembrolizumab listing to prevent sequential use of PD-L1/PD-1 inhibitors. </w:t>
      </w:r>
      <w:r w:rsidR="005F442C" w:rsidRPr="00E209B2">
        <w:t xml:space="preserve">The ESC noted that the JAVELIN Bladder 100 trial excluded patients with prior immunotherapy </w:t>
      </w:r>
      <w:r w:rsidR="005F442C" w:rsidRPr="00E209B2">
        <w:lastRenderedPageBreak/>
        <w:t>with PD-L1/PD-1 inhibitors. The ESC considered that including reference to the first-line setting in the clinical criteria of the proposed restriction (see paragraph 3.8) would allow consistency with the prior PD-L1/PD-1 inhibitor status of trial participants</w:t>
      </w:r>
      <w:r w:rsidR="0057079E" w:rsidRPr="00E209B2">
        <w:t xml:space="preserve">. </w:t>
      </w:r>
      <w:r w:rsidR="003D1DFE" w:rsidRPr="00E209B2">
        <w:t>The PBAC considered that the following clinical criterion should be flowed on to the current listing for pembrolizumab “Patient must not have received prior treatment with a programmed cell death-1 (PD-1) inhibitor or a programmed cell death ligand-1 (PD-L1) inhibitor for this condition”.</w:t>
      </w:r>
    </w:p>
    <w:p w:rsidR="00E42A2B" w:rsidRPr="00E209B2" w:rsidRDefault="00E42A2B" w:rsidP="00E42A2B">
      <w:pPr>
        <w:pStyle w:val="ExecSumBodyText"/>
        <w:rPr>
          <w:bCs/>
        </w:rPr>
      </w:pPr>
      <w:r w:rsidRPr="00E209B2">
        <w:t xml:space="preserve">The PBAC considered that it was appropriate to have a grandfather restriction to allow continued treatment for patients who </w:t>
      </w:r>
      <w:r w:rsidR="00996E7B">
        <w:t>access</w:t>
      </w:r>
      <w:r w:rsidRPr="00E209B2">
        <w:t xml:space="preserve"> non-PBS subsidised avelumab</w:t>
      </w:r>
      <w:r w:rsidR="00996E7B">
        <w:t xml:space="preserve"> prior to listing</w:t>
      </w:r>
      <w:r w:rsidRPr="00E209B2">
        <w:t>.</w:t>
      </w:r>
    </w:p>
    <w:p w:rsidR="00C3371F" w:rsidRDefault="005866E6" w:rsidP="005866E6">
      <w:pPr>
        <w:pStyle w:val="ExecSumBodyText"/>
        <w:numPr>
          <w:ilvl w:val="0"/>
          <w:numId w:val="0"/>
        </w:numPr>
        <w:ind w:left="720"/>
        <w:rPr>
          <w:i/>
          <w:iCs/>
        </w:rPr>
      </w:pPr>
      <w:r w:rsidRPr="00E209B2">
        <w:rPr>
          <w:i/>
          <w:iCs/>
        </w:rPr>
        <w:t>For more detail on PBAC’s view, see section 7 PBAC outcome.</w:t>
      </w:r>
    </w:p>
    <w:p w:rsidR="00C3371F" w:rsidRDefault="00C3371F">
      <w:pPr>
        <w:jc w:val="left"/>
        <w:rPr>
          <w:rFonts w:asciiTheme="minorHAnsi" w:hAnsiTheme="minorHAnsi"/>
          <w:i/>
          <w:iCs/>
          <w:snapToGrid w:val="0"/>
        </w:rPr>
      </w:pPr>
      <w:r>
        <w:rPr>
          <w:i/>
          <w:iCs/>
        </w:rPr>
        <w:br w:type="page"/>
      </w:r>
    </w:p>
    <w:p w:rsidR="007666C1" w:rsidRPr="00E209B2" w:rsidRDefault="007666C1" w:rsidP="007666C1">
      <w:pPr>
        <w:pStyle w:val="2-SectionHeading"/>
      </w:pPr>
      <w:bookmarkStart w:id="6" w:name="_Toc30502538"/>
      <w:bookmarkStart w:id="7" w:name="_Toc62036118"/>
      <w:r w:rsidRPr="00E209B2">
        <w:t>Population and disease</w:t>
      </w:r>
      <w:bookmarkEnd w:id="6"/>
      <w:bookmarkEnd w:id="7"/>
    </w:p>
    <w:p w:rsidR="007666C1" w:rsidRPr="00E209B2" w:rsidRDefault="007666C1" w:rsidP="007666C1">
      <w:pPr>
        <w:pStyle w:val="ExecSumBodyText"/>
      </w:pPr>
      <w:r w:rsidRPr="00E209B2">
        <w:t xml:space="preserve">Urothelial carcinomas are cancers that arise from urothelial cells of the transitional epithelium which lines the renal pelvis, ureters, urinary bladder, and urethra. The majority of urothelial carcinomas (&gt;90%) originate in the bladder, around 8% originate in the renal pelvis, and the remainder occur in the ureter and urethra. </w:t>
      </w:r>
    </w:p>
    <w:p w:rsidR="00894489" w:rsidRPr="00E209B2" w:rsidRDefault="007666C1" w:rsidP="007666C1">
      <w:pPr>
        <w:pStyle w:val="ExecSumBodyText"/>
      </w:pPr>
      <w:r w:rsidRPr="00E209B2">
        <w:t xml:space="preserve">The incidence of bladder cancer </w:t>
      </w:r>
      <w:r w:rsidR="00745321" w:rsidRPr="00E209B2">
        <w:t xml:space="preserve">is </w:t>
      </w:r>
      <w:r w:rsidRPr="00E209B2">
        <w:t>around 4 times higher in males than females. The Australian age-standardised incidence rate was 16.9 cases per 100,000 for males and 4.2 cases per 100,000 for females in 2019. Bladder cancer is associated with advancing age, with over 90% of new diagnoses occurring in individuals aged over 55 years. Patients with advanced or metastatic disease have a poor prognosis with a median survival of approximately 14 months (Bellmunt et al., 2014).</w:t>
      </w:r>
    </w:p>
    <w:p w:rsidR="007666C1" w:rsidRPr="00E209B2" w:rsidRDefault="007666C1" w:rsidP="007666C1">
      <w:pPr>
        <w:pStyle w:val="ExecSumBodyText"/>
      </w:pPr>
      <w:r w:rsidRPr="00E209B2">
        <w:t xml:space="preserve">The submission defined locally advanced disease as being cancer which has grown through the bladder wall and into the pelvic or abdominal wall and/or spread to regional lymph nodes (TNM Stages T3 N0 M0, T4 N0 M0, or Tany N1-3 M0), and metastatic disease as being cancer that has spread to distant lymph nodes and/or spread to other organs outside of the bladder (Tany Nany M1). The submission stated that locally advanced or metastatic urothelial cancer is classified as Stage III or Stage IV, respectively, </w:t>
      </w:r>
      <w:r w:rsidR="00455C7B" w:rsidRPr="00E209B2">
        <w:t>based on</w:t>
      </w:r>
      <w:r w:rsidRPr="00E209B2">
        <w:t xml:space="preserve"> the American Joint Committee on Cancer (AJCC) staging system.</w:t>
      </w:r>
    </w:p>
    <w:p w:rsidR="007666C1" w:rsidRPr="00E209B2" w:rsidRDefault="00F62E97" w:rsidP="007666C1">
      <w:pPr>
        <w:pStyle w:val="ExecSumBodyText"/>
      </w:pPr>
      <w:r w:rsidRPr="00E209B2">
        <w:t>The ESC noted that</w:t>
      </w:r>
      <w:r w:rsidRPr="00E209B2">
        <w:rPr>
          <w:i/>
        </w:rPr>
        <w:t xml:space="preserve"> </w:t>
      </w:r>
      <w:r w:rsidR="007666C1" w:rsidRPr="00E209B2">
        <w:t>AJCC staging for urothelial carcinoma differs based on the primary tumour site (urinary bladder</w:t>
      </w:r>
      <w:r w:rsidR="00455C7B" w:rsidRPr="00E209B2">
        <w:t>,</w:t>
      </w:r>
      <w:r w:rsidR="007666C1" w:rsidRPr="00E209B2">
        <w:t xml:space="preserve"> renal pelvis/ureter</w:t>
      </w:r>
      <w:r w:rsidR="00455C7B" w:rsidRPr="00E209B2">
        <w:t xml:space="preserve"> or</w:t>
      </w:r>
      <w:r w:rsidR="007666C1" w:rsidRPr="00E209B2">
        <w:t xml:space="preserve"> urethra</w:t>
      </w:r>
      <w:r w:rsidR="00455C7B" w:rsidRPr="00E209B2">
        <w:t>)</w:t>
      </w:r>
      <w:r w:rsidR="007666C1" w:rsidRPr="00E209B2">
        <w:t xml:space="preserve">. Based on the current AJCC </w:t>
      </w:r>
      <w:r w:rsidR="007119CD" w:rsidRPr="00E209B2">
        <w:t>Staging M</w:t>
      </w:r>
      <w:r w:rsidR="007666C1" w:rsidRPr="00E209B2">
        <w:t>anual (8</w:t>
      </w:r>
      <w:r w:rsidR="007666C1" w:rsidRPr="00E209B2">
        <w:rPr>
          <w:vertAlign w:val="superscript"/>
        </w:rPr>
        <w:t>th</w:t>
      </w:r>
      <w:r w:rsidR="007666C1" w:rsidRPr="00E209B2">
        <w:t xml:space="preserve"> edition, 2017), Stage III and IV prognostic groups are </w:t>
      </w:r>
      <w:r w:rsidR="00455C7B" w:rsidRPr="00E209B2">
        <w:t>defined</w:t>
      </w:r>
      <w:r w:rsidR="00D00D40" w:rsidRPr="00E209B2">
        <w:t xml:space="preserve"> as</w:t>
      </w:r>
      <w:r w:rsidR="007666C1" w:rsidRPr="00E209B2">
        <w:t xml:space="preserve"> follow</w:t>
      </w:r>
      <w:r w:rsidR="00D00D40" w:rsidRPr="00E209B2">
        <w:t>s</w:t>
      </w:r>
      <w:r w:rsidR="007666C1" w:rsidRPr="00E209B2">
        <w:t xml:space="preserve">: </w:t>
      </w:r>
    </w:p>
    <w:p w:rsidR="007666C1" w:rsidRPr="00E209B2" w:rsidRDefault="007666C1" w:rsidP="00DF79E3">
      <w:pPr>
        <w:pStyle w:val="ExecSumBodyText"/>
        <w:numPr>
          <w:ilvl w:val="0"/>
          <w:numId w:val="15"/>
        </w:numPr>
        <w:spacing w:after="0"/>
        <w:ind w:hanging="357"/>
      </w:pPr>
      <w:r w:rsidRPr="00E209B2">
        <w:t xml:space="preserve">Urothelial carcinoma of the urinary bladder: </w:t>
      </w:r>
    </w:p>
    <w:p w:rsidR="00D00D40" w:rsidRPr="00E209B2" w:rsidRDefault="007666C1" w:rsidP="00DF79E3">
      <w:pPr>
        <w:pStyle w:val="ExecSumBodyText"/>
        <w:numPr>
          <w:ilvl w:val="1"/>
          <w:numId w:val="15"/>
        </w:numPr>
        <w:spacing w:after="0"/>
        <w:ind w:left="1440" w:hanging="357"/>
      </w:pPr>
      <w:r w:rsidRPr="00E209B2">
        <w:lastRenderedPageBreak/>
        <w:t>Stage III: T3 N0 M0, T4a N0 M0 or T1-4a N1-3 M0;</w:t>
      </w:r>
    </w:p>
    <w:p w:rsidR="00D00D40" w:rsidRPr="00E209B2" w:rsidRDefault="007666C1" w:rsidP="00DF79E3">
      <w:pPr>
        <w:pStyle w:val="ExecSumBodyText"/>
        <w:numPr>
          <w:ilvl w:val="1"/>
          <w:numId w:val="15"/>
        </w:numPr>
        <w:spacing w:after="0"/>
        <w:ind w:left="1440" w:hanging="357"/>
      </w:pPr>
      <w:r w:rsidRPr="00E209B2">
        <w:t>Stage IV: T4b Nany M0 or Tany Nany M1.</w:t>
      </w:r>
    </w:p>
    <w:p w:rsidR="00D00D40" w:rsidRPr="00E209B2" w:rsidRDefault="007666C1" w:rsidP="00DF79E3">
      <w:pPr>
        <w:pStyle w:val="ExecSumBodyText"/>
        <w:numPr>
          <w:ilvl w:val="0"/>
          <w:numId w:val="15"/>
        </w:numPr>
        <w:spacing w:after="0"/>
        <w:ind w:hanging="357"/>
      </w:pPr>
      <w:r w:rsidRPr="00E209B2">
        <w:t xml:space="preserve">Urothelial carcinoma of the renal pelvis or ureter: </w:t>
      </w:r>
    </w:p>
    <w:p w:rsidR="00D00D40" w:rsidRPr="00E209B2" w:rsidRDefault="007666C1" w:rsidP="00DF79E3">
      <w:pPr>
        <w:pStyle w:val="ExecSumBodyText"/>
        <w:numPr>
          <w:ilvl w:val="1"/>
          <w:numId w:val="15"/>
        </w:numPr>
        <w:spacing w:after="0"/>
        <w:ind w:left="1440" w:hanging="357"/>
      </w:pPr>
      <w:r w:rsidRPr="00E209B2">
        <w:t>Stage III: T3 N0 M0;</w:t>
      </w:r>
    </w:p>
    <w:p w:rsidR="00D00D40" w:rsidRPr="00E209B2" w:rsidRDefault="007666C1" w:rsidP="00DF79E3">
      <w:pPr>
        <w:pStyle w:val="ExecSumBodyText"/>
        <w:numPr>
          <w:ilvl w:val="1"/>
          <w:numId w:val="15"/>
        </w:numPr>
        <w:spacing w:after="0"/>
        <w:ind w:left="1440" w:hanging="357"/>
      </w:pPr>
      <w:r w:rsidRPr="00E209B2">
        <w:t>Stage IV: T4 N0 M0, Tany N1-2 M0 or Tany Nany M1.</w:t>
      </w:r>
    </w:p>
    <w:p w:rsidR="00D00D40" w:rsidRPr="00E209B2" w:rsidRDefault="007666C1" w:rsidP="00DF79E3">
      <w:pPr>
        <w:pStyle w:val="ExecSumBodyText"/>
        <w:numPr>
          <w:ilvl w:val="0"/>
          <w:numId w:val="15"/>
        </w:numPr>
        <w:spacing w:after="0"/>
        <w:ind w:hanging="357"/>
      </w:pPr>
      <w:r w:rsidRPr="00E209B2">
        <w:t>Urothelial carcinoma of the urethra:</w:t>
      </w:r>
    </w:p>
    <w:p w:rsidR="00D00D40" w:rsidRPr="00E209B2" w:rsidRDefault="007666C1" w:rsidP="00DF79E3">
      <w:pPr>
        <w:pStyle w:val="ExecSumBodyText"/>
        <w:numPr>
          <w:ilvl w:val="1"/>
          <w:numId w:val="15"/>
        </w:numPr>
        <w:spacing w:after="0"/>
        <w:ind w:left="1440" w:hanging="357"/>
      </w:pPr>
      <w:r w:rsidRPr="00E209B2">
        <w:t>Stage III: T1-3 N1 M0 or T3 N0 M0;</w:t>
      </w:r>
    </w:p>
    <w:p w:rsidR="007666C1" w:rsidRPr="00E209B2" w:rsidRDefault="007666C1" w:rsidP="00DF79E3">
      <w:pPr>
        <w:pStyle w:val="ExecSumBodyText"/>
        <w:numPr>
          <w:ilvl w:val="1"/>
          <w:numId w:val="15"/>
        </w:numPr>
        <w:ind w:left="1440" w:hanging="357"/>
      </w:pPr>
      <w:r w:rsidRPr="00E209B2">
        <w:t>Stage IV: T4 N0-1 M0, Tany N2 M0 or Tany Nany M1.</w:t>
      </w:r>
    </w:p>
    <w:p w:rsidR="007627BE" w:rsidRPr="00E209B2" w:rsidRDefault="00D00D40" w:rsidP="001F7F81">
      <w:pPr>
        <w:pStyle w:val="ExecSumBodyText"/>
        <w:rPr>
          <w:iCs/>
        </w:rPr>
      </w:pPr>
      <w:r w:rsidRPr="00E209B2">
        <w:t xml:space="preserve">The </w:t>
      </w:r>
      <w:r w:rsidR="00E34EE8" w:rsidRPr="00E209B2">
        <w:t xml:space="preserve">submission positioned avelumab as an alternative to watchful waiting for patients who have not experienced disease progression following treatment with platinum-containing chemotherapy. </w:t>
      </w:r>
      <w:r w:rsidR="003F25AC" w:rsidRPr="00E209B2">
        <w:rPr>
          <w:iCs/>
        </w:rPr>
        <w:t>The NCCN Bladder Cancer Guidelines (</w:t>
      </w:r>
      <w:r w:rsidR="003123B2" w:rsidRPr="00E209B2">
        <w:rPr>
          <w:iCs/>
        </w:rPr>
        <w:t xml:space="preserve">Version 6.2020, </w:t>
      </w:r>
      <w:r w:rsidR="003F25AC" w:rsidRPr="00E209B2">
        <w:rPr>
          <w:iCs/>
        </w:rPr>
        <w:t>July 2020) and the ESMO Bladder Cancer Clinical Practice Guidelines (Bellmunt et al., 2014; eUpdates December 2019 and July 2020)</w:t>
      </w:r>
      <w:r w:rsidR="0038597A" w:rsidRPr="00E209B2">
        <w:rPr>
          <w:iCs/>
        </w:rPr>
        <w:t xml:space="preserve"> support the </w:t>
      </w:r>
      <w:r w:rsidR="00CB7EBC" w:rsidRPr="00E209B2">
        <w:rPr>
          <w:iCs/>
        </w:rPr>
        <w:t xml:space="preserve">use of avelumab as </w:t>
      </w:r>
      <w:r w:rsidR="0038597A" w:rsidRPr="00E209B2">
        <w:rPr>
          <w:iCs/>
        </w:rPr>
        <w:t xml:space="preserve">first-line </w:t>
      </w:r>
      <w:r w:rsidRPr="00E209B2">
        <w:rPr>
          <w:iCs/>
        </w:rPr>
        <w:t xml:space="preserve">maintenance therapy for patients </w:t>
      </w:r>
      <w:r w:rsidR="00043E58" w:rsidRPr="00E209B2">
        <w:rPr>
          <w:iCs/>
        </w:rPr>
        <w:t xml:space="preserve">with locally advanced or metastatic disease (Stage IV) </w:t>
      </w:r>
      <w:r w:rsidRPr="00E209B2">
        <w:rPr>
          <w:iCs/>
        </w:rPr>
        <w:t>who have not experienced disease progression following platinum-containing chemotherapy</w:t>
      </w:r>
      <w:r w:rsidR="00CB7EBC" w:rsidRPr="00E209B2">
        <w:rPr>
          <w:iCs/>
        </w:rPr>
        <w:t>.</w:t>
      </w:r>
    </w:p>
    <w:p w:rsidR="005866E6" w:rsidRPr="00E209B2" w:rsidRDefault="005866E6" w:rsidP="005866E6">
      <w:pPr>
        <w:pStyle w:val="ExecSumBodyText"/>
        <w:numPr>
          <w:ilvl w:val="0"/>
          <w:numId w:val="0"/>
        </w:numPr>
        <w:ind w:left="720"/>
        <w:rPr>
          <w:i/>
          <w:iCs/>
        </w:rPr>
      </w:pPr>
      <w:r w:rsidRPr="00E209B2">
        <w:rPr>
          <w:i/>
          <w:iCs/>
        </w:rPr>
        <w:t>For more detail on PBAC’s view, see section 7 PBAC outcome.</w:t>
      </w:r>
    </w:p>
    <w:p w:rsidR="00B50DB8" w:rsidRPr="00E209B2" w:rsidRDefault="00B50DB8" w:rsidP="004E18E9">
      <w:pPr>
        <w:pStyle w:val="2-SectionHeading"/>
      </w:pPr>
      <w:bookmarkStart w:id="8" w:name="_Toc62036119"/>
      <w:r w:rsidRPr="00E209B2">
        <w:t>Comparator</w:t>
      </w:r>
      <w:bookmarkEnd w:id="8"/>
    </w:p>
    <w:p w:rsidR="00043E58" w:rsidRPr="00E209B2" w:rsidRDefault="00043E58" w:rsidP="00043E58">
      <w:pPr>
        <w:pStyle w:val="ExecSumBodyText"/>
        <w:rPr>
          <w:snapToGrid/>
        </w:rPr>
      </w:pPr>
      <w:r w:rsidRPr="00E209B2">
        <w:rPr>
          <w:snapToGrid/>
        </w:rPr>
        <w:t xml:space="preserve">The submission nominated </w:t>
      </w:r>
      <w:r w:rsidR="00DA7FED" w:rsidRPr="00E209B2">
        <w:rPr>
          <w:snapToGrid/>
        </w:rPr>
        <w:t>BSC</w:t>
      </w:r>
      <w:r w:rsidRPr="00E209B2">
        <w:rPr>
          <w:snapToGrid/>
        </w:rPr>
        <w:t>, representing ‘watch and wait’ monitoring, as the main comparator. The main arguments provided in support of this nomination were:</w:t>
      </w:r>
    </w:p>
    <w:p w:rsidR="00043E58" w:rsidRPr="00E209B2" w:rsidRDefault="00043E58" w:rsidP="001E5647">
      <w:pPr>
        <w:pStyle w:val="ExecSumBodyText"/>
        <w:numPr>
          <w:ilvl w:val="0"/>
          <w:numId w:val="41"/>
        </w:numPr>
        <w:spacing w:after="0"/>
        <w:rPr>
          <w:snapToGrid/>
        </w:rPr>
      </w:pPr>
      <w:r w:rsidRPr="00E209B2">
        <w:rPr>
          <w:snapToGrid/>
        </w:rPr>
        <w:t xml:space="preserve">There is currently no maintenance treatment listed on the PBS for locally advanced or metastatic urothelial carcinoma following first-line treatment with platinum-based chemotherapy. </w:t>
      </w:r>
    </w:p>
    <w:p w:rsidR="00043E58" w:rsidRPr="00E209B2" w:rsidRDefault="00043E58" w:rsidP="001E5647">
      <w:pPr>
        <w:pStyle w:val="ExecSumBodyText"/>
        <w:numPr>
          <w:ilvl w:val="0"/>
          <w:numId w:val="41"/>
        </w:numPr>
        <w:rPr>
          <w:snapToGrid/>
        </w:rPr>
      </w:pPr>
      <w:r w:rsidRPr="00E209B2">
        <w:rPr>
          <w:snapToGrid/>
        </w:rPr>
        <w:t>There have been no recent PBAC considerations of first-line maintenance treatment for locally advanced or metastatic urothelial carcinoma.</w:t>
      </w:r>
    </w:p>
    <w:p w:rsidR="003A01EF" w:rsidRPr="00E209B2" w:rsidRDefault="00043E58" w:rsidP="00952109">
      <w:pPr>
        <w:pStyle w:val="ExecSumBodyText"/>
        <w:rPr>
          <w:snapToGrid/>
        </w:rPr>
      </w:pPr>
      <w:r w:rsidRPr="00E209B2">
        <w:rPr>
          <w:snapToGrid/>
        </w:rPr>
        <w:t xml:space="preserve">Best supportive care is an appropriate comparator. However, the use of avelumab in the first-line maintenance setting will result in downstream consequences to other PBS-listed medicines, including pembrolizumab, which is PBS-listed for the treatment of urothelial carcinoma in patients who have experienced disease progression following treatment with platinum-based chemotherapy. </w:t>
      </w:r>
    </w:p>
    <w:p w:rsidR="00043E58" w:rsidRPr="00E209B2" w:rsidRDefault="00CA1861" w:rsidP="008443B4">
      <w:pPr>
        <w:pStyle w:val="ExecSumBodyText"/>
        <w:rPr>
          <w:snapToGrid/>
        </w:rPr>
      </w:pPr>
      <w:r w:rsidRPr="00E209B2">
        <w:lastRenderedPageBreak/>
        <w:t xml:space="preserve">The ESC considered that </w:t>
      </w:r>
      <w:r w:rsidR="00A03618" w:rsidRPr="00E209B2">
        <w:t>a</w:t>
      </w:r>
      <w:r w:rsidR="00A4324D" w:rsidRPr="00E209B2">
        <w:t>n</w:t>
      </w:r>
      <w:r w:rsidR="00952109" w:rsidRPr="00E209B2">
        <w:t xml:space="preserve"> appropriate comparator </w:t>
      </w:r>
      <w:r w:rsidR="00DA7FED" w:rsidRPr="00E209B2">
        <w:t>may be</w:t>
      </w:r>
      <w:r w:rsidR="00952109" w:rsidRPr="00E209B2">
        <w:t xml:space="preserve"> </w:t>
      </w:r>
      <w:r w:rsidR="00DA7FED" w:rsidRPr="00E209B2">
        <w:t>BSC</w:t>
      </w:r>
      <w:r w:rsidR="00F62E97" w:rsidRPr="00E209B2">
        <w:t>,</w:t>
      </w:r>
      <w:r w:rsidR="00952109" w:rsidRPr="00E209B2">
        <w:t xml:space="preserve"> </w:t>
      </w:r>
      <w:r w:rsidR="008D14AC" w:rsidRPr="00E209B2">
        <w:t xml:space="preserve">which </w:t>
      </w:r>
      <w:r w:rsidR="00FF1956" w:rsidRPr="00E209B2">
        <w:t>represent</w:t>
      </w:r>
      <w:r w:rsidR="008D14AC" w:rsidRPr="00E209B2">
        <w:t>ed</w:t>
      </w:r>
      <w:r w:rsidR="00FF1956" w:rsidRPr="00E209B2">
        <w:t xml:space="preserve"> watch and wait monitoring</w:t>
      </w:r>
      <w:r w:rsidR="00F62E97" w:rsidRPr="00E209B2">
        <w:t>,</w:t>
      </w:r>
      <w:r w:rsidR="00FF1956" w:rsidRPr="00E209B2">
        <w:t xml:space="preserve"> and </w:t>
      </w:r>
      <w:r w:rsidR="00952109" w:rsidRPr="00E209B2">
        <w:t>subsequent therapy with pembrolizumab</w:t>
      </w:r>
      <w:r w:rsidR="008D14AC" w:rsidRPr="00E209B2">
        <w:t xml:space="preserve"> as this would be reflective of what avelumab would replace in clinical practice</w:t>
      </w:r>
      <w:r w:rsidR="00952109" w:rsidRPr="00E209B2">
        <w:t xml:space="preserve">. </w:t>
      </w:r>
      <w:r w:rsidR="00971A29" w:rsidRPr="00E209B2">
        <w:t>The PBAC agreed with ESC that BSC + subsequent therapy with pembrolizumab was an appropriate comparator.</w:t>
      </w:r>
    </w:p>
    <w:p w:rsidR="00A05472" w:rsidRPr="00E209B2" w:rsidRDefault="00442837" w:rsidP="001842B1">
      <w:pPr>
        <w:pStyle w:val="ExecSumBodyText"/>
        <w:rPr>
          <w:snapToGrid/>
        </w:rPr>
      </w:pPr>
      <w:r w:rsidRPr="00E209B2">
        <w:rPr>
          <w:iCs/>
          <w:snapToGrid/>
        </w:rPr>
        <w:t xml:space="preserve">A number of PD-L1/PD-1 inhibitors are currently being </w:t>
      </w:r>
      <w:r w:rsidR="001E5647" w:rsidRPr="00E209B2">
        <w:rPr>
          <w:iCs/>
          <w:snapToGrid/>
        </w:rPr>
        <w:t>trialled</w:t>
      </w:r>
      <w:r w:rsidRPr="00E209B2">
        <w:rPr>
          <w:iCs/>
          <w:snapToGrid/>
        </w:rPr>
        <w:t xml:space="preserve"> in the first-line treatment setting, either in combination with platinum-based chemotherapy or as first-line maintenance therapy following treatment with platinum-based chemotherapy</w:t>
      </w:r>
      <w:r w:rsidR="00FA64B6" w:rsidRPr="00E209B2">
        <w:rPr>
          <w:iCs/>
          <w:snapToGrid/>
        </w:rPr>
        <w:t xml:space="preserve">, but interim </w:t>
      </w:r>
      <w:r w:rsidR="0016246C" w:rsidRPr="00E209B2">
        <w:rPr>
          <w:iCs/>
          <w:snapToGrid/>
        </w:rPr>
        <w:t>results have been mixed</w:t>
      </w:r>
      <w:r w:rsidRPr="00E209B2">
        <w:rPr>
          <w:iCs/>
          <w:snapToGrid/>
        </w:rPr>
        <w:t>.</w:t>
      </w:r>
      <w:r w:rsidR="001842B1" w:rsidRPr="00E209B2">
        <w:rPr>
          <w:snapToGrid/>
        </w:rPr>
        <w:t xml:space="preserve"> </w:t>
      </w:r>
      <w:r w:rsidR="001842B1" w:rsidRPr="00E209B2">
        <w:rPr>
          <w:iCs/>
          <w:snapToGrid/>
        </w:rPr>
        <w:t xml:space="preserve">The PBAC previously noted there was emerging data suggesting decreased survival when PD-1 inhibitors are used </w:t>
      </w:r>
      <w:r w:rsidR="005F2A41" w:rsidRPr="00E209B2">
        <w:rPr>
          <w:iCs/>
          <w:snapToGrid/>
        </w:rPr>
        <w:t xml:space="preserve">as </w:t>
      </w:r>
      <w:r w:rsidR="001842B1" w:rsidRPr="00E209B2">
        <w:rPr>
          <w:iCs/>
          <w:snapToGrid/>
        </w:rPr>
        <w:t>first</w:t>
      </w:r>
      <w:r w:rsidR="00145B77" w:rsidRPr="00E209B2">
        <w:rPr>
          <w:iCs/>
          <w:snapToGrid/>
        </w:rPr>
        <w:t>-</w:t>
      </w:r>
      <w:r w:rsidR="001842B1" w:rsidRPr="00E209B2">
        <w:rPr>
          <w:iCs/>
          <w:snapToGrid/>
        </w:rPr>
        <w:t>line</w:t>
      </w:r>
      <w:r w:rsidR="005F2A41" w:rsidRPr="00E209B2">
        <w:rPr>
          <w:iCs/>
          <w:snapToGrid/>
        </w:rPr>
        <w:t xml:space="preserve"> monotherapy</w:t>
      </w:r>
      <w:r w:rsidR="001842B1" w:rsidRPr="00E209B2">
        <w:rPr>
          <w:iCs/>
          <w:snapToGrid/>
        </w:rPr>
        <w:t xml:space="preserve"> in PD-L1-low expressing urothelial cancer (paragraph 2.3, pembrolizumab </w:t>
      </w:r>
      <w:r w:rsidR="00A30A53">
        <w:rPr>
          <w:iCs/>
          <w:snapToGrid/>
        </w:rPr>
        <w:t>Public Summary Document (</w:t>
      </w:r>
      <w:r w:rsidR="001842B1" w:rsidRPr="00E209B2">
        <w:rPr>
          <w:iCs/>
          <w:snapToGrid/>
        </w:rPr>
        <w:t>PSD</w:t>
      </w:r>
      <w:r w:rsidR="00A30A53">
        <w:rPr>
          <w:iCs/>
          <w:snapToGrid/>
        </w:rPr>
        <w:t>)</w:t>
      </w:r>
      <w:r w:rsidR="001842B1" w:rsidRPr="00E209B2">
        <w:rPr>
          <w:iCs/>
          <w:snapToGrid/>
        </w:rPr>
        <w:t>, July 2018</w:t>
      </w:r>
      <w:r w:rsidR="0053196D" w:rsidRPr="00E209B2">
        <w:rPr>
          <w:iCs/>
          <w:snapToGrid/>
        </w:rPr>
        <w:t xml:space="preserve"> PBAC meeting</w:t>
      </w:r>
      <w:r w:rsidR="001842B1" w:rsidRPr="00E209B2">
        <w:rPr>
          <w:iCs/>
          <w:snapToGrid/>
        </w:rPr>
        <w:t>).</w:t>
      </w:r>
    </w:p>
    <w:p w:rsidR="005866E6" w:rsidRPr="00E209B2" w:rsidRDefault="005866E6" w:rsidP="005866E6">
      <w:pPr>
        <w:pStyle w:val="ExecSumBodyText"/>
        <w:numPr>
          <w:ilvl w:val="0"/>
          <w:numId w:val="0"/>
        </w:numPr>
        <w:ind w:left="720"/>
        <w:rPr>
          <w:i/>
          <w:snapToGrid/>
        </w:rPr>
      </w:pPr>
      <w:r w:rsidRPr="00E209B2">
        <w:rPr>
          <w:i/>
          <w:snapToGrid/>
        </w:rPr>
        <w:t>For more detail on PBAC’s view, see section 7 PBAC outcome.</w:t>
      </w:r>
    </w:p>
    <w:p w:rsidR="00223D5A" w:rsidRPr="00E209B2" w:rsidRDefault="00223D5A" w:rsidP="00223D5A">
      <w:pPr>
        <w:pStyle w:val="2-SectionHeading"/>
        <w:numPr>
          <w:ilvl w:val="0"/>
          <w:numId w:val="1"/>
        </w:numPr>
      </w:pPr>
      <w:bookmarkStart w:id="9" w:name="_Toc62036120"/>
      <w:bookmarkStart w:id="10" w:name="_Toc22897640"/>
      <w:r w:rsidRPr="00E209B2">
        <w:t>Consideration of the evidence</w:t>
      </w:r>
      <w:bookmarkEnd w:id="9"/>
    </w:p>
    <w:p w:rsidR="005866E6" w:rsidRPr="00E209B2" w:rsidRDefault="005866E6" w:rsidP="005866E6">
      <w:pPr>
        <w:pStyle w:val="4-SubsectionHeading"/>
        <w:rPr>
          <w:color w:val="auto"/>
          <w:lang w:eastAsia="en-AU"/>
        </w:rPr>
      </w:pPr>
      <w:r w:rsidRPr="00E209B2">
        <w:rPr>
          <w:color w:val="auto"/>
          <w:lang w:eastAsia="en-AU"/>
        </w:rPr>
        <w:t>Sponsor hearing</w:t>
      </w:r>
    </w:p>
    <w:p w:rsidR="005866E6" w:rsidRPr="00E209B2" w:rsidRDefault="005866E6" w:rsidP="00EA3061">
      <w:pPr>
        <w:pStyle w:val="ExecSumBodyText"/>
      </w:pPr>
      <w:r w:rsidRPr="00E209B2">
        <w:t xml:space="preserve">The sponsor requested a hearing for this item. The clinician presented </w:t>
      </w:r>
      <w:r w:rsidR="00DF79C1" w:rsidRPr="00E209B2">
        <w:t xml:space="preserve">a </w:t>
      </w:r>
      <w:r w:rsidRPr="00E209B2">
        <w:t xml:space="preserve">clinical statement which discussed the </w:t>
      </w:r>
      <w:r w:rsidR="00A074CF" w:rsidRPr="00E209B2">
        <w:t xml:space="preserve">evidence for PD-L1 staining in predicting outcomes for immunotherapy in urothelial cancer. </w:t>
      </w:r>
      <w:r w:rsidR="00EA3061" w:rsidRPr="00E209B2">
        <w:t xml:space="preserve">The clinician stated that evidence for PD-L1 staining in predicting outcome for immunotherapy in urothelial cancer is poor. </w:t>
      </w:r>
      <w:r w:rsidR="00A074CF" w:rsidRPr="00E209B2">
        <w:t>The clinician noted the JAVELIN Bladder 100 trial was not powered to show a statistical response in the PD-L1 negative subgroup anal</w:t>
      </w:r>
      <w:r w:rsidR="00DF79C1" w:rsidRPr="00E209B2">
        <w:t>ysis, however, like the KEYNOTE-</w:t>
      </w:r>
      <w:r w:rsidR="00A074CF" w:rsidRPr="00E209B2">
        <w:t xml:space="preserve">045 study of pembrolizumab, a numerical advantage was seen in PD-L1 negative patients but the </w:t>
      </w:r>
      <w:r w:rsidR="00B668BA" w:rsidRPr="00E209B2">
        <w:t>difference was not statistically significant</w:t>
      </w:r>
      <w:r w:rsidR="00A074CF" w:rsidRPr="00E209B2">
        <w:t xml:space="preserve">. The clinician also addressed concerns regarding the treatment duration (see </w:t>
      </w:r>
      <w:r w:rsidR="00A074CF" w:rsidRPr="002B5A63">
        <w:t xml:space="preserve">paragraph </w:t>
      </w:r>
      <w:r w:rsidR="002C7350" w:rsidRPr="002B5A63">
        <w:t>6.</w:t>
      </w:r>
      <w:r w:rsidR="00125BAE">
        <w:t>67</w:t>
      </w:r>
      <w:r w:rsidR="00A074CF" w:rsidRPr="00E209B2">
        <w:t>), stating that it would be expected to be long in the enriched population of chemotherapy-sensitive (and probably immune-sensitive) patients enrolled in the JAVELIN Bladder 100 trial</w:t>
      </w:r>
      <w:r w:rsidR="00E209B2">
        <w:t xml:space="preserve">. </w:t>
      </w:r>
    </w:p>
    <w:p w:rsidR="005866E6" w:rsidRPr="00E209B2" w:rsidRDefault="005866E6" w:rsidP="005866E6">
      <w:pPr>
        <w:pStyle w:val="4-SubsectionHeading"/>
        <w:rPr>
          <w:color w:val="auto"/>
          <w:lang w:eastAsia="en-AU"/>
        </w:rPr>
      </w:pPr>
      <w:r w:rsidRPr="00E209B2">
        <w:rPr>
          <w:color w:val="auto"/>
          <w:lang w:eastAsia="en-AU"/>
        </w:rPr>
        <w:t>Consumer comments</w:t>
      </w:r>
    </w:p>
    <w:p w:rsidR="005866E6" w:rsidRPr="00E209B2" w:rsidRDefault="005866E6" w:rsidP="005866E6">
      <w:pPr>
        <w:pStyle w:val="ExecSumBodyText"/>
      </w:pPr>
      <w:r w:rsidRPr="00E209B2">
        <w:t>The PBAC noted and welcomed the input from</w:t>
      </w:r>
      <w:r w:rsidR="005D0D04" w:rsidRPr="00E209B2">
        <w:t xml:space="preserve"> health care professionals (1) and organisations (3</w:t>
      </w:r>
      <w:r w:rsidRPr="00E209B2">
        <w:t>) via the Consumer Comments facility on the PBS website</w:t>
      </w:r>
      <w:r w:rsidR="005D0D04" w:rsidRPr="00E209B2">
        <w:t xml:space="preserve">. The comments from BEAT Bladder Cancer Australia and Rare Cancers Australia highlighted the </w:t>
      </w:r>
      <w:r w:rsidR="002268EE" w:rsidRPr="00E209B2">
        <w:t xml:space="preserve">negative </w:t>
      </w:r>
      <w:r w:rsidR="005D0D04" w:rsidRPr="00E209B2">
        <w:t>impact on quality of life</w:t>
      </w:r>
      <w:r w:rsidR="002268EE" w:rsidRPr="00E209B2">
        <w:t xml:space="preserve"> associated with this </w:t>
      </w:r>
      <w:r w:rsidR="00F1086D" w:rsidRPr="00E209B2">
        <w:t>condition as a result of symptoms such as pain,</w:t>
      </w:r>
      <w:r w:rsidR="002268EE" w:rsidRPr="00E209B2">
        <w:t xml:space="preserve"> weight</w:t>
      </w:r>
      <w:r w:rsidR="00F1086D" w:rsidRPr="00E209B2">
        <w:t xml:space="preserve"> </w:t>
      </w:r>
      <w:r w:rsidR="002268EE" w:rsidRPr="00E209B2">
        <w:t>l</w:t>
      </w:r>
      <w:r w:rsidR="00F1086D" w:rsidRPr="00E209B2">
        <w:t>oss and frailty</w:t>
      </w:r>
      <w:r w:rsidR="002268EE" w:rsidRPr="00E209B2">
        <w:t xml:space="preserve">. The comments also </w:t>
      </w:r>
      <w:r w:rsidR="00F1086D" w:rsidRPr="00E209B2">
        <w:t>described</w:t>
      </w:r>
      <w:r w:rsidR="002268EE" w:rsidRPr="00E209B2">
        <w:t xml:space="preserve"> the benefits associated with avelumab treatment such as providing an active approach to ongoing treatment</w:t>
      </w:r>
      <w:r w:rsidR="00F1086D" w:rsidRPr="00E209B2">
        <w:t xml:space="preserve"> and potentially extending survival. </w:t>
      </w:r>
    </w:p>
    <w:p w:rsidR="00F1086D" w:rsidRPr="00E209B2" w:rsidRDefault="00F1086D" w:rsidP="00F320D2">
      <w:pPr>
        <w:pStyle w:val="ExecSumBodyText"/>
      </w:pPr>
      <w:r w:rsidRPr="00E209B2">
        <w:lastRenderedPageBreak/>
        <w:t xml:space="preserve">The Medical Oncology Group of Australia (MOGA) also expressed its strong support for the avelumab submission, categorising it as one of the therapies of “highest priority for PBS listing” on the basis of the JAVELIN Bladder 100 trial. The PBAC noted that the MOGA presented a European Society for Medical Oncology Magnitude of Clinical Benefit Scale (ESMO-MCBS) </w:t>
      </w:r>
      <w:r w:rsidR="00F320D2" w:rsidRPr="00E209B2">
        <w:t>for avelumab</w:t>
      </w:r>
      <w:r w:rsidRPr="00E209B2">
        <w:t>, which was limited to 4 (out of a maximum of 5, where 5 and 4 represent the grades with substantial improvement)</w:t>
      </w:r>
      <w:r w:rsidRPr="00E209B2">
        <w:rPr>
          <w:rStyle w:val="FootnoteReference"/>
        </w:rPr>
        <w:footnoteReference w:id="1"/>
      </w:r>
      <w:r w:rsidRPr="00E209B2">
        <w:t>, based on a comparison with BSC alone</w:t>
      </w:r>
      <w:r w:rsidR="00E209B2">
        <w:t xml:space="preserve">. </w:t>
      </w:r>
    </w:p>
    <w:p w:rsidR="00B60939" w:rsidRPr="00E209B2" w:rsidRDefault="00B60939" w:rsidP="002E4F02">
      <w:pPr>
        <w:pStyle w:val="3-SubsectionHeading"/>
      </w:pPr>
      <w:bookmarkStart w:id="11" w:name="_Toc62036121"/>
      <w:r w:rsidRPr="00E209B2">
        <w:t>Clinical trials</w:t>
      </w:r>
      <w:bookmarkEnd w:id="10"/>
      <w:bookmarkEnd w:id="11"/>
    </w:p>
    <w:p w:rsidR="007F1017" w:rsidRPr="00E209B2" w:rsidRDefault="00442837" w:rsidP="002E4F02">
      <w:pPr>
        <w:pStyle w:val="ExecSumBodyText"/>
      </w:pPr>
      <w:r w:rsidRPr="00E209B2">
        <w:t xml:space="preserve">The submission was based on one head-to-head randomised trial comparing avelumab </w:t>
      </w:r>
      <w:r w:rsidR="008C1AF8" w:rsidRPr="00E209B2">
        <w:t xml:space="preserve">+ BSC </w:t>
      </w:r>
      <w:r w:rsidR="00343A30" w:rsidRPr="00E209B2">
        <w:t>to</w:t>
      </w:r>
      <w:r w:rsidR="00B42D8A" w:rsidRPr="00E209B2">
        <w:t xml:space="preserve"> </w:t>
      </w:r>
      <w:r w:rsidR="008C1AF8" w:rsidRPr="00E209B2">
        <w:t>BSC</w:t>
      </w:r>
      <w:r w:rsidRPr="00E209B2">
        <w:t xml:space="preserve"> </w:t>
      </w:r>
      <w:r w:rsidR="00B42D8A" w:rsidRPr="00E209B2">
        <w:t xml:space="preserve">alone </w:t>
      </w:r>
      <w:r w:rsidRPr="00E209B2">
        <w:t>(JAVELIN Bladder 100).</w:t>
      </w:r>
    </w:p>
    <w:p w:rsidR="00442837" w:rsidRPr="00E209B2" w:rsidRDefault="00442837" w:rsidP="00442837">
      <w:pPr>
        <w:pStyle w:val="ExecSumBodyText"/>
      </w:pPr>
      <w:r w:rsidRPr="00E209B2">
        <w:rPr>
          <w:snapToGrid/>
        </w:rPr>
        <w:t xml:space="preserve">Details of the </w:t>
      </w:r>
      <w:r w:rsidR="00343A30" w:rsidRPr="00E209B2">
        <w:rPr>
          <w:snapToGrid/>
        </w:rPr>
        <w:t>JAVELIN Bladder 100 trial are</w:t>
      </w:r>
      <w:r w:rsidRPr="00E209B2">
        <w:rPr>
          <w:snapToGrid/>
        </w:rPr>
        <w:t xml:space="preserve"> presented in the table below. </w:t>
      </w:r>
    </w:p>
    <w:p w:rsidR="00B42D8A" w:rsidRPr="00E209B2" w:rsidRDefault="00B42D8A" w:rsidP="00B42D8A">
      <w:pPr>
        <w:pStyle w:val="TableFigureCaption"/>
      </w:pPr>
      <w:r w:rsidRPr="00E209B2">
        <w:t xml:space="preserve">Table </w:t>
      </w:r>
      <w:r w:rsidR="000E5533" w:rsidRPr="00E209B2">
        <w:t>2</w:t>
      </w:r>
      <w:r w:rsidRPr="00E209B2">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141"/>
        <w:gridCol w:w="2644"/>
      </w:tblGrid>
      <w:tr w:rsidR="00B42D8A" w:rsidRPr="00E209B2" w:rsidTr="001F7F81">
        <w:trPr>
          <w:tblHeader/>
        </w:trPr>
        <w:tc>
          <w:tcPr>
            <w:tcW w:w="683" w:type="pct"/>
            <w:tcBorders>
              <w:right w:val="single" w:sz="4" w:space="0" w:color="auto"/>
            </w:tcBorders>
            <w:vAlign w:val="center"/>
          </w:tcPr>
          <w:p w:rsidR="00B42D8A" w:rsidRPr="00E209B2" w:rsidRDefault="00B42D8A" w:rsidP="001F7F81">
            <w:pPr>
              <w:pStyle w:val="Tableheadingrow"/>
              <w:rPr>
                <w:lang w:val="en-AU"/>
              </w:rPr>
            </w:pPr>
            <w:r w:rsidRPr="00E209B2">
              <w:rPr>
                <w:lang w:val="en-AU"/>
              </w:rPr>
              <w:t>Trial ID</w:t>
            </w:r>
          </w:p>
        </w:tc>
        <w:tc>
          <w:tcPr>
            <w:tcW w:w="2851" w:type="pct"/>
            <w:tcBorders>
              <w:left w:val="single" w:sz="4" w:space="0" w:color="auto"/>
            </w:tcBorders>
            <w:vAlign w:val="center"/>
          </w:tcPr>
          <w:p w:rsidR="00B42D8A" w:rsidRPr="00E209B2" w:rsidRDefault="00B42D8A" w:rsidP="00DF79C1">
            <w:pPr>
              <w:pStyle w:val="Tableheadingrow"/>
              <w:rPr>
                <w:lang w:val="en-AU"/>
              </w:rPr>
            </w:pPr>
            <w:r w:rsidRPr="00E209B2">
              <w:rPr>
                <w:lang w:val="en-AU"/>
              </w:rPr>
              <w:t>Protocol title/Publication title</w:t>
            </w:r>
          </w:p>
        </w:tc>
        <w:tc>
          <w:tcPr>
            <w:tcW w:w="1466" w:type="pct"/>
            <w:vAlign w:val="center"/>
          </w:tcPr>
          <w:p w:rsidR="00B42D8A" w:rsidRPr="00E209B2" w:rsidRDefault="00B42D8A" w:rsidP="001F7F81">
            <w:pPr>
              <w:pStyle w:val="Tableheadingrow"/>
              <w:rPr>
                <w:lang w:val="en-AU"/>
              </w:rPr>
            </w:pPr>
            <w:r w:rsidRPr="00E209B2">
              <w:rPr>
                <w:lang w:val="en-AU"/>
              </w:rPr>
              <w:t>Publication citation</w:t>
            </w:r>
          </w:p>
        </w:tc>
      </w:tr>
      <w:tr w:rsidR="00B42D8A" w:rsidRPr="00E209B2" w:rsidTr="001F7F81">
        <w:tc>
          <w:tcPr>
            <w:tcW w:w="683" w:type="pct"/>
            <w:vMerge w:val="restart"/>
            <w:tcBorders>
              <w:right w:val="single" w:sz="4" w:space="0" w:color="auto"/>
            </w:tcBorders>
            <w:vAlign w:val="center"/>
          </w:tcPr>
          <w:p w:rsidR="00B42D8A" w:rsidRPr="00E209B2" w:rsidRDefault="00B42D8A" w:rsidP="001F7F81">
            <w:pPr>
              <w:pStyle w:val="TableText"/>
            </w:pPr>
            <w:r w:rsidRPr="00E209B2">
              <w:t>JAVELIN Bladder 100 (NCT02603432)</w:t>
            </w:r>
          </w:p>
        </w:tc>
        <w:tc>
          <w:tcPr>
            <w:tcW w:w="2851" w:type="pct"/>
            <w:tcBorders>
              <w:left w:val="single" w:sz="4" w:space="0" w:color="auto"/>
              <w:bottom w:val="nil"/>
              <w:right w:val="single" w:sz="4" w:space="0" w:color="auto"/>
            </w:tcBorders>
          </w:tcPr>
          <w:p w:rsidR="00B42D8A" w:rsidRPr="00E209B2" w:rsidRDefault="00B42D8A" w:rsidP="001F7F81">
            <w:pPr>
              <w:pStyle w:val="TableText"/>
              <w:rPr>
                <w:szCs w:val="18"/>
              </w:rPr>
            </w:pPr>
            <w:r w:rsidRPr="00E209B2">
              <w:rPr>
                <w:szCs w:val="18"/>
              </w:rPr>
              <w:t>A Phase 3, Multicenter, Multinational, Randomized, Open-Label, Parallel-Arm Study of Avelumab (MSB0010718C) Plus Best Supportive Care Versus Best Supportive Care Alone as a Maintenance Treatment in Patients With Locally Advanced or Metastatic Urothelial Cancer Whose Disease Did Not Progress After Completion of First-Line Platinum- Containing Chemotherapy.</w:t>
            </w:r>
          </w:p>
        </w:tc>
        <w:tc>
          <w:tcPr>
            <w:tcW w:w="1466" w:type="pct"/>
            <w:tcBorders>
              <w:left w:val="single" w:sz="4" w:space="0" w:color="auto"/>
              <w:bottom w:val="nil"/>
            </w:tcBorders>
          </w:tcPr>
          <w:p w:rsidR="00B42D8A" w:rsidRPr="00E209B2" w:rsidRDefault="00B42D8A" w:rsidP="001F7F81">
            <w:pPr>
              <w:pStyle w:val="TableText"/>
            </w:pPr>
            <w:r w:rsidRPr="00E209B2">
              <w:t>Clinical study report, 24 February 2020.</w:t>
            </w:r>
          </w:p>
        </w:tc>
      </w:tr>
      <w:tr w:rsidR="00B42D8A" w:rsidRPr="00E209B2" w:rsidTr="001F7F81">
        <w:trPr>
          <w:trHeight w:val="1377"/>
        </w:trPr>
        <w:tc>
          <w:tcPr>
            <w:tcW w:w="683" w:type="pct"/>
            <w:vMerge/>
            <w:tcBorders>
              <w:right w:val="single" w:sz="4" w:space="0" w:color="auto"/>
            </w:tcBorders>
            <w:vAlign w:val="center"/>
          </w:tcPr>
          <w:p w:rsidR="00B42D8A" w:rsidRPr="00E209B2" w:rsidRDefault="00B42D8A" w:rsidP="001F7F81">
            <w:pPr>
              <w:pStyle w:val="TableText"/>
            </w:pPr>
          </w:p>
        </w:tc>
        <w:tc>
          <w:tcPr>
            <w:tcW w:w="2851" w:type="pct"/>
            <w:tcBorders>
              <w:top w:val="nil"/>
              <w:left w:val="single" w:sz="4" w:space="0" w:color="auto"/>
              <w:bottom w:val="nil"/>
              <w:right w:val="single" w:sz="4" w:space="0" w:color="auto"/>
            </w:tcBorders>
          </w:tcPr>
          <w:p w:rsidR="00B42D8A" w:rsidRPr="00E209B2" w:rsidRDefault="00B42D8A" w:rsidP="001F7F81">
            <w:pPr>
              <w:pStyle w:val="TableText"/>
              <w:rPr>
                <w:szCs w:val="18"/>
              </w:rPr>
            </w:pPr>
            <w:r w:rsidRPr="00E209B2">
              <w:rPr>
                <w:szCs w:val="18"/>
              </w:rPr>
              <w:t xml:space="preserve">A Phase 3, multicenter, multinational, randomized, open-label, parallel arm study of avelumab (MSB0010718C) plus best supportive care versus best supportive care alone as a maintenance treatment in patients with locally advanced or metastatic urothelial cancer whose disease did not progress after completion of first-line platinum-containing chemotherapy. </w:t>
            </w:r>
          </w:p>
        </w:tc>
        <w:tc>
          <w:tcPr>
            <w:tcW w:w="1466" w:type="pct"/>
            <w:tcBorders>
              <w:top w:val="nil"/>
              <w:left w:val="single" w:sz="4" w:space="0" w:color="auto"/>
              <w:bottom w:val="nil"/>
              <w:right w:val="single" w:sz="4" w:space="0" w:color="auto"/>
            </w:tcBorders>
          </w:tcPr>
          <w:p w:rsidR="00B42D8A" w:rsidRPr="00E209B2" w:rsidRDefault="00B42D8A" w:rsidP="001F7F81">
            <w:pPr>
              <w:pStyle w:val="TableText"/>
              <w:rPr>
                <w:iCs/>
                <w:szCs w:val="18"/>
              </w:rPr>
            </w:pPr>
            <w:r w:rsidRPr="00E209B2">
              <w:rPr>
                <w:iCs/>
                <w:szCs w:val="18"/>
              </w:rPr>
              <w:t>Study protocol, 28 March 2019.</w:t>
            </w:r>
          </w:p>
        </w:tc>
      </w:tr>
      <w:tr w:rsidR="00B42D8A" w:rsidRPr="00E209B2" w:rsidTr="001F7F81">
        <w:tc>
          <w:tcPr>
            <w:tcW w:w="683" w:type="pct"/>
            <w:vMerge/>
            <w:tcBorders>
              <w:right w:val="single" w:sz="4" w:space="0" w:color="auto"/>
            </w:tcBorders>
            <w:vAlign w:val="center"/>
          </w:tcPr>
          <w:p w:rsidR="00B42D8A" w:rsidRPr="00E209B2" w:rsidRDefault="00B42D8A" w:rsidP="001F7F81">
            <w:pPr>
              <w:pStyle w:val="TableText"/>
            </w:pPr>
          </w:p>
        </w:tc>
        <w:tc>
          <w:tcPr>
            <w:tcW w:w="2851" w:type="pct"/>
            <w:tcBorders>
              <w:top w:val="nil"/>
              <w:left w:val="single" w:sz="4" w:space="0" w:color="auto"/>
              <w:bottom w:val="nil"/>
              <w:right w:val="single" w:sz="4" w:space="0" w:color="auto"/>
            </w:tcBorders>
          </w:tcPr>
          <w:p w:rsidR="00B42D8A" w:rsidRPr="00E209B2" w:rsidRDefault="00B42D8A" w:rsidP="001F7F81">
            <w:pPr>
              <w:pStyle w:val="TableText"/>
              <w:rPr>
                <w:szCs w:val="18"/>
              </w:rPr>
            </w:pPr>
            <w:r w:rsidRPr="00E209B2">
              <w:rPr>
                <w:szCs w:val="18"/>
              </w:rPr>
              <w:t>Powles T, Park SH, Voog E, et al. Avelumab maintenance therapy for advanced or metastatic urothelial cancer.</w:t>
            </w:r>
          </w:p>
        </w:tc>
        <w:tc>
          <w:tcPr>
            <w:tcW w:w="1466" w:type="pct"/>
            <w:tcBorders>
              <w:top w:val="nil"/>
              <w:left w:val="single" w:sz="4" w:space="0" w:color="auto"/>
              <w:bottom w:val="nil"/>
            </w:tcBorders>
          </w:tcPr>
          <w:p w:rsidR="00B42D8A" w:rsidRPr="00E209B2" w:rsidRDefault="00B42D8A" w:rsidP="001F7F81">
            <w:pPr>
              <w:pStyle w:val="TableText"/>
              <w:rPr>
                <w:szCs w:val="18"/>
              </w:rPr>
            </w:pPr>
            <w:r w:rsidRPr="00E209B2">
              <w:rPr>
                <w:i/>
                <w:iCs/>
                <w:szCs w:val="18"/>
              </w:rPr>
              <w:t xml:space="preserve">New England Journal of Medicine </w:t>
            </w:r>
            <w:r w:rsidRPr="00E209B2">
              <w:rPr>
                <w:szCs w:val="18"/>
              </w:rPr>
              <w:t>2020; 383(13):1218-30.</w:t>
            </w:r>
          </w:p>
        </w:tc>
      </w:tr>
      <w:tr w:rsidR="00B42D8A" w:rsidRPr="00E209B2" w:rsidTr="001F7F81">
        <w:trPr>
          <w:trHeight w:val="480"/>
        </w:trPr>
        <w:tc>
          <w:tcPr>
            <w:tcW w:w="683" w:type="pct"/>
            <w:vMerge/>
            <w:tcBorders>
              <w:right w:val="single" w:sz="4" w:space="0" w:color="auto"/>
            </w:tcBorders>
            <w:vAlign w:val="center"/>
          </w:tcPr>
          <w:p w:rsidR="00B42D8A" w:rsidRPr="00E209B2" w:rsidRDefault="00B42D8A" w:rsidP="001F7F81">
            <w:pPr>
              <w:pStyle w:val="TableText"/>
            </w:pPr>
          </w:p>
        </w:tc>
        <w:tc>
          <w:tcPr>
            <w:tcW w:w="2851" w:type="pct"/>
            <w:tcBorders>
              <w:top w:val="nil"/>
              <w:left w:val="single" w:sz="4" w:space="0" w:color="auto"/>
            </w:tcBorders>
          </w:tcPr>
          <w:p w:rsidR="00B42D8A" w:rsidRPr="00E209B2" w:rsidRDefault="00B42D8A" w:rsidP="001F7F81">
            <w:pPr>
              <w:pStyle w:val="TableText"/>
              <w:rPr>
                <w:szCs w:val="18"/>
              </w:rPr>
            </w:pPr>
            <w:r w:rsidRPr="00E209B2">
              <w:rPr>
                <w:szCs w:val="18"/>
              </w:rPr>
              <w:t>Powles T, Park SH, Voog E, et al. Maintenance avelumab + best supportive care (BSC) versus BSC alone after platinum-based first-line (1L) chemotherapy in advanced urothelial carcinoma (UC): JAVELIN Bladder 100 Phase III interim analysis.</w:t>
            </w:r>
          </w:p>
        </w:tc>
        <w:tc>
          <w:tcPr>
            <w:tcW w:w="1466" w:type="pct"/>
            <w:tcBorders>
              <w:top w:val="nil"/>
            </w:tcBorders>
          </w:tcPr>
          <w:p w:rsidR="00B42D8A" w:rsidRPr="00E209B2" w:rsidRDefault="00B42D8A" w:rsidP="001F7F81">
            <w:pPr>
              <w:pStyle w:val="TableText"/>
              <w:rPr>
                <w:szCs w:val="18"/>
              </w:rPr>
            </w:pPr>
            <w:r w:rsidRPr="00E209B2">
              <w:rPr>
                <w:i/>
                <w:iCs/>
                <w:szCs w:val="18"/>
              </w:rPr>
              <w:t xml:space="preserve">Journal of Clinical Oncology </w:t>
            </w:r>
            <w:r w:rsidRPr="00E209B2">
              <w:rPr>
                <w:szCs w:val="18"/>
              </w:rPr>
              <w:t>2020; 38, no. 18_suppl.</w:t>
            </w:r>
          </w:p>
        </w:tc>
      </w:tr>
    </w:tbl>
    <w:p w:rsidR="00B42D8A" w:rsidRPr="00E209B2" w:rsidRDefault="00B42D8A" w:rsidP="00B42D8A">
      <w:pPr>
        <w:pStyle w:val="TableFigureFooter"/>
        <w:rPr>
          <w:iCs/>
        </w:rPr>
      </w:pPr>
      <w:r w:rsidRPr="00E209B2">
        <w:rPr>
          <w:iCs/>
        </w:rPr>
        <w:t>Selected citations relating to conference abstracts omitted.</w:t>
      </w:r>
    </w:p>
    <w:p w:rsidR="00B42D8A" w:rsidRPr="00E209B2" w:rsidRDefault="00B42D8A" w:rsidP="00B42D8A">
      <w:pPr>
        <w:pStyle w:val="TableFigureFooter"/>
      </w:pPr>
      <w:r w:rsidRPr="00E209B2">
        <w:t>Source: Table 2.2-1, p.44 of the submission.</w:t>
      </w:r>
    </w:p>
    <w:p w:rsidR="00B42D8A" w:rsidRPr="00E209B2" w:rsidRDefault="00B42D8A" w:rsidP="00B42D8A">
      <w:pPr>
        <w:pStyle w:val="ExecSumBodyText"/>
      </w:pPr>
      <w:r w:rsidRPr="00E209B2">
        <w:t xml:space="preserve">The key features of the </w:t>
      </w:r>
      <w:r w:rsidR="00343A30" w:rsidRPr="00E209B2">
        <w:t>JAVELIN Bladder 100 trial</w:t>
      </w:r>
      <w:r w:rsidRPr="00E209B2">
        <w:t xml:space="preserve"> are summarised in the table below. </w:t>
      </w:r>
    </w:p>
    <w:p w:rsidR="007F1017" w:rsidRPr="00E209B2" w:rsidRDefault="007F1017" w:rsidP="00230DB1">
      <w:pPr>
        <w:pStyle w:val="TableFigureCaption"/>
      </w:pPr>
      <w:r w:rsidRPr="00E209B2">
        <w:lastRenderedPageBreak/>
        <w:t xml:space="preserve">Table </w:t>
      </w:r>
      <w:r w:rsidR="000E5533" w:rsidRPr="00E209B2">
        <w:t>3</w:t>
      </w:r>
      <w:r w:rsidRPr="00E209B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9"/>
        <w:gridCol w:w="557"/>
        <w:gridCol w:w="1268"/>
        <w:gridCol w:w="702"/>
        <w:gridCol w:w="2968"/>
        <w:gridCol w:w="1035"/>
        <w:gridCol w:w="1508"/>
      </w:tblGrid>
      <w:tr w:rsidR="000C7A4F" w:rsidRPr="00E209B2" w:rsidTr="000C7A4F">
        <w:trPr>
          <w:cantSplit/>
          <w:tblHeader/>
        </w:trPr>
        <w:tc>
          <w:tcPr>
            <w:tcW w:w="543" w:type="pct"/>
            <w:shd w:val="clear" w:color="auto" w:fill="auto"/>
            <w:vAlign w:val="center"/>
          </w:tcPr>
          <w:p w:rsidR="007F1017" w:rsidRPr="00E209B2" w:rsidRDefault="007F1017" w:rsidP="001E34DF">
            <w:pPr>
              <w:pStyle w:val="Tableheadingrow"/>
              <w:rPr>
                <w:lang w:val="en-AU"/>
              </w:rPr>
            </w:pPr>
            <w:r w:rsidRPr="00E209B2">
              <w:rPr>
                <w:lang w:val="en-AU"/>
              </w:rPr>
              <w:t>Trial</w:t>
            </w:r>
          </w:p>
        </w:tc>
        <w:tc>
          <w:tcPr>
            <w:tcW w:w="309" w:type="pct"/>
            <w:shd w:val="clear" w:color="auto" w:fill="auto"/>
            <w:vAlign w:val="center"/>
          </w:tcPr>
          <w:p w:rsidR="007F1017" w:rsidRPr="00E209B2" w:rsidRDefault="007F1017" w:rsidP="00EC5836">
            <w:pPr>
              <w:pStyle w:val="Tableheadingrow"/>
              <w:jc w:val="center"/>
              <w:rPr>
                <w:lang w:val="en-AU"/>
              </w:rPr>
            </w:pPr>
            <w:r w:rsidRPr="00E209B2">
              <w:rPr>
                <w:lang w:val="en-AU"/>
              </w:rPr>
              <w:t>N</w:t>
            </w:r>
          </w:p>
        </w:tc>
        <w:tc>
          <w:tcPr>
            <w:tcW w:w="703" w:type="pct"/>
            <w:shd w:val="clear" w:color="auto" w:fill="auto"/>
            <w:vAlign w:val="center"/>
          </w:tcPr>
          <w:p w:rsidR="007F1017" w:rsidRPr="00E209B2" w:rsidRDefault="007F1017" w:rsidP="00EC5836">
            <w:pPr>
              <w:pStyle w:val="Tableheadingrow"/>
              <w:jc w:val="center"/>
              <w:rPr>
                <w:lang w:val="en-AU"/>
              </w:rPr>
            </w:pPr>
            <w:r w:rsidRPr="00E209B2">
              <w:rPr>
                <w:lang w:val="en-AU"/>
              </w:rPr>
              <w:t>Design/ duration</w:t>
            </w:r>
          </w:p>
        </w:tc>
        <w:tc>
          <w:tcPr>
            <w:tcW w:w="389" w:type="pct"/>
            <w:shd w:val="clear" w:color="auto" w:fill="auto"/>
            <w:vAlign w:val="center"/>
          </w:tcPr>
          <w:p w:rsidR="007F1017" w:rsidRPr="00E209B2" w:rsidRDefault="007F1017" w:rsidP="00EC5836">
            <w:pPr>
              <w:pStyle w:val="Tableheadingrow"/>
              <w:jc w:val="center"/>
              <w:rPr>
                <w:lang w:val="en-AU"/>
              </w:rPr>
            </w:pPr>
            <w:r w:rsidRPr="00E209B2">
              <w:rPr>
                <w:lang w:val="en-AU"/>
              </w:rPr>
              <w:t>Risk of bias</w:t>
            </w:r>
          </w:p>
        </w:tc>
        <w:tc>
          <w:tcPr>
            <w:tcW w:w="1646" w:type="pct"/>
            <w:shd w:val="clear" w:color="auto" w:fill="auto"/>
            <w:vAlign w:val="center"/>
          </w:tcPr>
          <w:p w:rsidR="007F1017" w:rsidRPr="00E209B2" w:rsidRDefault="007F1017" w:rsidP="00EC5836">
            <w:pPr>
              <w:pStyle w:val="Tableheadingrow"/>
              <w:jc w:val="center"/>
              <w:rPr>
                <w:lang w:val="en-AU"/>
              </w:rPr>
            </w:pPr>
            <w:r w:rsidRPr="00E209B2">
              <w:rPr>
                <w:lang w:val="en-AU"/>
              </w:rPr>
              <w:t>Patient population</w:t>
            </w:r>
          </w:p>
        </w:tc>
        <w:tc>
          <w:tcPr>
            <w:tcW w:w="574" w:type="pct"/>
            <w:shd w:val="clear" w:color="auto" w:fill="auto"/>
            <w:vAlign w:val="center"/>
          </w:tcPr>
          <w:p w:rsidR="007F1017" w:rsidRPr="00E209B2" w:rsidRDefault="007F1017" w:rsidP="00EC5836">
            <w:pPr>
              <w:pStyle w:val="Tableheadingrow"/>
              <w:jc w:val="center"/>
              <w:rPr>
                <w:lang w:val="en-AU"/>
              </w:rPr>
            </w:pPr>
            <w:r w:rsidRPr="00E209B2">
              <w:rPr>
                <w:lang w:val="en-AU"/>
              </w:rPr>
              <w:t>Outcomes</w:t>
            </w:r>
          </w:p>
        </w:tc>
        <w:tc>
          <w:tcPr>
            <w:tcW w:w="837" w:type="pct"/>
            <w:shd w:val="clear" w:color="auto" w:fill="auto"/>
            <w:vAlign w:val="center"/>
          </w:tcPr>
          <w:p w:rsidR="007F1017" w:rsidRPr="00E209B2" w:rsidRDefault="007F1017" w:rsidP="00EC5836">
            <w:pPr>
              <w:pStyle w:val="Tableheadingrow"/>
              <w:jc w:val="center"/>
              <w:rPr>
                <w:lang w:val="en-AU"/>
              </w:rPr>
            </w:pPr>
            <w:r w:rsidRPr="00E209B2">
              <w:rPr>
                <w:lang w:val="en-AU"/>
              </w:rPr>
              <w:t>Use in modelled evaluation</w:t>
            </w:r>
          </w:p>
        </w:tc>
      </w:tr>
      <w:tr w:rsidR="007F1017" w:rsidRPr="00E209B2" w:rsidTr="00682BA6">
        <w:trPr>
          <w:cantSplit/>
        </w:trPr>
        <w:tc>
          <w:tcPr>
            <w:tcW w:w="5000" w:type="pct"/>
            <w:gridSpan w:val="7"/>
            <w:shd w:val="clear" w:color="auto" w:fill="auto"/>
            <w:vAlign w:val="center"/>
          </w:tcPr>
          <w:p w:rsidR="007F1017" w:rsidRPr="00E209B2" w:rsidRDefault="00916E2A" w:rsidP="00EC5836">
            <w:pPr>
              <w:pStyle w:val="Tableheadingrow"/>
              <w:rPr>
                <w:lang w:val="en-AU"/>
              </w:rPr>
            </w:pPr>
            <w:r w:rsidRPr="00E209B2">
              <w:rPr>
                <w:lang w:val="en-AU"/>
              </w:rPr>
              <w:t>Avelumab + BSC v</w:t>
            </w:r>
            <w:r w:rsidR="007F1017" w:rsidRPr="00E209B2">
              <w:rPr>
                <w:lang w:val="en-AU"/>
              </w:rPr>
              <w:t xml:space="preserve">s. </w:t>
            </w:r>
            <w:r w:rsidRPr="00E209B2">
              <w:rPr>
                <w:lang w:val="en-AU"/>
              </w:rPr>
              <w:t>BSC</w:t>
            </w:r>
          </w:p>
        </w:tc>
      </w:tr>
      <w:tr w:rsidR="000C7A4F" w:rsidRPr="00E209B2" w:rsidTr="000C7A4F">
        <w:trPr>
          <w:cantSplit/>
        </w:trPr>
        <w:tc>
          <w:tcPr>
            <w:tcW w:w="543" w:type="pct"/>
            <w:shd w:val="clear" w:color="auto" w:fill="auto"/>
            <w:vAlign w:val="center"/>
          </w:tcPr>
          <w:p w:rsidR="007F1017" w:rsidRPr="00E209B2" w:rsidRDefault="00916E2A" w:rsidP="00EC5836">
            <w:pPr>
              <w:pStyle w:val="TableText"/>
            </w:pPr>
            <w:r w:rsidRPr="00E209B2">
              <w:t>JAVLELIN Bladder 100</w:t>
            </w:r>
          </w:p>
        </w:tc>
        <w:tc>
          <w:tcPr>
            <w:tcW w:w="309" w:type="pct"/>
            <w:shd w:val="clear" w:color="auto" w:fill="auto"/>
            <w:vAlign w:val="center"/>
          </w:tcPr>
          <w:p w:rsidR="007F1017" w:rsidRPr="00E209B2" w:rsidRDefault="00916E2A" w:rsidP="00EC5836">
            <w:pPr>
              <w:pStyle w:val="TableText"/>
              <w:jc w:val="center"/>
            </w:pPr>
            <w:r w:rsidRPr="00E209B2">
              <w:t>700</w:t>
            </w:r>
          </w:p>
        </w:tc>
        <w:tc>
          <w:tcPr>
            <w:tcW w:w="703" w:type="pct"/>
            <w:shd w:val="clear" w:color="auto" w:fill="auto"/>
            <w:vAlign w:val="center"/>
          </w:tcPr>
          <w:p w:rsidR="007F1017" w:rsidRPr="00E209B2" w:rsidRDefault="007F1017" w:rsidP="005B638A">
            <w:pPr>
              <w:pStyle w:val="TableText"/>
              <w:jc w:val="center"/>
            </w:pPr>
            <w:r w:rsidRPr="00E209B2">
              <w:t>R</w:t>
            </w:r>
            <w:r w:rsidR="00916E2A" w:rsidRPr="00E209B2">
              <w:t>andomised,</w:t>
            </w:r>
            <w:r w:rsidR="000E5533" w:rsidRPr="00E209B2">
              <w:t xml:space="preserve"> multi-centre (international) </w:t>
            </w:r>
            <w:r w:rsidR="00916E2A" w:rsidRPr="00E209B2">
              <w:t>open-label</w:t>
            </w:r>
            <w:r w:rsidR="000E5533" w:rsidRPr="00E209B2">
              <w:t>, parallel-arm trial (median follow</w:t>
            </w:r>
            <w:r w:rsidR="005B638A" w:rsidRPr="00E209B2">
              <w:t>-</w:t>
            </w:r>
            <w:r w:rsidR="000E5533" w:rsidRPr="00E209B2">
              <w:t>up</w:t>
            </w:r>
            <w:r w:rsidR="005B638A" w:rsidRPr="00E209B2">
              <w:t xml:space="preserve"> 19</w:t>
            </w:r>
            <w:r w:rsidRPr="00E209B2">
              <w:t xml:space="preserve"> m</w:t>
            </w:r>
            <w:r w:rsidR="005B638A" w:rsidRPr="00E209B2">
              <w:t>on</w:t>
            </w:r>
            <w:r w:rsidRPr="00E209B2">
              <w:t>ths</w:t>
            </w:r>
            <w:r w:rsidR="005B638A" w:rsidRPr="00E209B2">
              <w:t>)</w:t>
            </w:r>
          </w:p>
        </w:tc>
        <w:tc>
          <w:tcPr>
            <w:tcW w:w="389" w:type="pct"/>
            <w:shd w:val="clear" w:color="auto" w:fill="auto"/>
            <w:vAlign w:val="center"/>
          </w:tcPr>
          <w:p w:rsidR="007F1017" w:rsidRPr="00E209B2" w:rsidRDefault="00916E2A" w:rsidP="000E5533">
            <w:pPr>
              <w:pStyle w:val="TableText"/>
            </w:pPr>
            <w:r w:rsidRPr="00E209B2">
              <w:t>Unclear</w:t>
            </w:r>
          </w:p>
        </w:tc>
        <w:tc>
          <w:tcPr>
            <w:tcW w:w="1646" w:type="pct"/>
            <w:shd w:val="clear" w:color="auto" w:fill="auto"/>
            <w:vAlign w:val="center"/>
          </w:tcPr>
          <w:p w:rsidR="005B638A" w:rsidRPr="00E209B2" w:rsidRDefault="000C7A4F" w:rsidP="00DF79E3">
            <w:pPr>
              <w:pStyle w:val="TableText"/>
              <w:numPr>
                <w:ilvl w:val="0"/>
                <w:numId w:val="16"/>
              </w:numPr>
              <w:ind w:left="147" w:hanging="136"/>
            </w:pPr>
            <w:r w:rsidRPr="00E209B2">
              <w:t>Unresectable locally advanced or metastatic urothelial carcinoma</w:t>
            </w:r>
            <w:r w:rsidR="00653ED7" w:rsidRPr="00E209B2">
              <w:t xml:space="preserve"> (d</w:t>
            </w:r>
            <w:r w:rsidRPr="00E209B2">
              <w:t>ocumented Stage IV disease</w:t>
            </w:r>
            <w:r w:rsidR="00653ED7" w:rsidRPr="00E209B2">
              <w:t>)</w:t>
            </w:r>
          </w:p>
          <w:p w:rsidR="005B638A" w:rsidRPr="00E209B2" w:rsidRDefault="005B638A" w:rsidP="00DF79E3">
            <w:pPr>
              <w:pStyle w:val="TableText"/>
              <w:numPr>
                <w:ilvl w:val="0"/>
                <w:numId w:val="16"/>
              </w:numPr>
              <w:ind w:left="147" w:hanging="136"/>
            </w:pPr>
            <w:r w:rsidRPr="00E209B2">
              <w:t>P</w:t>
            </w:r>
            <w:r w:rsidR="000C7A4F" w:rsidRPr="00E209B2">
              <w:t xml:space="preserve">rior first-line chemotherapy (4-6 cycles of gemcitabine + cisplatin and/or gemcitabine + carboplatin), with last dose received </w:t>
            </w:r>
            <w:r w:rsidR="008167DA" w:rsidRPr="00E209B2">
              <w:t xml:space="preserve">between </w:t>
            </w:r>
            <w:r w:rsidR="000C7A4F" w:rsidRPr="00E209B2">
              <w:t xml:space="preserve">4 </w:t>
            </w:r>
            <w:r w:rsidR="00343A30" w:rsidRPr="00E209B2">
              <w:t xml:space="preserve">and </w:t>
            </w:r>
            <w:r w:rsidR="000C7A4F" w:rsidRPr="00E209B2">
              <w:t>10 weeks</w:t>
            </w:r>
            <w:r w:rsidR="008167DA" w:rsidRPr="00E209B2">
              <w:t xml:space="preserve"> prior</w:t>
            </w:r>
          </w:p>
          <w:p w:rsidR="005B638A" w:rsidRPr="00E209B2" w:rsidRDefault="005B638A" w:rsidP="00DF79E3">
            <w:pPr>
              <w:pStyle w:val="TableText"/>
              <w:numPr>
                <w:ilvl w:val="0"/>
                <w:numId w:val="16"/>
              </w:numPr>
              <w:ind w:left="147" w:hanging="136"/>
            </w:pPr>
            <w:r w:rsidRPr="00E209B2">
              <w:t>A</w:t>
            </w:r>
            <w:r w:rsidR="000C7A4F" w:rsidRPr="00E209B2">
              <w:t>bsence of progressive disease per RECIST v1.1 following completion of first-line chemotherapy</w:t>
            </w:r>
          </w:p>
          <w:p w:rsidR="007F1017" w:rsidRPr="00E209B2" w:rsidRDefault="000C7A4F" w:rsidP="00DF79E3">
            <w:pPr>
              <w:pStyle w:val="TableText"/>
              <w:numPr>
                <w:ilvl w:val="0"/>
                <w:numId w:val="16"/>
              </w:numPr>
              <w:ind w:left="147" w:hanging="136"/>
            </w:pPr>
            <w:r w:rsidRPr="00E209B2">
              <w:t>ECOG of 0 or 1</w:t>
            </w:r>
          </w:p>
        </w:tc>
        <w:tc>
          <w:tcPr>
            <w:tcW w:w="574" w:type="pct"/>
            <w:shd w:val="clear" w:color="auto" w:fill="auto"/>
            <w:vAlign w:val="center"/>
          </w:tcPr>
          <w:p w:rsidR="007F1017" w:rsidRPr="00E209B2" w:rsidRDefault="007F1017" w:rsidP="00EC5836">
            <w:pPr>
              <w:pStyle w:val="TableText"/>
              <w:jc w:val="center"/>
            </w:pPr>
            <w:r w:rsidRPr="00E209B2">
              <w:t>OS</w:t>
            </w:r>
            <w:r w:rsidR="000E5533" w:rsidRPr="00E209B2">
              <w:t>, P</w:t>
            </w:r>
            <w:r w:rsidR="00387491" w:rsidRPr="00E209B2">
              <w:t>FS</w:t>
            </w:r>
            <w:r w:rsidR="005B638A" w:rsidRPr="00E209B2">
              <w:t>,</w:t>
            </w:r>
            <w:r w:rsidR="00653ED7" w:rsidRPr="00E209B2">
              <w:t xml:space="preserve"> ORR</w:t>
            </w:r>
            <w:r w:rsidR="005B638A" w:rsidRPr="00E209B2">
              <w:t xml:space="preserve">, </w:t>
            </w:r>
            <w:r w:rsidR="00653ED7" w:rsidRPr="00E209B2">
              <w:t xml:space="preserve">safety, </w:t>
            </w:r>
            <w:r w:rsidR="005B638A" w:rsidRPr="00E209B2">
              <w:t>QoL (EQ-5D-5L, FACT FBISI)</w:t>
            </w:r>
          </w:p>
        </w:tc>
        <w:tc>
          <w:tcPr>
            <w:tcW w:w="837" w:type="pct"/>
            <w:shd w:val="clear" w:color="auto" w:fill="auto"/>
            <w:vAlign w:val="center"/>
          </w:tcPr>
          <w:p w:rsidR="007F1017" w:rsidRPr="00E209B2" w:rsidRDefault="00916E2A" w:rsidP="00EC5836">
            <w:pPr>
              <w:pStyle w:val="TableText"/>
              <w:jc w:val="center"/>
            </w:pPr>
            <w:r w:rsidRPr="00E209B2">
              <w:t xml:space="preserve">OS, PFS, </w:t>
            </w:r>
            <w:r w:rsidR="00653ED7" w:rsidRPr="00E209B2">
              <w:t>safety, QoL (</w:t>
            </w:r>
            <w:r w:rsidRPr="00E209B2">
              <w:t>EQ-5D-5L</w:t>
            </w:r>
            <w:r w:rsidR="00653ED7" w:rsidRPr="00E209B2">
              <w:t>)</w:t>
            </w:r>
          </w:p>
        </w:tc>
      </w:tr>
    </w:tbl>
    <w:p w:rsidR="005B638A" w:rsidRPr="00E209B2" w:rsidRDefault="00045017" w:rsidP="005B638A">
      <w:pPr>
        <w:pStyle w:val="TableFigureFooter"/>
      </w:pPr>
      <w:r w:rsidRPr="00E209B2">
        <w:t xml:space="preserve">Source: </w:t>
      </w:r>
      <w:r w:rsidR="00653ED7" w:rsidRPr="00E209B2">
        <w:t>Table 2.4-1, p55; Table 2.4-4, p60 of the submission; Section 9.3, pp24-25 of the JAVELIN Bladder 100 clinical study report, Attachment 1A of the submission.</w:t>
      </w:r>
    </w:p>
    <w:p w:rsidR="00653ED7" w:rsidRPr="00E209B2" w:rsidRDefault="00653ED7" w:rsidP="005B638A">
      <w:pPr>
        <w:pStyle w:val="TableFigureFooter"/>
      </w:pPr>
      <w:r w:rsidRPr="00E209B2">
        <w:t>Abbreviations:</w:t>
      </w:r>
      <w:r w:rsidR="007A4ABB" w:rsidRPr="00E209B2">
        <w:t xml:space="preserve"> </w:t>
      </w:r>
      <w:r w:rsidRPr="00E209B2">
        <w:t xml:space="preserve">ECOG, Eastern Cooperative Oncology Group; </w:t>
      </w:r>
      <w:r w:rsidR="008167DA" w:rsidRPr="00E209B2">
        <w:t xml:space="preserve">EQ-5D, EuroQol 5-Dimension; </w:t>
      </w:r>
      <w:r w:rsidRPr="00E209B2">
        <w:t>FACT</w:t>
      </w:r>
      <w:r w:rsidR="007A4ABB" w:rsidRPr="00E209B2">
        <w:t xml:space="preserve"> </w:t>
      </w:r>
      <w:r w:rsidRPr="00E209B2">
        <w:t xml:space="preserve">FBISI, Functional Assessment of Cancer Therapy Bladder Cancer Symptom Index-18; </w:t>
      </w:r>
      <w:r w:rsidR="008167DA" w:rsidRPr="00E209B2">
        <w:t>ORR, objective response rate; OS, overall survival; PFS, progression-free survival; QoL, quality of life</w:t>
      </w:r>
      <w:r w:rsidR="00E11A2D" w:rsidRPr="00E209B2">
        <w:t xml:space="preserve">; </w:t>
      </w:r>
      <w:r w:rsidRPr="00E209B2">
        <w:t>RECIST, Response Evaluation Criteria in Solid Tumours.</w:t>
      </w:r>
    </w:p>
    <w:p w:rsidR="007F1017" w:rsidRPr="00E209B2" w:rsidRDefault="007A4ABB" w:rsidP="00EC5836">
      <w:pPr>
        <w:pStyle w:val="ExecSumBodyText"/>
      </w:pPr>
      <w:r w:rsidRPr="00E209B2">
        <w:t xml:space="preserve">The JAVELIN Bladder 100 trial recruited patients with Stage IV, unresectable locally advanced or metastatic transitional cell carcinoma of the urothelium. </w:t>
      </w:r>
      <w:r w:rsidRPr="00E209B2">
        <w:rPr>
          <w:iCs/>
        </w:rPr>
        <w:t xml:space="preserve">Disease stage was based on the 7th edition of the AJCC Cancer Staging Manual, and included T4b N0 M0, Tany N1-3 M0, and Tany Nany M1 for urothelial carcinoma of the bladder; T4 N0 M0, Tany N1-3 M0 or Tany Nany M1 for urothelial carcinoma of the renal pelvis or ureter; </w:t>
      </w:r>
      <w:r w:rsidR="00603A33" w:rsidRPr="00E209B2">
        <w:rPr>
          <w:iCs/>
        </w:rPr>
        <w:t xml:space="preserve">and </w:t>
      </w:r>
      <w:r w:rsidRPr="00E209B2">
        <w:rPr>
          <w:iCs/>
        </w:rPr>
        <w:t>T4 N0-1 M0, Tany N1-2 M0 and Tany Nany M1 for urothelial carcinoma of the urethra.</w:t>
      </w:r>
    </w:p>
    <w:p w:rsidR="003C380D" w:rsidRPr="00E209B2" w:rsidRDefault="00CF7EE9" w:rsidP="007B7BE1">
      <w:pPr>
        <w:pStyle w:val="ExecSumBodyText"/>
        <w:rPr>
          <w:iCs/>
        </w:rPr>
      </w:pPr>
      <w:r w:rsidRPr="00E209B2">
        <w:rPr>
          <w:iCs/>
        </w:rPr>
        <w:t>The JAVELIN Bladder 100 trial had an unclear risk of bias. As the trial was open label, investigators, patients, and study personnel were not blinded to treatment allocation, which may have influenced the treatment of patients in the trial</w:t>
      </w:r>
      <w:r w:rsidR="003C380D" w:rsidRPr="00E209B2">
        <w:rPr>
          <w:iCs/>
        </w:rPr>
        <w:t>.</w:t>
      </w:r>
      <w:r w:rsidR="00353ACE" w:rsidRPr="00E209B2">
        <w:rPr>
          <w:iCs/>
        </w:rPr>
        <w:t xml:space="preserve"> Assessments made by study investigators (who were not blinded to treatment allocation) were at high risk of bias. The trial also included assessments by a blinded independent review committee, which had a lower risk of assessment bias. The trial was stopped at the interim analysis as the </w:t>
      </w:r>
      <w:r w:rsidR="003C380D" w:rsidRPr="00E209B2">
        <w:rPr>
          <w:iCs/>
        </w:rPr>
        <w:t>efficacy boundaries for overall survival had been crossed in the overall population and the PD-L1 positive population</w:t>
      </w:r>
      <w:r w:rsidR="00353ACE" w:rsidRPr="00E209B2">
        <w:rPr>
          <w:iCs/>
        </w:rPr>
        <w:t>.</w:t>
      </w:r>
      <w:r w:rsidR="003C380D" w:rsidRPr="00E209B2">
        <w:rPr>
          <w:iCs/>
        </w:rPr>
        <w:t xml:space="preserve"> </w:t>
      </w:r>
      <w:r w:rsidR="00353ACE" w:rsidRPr="00E209B2">
        <w:rPr>
          <w:iCs/>
        </w:rPr>
        <w:t>T</w:t>
      </w:r>
      <w:r w:rsidR="003C380D" w:rsidRPr="00E209B2">
        <w:rPr>
          <w:iCs/>
        </w:rPr>
        <w:t>he interim analysis became the final analysis for the study and is used as the basis for the current submission.</w:t>
      </w:r>
    </w:p>
    <w:p w:rsidR="003D180E" w:rsidRPr="00E209B2" w:rsidRDefault="00CF7EE9" w:rsidP="004025E6">
      <w:pPr>
        <w:pStyle w:val="ExecSumBodyText"/>
        <w:rPr>
          <w:iCs/>
        </w:rPr>
      </w:pPr>
      <w:r w:rsidRPr="00E209B2">
        <w:rPr>
          <w:iCs/>
        </w:rPr>
        <w:t>The clinical study report state</w:t>
      </w:r>
      <w:r w:rsidR="00D93001" w:rsidRPr="00E209B2">
        <w:rPr>
          <w:iCs/>
        </w:rPr>
        <w:t>d</w:t>
      </w:r>
      <w:r w:rsidRPr="00E209B2">
        <w:rPr>
          <w:iCs/>
        </w:rPr>
        <w:t xml:space="preserve"> that if radiologic imaging showed progressive disease as per independent review committee assessment, patients </w:t>
      </w:r>
      <w:r w:rsidR="00603A33" w:rsidRPr="00E209B2">
        <w:rPr>
          <w:iCs/>
        </w:rPr>
        <w:t>treated with</w:t>
      </w:r>
      <w:r w:rsidRPr="00E209B2">
        <w:rPr>
          <w:iCs/>
        </w:rPr>
        <w:t xml:space="preserve"> avelumab + BSC might have continued to receive avelumab at the investigator’s discretion and after discussion with the sponsor, if </w:t>
      </w:r>
      <w:r w:rsidR="000918D7" w:rsidRPr="00E209B2">
        <w:rPr>
          <w:iCs/>
        </w:rPr>
        <w:t>certain</w:t>
      </w:r>
      <w:r w:rsidRPr="00E209B2">
        <w:rPr>
          <w:iCs/>
        </w:rPr>
        <w:t xml:space="preserve"> criteria were met</w:t>
      </w:r>
      <w:r w:rsidR="000918D7" w:rsidRPr="00E209B2">
        <w:rPr>
          <w:iCs/>
        </w:rPr>
        <w:t>.</w:t>
      </w:r>
    </w:p>
    <w:p w:rsidR="00667904" w:rsidRPr="00E209B2" w:rsidRDefault="007B7BE1" w:rsidP="003D180E">
      <w:pPr>
        <w:pStyle w:val="ExecSumBodyText"/>
        <w:rPr>
          <w:iCs/>
        </w:rPr>
      </w:pPr>
      <w:r w:rsidRPr="00E209B2">
        <w:rPr>
          <w:iCs/>
        </w:rPr>
        <w:t xml:space="preserve">Best supportive care included treatment with antibiotics, nutritional support, correction of metabolic disorders, optimal symptom control and pain management (including palliative radiotherapy) but could not include any active anti-tumour therapy. </w:t>
      </w:r>
      <w:r w:rsidR="00B5020B" w:rsidRPr="00E209B2">
        <w:rPr>
          <w:iCs/>
        </w:rPr>
        <w:t xml:space="preserve">However, the use of subsequent anticancer treatments was permitted following </w:t>
      </w:r>
      <w:r w:rsidR="00653215" w:rsidRPr="00E209B2">
        <w:rPr>
          <w:iCs/>
        </w:rPr>
        <w:t xml:space="preserve">independent review committee </w:t>
      </w:r>
      <w:r w:rsidR="00B5020B" w:rsidRPr="00E209B2">
        <w:rPr>
          <w:iCs/>
        </w:rPr>
        <w:t>confirm</w:t>
      </w:r>
      <w:r w:rsidR="00653215" w:rsidRPr="00E209B2">
        <w:rPr>
          <w:iCs/>
        </w:rPr>
        <w:t>ation</w:t>
      </w:r>
      <w:r w:rsidR="00B5020B" w:rsidRPr="00E209B2">
        <w:rPr>
          <w:iCs/>
        </w:rPr>
        <w:t xml:space="preserve"> of disease progression. </w:t>
      </w:r>
      <w:r w:rsidR="00653215" w:rsidRPr="00E209B2">
        <w:rPr>
          <w:iCs/>
        </w:rPr>
        <w:t>Cross-over to receive avelumab following disease progression was not permitted.</w:t>
      </w:r>
    </w:p>
    <w:p w:rsidR="002C5D39" w:rsidRPr="00E209B2" w:rsidRDefault="002C5D39" w:rsidP="004025E6">
      <w:pPr>
        <w:pStyle w:val="ExecSumBodyText"/>
      </w:pPr>
      <w:r w:rsidRPr="00E209B2">
        <w:lastRenderedPageBreak/>
        <w:t xml:space="preserve">Table 4 presents a summary of subsequent anticancer treatments </w:t>
      </w:r>
      <w:r w:rsidR="00640729" w:rsidRPr="00E209B2">
        <w:t>reported for the avelumab + BSC and BSC arms in the JAVELIN Bladder 100 trial.</w:t>
      </w:r>
    </w:p>
    <w:p w:rsidR="002C5D39" w:rsidRPr="00E209B2" w:rsidRDefault="002C5D39" w:rsidP="002C5D39">
      <w:pPr>
        <w:keepNext/>
        <w:rPr>
          <w:color w:val="000000" w:themeColor="text1"/>
        </w:rPr>
      </w:pPr>
      <w:r w:rsidRPr="00E209B2">
        <w:rPr>
          <w:rFonts w:ascii="Arial Narrow" w:hAnsi="Arial Narrow"/>
          <w:b/>
          <w:snapToGrid w:val="0"/>
          <w:sz w:val="20"/>
          <w:szCs w:val="20"/>
        </w:rPr>
        <w:t>Table 4: Subsequent anticancer treatments in the JAVELIN Bladder 100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89"/>
        <w:gridCol w:w="2314"/>
        <w:gridCol w:w="2314"/>
      </w:tblGrid>
      <w:tr w:rsidR="002C5D39" w:rsidRPr="00E209B2" w:rsidTr="002C5D39">
        <w:trPr>
          <w:trHeight w:val="349"/>
        </w:trPr>
        <w:tc>
          <w:tcPr>
            <w:tcW w:w="2434" w:type="pct"/>
            <w:shd w:val="clear" w:color="auto" w:fill="FFFFFF"/>
            <w:vAlign w:val="center"/>
          </w:tcPr>
          <w:p w:rsidR="002C5D39" w:rsidRPr="00E209B2" w:rsidRDefault="002C5D39" w:rsidP="002C5D39">
            <w:pPr>
              <w:pStyle w:val="TableText"/>
              <w:rPr>
                <w:b/>
                <w:bCs w:val="0"/>
              </w:rPr>
            </w:pPr>
          </w:p>
        </w:tc>
        <w:tc>
          <w:tcPr>
            <w:tcW w:w="1283" w:type="pct"/>
            <w:shd w:val="clear" w:color="auto" w:fill="FFFFFF"/>
          </w:tcPr>
          <w:p w:rsidR="002C5D39" w:rsidRPr="00E209B2" w:rsidRDefault="002C5D39" w:rsidP="002C5D39">
            <w:pPr>
              <w:pStyle w:val="TableText"/>
              <w:jc w:val="center"/>
              <w:rPr>
                <w:b/>
                <w:bCs w:val="0"/>
              </w:rPr>
            </w:pPr>
            <w:r w:rsidRPr="00E209B2">
              <w:rPr>
                <w:b/>
                <w:bCs w:val="0"/>
              </w:rPr>
              <w:t>AVE + BSC</w:t>
            </w:r>
          </w:p>
          <w:p w:rsidR="002C5D39" w:rsidRPr="00E209B2" w:rsidRDefault="002C5D39" w:rsidP="002C5D39">
            <w:pPr>
              <w:pStyle w:val="TableText"/>
              <w:jc w:val="center"/>
              <w:rPr>
                <w:b/>
                <w:bCs w:val="0"/>
              </w:rPr>
            </w:pPr>
            <w:r w:rsidRPr="00E209B2">
              <w:rPr>
                <w:b/>
                <w:bCs w:val="0"/>
              </w:rPr>
              <w:t>(N=350)</w:t>
            </w:r>
          </w:p>
        </w:tc>
        <w:tc>
          <w:tcPr>
            <w:tcW w:w="1283" w:type="pct"/>
            <w:shd w:val="clear" w:color="auto" w:fill="FFFFFF"/>
            <w:vAlign w:val="center"/>
          </w:tcPr>
          <w:p w:rsidR="002C5D39" w:rsidRPr="00E209B2" w:rsidRDefault="002C5D39" w:rsidP="002C5D39">
            <w:pPr>
              <w:pStyle w:val="TableText"/>
              <w:jc w:val="center"/>
              <w:rPr>
                <w:b/>
                <w:bCs w:val="0"/>
              </w:rPr>
            </w:pPr>
            <w:r w:rsidRPr="00E209B2">
              <w:rPr>
                <w:b/>
                <w:bCs w:val="0"/>
              </w:rPr>
              <w:t>BSC</w:t>
            </w:r>
          </w:p>
          <w:p w:rsidR="002C5D39" w:rsidRPr="00E209B2" w:rsidRDefault="002C5D39" w:rsidP="002C5D39">
            <w:pPr>
              <w:pStyle w:val="TableText"/>
              <w:jc w:val="center"/>
              <w:rPr>
                <w:b/>
                <w:bCs w:val="0"/>
              </w:rPr>
            </w:pPr>
            <w:r w:rsidRPr="00E209B2">
              <w:rPr>
                <w:b/>
                <w:bCs w:val="0"/>
              </w:rPr>
              <w:t>(N=350)</w:t>
            </w:r>
          </w:p>
        </w:tc>
      </w:tr>
      <w:tr w:rsidR="002C5D39" w:rsidRPr="00E209B2" w:rsidTr="002C5D39">
        <w:trPr>
          <w:trHeight w:val="49"/>
        </w:trPr>
        <w:tc>
          <w:tcPr>
            <w:tcW w:w="2434" w:type="pct"/>
            <w:shd w:val="clear" w:color="auto" w:fill="FFFFFF"/>
          </w:tcPr>
          <w:p w:rsidR="002C5D39" w:rsidRPr="00E209B2" w:rsidRDefault="002C5D39" w:rsidP="002C5D39">
            <w:pPr>
              <w:pStyle w:val="TableText"/>
            </w:pPr>
            <w:r w:rsidRPr="00E209B2">
              <w:t>Discontinued randomised study treatment, n (%)</w:t>
            </w:r>
          </w:p>
        </w:tc>
        <w:tc>
          <w:tcPr>
            <w:tcW w:w="1283" w:type="pct"/>
            <w:shd w:val="clear" w:color="auto" w:fill="FFFFFF"/>
          </w:tcPr>
          <w:p w:rsidR="002C5D39" w:rsidRPr="00E209B2" w:rsidRDefault="002C5D39" w:rsidP="002C5D39">
            <w:pPr>
              <w:pStyle w:val="TableText"/>
              <w:jc w:val="center"/>
            </w:pPr>
            <w:r w:rsidRPr="00E209B2">
              <w:t>265 (75.7)</w:t>
            </w:r>
          </w:p>
        </w:tc>
        <w:tc>
          <w:tcPr>
            <w:tcW w:w="1283" w:type="pct"/>
            <w:shd w:val="clear" w:color="auto" w:fill="FFFFFF"/>
          </w:tcPr>
          <w:p w:rsidR="002C5D39" w:rsidRPr="00E209B2" w:rsidRDefault="002C5D39" w:rsidP="002C5D39">
            <w:pPr>
              <w:pStyle w:val="TableText"/>
              <w:jc w:val="center"/>
            </w:pPr>
            <w:r w:rsidRPr="00E209B2">
              <w:t>324 (92.6)</w:t>
            </w:r>
          </w:p>
        </w:tc>
      </w:tr>
      <w:tr w:rsidR="002C5D39" w:rsidRPr="00E209B2" w:rsidTr="002C5D39">
        <w:trPr>
          <w:trHeight w:val="635"/>
        </w:trPr>
        <w:tc>
          <w:tcPr>
            <w:tcW w:w="2434" w:type="pct"/>
            <w:shd w:val="clear" w:color="auto" w:fill="FFFFFF"/>
          </w:tcPr>
          <w:p w:rsidR="002C5D39" w:rsidRPr="00E209B2" w:rsidRDefault="005F2772" w:rsidP="002C5D39">
            <w:pPr>
              <w:pStyle w:val="TableText"/>
            </w:pPr>
            <w:r w:rsidRPr="00E209B2">
              <w:t xml:space="preserve">At least one </w:t>
            </w:r>
            <w:r w:rsidR="002C5D39" w:rsidRPr="00E209B2">
              <w:t>follow-up anticancer therap</w:t>
            </w:r>
            <w:r w:rsidRPr="00E209B2">
              <w:t>y</w:t>
            </w:r>
            <w:r w:rsidR="002C5D39" w:rsidRPr="00E209B2">
              <w:t>, n (%)</w:t>
            </w:r>
          </w:p>
          <w:p w:rsidR="002C5D39" w:rsidRPr="00E209B2" w:rsidRDefault="0038436E" w:rsidP="00DF79E3">
            <w:pPr>
              <w:pStyle w:val="TableText"/>
              <w:numPr>
                <w:ilvl w:val="0"/>
                <w:numId w:val="5"/>
              </w:numPr>
              <w:ind w:left="396" w:hanging="177"/>
            </w:pPr>
            <w:r w:rsidRPr="00E209B2">
              <w:t>Yes</w:t>
            </w:r>
          </w:p>
          <w:p w:rsidR="0038436E" w:rsidRPr="00E209B2" w:rsidRDefault="0038436E" w:rsidP="00DF79E3">
            <w:pPr>
              <w:pStyle w:val="TableText"/>
              <w:numPr>
                <w:ilvl w:val="0"/>
                <w:numId w:val="5"/>
              </w:numPr>
              <w:ind w:left="396" w:hanging="177"/>
            </w:pPr>
            <w:r w:rsidRPr="00E209B2">
              <w:t>No</w:t>
            </w:r>
          </w:p>
          <w:p w:rsidR="0038436E" w:rsidRPr="00E209B2" w:rsidRDefault="0038436E" w:rsidP="00DF79E3">
            <w:pPr>
              <w:pStyle w:val="TableText"/>
              <w:numPr>
                <w:ilvl w:val="0"/>
                <w:numId w:val="5"/>
              </w:numPr>
              <w:ind w:left="396" w:hanging="177"/>
            </w:pPr>
            <w:r w:rsidRPr="00E209B2">
              <w:t>Unknown</w:t>
            </w:r>
          </w:p>
        </w:tc>
        <w:tc>
          <w:tcPr>
            <w:tcW w:w="1283" w:type="pct"/>
            <w:shd w:val="clear" w:color="auto" w:fill="FFFFFF"/>
          </w:tcPr>
          <w:p w:rsidR="0038436E" w:rsidRPr="00E209B2" w:rsidRDefault="0038436E" w:rsidP="002C5D39">
            <w:pPr>
              <w:pStyle w:val="TableText"/>
              <w:jc w:val="center"/>
            </w:pPr>
          </w:p>
          <w:p w:rsidR="002C5D39" w:rsidRPr="00E209B2" w:rsidRDefault="002C5D39" w:rsidP="002C5D39">
            <w:pPr>
              <w:pStyle w:val="TableText"/>
              <w:jc w:val="center"/>
            </w:pPr>
            <w:r w:rsidRPr="00E209B2">
              <w:t>148 (42.3)</w:t>
            </w:r>
          </w:p>
          <w:p w:rsidR="002C5D39" w:rsidRPr="00E209B2" w:rsidRDefault="0095660E" w:rsidP="002C5D39">
            <w:pPr>
              <w:pStyle w:val="TableText"/>
              <w:jc w:val="center"/>
            </w:pPr>
            <w:r w:rsidRPr="00E209B2">
              <w:t>73 (20.9)</w:t>
            </w:r>
          </w:p>
          <w:p w:rsidR="0095660E" w:rsidRPr="00E209B2" w:rsidRDefault="0095660E" w:rsidP="002C5D39">
            <w:pPr>
              <w:pStyle w:val="TableText"/>
              <w:jc w:val="center"/>
            </w:pPr>
            <w:r w:rsidRPr="00E209B2">
              <w:t>129 (36.9)</w:t>
            </w:r>
          </w:p>
        </w:tc>
        <w:tc>
          <w:tcPr>
            <w:tcW w:w="1283" w:type="pct"/>
            <w:shd w:val="clear" w:color="auto" w:fill="FFFFFF"/>
          </w:tcPr>
          <w:p w:rsidR="0038436E" w:rsidRPr="00E209B2" w:rsidRDefault="0038436E" w:rsidP="002C5D39">
            <w:pPr>
              <w:pStyle w:val="TableText"/>
              <w:jc w:val="center"/>
            </w:pPr>
          </w:p>
          <w:p w:rsidR="002C5D39" w:rsidRPr="00E209B2" w:rsidRDefault="002C5D39" w:rsidP="002C5D39">
            <w:pPr>
              <w:pStyle w:val="TableText"/>
              <w:jc w:val="center"/>
            </w:pPr>
            <w:r w:rsidRPr="00E209B2">
              <w:t>216 (61.7)</w:t>
            </w:r>
          </w:p>
          <w:p w:rsidR="0095660E" w:rsidRPr="00E209B2" w:rsidRDefault="0095660E" w:rsidP="002C5D39">
            <w:pPr>
              <w:pStyle w:val="TableText"/>
              <w:jc w:val="center"/>
            </w:pPr>
            <w:r w:rsidRPr="00E209B2">
              <w:t>50 (14.3)</w:t>
            </w:r>
          </w:p>
          <w:p w:rsidR="002C5D39" w:rsidRPr="00E209B2" w:rsidRDefault="0095660E" w:rsidP="002C5D39">
            <w:pPr>
              <w:pStyle w:val="TableText"/>
              <w:jc w:val="center"/>
            </w:pPr>
            <w:r w:rsidRPr="00E209B2">
              <w:t>84 (24.0)</w:t>
            </w:r>
          </w:p>
        </w:tc>
      </w:tr>
      <w:tr w:rsidR="00472679" w:rsidRPr="00E209B2" w:rsidTr="002C5D39">
        <w:trPr>
          <w:trHeight w:val="635"/>
        </w:trPr>
        <w:tc>
          <w:tcPr>
            <w:tcW w:w="2434" w:type="pct"/>
            <w:shd w:val="clear" w:color="auto" w:fill="FFFFFF"/>
          </w:tcPr>
          <w:p w:rsidR="00472679" w:rsidRPr="00E209B2" w:rsidRDefault="00B62723" w:rsidP="002C5D39">
            <w:pPr>
              <w:pStyle w:val="TableText"/>
            </w:pPr>
            <w:r w:rsidRPr="00E209B2">
              <w:t>Number of f</w:t>
            </w:r>
            <w:r w:rsidR="00472679" w:rsidRPr="00E209B2">
              <w:t>ollow-up anti-cancer drug therapy regimens</w:t>
            </w:r>
          </w:p>
          <w:p w:rsidR="00472679" w:rsidRPr="00E209B2" w:rsidRDefault="00472679" w:rsidP="00DF79E3">
            <w:pPr>
              <w:pStyle w:val="TableText"/>
              <w:numPr>
                <w:ilvl w:val="0"/>
                <w:numId w:val="5"/>
              </w:numPr>
              <w:ind w:left="397" w:hanging="176"/>
            </w:pPr>
            <w:r w:rsidRPr="00E209B2">
              <w:t>0 regimens</w:t>
            </w:r>
          </w:p>
          <w:p w:rsidR="00472679" w:rsidRPr="00E209B2" w:rsidRDefault="00472679" w:rsidP="00DF79E3">
            <w:pPr>
              <w:pStyle w:val="TableText"/>
              <w:numPr>
                <w:ilvl w:val="0"/>
                <w:numId w:val="5"/>
              </w:numPr>
              <w:ind w:left="397" w:hanging="176"/>
            </w:pPr>
            <w:r w:rsidRPr="00E209B2">
              <w:t>1 regimens</w:t>
            </w:r>
          </w:p>
          <w:p w:rsidR="00472679" w:rsidRPr="00E209B2" w:rsidRDefault="00472679" w:rsidP="00DF79E3">
            <w:pPr>
              <w:pStyle w:val="TableText"/>
              <w:numPr>
                <w:ilvl w:val="0"/>
                <w:numId w:val="5"/>
              </w:numPr>
              <w:ind w:left="397" w:hanging="176"/>
            </w:pPr>
            <w:r w:rsidRPr="00E209B2">
              <w:t>2 regimens</w:t>
            </w:r>
          </w:p>
          <w:p w:rsidR="00472679" w:rsidRPr="00E209B2" w:rsidRDefault="00472679" w:rsidP="00DF79E3">
            <w:pPr>
              <w:pStyle w:val="TableText"/>
              <w:numPr>
                <w:ilvl w:val="0"/>
                <w:numId w:val="5"/>
              </w:numPr>
              <w:ind w:left="397" w:hanging="176"/>
            </w:pPr>
            <w:r w:rsidRPr="00E209B2">
              <w:t>3 regimens</w:t>
            </w:r>
          </w:p>
          <w:p w:rsidR="00472679" w:rsidRPr="00E209B2" w:rsidRDefault="00472679" w:rsidP="00DF79E3">
            <w:pPr>
              <w:pStyle w:val="TableText"/>
              <w:numPr>
                <w:ilvl w:val="0"/>
                <w:numId w:val="5"/>
              </w:numPr>
              <w:ind w:left="397" w:hanging="176"/>
            </w:pPr>
            <w:r w:rsidRPr="00E209B2">
              <w:t>≥4 regimens</w:t>
            </w:r>
          </w:p>
          <w:p w:rsidR="00472679" w:rsidRPr="00E209B2" w:rsidRDefault="00472679" w:rsidP="00DF79E3">
            <w:pPr>
              <w:pStyle w:val="TableText"/>
              <w:numPr>
                <w:ilvl w:val="0"/>
                <w:numId w:val="5"/>
              </w:numPr>
              <w:ind w:left="397" w:hanging="176"/>
            </w:pPr>
            <w:r w:rsidRPr="00E209B2">
              <w:t>Not reported</w:t>
            </w:r>
          </w:p>
        </w:tc>
        <w:tc>
          <w:tcPr>
            <w:tcW w:w="1283" w:type="pct"/>
            <w:shd w:val="clear" w:color="auto" w:fill="FFFFFF"/>
          </w:tcPr>
          <w:p w:rsidR="00472679" w:rsidRPr="00E209B2" w:rsidRDefault="00472679" w:rsidP="002C5D39">
            <w:pPr>
              <w:pStyle w:val="TableText"/>
              <w:jc w:val="center"/>
            </w:pPr>
          </w:p>
          <w:p w:rsidR="00472679" w:rsidRPr="00E209B2" w:rsidRDefault="007C5869" w:rsidP="002C5D39">
            <w:pPr>
              <w:pStyle w:val="TableText"/>
              <w:jc w:val="center"/>
            </w:pPr>
            <w:r w:rsidRPr="00E209B2">
              <w:t>73 (20.9)</w:t>
            </w:r>
          </w:p>
          <w:p w:rsidR="007C5869" w:rsidRPr="00E209B2" w:rsidRDefault="007C5869" w:rsidP="002C5D39">
            <w:pPr>
              <w:pStyle w:val="TableText"/>
              <w:jc w:val="center"/>
            </w:pPr>
            <w:r w:rsidRPr="00E209B2">
              <w:t>102 (29.1)</w:t>
            </w:r>
          </w:p>
          <w:p w:rsidR="007C5869" w:rsidRPr="00E209B2" w:rsidRDefault="007C5869" w:rsidP="002C5D39">
            <w:pPr>
              <w:pStyle w:val="TableText"/>
              <w:jc w:val="center"/>
            </w:pPr>
            <w:r w:rsidRPr="00E209B2">
              <w:t>33 (9.4)</w:t>
            </w:r>
          </w:p>
          <w:p w:rsidR="007C5869" w:rsidRPr="00E209B2" w:rsidRDefault="007C5869" w:rsidP="002C5D39">
            <w:pPr>
              <w:pStyle w:val="TableText"/>
              <w:jc w:val="center"/>
            </w:pPr>
            <w:r w:rsidRPr="00E209B2">
              <w:t>11 (3.1)</w:t>
            </w:r>
          </w:p>
          <w:p w:rsidR="007C5869" w:rsidRPr="00E209B2" w:rsidRDefault="007C5869" w:rsidP="002C5D39">
            <w:pPr>
              <w:pStyle w:val="TableText"/>
              <w:jc w:val="center"/>
            </w:pPr>
            <w:r w:rsidRPr="00E209B2">
              <w:t>2 (0.6)</w:t>
            </w:r>
          </w:p>
          <w:p w:rsidR="007C5869" w:rsidRPr="00E209B2" w:rsidRDefault="007C5869" w:rsidP="002C5D39">
            <w:pPr>
              <w:pStyle w:val="TableText"/>
              <w:jc w:val="center"/>
            </w:pPr>
            <w:r w:rsidRPr="00E209B2">
              <w:t>129 (36.9)</w:t>
            </w:r>
          </w:p>
        </w:tc>
        <w:tc>
          <w:tcPr>
            <w:tcW w:w="1283" w:type="pct"/>
            <w:shd w:val="clear" w:color="auto" w:fill="FFFFFF"/>
          </w:tcPr>
          <w:p w:rsidR="00472679" w:rsidRPr="00E209B2" w:rsidRDefault="00472679" w:rsidP="002C5D39">
            <w:pPr>
              <w:pStyle w:val="TableText"/>
              <w:jc w:val="center"/>
            </w:pPr>
          </w:p>
          <w:p w:rsidR="007C5869" w:rsidRPr="00E209B2" w:rsidRDefault="007C5869" w:rsidP="002C5D39">
            <w:pPr>
              <w:pStyle w:val="TableText"/>
              <w:jc w:val="center"/>
            </w:pPr>
            <w:r w:rsidRPr="00E209B2">
              <w:t>50 (14.3)</w:t>
            </w:r>
          </w:p>
          <w:p w:rsidR="007C5869" w:rsidRPr="00E209B2" w:rsidRDefault="007C5869" w:rsidP="002C5D39">
            <w:pPr>
              <w:pStyle w:val="TableText"/>
              <w:jc w:val="center"/>
            </w:pPr>
            <w:r w:rsidRPr="00E209B2">
              <w:t>150 (42.9)</w:t>
            </w:r>
          </w:p>
          <w:p w:rsidR="007C5869" w:rsidRPr="00E209B2" w:rsidRDefault="007C5869" w:rsidP="002C5D39">
            <w:pPr>
              <w:pStyle w:val="TableText"/>
              <w:jc w:val="center"/>
            </w:pPr>
            <w:r w:rsidRPr="00E209B2">
              <w:t>52 (14.9)</w:t>
            </w:r>
          </w:p>
          <w:p w:rsidR="007C5869" w:rsidRPr="00E209B2" w:rsidRDefault="007C5869" w:rsidP="002C5D39">
            <w:pPr>
              <w:pStyle w:val="TableText"/>
              <w:jc w:val="center"/>
            </w:pPr>
            <w:r w:rsidRPr="00E209B2">
              <w:t>11 (3.1)</w:t>
            </w:r>
          </w:p>
          <w:p w:rsidR="007C5869" w:rsidRPr="00E209B2" w:rsidRDefault="007C5869" w:rsidP="002C5D39">
            <w:pPr>
              <w:pStyle w:val="TableText"/>
              <w:jc w:val="center"/>
            </w:pPr>
            <w:r w:rsidRPr="00E209B2">
              <w:t>3 (0.9)</w:t>
            </w:r>
          </w:p>
          <w:p w:rsidR="007C5869" w:rsidRPr="00E209B2" w:rsidRDefault="007C5869" w:rsidP="002C5D39">
            <w:pPr>
              <w:pStyle w:val="TableText"/>
              <w:jc w:val="center"/>
            </w:pPr>
            <w:r w:rsidRPr="00E209B2">
              <w:t>84 (24.0)</w:t>
            </w:r>
          </w:p>
        </w:tc>
      </w:tr>
      <w:tr w:rsidR="0038436E" w:rsidRPr="00E209B2" w:rsidTr="0038436E">
        <w:trPr>
          <w:trHeight w:val="81"/>
        </w:trPr>
        <w:tc>
          <w:tcPr>
            <w:tcW w:w="2434" w:type="pct"/>
            <w:shd w:val="clear" w:color="auto" w:fill="FFFFFF"/>
          </w:tcPr>
          <w:p w:rsidR="0038436E" w:rsidRPr="00E209B2" w:rsidRDefault="0038436E" w:rsidP="0038436E">
            <w:pPr>
              <w:pStyle w:val="TableText"/>
            </w:pPr>
            <w:r w:rsidRPr="00E209B2">
              <w:t>Any PD-1 or PD-L1 inhibitor, n (%)</w:t>
            </w:r>
          </w:p>
          <w:p w:rsidR="0038436E" w:rsidRPr="00E209B2" w:rsidRDefault="0038436E" w:rsidP="0038436E">
            <w:pPr>
              <w:pStyle w:val="TableText"/>
            </w:pPr>
            <w:r w:rsidRPr="00E209B2">
              <w:t>FGFR inhibitor, n (%)</w:t>
            </w:r>
          </w:p>
          <w:p w:rsidR="0038436E" w:rsidRPr="00E209B2" w:rsidRDefault="0038436E" w:rsidP="002C5D39">
            <w:pPr>
              <w:pStyle w:val="TableText"/>
            </w:pPr>
            <w:r w:rsidRPr="00E209B2">
              <w:t>Any other drug therapy, n (%)</w:t>
            </w:r>
          </w:p>
        </w:tc>
        <w:tc>
          <w:tcPr>
            <w:tcW w:w="1283" w:type="pct"/>
            <w:shd w:val="clear" w:color="auto" w:fill="FFFFFF"/>
          </w:tcPr>
          <w:p w:rsidR="0038436E" w:rsidRPr="00E209B2" w:rsidRDefault="0038436E" w:rsidP="0038436E">
            <w:pPr>
              <w:pStyle w:val="TableText"/>
              <w:jc w:val="center"/>
            </w:pPr>
            <w:r w:rsidRPr="00E209B2">
              <w:t>22 (6.3)</w:t>
            </w:r>
          </w:p>
          <w:p w:rsidR="0038436E" w:rsidRPr="00E209B2" w:rsidRDefault="0038436E" w:rsidP="0038436E">
            <w:pPr>
              <w:pStyle w:val="TableText"/>
              <w:jc w:val="center"/>
            </w:pPr>
            <w:r w:rsidRPr="00E209B2">
              <w:t>9 (2.6)</w:t>
            </w:r>
          </w:p>
          <w:p w:rsidR="0038436E" w:rsidRPr="00E209B2" w:rsidRDefault="0038436E" w:rsidP="0038436E">
            <w:pPr>
              <w:pStyle w:val="TableText"/>
              <w:jc w:val="center"/>
            </w:pPr>
            <w:r w:rsidRPr="00E209B2">
              <w:t>140 (40.0)</w:t>
            </w:r>
          </w:p>
        </w:tc>
        <w:tc>
          <w:tcPr>
            <w:tcW w:w="1283" w:type="pct"/>
            <w:shd w:val="clear" w:color="auto" w:fill="FFFFFF"/>
          </w:tcPr>
          <w:p w:rsidR="0038436E" w:rsidRPr="00E209B2" w:rsidRDefault="0038436E" w:rsidP="0038436E">
            <w:pPr>
              <w:pStyle w:val="TableText"/>
              <w:jc w:val="center"/>
            </w:pPr>
            <w:r w:rsidRPr="00E209B2">
              <w:t>153 (43.7)</w:t>
            </w:r>
          </w:p>
          <w:p w:rsidR="0038436E" w:rsidRPr="00E209B2" w:rsidRDefault="0038436E" w:rsidP="0038436E">
            <w:pPr>
              <w:pStyle w:val="TableText"/>
              <w:jc w:val="center"/>
            </w:pPr>
            <w:r w:rsidRPr="00E209B2">
              <w:t>8 (2.3)</w:t>
            </w:r>
          </w:p>
          <w:p w:rsidR="0038436E" w:rsidRPr="00E209B2" w:rsidRDefault="0038436E" w:rsidP="0038436E">
            <w:pPr>
              <w:pStyle w:val="TableText"/>
              <w:jc w:val="center"/>
            </w:pPr>
            <w:r w:rsidRPr="00E209B2">
              <w:t>119 (34.0)</w:t>
            </w:r>
          </w:p>
        </w:tc>
      </w:tr>
      <w:tr w:rsidR="002C5D39" w:rsidRPr="00E209B2" w:rsidTr="002C5D39">
        <w:trPr>
          <w:trHeight w:val="2413"/>
        </w:trPr>
        <w:tc>
          <w:tcPr>
            <w:tcW w:w="2434" w:type="pct"/>
            <w:shd w:val="clear" w:color="auto" w:fill="FFFFFF"/>
          </w:tcPr>
          <w:p w:rsidR="002C5D39" w:rsidRPr="00E209B2" w:rsidRDefault="002C5D39" w:rsidP="002C5D39">
            <w:pPr>
              <w:pStyle w:val="TableText"/>
            </w:pPr>
            <w:r w:rsidRPr="00E209B2">
              <w:t>Drug therapy ≥2% in either treatment arm, n (%)</w:t>
            </w:r>
          </w:p>
          <w:p w:rsidR="002C5D39" w:rsidRPr="00E209B2" w:rsidRDefault="002C5D39" w:rsidP="00DF79E3">
            <w:pPr>
              <w:pStyle w:val="TableText"/>
              <w:numPr>
                <w:ilvl w:val="0"/>
                <w:numId w:val="14"/>
              </w:numPr>
              <w:ind w:left="396" w:hanging="177"/>
            </w:pPr>
            <w:r w:rsidRPr="00E209B2">
              <w:t>Gemcitabine</w:t>
            </w:r>
          </w:p>
          <w:p w:rsidR="002C5D39" w:rsidRPr="00E209B2" w:rsidRDefault="002C5D39" w:rsidP="00DF79E3">
            <w:pPr>
              <w:pStyle w:val="TableText"/>
              <w:numPr>
                <w:ilvl w:val="0"/>
                <w:numId w:val="14"/>
              </w:numPr>
              <w:ind w:left="396" w:hanging="177"/>
            </w:pPr>
            <w:r w:rsidRPr="00E209B2">
              <w:t>Paclitaxel</w:t>
            </w:r>
          </w:p>
          <w:p w:rsidR="002C5D39" w:rsidRPr="00E209B2" w:rsidRDefault="002C5D39" w:rsidP="00DF79E3">
            <w:pPr>
              <w:pStyle w:val="TableText"/>
              <w:numPr>
                <w:ilvl w:val="0"/>
                <w:numId w:val="14"/>
              </w:numPr>
              <w:ind w:left="396" w:hanging="177"/>
            </w:pPr>
            <w:r w:rsidRPr="00E209B2">
              <w:t>Carboplatin</w:t>
            </w:r>
          </w:p>
          <w:p w:rsidR="002C5D39" w:rsidRPr="00E209B2" w:rsidRDefault="002C5D39" w:rsidP="00DF79E3">
            <w:pPr>
              <w:pStyle w:val="TableText"/>
              <w:numPr>
                <w:ilvl w:val="0"/>
                <w:numId w:val="14"/>
              </w:numPr>
              <w:ind w:left="396" w:hanging="177"/>
            </w:pPr>
            <w:r w:rsidRPr="00E209B2">
              <w:t>Vinflunine</w:t>
            </w:r>
          </w:p>
          <w:p w:rsidR="002C5D39" w:rsidRPr="00E209B2" w:rsidRDefault="002C5D39" w:rsidP="00DF79E3">
            <w:pPr>
              <w:pStyle w:val="TableText"/>
              <w:numPr>
                <w:ilvl w:val="0"/>
                <w:numId w:val="14"/>
              </w:numPr>
              <w:ind w:left="396" w:hanging="177"/>
            </w:pPr>
            <w:r w:rsidRPr="00E209B2">
              <w:t>Cisplatin</w:t>
            </w:r>
          </w:p>
          <w:p w:rsidR="002C5D39" w:rsidRPr="00E209B2" w:rsidRDefault="002C5D39" w:rsidP="00DF79E3">
            <w:pPr>
              <w:pStyle w:val="TableText"/>
              <w:numPr>
                <w:ilvl w:val="0"/>
                <w:numId w:val="14"/>
              </w:numPr>
              <w:ind w:left="396" w:hanging="177"/>
            </w:pPr>
            <w:r w:rsidRPr="00E209B2">
              <w:t>Pembrolizumab</w:t>
            </w:r>
          </w:p>
          <w:p w:rsidR="002C5D39" w:rsidRPr="00E209B2" w:rsidRDefault="002C5D39" w:rsidP="00DF79E3">
            <w:pPr>
              <w:pStyle w:val="TableText"/>
              <w:numPr>
                <w:ilvl w:val="0"/>
                <w:numId w:val="14"/>
              </w:numPr>
              <w:ind w:left="396" w:hanging="177"/>
            </w:pPr>
            <w:r w:rsidRPr="00E209B2">
              <w:t>Pemigatinib</w:t>
            </w:r>
          </w:p>
          <w:p w:rsidR="002C5D39" w:rsidRPr="00E209B2" w:rsidRDefault="002C5D39" w:rsidP="00DF79E3">
            <w:pPr>
              <w:pStyle w:val="TableText"/>
              <w:numPr>
                <w:ilvl w:val="0"/>
                <w:numId w:val="14"/>
              </w:numPr>
              <w:ind w:left="396" w:hanging="177"/>
            </w:pPr>
            <w:r w:rsidRPr="00E209B2">
              <w:t>Docetaxel</w:t>
            </w:r>
          </w:p>
          <w:p w:rsidR="002C5D39" w:rsidRPr="00E209B2" w:rsidRDefault="002C5D39" w:rsidP="00DF79E3">
            <w:pPr>
              <w:pStyle w:val="TableText"/>
              <w:numPr>
                <w:ilvl w:val="0"/>
                <w:numId w:val="14"/>
              </w:numPr>
              <w:ind w:left="396" w:hanging="177"/>
            </w:pPr>
            <w:r w:rsidRPr="00E209B2">
              <w:t>Atezolizumab</w:t>
            </w:r>
          </w:p>
          <w:p w:rsidR="002C5D39" w:rsidRPr="00E209B2" w:rsidRDefault="002C5D39" w:rsidP="00DF79E3">
            <w:pPr>
              <w:pStyle w:val="TableText"/>
              <w:numPr>
                <w:ilvl w:val="0"/>
                <w:numId w:val="14"/>
              </w:numPr>
              <w:ind w:left="396" w:hanging="177"/>
            </w:pPr>
            <w:r w:rsidRPr="00E209B2">
              <w:t xml:space="preserve">Nivolumab </w:t>
            </w:r>
          </w:p>
          <w:p w:rsidR="002C5D39" w:rsidRPr="00E209B2" w:rsidRDefault="002C5D39" w:rsidP="00DF79E3">
            <w:pPr>
              <w:pStyle w:val="TableText"/>
              <w:numPr>
                <w:ilvl w:val="0"/>
                <w:numId w:val="14"/>
              </w:numPr>
              <w:ind w:left="396" w:hanging="177"/>
            </w:pPr>
            <w:r w:rsidRPr="00E209B2">
              <w:t>Durvalumab</w:t>
            </w:r>
          </w:p>
        </w:tc>
        <w:tc>
          <w:tcPr>
            <w:tcW w:w="1283" w:type="pct"/>
            <w:shd w:val="clear" w:color="auto" w:fill="FFFFFF"/>
          </w:tcPr>
          <w:p w:rsidR="002C5D39" w:rsidRPr="00E209B2" w:rsidRDefault="002C5D39" w:rsidP="002C5D39">
            <w:pPr>
              <w:pStyle w:val="TableText"/>
              <w:jc w:val="center"/>
            </w:pPr>
          </w:p>
          <w:p w:rsidR="002C5D39" w:rsidRPr="00E209B2" w:rsidRDefault="002C5D39" w:rsidP="002C5D39">
            <w:pPr>
              <w:pStyle w:val="TableText"/>
              <w:jc w:val="center"/>
            </w:pPr>
            <w:r w:rsidRPr="00E209B2">
              <w:t>61 (17.4)</w:t>
            </w:r>
          </w:p>
          <w:p w:rsidR="002C5D39" w:rsidRPr="00E209B2" w:rsidRDefault="002C5D39" w:rsidP="002C5D39">
            <w:pPr>
              <w:pStyle w:val="TableText"/>
              <w:jc w:val="center"/>
            </w:pPr>
            <w:r w:rsidRPr="00E209B2">
              <w:t>48 (13.7)</w:t>
            </w:r>
          </w:p>
          <w:p w:rsidR="002C5D39" w:rsidRPr="00E209B2" w:rsidRDefault="002C5D39" w:rsidP="002C5D39">
            <w:pPr>
              <w:pStyle w:val="TableText"/>
              <w:jc w:val="center"/>
            </w:pPr>
            <w:r w:rsidRPr="00E209B2">
              <w:t>46 (13.1)</w:t>
            </w:r>
          </w:p>
          <w:p w:rsidR="002C5D39" w:rsidRPr="00E209B2" w:rsidRDefault="002C5D39" w:rsidP="002C5D39">
            <w:pPr>
              <w:pStyle w:val="TableText"/>
              <w:jc w:val="center"/>
            </w:pPr>
            <w:r w:rsidRPr="00E209B2">
              <w:t>37 (10.6)</w:t>
            </w:r>
          </w:p>
          <w:p w:rsidR="002C5D39" w:rsidRPr="00E209B2" w:rsidRDefault="002C5D39" w:rsidP="002C5D39">
            <w:pPr>
              <w:pStyle w:val="TableText"/>
              <w:jc w:val="center"/>
            </w:pPr>
            <w:r w:rsidRPr="00E209B2">
              <w:t>29 (8.3)</w:t>
            </w:r>
          </w:p>
          <w:p w:rsidR="002C5D39" w:rsidRPr="00E209B2" w:rsidRDefault="002C5D39" w:rsidP="002C5D39">
            <w:pPr>
              <w:pStyle w:val="TableText"/>
              <w:jc w:val="center"/>
            </w:pPr>
            <w:r w:rsidRPr="00E209B2">
              <w:t>19 (5.4)</w:t>
            </w:r>
          </w:p>
          <w:p w:rsidR="002C5D39" w:rsidRPr="00E209B2" w:rsidRDefault="002C5D39" w:rsidP="002C5D39">
            <w:pPr>
              <w:pStyle w:val="TableText"/>
              <w:jc w:val="center"/>
            </w:pPr>
            <w:r w:rsidRPr="00E209B2">
              <w:t>7 (2.0)</w:t>
            </w:r>
          </w:p>
          <w:p w:rsidR="002C5D39" w:rsidRPr="00E209B2" w:rsidRDefault="002C5D39" w:rsidP="002C5D39">
            <w:pPr>
              <w:pStyle w:val="TableText"/>
              <w:jc w:val="center"/>
            </w:pPr>
            <w:r w:rsidRPr="00E209B2">
              <w:t>5 (1.4)</w:t>
            </w:r>
          </w:p>
          <w:p w:rsidR="002C5D39" w:rsidRPr="00E209B2" w:rsidRDefault="002C5D39" w:rsidP="002C5D39">
            <w:pPr>
              <w:pStyle w:val="TableText"/>
              <w:jc w:val="center"/>
            </w:pPr>
            <w:r w:rsidRPr="00E209B2">
              <w:t>3 (0.9)</w:t>
            </w:r>
          </w:p>
          <w:p w:rsidR="002C5D39" w:rsidRPr="00E209B2" w:rsidRDefault="002C5D39" w:rsidP="002C5D39">
            <w:pPr>
              <w:pStyle w:val="TableText"/>
              <w:jc w:val="center"/>
            </w:pPr>
            <w:r w:rsidRPr="00E209B2">
              <w:t>0</w:t>
            </w:r>
          </w:p>
          <w:p w:rsidR="002C5D39" w:rsidRPr="00E209B2" w:rsidRDefault="002C5D39" w:rsidP="002C5D39">
            <w:pPr>
              <w:pStyle w:val="TableText"/>
              <w:jc w:val="center"/>
            </w:pPr>
            <w:r w:rsidRPr="00E209B2">
              <w:t>0</w:t>
            </w:r>
          </w:p>
        </w:tc>
        <w:tc>
          <w:tcPr>
            <w:tcW w:w="1283" w:type="pct"/>
            <w:shd w:val="clear" w:color="auto" w:fill="FFFFFF"/>
          </w:tcPr>
          <w:p w:rsidR="002C5D39" w:rsidRPr="00E209B2" w:rsidRDefault="002C5D39" w:rsidP="002C5D39">
            <w:pPr>
              <w:pStyle w:val="TableText"/>
              <w:jc w:val="center"/>
            </w:pPr>
          </w:p>
          <w:p w:rsidR="002C5D39" w:rsidRPr="00E209B2" w:rsidRDefault="002C5D39" w:rsidP="002C5D39">
            <w:pPr>
              <w:pStyle w:val="TableText"/>
              <w:jc w:val="center"/>
            </w:pPr>
            <w:r w:rsidRPr="00E209B2">
              <w:t>52 (14.9)</w:t>
            </w:r>
          </w:p>
          <w:p w:rsidR="002C5D39" w:rsidRPr="00E209B2" w:rsidRDefault="002C5D39" w:rsidP="002C5D39">
            <w:pPr>
              <w:pStyle w:val="TableText"/>
              <w:jc w:val="center"/>
            </w:pPr>
            <w:r w:rsidRPr="00E209B2">
              <w:t>41 (11.7)</w:t>
            </w:r>
          </w:p>
          <w:p w:rsidR="002C5D39" w:rsidRPr="00E209B2" w:rsidRDefault="002C5D39" w:rsidP="002C5D39">
            <w:pPr>
              <w:pStyle w:val="TableText"/>
              <w:jc w:val="center"/>
            </w:pPr>
            <w:r w:rsidRPr="00E209B2">
              <w:t>36 (10.3)</w:t>
            </w:r>
          </w:p>
          <w:p w:rsidR="002C5D39" w:rsidRPr="00E209B2" w:rsidRDefault="002C5D39" w:rsidP="002C5D39">
            <w:pPr>
              <w:pStyle w:val="TableText"/>
              <w:jc w:val="center"/>
            </w:pPr>
            <w:r w:rsidRPr="00E209B2">
              <w:t>17 (4.9)</w:t>
            </w:r>
          </w:p>
          <w:p w:rsidR="002C5D39" w:rsidRPr="00E209B2" w:rsidRDefault="002C5D39" w:rsidP="002C5D39">
            <w:pPr>
              <w:pStyle w:val="TableText"/>
              <w:jc w:val="center"/>
            </w:pPr>
            <w:r w:rsidRPr="00E209B2">
              <w:t>21 (6.0)</w:t>
            </w:r>
          </w:p>
          <w:p w:rsidR="002C5D39" w:rsidRPr="00E209B2" w:rsidRDefault="002C5D39" w:rsidP="002C5D39">
            <w:pPr>
              <w:pStyle w:val="TableText"/>
              <w:jc w:val="center"/>
            </w:pPr>
            <w:r w:rsidRPr="00E209B2">
              <w:t>71 (20.3)</w:t>
            </w:r>
          </w:p>
          <w:p w:rsidR="002C5D39" w:rsidRPr="00E209B2" w:rsidRDefault="002C5D39" w:rsidP="002C5D39">
            <w:pPr>
              <w:pStyle w:val="TableText"/>
              <w:jc w:val="center"/>
            </w:pPr>
            <w:r w:rsidRPr="00E209B2">
              <w:t>3 (0.9)</w:t>
            </w:r>
          </w:p>
          <w:p w:rsidR="002C5D39" w:rsidRPr="00E209B2" w:rsidRDefault="002C5D39" w:rsidP="002C5D39">
            <w:pPr>
              <w:pStyle w:val="TableText"/>
              <w:jc w:val="center"/>
            </w:pPr>
            <w:r w:rsidRPr="00E209B2">
              <w:t>10 (2.9)</w:t>
            </w:r>
          </w:p>
          <w:p w:rsidR="002C5D39" w:rsidRPr="00E209B2" w:rsidRDefault="002C5D39" w:rsidP="002C5D39">
            <w:pPr>
              <w:pStyle w:val="TableText"/>
              <w:jc w:val="center"/>
            </w:pPr>
            <w:r w:rsidRPr="00E209B2">
              <w:t>49 (14.0)</w:t>
            </w:r>
          </w:p>
          <w:p w:rsidR="002C5D39" w:rsidRPr="00E209B2" w:rsidRDefault="002C5D39" w:rsidP="002C5D39">
            <w:pPr>
              <w:pStyle w:val="TableText"/>
              <w:jc w:val="center"/>
            </w:pPr>
            <w:r w:rsidRPr="00E209B2">
              <w:t>18 (5.1)</w:t>
            </w:r>
          </w:p>
          <w:p w:rsidR="002C5D39" w:rsidRPr="00E209B2" w:rsidRDefault="002C5D39" w:rsidP="002C5D39">
            <w:pPr>
              <w:pStyle w:val="TableText"/>
              <w:jc w:val="center"/>
            </w:pPr>
            <w:r w:rsidRPr="00E209B2">
              <w:t>16 (4.6)</w:t>
            </w:r>
          </w:p>
        </w:tc>
      </w:tr>
    </w:tbl>
    <w:p w:rsidR="002C5D39" w:rsidRPr="00E209B2" w:rsidRDefault="002C5D39" w:rsidP="002C5D39">
      <w:pPr>
        <w:pStyle w:val="TableFooter"/>
      </w:pPr>
      <w:r w:rsidRPr="00E209B2">
        <w:t xml:space="preserve">Source: Table 2.5-3, p71 of the submission; </w:t>
      </w:r>
      <w:r w:rsidR="00472679" w:rsidRPr="00E209B2">
        <w:t xml:space="preserve">Table 14.4.2.7.1, p651-652; </w:t>
      </w:r>
      <w:r w:rsidRPr="00E209B2">
        <w:t>Table 14.4.2.7.1.3, pp660-662 of clinical study report, Appendix 1B of the submission.</w:t>
      </w:r>
    </w:p>
    <w:p w:rsidR="002C5D39" w:rsidRPr="00E209B2" w:rsidRDefault="002C5D39" w:rsidP="002C5D39">
      <w:pPr>
        <w:pStyle w:val="TableFooter"/>
      </w:pPr>
      <w:r w:rsidRPr="00E209B2">
        <w:t>Abbreviations: AVE, avelumab; BSC, best supportive care; FGFR, fibroblast growth factor receptor; PD-1, programmed death protein; PD-L1, programmed death-ligand 1.</w:t>
      </w:r>
    </w:p>
    <w:p w:rsidR="004E2CAC" w:rsidRPr="00E209B2" w:rsidRDefault="002C5D39" w:rsidP="00EA2784">
      <w:pPr>
        <w:pStyle w:val="ExecSumBodyText"/>
      </w:pPr>
      <w:r w:rsidRPr="00E209B2">
        <w:t>At least one subsequent anticancer therapy was reported in 42</w:t>
      </w:r>
      <w:r w:rsidR="00575687" w:rsidRPr="00E209B2">
        <w:t>.3</w:t>
      </w:r>
      <w:r w:rsidRPr="00E209B2">
        <w:t>% of patients in the avelumab + BSC arm and 6</w:t>
      </w:r>
      <w:r w:rsidR="00575687" w:rsidRPr="00E209B2">
        <w:t>1.7</w:t>
      </w:r>
      <w:r w:rsidRPr="00E209B2">
        <w:t>% in the BSC arm at the time of the interim analysis</w:t>
      </w:r>
      <w:r w:rsidR="00E127EF" w:rsidRPr="00E209B2">
        <w:t>.</w:t>
      </w:r>
      <w:r w:rsidR="002B0186" w:rsidRPr="00E209B2">
        <w:t xml:space="preserve"> T</w:t>
      </w:r>
      <w:r w:rsidR="00A308E1" w:rsidRPr="00E209B2">
        <w:t>he use of subsequent anticancer treatmen</w:t>
      </w:r>
      <w:r w:rsidR="00575687" w:rsidRPr="00E209B2">
        <w:t>t was reported as unknown for 36.9</w:t>
      </w:r>
      <w:r w:rsidR="00A308E1" w:rsidRPr="00E209B2">
        <w:t>% of patients in the avelumab + BSC arm and 24</w:t>
      </w:r>
      <w:r w:rsidR="00575687" w:rsidRPr="00E209B2">
        <w:t>.0</w:t>
      </w:r>
      <w:r w:rsidR="00A308E1" w:rsidRPr="00E209B2">
        <w:t>% of patients in the BSC arm.</w:t>
      </w:r>
      <w:r w:rsidR="00EA2784" w:rsidRPr="00E209B2">
        <w:t xml:space="preserve"> </w:t>
      </w:r>
    </w:p>
    <w:p w:rsidR="004B16F2" w:rsidRPr="00E209B2" w:rsidRDefault="00195E02" w:rsidP="00CA1861">
      <w:pPr>
        <w:pStyle w:val="ExecSumBodyText"/>
      </w:pPr>
      <w:r w:rsidRPr="00E209B2">
        <w:t>In the BSC arm, 4</w:t>
      </w:r>
      <w:r w:rsidR="00575687" w:rsidRPr="00E209B2">
        <w:t>3.7</w:t>
      </w:r>
      <w:r w:rsidRPr="00E209B2">
        <w:t>%</w:t>
      </w:r>
      <w:r w:rsidR="00794A30" w:rsidRPr="00E209B2">
        <w:t xml:space="preserve"> (153/350</w:t>
      </w:r>
      <w:r w:rsidRPr="00E209B2">
        <w:t>)</w:t>
      </w:r>
      <w:r w:rsidR="00794A30" w:rsidRPr="00E209B2">
        <w:t xml:space="preserve"> of patients</w:t>
      </w:r>
      <w:r w:rsidRPr="00E209B2">
        <w:t xml:space="preserve"> received subsequent treatment with a PD-1/PD-L1 inhibitor. </w:t>
      </w:r>
      <w:r w:rsidR="0058337D" w:rsidRPr="00E209B2">
        <w:t>This equates to 7</w:t>
      </w:r>
      <w:r w:rsidR="004132FB" w:rsidRPr="00E209B2">
        <w:t>0.8</w:t>
      </w:r>
      <w:r w:rsidR="0058337D" w:rsidRPr="00E209B2">
        <w:t>% (153/216) a</w:t>
      </w:r>
      <w:r w:rsidR="002B0186" w:rsidRPr="00E209B2">
        <w:t>s a proportion of the patients who received a subsequent anti-cancer therapy</w:t>
      </w:r>
      <w:r w:rsidR="00800549" w:rsidRPr="00E209B2">
        <w:t xml:space="preserve"> or 61% (153/251) of patients who experienced disease progression in the BSC arm</w:t>
      </w:r>
      <w:r w:rsidR="0058337D" w:rsidRPr="00E209B2">
        <w:t>.</w:t>
      </w:r>
      <w:r w:rsidR="00FC4074" w:rsidRPr="00E209B2">
        <w:t xml:space="preserve"> In the avelumab + BSC arm, </w:t>
      </w:r>
      <w:r w:rsidR="00794A30" w:rsidRPr="00E209B2">
        <w:t>6.3%</w:t>
      </w:r>
      <w:r w:rsidR="00FC4074" w:rsidRPr="00E209B2">
        <w:t xml:space="preserve"> (</w:t>
      </w:r>
      <w:r w:rsidR="00794A30" w:rsidRPr="00E209B2">
        <w:t>22/350</w:t>
      </w:r>
      <w:r w:rsidR="00FC4074" w:rsidRPr="00E209B2">
        <w:t>)</w:t>
      </w:r>
      <w:r w:rsidR="00794A30" w:rsidRPr="00E209B2">
        <w:t xml:space="preserve"> of patients</w:t>
      </w:r>
      <w:r w:rsidR="00FC4074" w:rsidRPr="00E209B2">
        <w:t xml:space="preserve"> received subsequent treatment with a PD-1/PD-L1 inhibitor.</w:t>
      </w:r>
      <w:r w:rsidR="00591612" w:rsidRPr="00E209B2">
        <w:t xml:space="preserve"> </w:t>
      </w:r>
      <w:r w:rsidR="00D048DC" w:rsidRPr="00E209B2">
        <w:t xml:space="preserve">The PSCR acknowledged that </w:t>
      </w:r>
      <w:r w:rsidR="00800549" w:rsidRPr="00E209B2">
        <w:t xml:space="preserve">in Australian clinical practice a greater proportion of patients (80%) treated with BSC alone receive second-line treatment with a </w:t>
      </w:r>
      <w:r w:rsidR="00D048DC" w:rsidRPr="00E209B2">
        <w:t>PD-1/PD-L1 inhibitor</w:t>
      </w:r>
      <w:r w:rsidR="00800549" w:rsidRPr="00E209B2">
        <w:t xml:space="preserve"> than that observed in the JAVELIN Bladder 100 trial. However, the PSCR </w:t>
      </w:r>
      <w:r w:rsidR="00053643" w:rsidRPr="00E209B2">
        <w:t xml:space="preserve">argued </w:t>
      </w:r>
      <w:r w:rsidR="00D048DC" w:rsidRPr="00E209B2">
        <w:lastRenderedPageBreak/>
        <w:t xml:space="preserve">that given the severity of </w:t>
      </w:r>
      <w:r w:rsidR="00800549" w:rsidRPr="00E209B2">
        <w:t xml:space="preserve">locally advanced or metastatic </w:t>
      </w:r>
      <w:r w:rsidR="00053643" w:rsidRPr="00E209B2">
        <w:t>urothelial carcinoma</w:t>
      </w:r>
      <w:r w:rsidR="00D048DC" w:rsidRPr="00E209B2">
        <w:t xml:space="preserve"> and the average age of this patient population, it was reasonable to consider that a proportion of patients who experience disease progression following avelumab + BSC or BSC alone may not be fit enough to receive subsequent anti-cancer treatment. </w:t>
      </w:r>
      <w:r w:rsidR="003F3A7B" w:rsidRPr="00E209B2">
        <w:t xml:space="preserve">The </w:t>
      </w:r>
      <w:r w:rsidR="004E2CAC" w:rsidRPr="00E209B2">
        <w:t xml:space="preserve">ESC </w:t>
      </w:r>
      <w:r w:rsidR="00D048DC" w:rsidRPr="00E209B2">
        <w:t xml:space="preserve">considered the BSC arm of the trial was not reflective of standard care of </w:t>
      </w:r>
      <w:r w:rsidR="001B53DD" w:rsidRPr="00E209B2">
        <w:t xml:space="preserve">in </w:t>
      </w:r>
      <w:r w:rsidR="00D048DC" w:rsidRPr="00E209B2">
        <w:t>Australia</w:t>
      </w:r>
      <w:r w:rsidR="008B1E4B" w:rsidRPr="00E209B2">
        <w:t xml:space="preserve"> </w:t>
      </w:r>
      <w:r w:rsidR="00F83D5E" w:rsidRPr="00E209B2">
        <w:t>and that the reported proportion of patients to receive second-line treatment with a PD-1/PD-L1 inhibitor (80%) was underestimate</w:t>
      </w:r>
      <w:r w:rsidR="00F87BDE" w:rsidRPr="00E209B2">
        <w:t>d</w:t>
      </w:r>
      <w:r w:rsidR="00F83D5E" w:rsidRPr="00E209B2">
        <w:t>.</w:t>
      </w:r>
      <w:r w:rsidR="00F83D5E" w:rsidRPr="00E209B2">
        <w:rPr>
          <w:i/>
        </w:rPr>
        <w:t xml:space="preserve"> </w:t>
      </w:r>
      <w:r w:rsidR="00073AF1" w:rsidRPr="00E209B2">
        <w:t xml:space="preserve">The PBAC agreed with the pre-PBAC response that approximately 20% of patients with progressive disease may not be eligible for subsequent treatment with a PD-1/PD-L1 inhibitor. </w:t>
      </w:r>
    </w:p>
    <w:p w:rsidR="00B60939" w:rsidRPr="00E209B2" w:rsidRDefault="00B60939" w:rsidP="00EC5836">
      <w:pPr>
        <w:pStyle w:val="3-SubsectionHeading"/>
      </w:pPr>
      <w:bookmarkStart w:id="12" w:name="_Toc22897641"/>
      <w:bookmarkStart w:id="13" w:name="_Toc62036122"/>
      <w:r w:rsidRPr="00E209B2">
        <w:t>Comparative effectiveness</w:t>
      </w:r>
      <w:bookmarkEnd w:id="12"/>
      <w:bookmarkEnd w:id="13"/>
    </w:p>
    <w:p w:rsidR="00DA3167" w:rsidRPr="00E209B2" w:rsidRDefault="003E76CF" w:rsidP="00EC5836">
      <w:pPr>
        <w:pStyle w:val="ExecSumBodyText"/>
      </w:pPr>
      <w:r w:rsidRPr="00E209B2">
        <w:rPr>
          <w:snapToGrid/>
        </w:rPr>
        <w:t>Figure 1 presents the Kaplan-Meier plot of overall survival for the JAVELIN Bladder 100 trial (median follow-up 19.6 months for the avelumab + BSC arm, 19.2 months for the BSC arm).</w:t>
      </w:r>
    </w:p>
    <w:p w:rsidR="003E76CF" w:rsidRPr="00E209B2" w:rsidRDefault="003E76CF" w:rsidP="003E76CF">
      <w:pPr>
        <w:pStyle w:val="TableHeading"/>
        <w:jc w:val="both"/>
      </w:pPr>
      <w:r w:rsidRPr="00E209B2">
        <w:t>Figure 1: Kaplan-Meier plot of overall survival for the JAVELIN Bladder 100 trial</w:t>
      </w:r>
    </w:p>
    <w:p w:rsidR="003E76CF" w:rsidRPr="00E209B2" w:rsidRDefault="003E76CF" w:rsidP="003E76CF">
      <w:pPr>
        <w:rPr>
          <w:color w:val="3366FF"/>
        </w:rPr>
      </w:pPr>
      <w:r w:rsidRPr="00E209B2">
        <w:rPr>
          <w:noProof/>
        </w:rPr>
        <w:drawing>
          <wp:inline distT="0" distB="0" distL="0" distR="0" wp14:anchorId="664288D1" wp14:editId="2187A42D">
            <wp:extent cx="5730874" cy="3627120"/>
            <wp:effectExtent l="0" t="0" r="3810" b="0"/>
            <wp:docPr id="4" name="Picture 4" title="Figure 1: Kaplan-Meier plot of overall survival for the JAVELIN Bladder 100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pic:nvPicPr>
                  <pic:blipFill>
                    <a:blip r:embed="rId8">
                      <a:extLst>
                        <a:ext uri="{28A0092B-C50C-407E-A947-70E740481C1C}">
                          <a14:useLocalDpi xmlns:a14="http://schemas.microsoft.com/office/drawing/2010/main" val="0"/>
                        </a:ext>
                      </a:extLst>
                    </a:blip>
                    <a:stretch>
                      <a:fillRect/>
                    </a:stretch>
                  </pic:blipFill>
                  <pic:spPr>
                    <a:xfrm>
                      <a:off x="0" y="0"/>
                      <a:ext cx="5730874" cy="3627120"/>
                    </a:xfrm>
                    <a:prstGeom prst="rect">
                      <a:avLst/>
                    </a:prstGeom>
                  </pic:spPr>
                </pic:pic>
              </a:graphicData>
            </a:graphic>
          </wp:inline>
        </w:drawing>
      </w:r>
    </w:p>
    <w:p w:rsidR="003E76CF" w:rsidRPr="00E209B2" w:rsidRDefault="003E76CF" w:rsidP="003E76CF">
      <w:pPr>
        <w:pStyle w:val="TableFooter"/>
      </w:pPr>
      <w:r w:rsidRPr="00E209B2">
        <w:t>Source: Figure 2.5-4, p68 of the submission.</w:t>
      </w:r>
    </w:p>
    <w:p w:rsidR="003E76CF" w:rsidRPr="00E209B2" w:rsidRDefault="003E76CF" w:rsidP="003E76CF">
      <w:pPr>
        <w:pStyle w:val="TableFooter"/>
      </w:pPr>
      <w:r w:rsidRPr="00E209B2">
        <w:t>Abbreviations: BSC, best supportive care; CI, confidence interval; HR, hazard ratio; OS, overall survival.</w:t>
      </w:r>
    </w:p>
    <w:p w:rsidR="003E76CF" w:rsidRPr="00E209B2" w:rsidRDefault="003E76CF" w:rsidP="003E76CF">
      <w:pPr>
        <w:pStyle w:val="ExecSumBodyText"/>
        <w:rPr>
          <w:color w:val="0066FF"/>
        </w:rPr>
      </w:pPr>
      <w:r w:rsidRPr="00E209B2">
        <w:rPr>
          <w:snapToGrid/>
        </w:rPr>
        <w:t xml:space="preserve">Table </w:t>
      </w:r>
      <w:r w:rsidR="00410AD4" w:rsidRPr="00E209B2">
        <w:rPr>
          <w:snapToGrid/>
        </w:rPr>
        <w:t>5</w:t>
      </w:r>
      <w:r w:rsidRPr="00E209B2">
        <w:rPr>
          <w:snapToGrid/>
        </w:rPr>
        <w:t xml:space="preserve"> presents the overall survival results for the JAVELIN Bladder 100 trial.</w:t>
      </w:r>
    </w:p>
    <w:p w:rsidR="003E76CF" w:rsidRPr="00E209B2" w:rsidRDefault="003E76CF" w:rsidP="003E76CF">
      <w:pPr>
        <w:keepNext/>
        <w:keepLines/>
        <w:widowControl w:val="0"/>
        <w:rPr>
          <w:rFonts w:ascii="Arial Narrow" w:hAnsi="Arial Narrow"/>
          <w:b/>
          <w:snapToGrid w:val="0"/>
          <w:sz w:val="20"/>
          <w:szCs w:val="20"/>
        </w:rPr>
      </w:pPr>
      <w:r w:rsidRPr="00E209B2">
        <w:rPr>
          <w:rFonts w:ascii="Arial Narrow" w:hAnsi="Arial Narrow"/>
          <w:b/>
          <w:snapToGrid w:val="0"/>
          <w:sz w:val="20"/>
          <w:szCs w:val="20"/>
        </w:rPr>
        <w:t xml:space="preserve">Table </w:t>
      </w:r>
      <w:r w:rsidR="00410AD4" w:rsidRPr="00E209B2">
        <w:rPr>
          <w:rFonts w:ascii="Arial Narrow" w:hAnsi="Arial Narrow"/>
          <w:b/>
          <w:snapToGrid w:val="0"/>
          <w:sz w:val="20"/>
          <w:szCs w:val="20"/>
        </w:rPr>
        <w:t>5</w:t>
      </w:r>
      <w:r w:rsidRPr="00E209B2">
        <w:rPr>
          <w:rFonts w:ascii="Arial Narrow" w:hAnsi="Arial Narrow"/>
          <w:b/>
          <w:snapToGrid w:val="0"/>
          <w:sz w:val="20"/>
          <w:szCs w:val="20"/>
        </w:rPr>
        <w:t>: Overall survival results for the JAVELIN Bladder 100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7"/>
        <w:gridCol w:w="2810"/>
        <w:gridCol w:w="2810"/>
      </w:tblGrid>
      <w:tr w:rsidR="003E76CF" w:rsidRPr="00E209B2" w:rsidTr="001F7F81">
        <w:trPr>
          <w:trHeight w:val="349"/>
        </w:trPr>
        <w:tc>
          <w:tcPr>
            <w:tcW w:w="1884" w:type="pct"/>
            <w:shd w:val="clear" w:color="auto" w:fill="FFFFFF"/>
            <w:vAlign w:val="center"/>
          </w:tcPr>
          <w:p w:rsidR="003E76CF" w:rsidRPr="00E209B2" w:rsidRDefault="003E76CF" w:rsidP="001F7F81">
            <w:pPr>
              <w:keepNext/>
              <w:rPr>
                <w:rFonts w:ascii="Arial Narrow" w:hAnsi="Arial Narrow"/>
                <w:b/>
                <w:iCs/>
                <w:sz w:val="20"/>
                <w:szCs w:val="18"/>
              </w:rPr>
            </w:pPr>
            <w:r w:rsidRPr="00E209B2">
              <w:rPr>
                <w:rFonts w:ascii="Arial Narrow" w:hAnsi="Arial Narrow"/>
                <w:b/>
                <w:iCs/>
                <w:sz w:val="20"/>
                <w:szCs w:val="18"/>
              </w:rPr>
              <w:t>Cohort</w:t>
            </w:r>
          </w:p>
        </w:tc>
        <w:tc>
          <w:tcPr>
            <w:tcW w:w="1558" w:type="pct"/>
            <w:shd w:val="clear" w:color="auto" w:fill="FFFFFF"/>
          </w:tcPr>
          <w:p w:rsidR="003E76CF" w:rsidRPr="00E209B2" w:rsidRDefault="003E76CF" w:rsidP="001F7F81">
            <w:pPr>
              <w:keepNext/>
              <w:jc w:val="center"/>
              <w:rPr>
                <w:rFonts w:ascii="Arial Narrow" w:hAnsi="Arial Narrow"/>
                <w:b/>
                <w:iCs/>
                <w:sz w:val="20"/>
                <w:szCs w:val="18"/>
              </w:rPr>
            </w:pPr>
            <w:r w:rsidRPr="00E209B2">
              <w:rPr>
                <w:rFonts w:ascii="Arial Narrow" w:hAnsi="Arial Narrow"/>
                <w:b/>
                <w:iCs/>
                <w:sz w:val="20"/>
                <w:szCs w:val="18"/>
              </w:rPr>
              <w:t>AVE + BSC</w:t>
            </w:r>
          </w:p>
          <w:p w:rsidR="003E76CF" w:rsidRPr="00E209B2" w:rsidRDefault="003E76CF" w:rsidP="001F7F81">
            <w:pPr>
              <w:keepNext/>
              <w:jc w:val="center"/>
              <w:rPr>
                <w:rFonts w:ascii="Arial Narrow" w:hAnsi="Arial Narrow"/>
                <w:b/>
                <w:iCs/>
                <w:sz w:val="20"/>
                <w:szCs w:val="18"/>
              </w:rPr>
            </w:pPr>
            <w:r w:rsidRPr="00E209B2">
              <w:rPr>
                <w:rFonts w:ascii="Arial Narrow" w:hAnsi="Arial Narrow"/>
                <w:b/>
                <w:iCs/>
                <w:sz w:val="20"/>
                <w:szCs w:val="18"/>
              </w:rPr>
              <w:t>(N=350)</w:t>
            </w:r>
          </w:p>
        </w:tc>
        <w:tc>
          <w:tcPr>
            <w:tcW w:w="1558" w:type="pct"/>
            <w:shd w:val="clear" w:color="auto" w:fill="FFFFFF"/>
            <w:vAlign w:val="center"/>
          </w:tcPr>
          <w:p w:rsidR="003E76CF" w:rsidRPr="00E209B2" w:rsidRDefault="003E76CF" w:rsidP="001F7F81">
            <w:pPr>
              <w:keepNext/>
              <w:jc w:val="center"/>
              <w:rPr>
                <w:rFonts w:ascii="Arial Narrow" w:hAnsi="Arial Narrow"/>
                <w:b/>
                <w:iCs/>
                <w:sz w:val="20"/>
                <w:szCs w:val="18"/>
              </w:rPr>
            </w:pPr>
            <w:r w:rsidRPr="00E209B2">
              <w:rPr>
                <w:rFonts w:ascii="Arial Narrow" w:hAnsi="Arial Narrow"/>
                <w:b/>
                <w:iCs/>
                <w:sz w:val="20"/>
                <w:szCs w:val="18"/>
              </w:rPr>
              <w:t>BSC</w:t>
            </w:r>
          </w:p>
          <w:p w:rsidR="003E76CF" w:rsidRPr="00E209B2" w:rsidRDefault="003E76CF" w:rsidP="001F7F81">
            <w:pPr>
              <w:keepNext/>
              <w:jc w:val="center"/>
              <w:rPr>
                <w:rFonts w:ascii="Arial Narrow" w:hAnsi="Arial Narrow"/>
                <w:b/>
                <w:iCs/>
                <w:sz w:val="20"/>
                <w:szCs w:val="18"/>
              </w:rPr>
            </w:pPr>
            <w:r w:rsidRPr="00E209B2">
              <w:rPr>
                <w:rFonts w:ascii="Arial Narrow" w:hAnsi="Arial Narrow"/>
                <w:b/>
                <w:iCs/>
                <w:sz w:val="20"/>
                <w:szCs w:val="18"/>
              </w:rPr>
              <w:t>(N=350)</w:t>
            </w:r>
          </w:p>
        </w:tc>
      </w:tr>
      <w:tr w:rsidR="003E76CF" w:rsidRPr="00E209B2" w:rsidTr="001F7F81">
        <w:trPr>
          <w:trHeight w:val="49"/>
        </w:trPr>
        <w:tc>
          <w:tcPr>
            <w:tcW w:w="1884" w:type="pct"/>
            <w:shd w:val="clear" w:color="auto" w:fill="FFFFFF"/>
            <w:vAlign w:val="center"/>
          </w:tcPr>
          <w:p w:rsidR="003E76CF" w:rsidRPr="00E209B2" w:rsidRDefault="003E76CF" w:rsidP="001F7F81">
            <w:pPr>
              <w:keepNext/>
              <w:jc w:val="left"/>
              <w:rPr>
                <w:rFonts w:ascii="Arial Narrow" w:hAnsi="Arial Narrow"/>
                <w:iCs/>
                <w:sz w:val="20"/>
              </w:rPr>
            </w:pPr>
            <w:r w:rsidRPr="00E209B2">
              <w:rPr>
                <w:rFonts w:ascii="Arial Narrow" w:hAnsi="Arial Narrow"/>
                <w:iCs/>
                <w:sz w:val="20"/>
              </w:rPr>
              <w:t>Median duration of follow-up, months (range)</w:t>
            </w:r>
          </w:p>
        </w:tc>
        <w:tc>
          <w:tcPr>
            <w:tcW w:w="1558" w:type="pct"/>
            <w:shd w:val="clear" w:color="auto" w:fill="FFFFFF"/>
            <w:vAlign w:val="center"/>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19.6 (18.0 - 20.6) </w:t>
            </w:r>
          </w:p>
        </w:tc>
        <w:tc>
          <w:tcPr>
            <w:tcW w:w="1558" w:type="pct"/>
            <w:shd w:val="clear" w:color="auto" w:fill="FFFFFF"/>
            <w:vAlign w:val="center"/>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19.2 (17.4 - 21.6)</w:t>
            </w:r>
          </w:p>
        </w:tc>
      </w:tr>
      <w:tr w:rsidR="003E76CF" w:rsidRPr="00E209B2" w:rsidTr="001F7F81">
        <w:trPr>
          <w:trHeight w:val="56"/>
        </w:trPr>
        <w:tc>
          <w:tcPr>
            <w:tcW w:w="1884" w:type="pct"/>
            <w:vAlign w:val="center"/>
          </w:tcPr>
          <w:p w:rsidR="003E76CF" w:rsidRPr="00E209B2" w:rsidRDefault="003E76CF" w:rsidP="001F7F81">
            <w:pPr>
              <w:keepNext/>
              <w:jc w:val="left"/>
              <w:rPr>
                <w:rFonts w:ascii="Arial Narrow" w:hAnsi="Arial Narrow"/>
                <w:sz w:val="20"/>
              </w:rPr>
            </w:pPr>
            <w:r w:rsidRPr="00E209B2">
              <w:rPr>
                <w:rFonts w:ascii="Arial Narrow" w:hAnsi="Arial Narrow"/>
                <w:sz w:val="20"/>
              </w:rPr>
              <w:t>Subjects with event, n (%)</w:t>
            </w:r>
          </w:p>
        </w:tc>
        <w:tc>
          <w:tcPr>
            <w:tcW w:w="1558" w:type="pct"/>
            <w:shd w:val="clear" w:color="auto" w:fill="FFFFFF"/>
            <w:vAlign w:val="center"/>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145 (41.4)</w:t>
            </w:r>
          </w:p>
        </w:tc>
        <w:tc>
          <w:tcPr>
            <w:tcW w:w="1558" w:type="pct"/>
            <w:shd w:val="clear" w:color="auto" w:fill="FFFFFF"/>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179 (51.1)</w:t>
            </w:r>
          </w:p>
        </w:tc>
      </w:tr>
      <w:tr w:rsidR="003E76CF" w:rsidRPr="00E209B2" w:rsidTr="001F7F81">
        <w:tc>
          <w:tcPr>
            <w:tcW w:w="1884" w:type="pct"/>
            <w:vAlign w:val="center"/>
          </w:tcPr>
          <w:p w:rsidR="003E76CF" w:rsidRPr="00E209B2" w:rsidRDefault="003E76CF" w:rsidP="001F7F81">
            <w:pPr>
              <w:keepNext/>
              <w:jc w:val="left"/>
              <w:rPr>
                <w:rFonts w:ascii="Arial Narrow" w:hAnsi="Arial Narrow"/>
                <w:iCs/>
                <w:sz w:val="20"/>
              </w:rPr>
            </w:pPr>
            <w:r w:rsidRPr="00E209B2">
              <w:rPr>
                <w:rFonts w:ascii="Arial Narrow" w:hAnsi="Arial Narrow"/>
                <w:sz w:val="20"/>
              </w:rPr>
              <w:lastRenderedPageBreak/>
              <w:t>Median OS, months (95% CI)</w:t>
            </w:r>
          </w:p>
        </w:tc>
        <w:tc>
          <w:tcPr>
            <w:tcW w:w="1558" w:type="pct"/>
            <w:shd w:val="clear" w:color="auto" w:fill="FFFFFF"/>
          </w:tcPr>
          <w:p w:rsidR="003E76CF" w:rsidRPr="00E209B2" w:rsidRDefault="003E76CF" w:rsidP="001F7F81">
            <w:pPr>
              <w:keepNext/>
              <w:jc w:val="center"/>
              <w:rPr>
                <w:rFonts w:ascii="Arial Narrow" w:hAnsi="Arial Narrow"/>
                <w:iCs/>
                <w:sz w:val="20"/>
                <w:szCs w:val="18"/>
              </w:rPr>
            </w:pPr>
            <w:r w:rsidRPr="00E209B2">
              <w:rPr>
                <w:rFonts w:ascii="Arial Narrow" w:hAnsi="Arial Narrow"/>
                <w:iCs/>
                <w:sz w:val="20"/>
                <w:szCs w:val="18"/>
              </w:rPr>
              <w:t>21.4 (18.9, 26.1)</w:t>
            </w:r>
          </w:p>
        </w:tc>
        <w:tc>
          <w:tcPr>
            <w:tcW w:w="1558" w:type="pct"/>
            <w:shd w:val="clear" w:color="auto" w:fill="FFFFFF"/>
            <w:vAlign w:val="center"/>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14.3 (12.9, 17.9)</w:t>
            </w:r>
          </w:p>
        </w:tc>
      </w:tr>
      <w:tr w:rsidR="003E76CF" w:rsidRPr="00E209B2" w:rsidTr="001F7F81">
        <w:tc>
          <w:tcPr>
            <w:tcW w:w="1884" w:type="pct"/>
          </w:tcPr>
          <w:p w:rsidR="003E76CF" w:rsidRPr="00E209B2" w:rsidRDefault="003E76CF" w:rsidP="001F7F81">
            <w:pPr>
              <w:keepNext/>
              <w:jc w:val="left"/>
              <w:rPr>
                <w:rFonts w:ascii="Arial Narrow" w:hAnsi="Arial Narrow"/>
                <w:sz w:val="20"/>
              </w:rPr>
            </w:pPr>
            <w:r w:rsidRPr="00E209B2">
              <w:rPr>
                <w:rFonts w:ascii="Arial Narrow" w:hAnsi="Arial Narrow"/>
                <w:sz w:val="20"/>
              </w:rPr>
              <w:t>Stratified HR (95% CI)</w:t>
            </w:r>
          </w:p>
        </w:tc>
        <w:tc>
          <w:tcPr>
            <w:tcW w:w="3116" w:type="pct"/>
            <w:gridSpan w:val="2"/>
            <w:shd w:val="clear" w:color="auto" w:fill="FFFFFF"/>
          </w:tcPr>
          <w:p w:rsidR="003E76CF" w:rsidRPr="00E209B2" w:rsidRDefault="003E76CF" w:rsidP="001F7F81">
            <w:pPr>
              <w:keepNext/>
              <w:jc w:val="center"/>
              <w:rPr>
                <w:rFonts w:ascii="Arial Narrow" w:hAnsi="Arial Narrow"/>
                <w:iCs/>
                <w:sz w:val="20"/>
              </w:rPr>
            </w:pPr>
            <w:r w:rsidRPr="00E209B2">
              <w:rPr>
                <w:rFonts w:ascii="Arial Narrow" w:hAnsi="Arial Narrow"/>
                <w:iCs/>
                <w:sz w:val="20"/>
              </w:rPr>
              <w:t>0.69 (0.556, 0.863)</w:t>
            </w:r>
          </w:p>
        </w:tc>
      </w:tr>
      <w:tr w:rsidR="003E76CF" w:rsidRPr="00E209B2" w:rsidTr="001F7F81">
        <w:tc>
          <w:tcPr>
            <w:tcW w:w="1884" w:type="pct"/>
          </w:tcPr>
          <w:p w:rsidR="003E76CF" w:rsidRPr="00E209B2" w:rsidRDefault="003E76CF" w:rsidP="001F7F81">
            <w:pPr>
              <w:keepNext/>
              <w:widowControl w:val="0"/>
              <w:jc w:val="left"/>
              <w:rPr>
                <w:rFonts w:ascii="Arial Narrow" w:hAnsi="Arial Narrow"/>
                <w:snapToGrid w:val="0"/>
                <w:sz w:val="20"/>
              </w:rPr>
            </w:pPr>
            <w:r w:rsidRPr="00E209B2">
              <w:rPr>
                <w:rFonts w:ascii="Arial Narrow" w:hAnsi="Arial Narrow"/>
                <w:snapToGrid w:val="0"/>
                <w:sz w:val="20"/>
              </w:rPr>
              <w:t>KM estimate of OS</w:t>
            </w:r>
          </w:p>
          <w:p w:rsidR="003E76CF" w:rsidRPr="00E209B2" w:rsidRDefault="003E76CF" w:rsidP="001F7F81">
            <w:pPr>
              <w:keepNext/>
              <w:widowControl w:val="0"/>
              <w:jc w:val="left"/>
              <w:rPr>
                <w:rFonts w:ascii="Arial Narrow" w:hAnsi="Arial Narrow"/>
                <w:snapToGrid w:val="0"/>
                <w:sz w:val="20"/>
              </w:rPr>
            </w:pPr>
            <w:r w:rsidRPr="00E209B2">
              <w:rPr>
                <w:rFonts w:ascii="Arial Narrow" w:hAnsi="Arial Narrow"/>
                <w:snapToGrid w:val="0"/>
                <w:sz w:val="20"/>
              </w:rPr>
              <w:t>- 6 months, % (95% CI)</w:t>
            </w:r>
          </w:p>
          <w:p w:rsidR="003E76CF" w:rsidRPr="00E209B2" w:rsidRDefault="003E76CF" w:rsidP="001F7F81">
            <w:pPr>
              <w:keepNext/>
              <w:widowControl w:val="0"/>
              <w:jc w:val="left"/>
              <w:rPr>
                <w:rFonts w:ascii="Arial Narrow" w:hAnsi="Arial Narrow"/>
                <w:snapToGrid w:val="0"/>
                <w:sz w:val="20"/>
              </w:rPr>
            </w:pPr>
            <w:r w:rsidRPr="00E209B2">
              <w:rPr>
                <w:rFonts w:ascii="Arial Narrow" w:hAnsi="Arial Narrow"/>
                <w:snapToGrid w:val="0"/>
                <w:sz w:val="20"/>
              </w:rPr>
              <w:t>- 12 months, % (95% CI)</w:t>
            </w:r>
          </w:p>
          <w:p w:rsidR="003E76CF" w:rsidRPr="00E209B2" w:rsidRDefault="003E76CF" w:rsidP="001F7F81">
            <w:pPr>
              <w:keepNext/>
              <w:jc w:val="left"/>
              <w:rPr>
                <w:rFonts w:ascii="Arial Narrow" w:hAnsi="Arial Narrow"/>
                <w:snapToGrid w:val="0"/>
                <w:sz w:val="20"/>
              </w:rPr>
            </w:pPr>
            <w:r w:rsidRPr="00E209B2">
              <w:rPr>
                <w:rFonts w:ascii="Arial Narrow" w:hAnsi="Arial Narrow"/>
                <w:snapToGrid w:val="0"/>
                <w:sz w:val="20"/>
              </w:rPr>
              <w:t>- 18 months, % (95% CI)</w:t>
            </w:r>
          </w:p>
          <w:p w:rsidR="003E76CF" w:rsidRPr="00E209B2" w:rsidRDefault="003E76CF" w:rsidP="001F7F81">
            <w:pPr>
              <w:keepNext/>
              <w:jc w:val="left"/>
              <w:rPr>
                <w:rFonts w:ascii="Arial Narrow" w:hAnsi="Arial Narrow"/>
                <w:snapToGrid w:val="0"/>
                <w:sz w:val="20"/>
              </w:rPr>
            </w:pPr>
            <w:r w:rsidRPr="00E209B2">
              <w:rPr>
                <w:rFonts w:ascii="Arial Narrow" w:hAnsi="Arial Narrow"/>
                <w:snapToGrid w:val="0"/>
                <w:sz w:val="20"/>
              </w:rPr>
              <w:t>- 24 months, % (95% CI)</w:t>
            </w:r>
          </w:p>
          <w:p w:rsidR="003E76CF" w:rsidRPr="00E209B2" w:rsidRDefault="003E76CF" w:rsidP="001F7F81">
            <w:pPr>
              <w:keepNext/>
              <w:jc w:val="left"/>
              <w:rPr>
                <w:rFonts w:ascii="Arial Narrow" w:hAnsi="Arial Narrow"/>
                <w:snapToGrid w:val="0"/>
                <w:sz w:val="20"/>
              </w:rPr>
            </w:pPr>
            <w:r w:rsidRPr="00E209B2">
              <w:rPr>
                <w:rFonts w:ascii="Arial Narrow" w:hAnsi="Arial Narrow"/>
                <w:snapToGrid w:val="0"/>
                <w:sz w:val="20"/>
              </w:rPr>
              <w:t>- 30 months, % (95% CI)</w:t>
            </w:r>
          </w:p>
        </w:tc>
        <w:tc>
          <w:tcPr>
            <w:tcW w:w="1558" w:type="pct"/>
            <w:shd w:val="clear" w:color="auto" w:fill="FFFFFF"/>
          </w:tcPr>
          <w:p w:rsidR="003E76CF" w:rsidRPr="00E209B2" w:rsidRDefault="003E76CF" w:rsidP="001F7F81">
            <w:pPr>
              <w:keepNext/>
              <w:jc w:val="center"/>
              <w:rPr>
                <w:rFonts w:ascii="Arial Narrow" w:hAnsi="Arial Narrow"/>
                <w:iCs/>
                <w:sz w:val="20"/>
              </w:rPr>
            </w:pPr>
          </w:p>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0.888 (0.849, 0.917) </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0.713 (0.660, 0.760) </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0.613 (0.554, 0.667) </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0.481 (0.413, 0.547) </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 xml:space="preserve">0.398 (0.318, 0.477) </w:t>
            </w:r>
          </w:p>
        </w:tc>
        <w:tc>
          <w:tcPr>
            <w:tcW w:w="1558" w:type="pct"/>
            <w:shd w:val="clear" w:color="auto" w:fill="FFFFFF"/>
          </w:tcPr>
          <w:p w:rsidR="003E76CF" w:rsidRPr="00E209B2" w:rsidRDefault="003E76CF" w:rsidP="001F7F81">
            <w:pPr>
              <w:keepNext/>
              <w:jc w:val="center"/>
              <w:rPr>
                <w:rFonts w:ascii="Arial Narrow" w:hAnsi="Arial Narrow"/>
                <w:iCs/>
                <w:sz w:val="20"/>
              </w:rPr>
            </w:pPr>
          </w:p>
          <w:p w:rsidR="003E76CF" w:rsidRPr="00E209B2" w:rsidRDefault="003E76CF" w:rsidP="001F7F81">
            <w:pPr>
              <w:keepNext/>
              <w:jc w:val="center"/>
              <w:rPr>
                <w:rFonts w:ascii="Arial Narrow" w:hAnsi="Arial Narrow"/>
                <w:iCs/>
                <w:sz w:val="20"/>
              </w:rPr>
            </w:pPr>
            <w:r w:rsidRPr="00E209B2">
              <w:rPr>
                <w:rFonts w:ascii="Arial Narrow" w:hAnsi="Arial Narrow"/>
                <w:iCs/>
                <w:sz w:val="20"/>
              </w:rPr>
              <w:t>0.822 (0.777, 0.859)</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0.584 (0.527, 0.637)</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0.438 (0.378, 0.497)</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0.372 (0.309, 0.434)</w:t>
            </w:r>
          </w:p>
          <w:p w:rsidR="003E76CF" w:rsidRPr="00E209B2" w:rsidRDefault="003E76CF" w:rsidP="001F7F81">
            <w:pPr>
              <w:keepNext/>
              <w:jc w:val="center"/>
              <w:rPr>
                <w:rFonts w:ascii="Arial Narrow" w:hAnsi="Arial Narrow"/>
                <w:iCs/>
                <w:sz w:val="20"/>
              </w:rPr>
            </w:pPr>
            <w:r w:rsidRPr="00E209B2">
              <w:rPr>
                <w:rFonts w:ascii="Arial Narrow" w:hAnsi="Arial Narrow"/>
                <w:iCs/>
                <w:sz w:val="20"/>
              </w:rPr>
              <w:t>0.330 (0.252, 0.411)</w:t>
            </w:r>
          </w:p>
        </w:tc>
      </w:tr>
    </w:tbl>
    <w:p w:rsidR="003E76CF" w:rsidRPr="00E209B2" w:rsidRDefault="003E76CF" w:rsidP="003E76CF">
      <w:pPr>
        <w:pStyle w:val="TableFooter"/>
      </w:pPr>
      <w:r w:rsidRPr="00E209B2">
        <w:t>Source: Table 13, pp62-63 of the JAVELIN Bladder 100 clinical study report, Appendix 1A of the submission.</w:t>
      </w:r>
    </w:p>
    <w:p w:rsidR="003E76CF" w:rsidRPr="00E209B2" w:rsidRDefault="003E76CF" w:rsidP="003E76CF">
      <w:pPr>
        <w:pStyle w:val="TableFooter"/>
        <w:rPr>
          <w:color w:val="000000" w:themeColor="text1"/>
        </w:rPr>
      </w:pPr>
      <w:r w:rsidRPr="00E209B2">
        <w:t>Abbreviations: AVE, avelumab; BSC, best supportive care; CI, confidence interval; HR, hazard ratio; OS, overall survival.</w:t>
      </w:r>
    </w:p>
    <w:p w:rsidR="009863E1" w:rsidRPr="00E209B2" w:rsidRDefault="003E76CF" w:rsidP="003E76CF">
      <w:pPr>
        <w:pStyle w:val="ExecSumBodyText"/>
      </w:pPr>
      <w:r w:rsidRPr="00E209B2">
        <w:t>At a median duration of follow-up of 19.6 months for avelumab + BSC and 19.2 months for BSC, overall survival was statistically significantly longer in the avelumab + BSC arm compared to the BSC arm (median overall survival 21.4 months for avelumab + BSC versus 14.3 months for BSC; hazard ratio = 0.69 [95% CI: 0.56, 0.86]).</w:t>
      </w:r>
      <w:r w:rsidR="00165DB5" w:rsidRPr="00E209B2">
        <w:t xml:space="preserve"> </w:t>
      </w:r>
      <w:r w:rsidR="00113716" w:rsidRPr="00E209B2">
        <w:rPr>
          <w:iCs/>
        </w:rPr>
        <w:t xml:space="preserve">The ESC considered overall survival in the BSC arm of the JAVELIN Bladder 100 trial was likely underestimated due to a lower proportion of patients receiving subsequent treatment with a PD-1/PD-L1 inhibitor than would be expected in the Australian setting (see </w:t>
      </w:r>
      <w:r w:rsidR="00113716" w:rsidRPr="002B5A63">
        <w:rPr>
          <w:iCs/>
        </w:rPr>
        <w:t>paragraph 6.1</w:t>
      </w:r>
      <w:r w:rsidR="002C7350" w:rsidRPr="002B5A63">
        <w:rPr>
          <w:iCs/>
        </w:rPr>
        <w:t>3</w:t>
      </w:r>
      <w:r w:rsidR="00113716" w:rsidRPr="00E209B2">
        <w:rPr>
          <w:iCs/>
        </w:rPr>
        <w:t>)</w:t>
      </w:r>
      <w:r w:rsidR="00E209B2">
        <w:rPr>
          <w:iCs/>
        </w:rPr>
        <w:t xml:space="preserve">. </w:t>
      </w:r>
      <w:r w:rsidR="00113716" w:rsidRPr="00E209B2">
        <w:t>As such, t</w:t>
      </w:r>
      <w:r w:rsidR="00165DB5" w:rsidRPr="00E209B2">
        <w:t>he ESC considered the overall survival results</w:t>
      </w:r>
      <w:r w:rsidR="00113716" w:rsidRPr="00E209B2">
        <w:t xml:space="preserve"> were uncertain and</w:t>
      </w:r>
      <w:r w:rsidR="00165DB5" w:rsidRPr="00E209B2">
        <w:t xml:space="preserve"> favour</w:t>
      </w:r>
      <w:r w:rsidR="00113716" w:rsidRPr="00E209B2">
        <w:t>ed avelumab.</w:t>
      </w:r>
      <w:r w:rsidR="009863E1" w:rsidRPr="00E209B2">
        <w:t xml:space="preserve"> </w:t>
      </w:r>
    </w:p>
    <w:p w:rsidR="006A55EA" w:rsidRPr="00E209B2" w:rsidRDefault="005F3414" w:rsidP="003E76CF">
      <w:pPr>
        <w:pStyle w:val="ExecSumBodyText"/>
      </w:pPr>
      <w:r w:rsidRPr="00E209B2">
        <w:t xml:space="preserve">The pre-PBAC response noted that in the BSC arm, 120/216 (55.5%) of patients who received subsequent therapy received immunotherapy as second-line treatment. </w:t>
      </w:r>
      <w:r w:rsidR="006A55EA" w:rsidRPr="00E209B2">
        <w:t xml:space="preserve">The pre-PBAC response presented an ad-hoc analysis of overall survival for the following subgroups of the BSC arm of </w:t>
      </w:r>
      <w:r w:rsidR="00D87A87" w:rsidRPr="00E209B2">
        <w:t xml:space="preserve">the </w:t>
      </w:r>
      <w:r w:rsidR="006A55EA" w:rsidRPr="00E209B2">
        <w:t>JAVELIN Bladder 100</w:t>
      </w:r>
      <w:r w:rsidR="00D87A87" w:rsidRPr="00E209B2">
        <w:t xml:space="preserve"> trial</w:t>
      </w:r>
      <w:r w:rsidR="006A55EA" w:rsidRPr="00E209B2">
        <w:t xml:space="preserve">: subjects without subsequent anti-cancer drug therapies (n=134); subjects with subsequent second-line PD-1/PD-L1 inhibitor therapies (n=120); and subjects with subsequent second-line anti-cancer non PD-1/PD-L1 containing therapies (n=96). The median overall survival estimates for the subgroups were </w:t>
      </w:r>
      <w:r w:rsidRPr="00A4523B">
        <w:t xml:space="preserve">reported as </w:t>
      </w:r>
      <w:r w:rsidR="006A55EA" w:rsidRPr="00A4523B">
        <w:t xml:space="preserve">13.3 months (95% CI: 10.3, 26.8), 16.5 months (95% CI: 13.5, 30.0) and 14.0 months (95% CI: 11.4, 17.8) respectively. </w:t>
      </w:r>
      <w:r w:rsidRPr="00A4523B">
        <w:t>The pre-PBAC response argued that the median overall survival is very similar between patients that received second-line treatment with a PD-1/PD-L1 and those that received second-line treatment with medicines other than PD-1/PD-L1.</w:t>
      </w:r>
      <w:r w:rsidR="00107B1C" w:rsidRPr="00A4523B">
        <w:t xml:space="preserve"> The pre-PBAC response  also argued that the </w:t>
      </w:r>
      <w:r w:rsidR="007748EE" w:rsidRPr="00A4523B">
        <w:t>median overall survival for the subgroup of patients in the BSC arm who received subsequent second-line PD-1/PD-L1 inhibitor therapies was consistent with the observed median overall survival for the BSC in the ITT population (14.3 months, 95%CI: 12.9, 17.9).</w:t>
      </w:r>
      <w:r w:rsidR="00E57284" w:rsidRPr="00A4523B">
        <w:t>T</w:t>
      </w:r>
      <w:r w:rsidR="003F7ACC" w:rsidRPr="00A4523B">
        <w:t xml:space="preserve">he pre-PBAC response  </w:t>
      </w:r>
      <w:r w:rsidR="00E57284" w:rsidRPr="00A4523B">
        <w:t>concluded</w:t>
      </w:r>
      <w:r w:rsidR="003F7ACC" w:rsidRPr="00A4523B">
        <w:t xml:space="preserve"> that, based on this ad-hoc analysis, it is plausible to assume that the median overall survival estimate for any adjusted analysis would likely have minimal impact, given the adjusted overall survival would be between 14.0 and 16.5 months</w:t>
      </w:r>
      <w:r w:rsidR="00E209B2" w:rsidRPr="00A4523B">
        <w:t>.</w:t>
      </w:r>
      <w:r w:rsidR="00E209B2">
        <w:t xml:space="preserve"> </w:t>
      </w:r>
      <w:r w:rsidRPr="00E209B2">
        <w:t xml:space="preserve"> </w:t>
      </w:r>
      <w:r w:rsidR="006A55EA" w:rsidRPr="00E209B2">
        <w:t xml:space="preserve">  </w:t>
      </w:r>
    </w:p>
    <w:p w:rsidR="00963EFA" w:rsidRPr="00E209B2" w:rsidRDefault="00963EFA" w:rsidP="003E76CF">
      <w:pPr>
        <w:pStyle w:val="ExecSumBodyText"/>
      </w:pPr>
      <w:r w:rsidRPr="00E209B2">
        <w:lastRenderedPageBreak/>
        <w:t>Figure 2 presents the Kaplan-Meier plot of independent review committee-assessed progression-free survival for the JAVELIN Bladder 100 trial (median follow-up 19.6 months for the avelumab + BSC arm and 19.2 months for the BSC arm).</w:t>
      </w:r>
    </w:p>
    <w:p w:rsidR="00963EFA" w:rsidRPr="00E209B2" w:rsidRDefault="00963EFA" w:rsidP="00963EFA">
      <w:pPr>
        <w:pStyle w:val="TableHeading"/>
        <w:jc w:val="both"/>
      </w:pPr>
      <w:r w:rsidRPr="00E209B2">
        <w:t>Figure 2: Kaplan-Meier plot of independent review committee-assessed progression-free survival for the JAVELIN Bladder 100 trial</w:t>
      </w:r>
    </w:p>
    <w:p w:rsidR="00963EFA" w:rsidRPr="00E209B2" w:rsidRDefault="00963EFA" w:rsidP="00963EFA">
      <w:pPr>
        <w:rPr>
          <w:color w:val="3366FF"/>
        </w:rPr>
      </w:pPr>
      <w:r w:rsidRPr="00E209B2">
        <w:rPr>
          <w:noProof/>
        </w:rPr>
        <w:drawing>
          <wp:inline distT="0" distB="0" distL="0" distR="0" wp14:anchorId="7B9ECBFF" wp14:editId="1604DF37">
            <wp:extent cx="5479199" cy="3438000"/>
            <wp:effectExtent l="0" t="0" r="7620" b="0"/>
            <wp:docPr id="5" name="Picture 5" title="Figure 2: Kaplan-Meier plot of independent review committee-assessed progression-free survival for the JAVELIN Bladder 100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pic:nvPicPr>
                  <pic:blipFill>
                    <a:blip r:embed="rId9">
                      <a:extLst>
                        <a:ext uri="{53640926-AAD7-44D8-BBD7-CCE9431645EC}">
                          <a14:shadowObscured xmlns:a16="http://schemas.microsoft.com/office/drawing/2014/main" xmlns:c="http://schemas.openxmlformats.org/drawingml/2006/chart"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a:blip>
                    <a:srcRect l="4363" r="5057"/>
                    <a:stretch>
                      <a:fillRect/>
                    </a:stretch>
                  </pic:blipFill>
                  <pic:spPr>
                    <a:xfrm>
                      <a:off x="0" y="0"/>
                      <a:ext cx="5479199" cy="3438000"/>
                    </a:xfrm>
                    <a:prstGeom prst="rect">
                      <a:avLst/>
                    </a:prstGeom>
                  </pic:spPr>
                </pic:pic>
              </a:graphicData>
            </a:graphic>
          </wp:inline>
        </w:drawing>
      </w:r>
    </w:p>
    <w:p w:rsidR="00963EFA" w:rsidRPr="00E209B2" w:rsidRDefault="00963EFA" w:rsidP="00963EFA">
      <w:pPr>
        <w:pStyle w:val="TableFooter"/>
      </w:pPr>
      <w:r w:rsidRPr="00E209B2">
        <w:t>Source: Figure 2.5-1, p63 of the submission.</w:t>
      </w:r>
    </w:p>
    <w:p w:rsidR="00963EFA" w:rsidRPr="00E209B2" w:rsidRDefault="00963EFA" w:rsidP="00963EFA">
      <w:pPr>
        <w:pStyle w:val="TableFooter"/>
      </w:pPr>
      <w:r w:rsidRPr="00E209B2">
        <w:t>Abbreviations: BSC, best supportive care; CI, confidence interval; HR, hazard ratio; PFS, progression-free survival.</w:t>
      </w:r>
    </w:p>
    <w:p w:rsidR="003E76CF" w:rsidRPr="00E209B2" w:rsidRDefault="00963EFA" w:rsidP="00963EFA">
      <w:pPr>
        <w:pStyle w:val="ExecSumBodyText"/>
      </w:pPr>
      <w:r w:rsidRPr="00E209B2">
        <w:t xml:space="preserve">Table </w:t>
      </w:r>
      <w:r w:rsidR="00410AD4" w:rsidRPr="00E209B2">
        <w:t>6</w:t>
      </w:r>
      <w:r w:rsidRPr="00E209B2">
        <w:t xml:space="preserve"> summarises the results for independent review committee and investigator-assessed progression-free survival for the JAVELIN Bladder 100 trial.</w:t>
      </w:r>
    </w:p>
    <w:p w:rsidR="00963EFA" w:rsidRPr="00E209B2" w:rsidRDefault="00963EFA" w:rsidP="00963EFA">
      <w:pPr>
        <w:keepNext/>
        <w:keepLines/>
        <w:widowControl w:val="0"/>
        <w:rPr>
          <w:rFonts w:ascii="Arial Narrow" w:hAnsi="Arial Narrow"/>
          <w:b/>
          <w:snapToGrid w:val="0"/>
          <w:sz w:val="20"/>
          <w:szCs w:val="20"/>
        </w:rPr>
      </w:pPr>
      <w:r w:rsidRPr="00E209B2">
        <w:rPr>
          <w:rFonts w:ascii="Arial Narrow" w:hAnsi="Arial Narrow"/>
          <w:b/>
          <w:snapToGrid w:val="0"/>
          <w:sz w:val="20"/>
          <w:szCs w:val="20"/>
        </w:rPr>
        <w:t xml:space="preserve">Table </w:t>
      </w:r>
      <w:r w:rsidR="00410AD4" w:rsidRPr="00E209B2">
        <w:rPr>
          <w:rFonts w:ascii="Arial Narrow" w:hAnsi="Arial Narrow"/>
          <w:b/>
          <w:snapToGrid w:val="0"/>
          <w:sz w:val="20"/>
          <w:szCs w:val="20"/>
        </w:rPr>
        <w:t>6</w:t>
      </w:r>
      <w:r w:rsidRPr="00E209B2">
        <w:rPr>
          <w:rFonts w:ascii="Arial Narrow" w:hAnsi="Arial Narrow"/>
          <w:b/>
          <w:snapToGrid w:val="0"/>
          <w:sz w:val="20"/>
          <w:szCs w:val="20"/>
        </w:rPr>
        <w:t>: Progression-free survival results for the JAVELIN Bladder 100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7"/>
        <w:gridCol w:w="2810"/>
        <w:gridCol w:w="2810"/>
      </w:tblGrid>
      <w:tr w:rsidR="00963EFA" w:rsidRPr="00E209B2" w:rsidTr="001F7F81">
        <w:trPr>
          <w:trHeight w:val="349"/>
        </w:trPr>
        <w:tc>
          <w:tcPr>
            <w:tcW w:w="1884" w:type="pct"/>
            <w:shd w:val="clear" w:color="auto" w:fill="FFFFFF"/>
            <w:vAlign w:val="center"/>
          </w:tcPr>
          <w:p w:rsidR="00963EFA" w:rsidRPr="00E209B2" w:rsidRDefault="00963EFA" w:rsidP="001F7F81">
            <w:pPr>
              <w:keepNext/>
              <w:rPr>
                <w:rFonts w:ascii="Arial Narrow" w:hAnsi="Arial Narrow"/>
                <w:b/>
                <w:iCs/>
                <w:sz w:val="20"/>
                <w:szCs w:val="18"/>
              </w:rPr>
            </w:pPr>
            <w:r w:rsidRPr="00E209B2">
              <w:rPr>
                <w:rFonts w:ascii="Arial Narrow" w:hAnsi="Arial Narrow"/>
                <w:b/>
                <w:iCs/>
                <w:sz w:val="20"/>
                <w:szCs w:val="18"/>
              </w:rPr>
              <w:t>Cohort</w:t>
            </w:r>
          </w:p>
        </w:tc>
        <w:tc>
          <w:tcPr>
            <w:tcW w:w="1558" w:type="pct"/>
            <w:shd w:val="clear" w:color="auto" w:fill="FFFFFF"/>
          </w:tcPr>
          <w:p w:rsidR="00963EFA" w:rsidRPr="00E209B2" w:rsidRDefault="00963EFA" w:rsidP="001F7F81">
            <w:pPr>
              <w:keepNext/>
              <w:jc w:val="center"/>
              <w:rPr>
                <w:rFonts w:ascii="Arial Narrow" w:hAnsi="Arial Narrow"/>
                <w:b/>
                <w:iCs/>
                <w:sz w:val="20"/>
                <w:szCs w:val="18"/>
              </w:rPr>
            </w:pPr>
            <w:r w:rsidRPr="00E209B2">
              <w:rPr>
                <w:rFonts w:ascii="Arial Narrow" w:hAnsi="Arial Narrow"/>
                <w:b/>
                <w:iCs/>
                <w:sz w:val="20"/>
                <w:szCs w:val="18"/>
              </w:rPr>
              <w:t>AVE + BSC</w:t>
            </w:r>
          </w:p>
          <w:p w:rsidR="00963EFA" w:rsidRPr="00E209B2" w:rsidRDefault="00963EFA" w:rsidP="001F7F81">
            <w:pPr>
              <w:keepNext/>
              <w:jc w:val="center"/>
              <w:rPr>
                <w:rFonts w:ascii="Arial Narrow" w:hAnsi="Arial Narrow"/>
                <w:b/>
                <w:iCs/>
                <w:sz w:val="20"/>
                <w:szCs w:val="18"/>
              </w:rPr>
            </w:pPr>
            <w:r w:rsidRPr="00E209B2">
              <w:rPr>
                <w:rFonts w:ascii="Arial Narrow" w:hAnsi="Arial Narrow"/>
                <w:b/>
                <w:iCs/>
                <w:sz w:val="20"/>
                <w:szCs w:val="18"/>
              </w:rPr>
              <w:t>(N=350)</w:t>
            </w:r>
          </w:p>
        </w:tc>
        <w:tc>
          <w:tcPr>
            <w:tcW w:w="1558" w:type="pct"/>
            <w:shd w:val="clear" w:color="auto" w:fill="FFFFFF"/>
            <w:vAlign w:val="center"/>
          </w:tcPr>
          <w:p w:rsidR="00963EFA" w:rsidRPr="00E209B2" w:rsidRDefault="00963EFA" w:rsidP="001F7F81">
            <w:pPr>
              <w:keepNext/>
              <w:jc w:val="center"/>
              <w:rPr>
                <w:rFonts w:ascii="Arial Narrow" w:hAnsi="Arial Narrow"/>
                <w:b/>
                <w:iCs/>
                <w:sz w:val="20"/>
                <w:szCs w:val="18"/>
              </w:rPr>
            </w:pPr>
            <w:r w:rsidRPr="00E209B2">
              <w:rPr>
                <w:rFonts w:ascii="Arial Narrow" w:hAnsi="Arial Narrow"/>
                <w:b/>
                <w:iCs/>
                <w:sz w:val="20"/>
                <w:szCs w:val="18"/>
              </w:rPr>
              <w:t>BSC</w:t>
            </w:r>
          </w:p>
          <w:p w:rsidR="00963EFA" w:rsidRPr="00E209B2" w:rsidRDefault="00963EFA" w:rsidP="001F7F81">
            <w:pPr>
              <w:keepNext/>
              <w:jc w:val="center"/>
              <w:rPr>
                <w:rFonts w:ascii="Arial Narrow" w:hAnsi="Arial Narrow"/>
                <w:b/>
                <w:iCs/>
                <w:sz w:val="20"/>
                <w:szCs w:val="18"/>
              </w:rPr>
            </w:pPr>
            <w:r w:rsidRPr="00E209B2">
              <w:rPr>
                <w:rFonts w:ascii="Arial Narrow" w:hAnsi="Arial Narrow"/>
                <w:b/>
                <w:iCs/>
                <w:sz w:val="20"/>
                <w:szCs w:val="18"/>
              </w:rPr>
              <w:t>(N=350)</w:t>
            </w:r>
          </w:p>
        </w:tc>
      </w:tr>
      <w:tr w:rsidR="00963EFA" w:rsidRPr="00E209B2" w:rsidTr="001F7F81">
        <w:trPr>
          <w:trHeight w:val="49"/>
        </w:trPr>
        <w:tc>
          <w:tcPr>
            <w:tcW w:w="1884" w:type="pct"/>
            <w:shd w:val="clear" w:color="auto" w:fill="FFFFFF"/>
            <w:vAlign w:val="center"/>
          </w:tcPr>
          <w:p w:rsidR="00963EFA" w:rsidRPr="00E209B2" w:rsidRDefault="00963EFA" w:rsidP="001F7F81">
            <w:pPr>
              <w:keepNext/>
              <w:jc w:val="left"/>
              <w:rPr>
                <w:rFonts w:ascii="Arial Narrow" w:hAnsi="Arial Narrow"/>
                <w:iCs/>
                <w:sz w:val="20"/>
              </w:rPr>
            </w:pPr>
            <w:r w:rsidRPr="00E209B2">
              <w:rPr>
                <w:rFonts w:ascii="Arial Narrow" w:hAnsi="Arial Narrow"/>
                <w:iCs/>
                <w:sz w:val="20"/>
              </w:rPr>
              <w:t>Median duration of follow-up, months (range)</w:t>
            </w:r>
          </w:p>
        </w:tc>
        <w:tc>
          <w:tcPr>
            <w:tcW w:w="1558" w:type="pct"/>
            <w:shd w:val="clear" w:color="auto" w:fill="FFFFFF"/>
            <w:vAlign w:val="center"/>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19.6 (18.0 - 20.6) </w:t>
            </w:r>
          </w:p>
        </w:tc>
        <w:tc>
          <w:tcPr>
            <w:tcW w:w="1558" w:type="pct"/>
            <w:shd w:val="clear" w:color="auto" w:fill="FFFFFF"/>
            <w:vAlign w:val="center"/>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19.2 (17.4 - 21.6)</w:t>
            </w:r>
          </w:p>
        </w:tc>
      </w:tr>
      <w:tr w:rsidR="00963EFA" w:rsidRPr="00E209B2" w:rsidTr="001F7F81">
        <w:trPr>
          <w:trHeight w:val="172"/>
        </w:trPr>
        <w:tc>
          <w:tcPr>
            <w:tcW w:w="5000" w:type="pct"/>
            <w:gridSpan w:val="3"/>
            <w:shd w:val="clear" w:color="auto" w:fill="FFFFFF"/>
          </w:tcPr>
          <w:p w:rsidR="00963EFA" w:rsidRPr="00E209B2" w:rsidRDefault="00963EFA" w:rsidP="001F7F81">
            <w:pPr>
              <w:keepNext/>
              <w:rPr>
                <w:rFonts w:ascii="Arial Narrow" w:hAnsi="Arial Narrow"/>
                <w:b/>
                <w:iCs/>
                <w:sz w:val="20"/>
              </w:rPr>
            </w:pPr>
            <w:r w:rsidRPr="00E209B2">
              <w:rPr>
                <w:rFonts w:ascii="Arial Narrow" w:hAnsi="Arial Narrow"/>
                <w:b/>
                <w:sz w:val="20"/>
              </w:rPr>
              <w:t>Independent review committee-assessed</w:t>
            </w:r>
          </w:p>
        </w:tc>
      </w:tr>
      <w:tr w:rsidR="00963EFA" w:rsidRPr="00E209B2" w:rsidTr="001F7F81">
        <w:trPr>
          <w:trHeight w:val="500"/>
        </w:trPr>
        <w:tc>
          <w:tcPr>
            <w:tcW w:w="1884" w:type="pct"/>
            <w:vAlign w:val="center"/>
          </w:tcPr>
          <w:p w:rsidR="00963EFA" w:rsidRPr="00E209B2" w:rsidRDefault="00963EFA" w:rsidP="001F7F81">
            <w:pPr>
              <w:keepNext/>
              <w:jc w:val="left"/>
              <w:rPr>
                <w:rFonts w:ascii="Arial Narrow" w:hAnsi="Arial Narrow"/>
                <w:sz w:val="20"/>
              </w:rPr>
            </w:pPr>
            <w:r w:rsidRPr="00E209B2">
              <w:rPr>
                <w:rFonts w:ascii="Arial Narrow" w:hAnsi="Arial Narrow"/>
                <w:sz w:val="20"/>
              </w:rPr>
              <w:t>Subjects with event, n (%)</w:t>
            </w:r>
          </w:p>
          <w:p w:rsidR="00963EFA" w:rsidRPr="00E209B2" w:rsidRDefault="00963EFA" w:rsidP="001F7F81">
            <w:pPr>
              <w:keepNext/>
              <w:jc w:val="left"/>
              <w:rPr>
                <w:rFonts w:ascii="Arial Narrow" w:hAnsi="Arial Narrow"/>
                <w:sz w:val="20"/>
              </w:rPr>
            </w:pPr>
            <w:r w:rsidRPr="00E209B2">
              <w:rPr>
                <w:rFonts w:ascii="Arial Narrow" w:hAnsi="Arial Narrow"/>
                <w:sz w:val="20"/>
              </w:rPr>
              <w:t>- Progression, n (%)</w:t>
            </w:r>
          </w:p>
          <w:p w:rsidR="00963EFA" w:rsidRPr="00E209B2" w:rsidRDefault="00963EFA" w:rsidP="001F7F81">
            <w:pPr>
              <w:keepNext/>
              <w:jc w:val="left"/>
              <w:rPr>
                <w:rFonts w:ascii="Arial Narrow" w:hAnsi="Arial Narrow"/>
                <w:sz w:val="20"/>
              </w:rPr>
            </w:pPr>
            <w:r w:rsidRPr="00E209B2">
              <w:rPr>
                <w:rFonts w:ascii="Arial Narrow" w:hAnsi="Arial Narrow"/>
                <w:sz w:val="20"/>
              </w:rPr>
              <w:t>- Death, n (%)</w:t>
            </w:r>
          </w:p>
        </w:tc>
        <w:tc>
          <w:tcPr>
            <w:tcW w:w="1558" w:type="pct"/>
            <w:shd w:val="clear" w:color="auto" w:fill="FFFFFF"/>
            <w:vAlign w:val="center"/>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225 (64.3)</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216 (61.7)</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9 (2.6)</w:t>
            </w:r>
          </w:p>
        </w:tc>
        <w:tc>
          <w:tcPr>
            <w:tcW w:w="1558" w:type="pct"/>
            <w:shd w:val="clear" w:color="auto" w:fill="FFFFFF"/>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260 (74.3)</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251 (71.7)</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9 (2.6)</w:t>
            </w:r>
          </w:p>
        </w:tc>
      </w:tr>
      <w:tr w:rsidR="00963EFA" w:rsidRPr="00E209B2" w:rsidTr="001F7F81">
        <w:tc>
          <w:tcPr>
            <w:tcW w:w="1884" w:type="pct"/>
            <w:vAlign w:val="center"/>
          </w:tcPr>
          <w:p w:rsidR="00963EFA" w:rsidRPr="00E209B2" w:rsidRDefault="00963EFA" w:rsidP="001F7F81">
            <w:pPr>
              <w:keepNext/>
              <w:jc w:val="left"/>
              <w:rPr>
                <w:rFonts w:ascii="Arial Narrow" w:hAnsi="Arial Narrow"/>
                <w:iCs/>
                <w:sz w:val="20"/>
              </w:rPr>
            </w:pPr>
            <w:r w:rsidRPr="00E209B2">
              <w:rPr>
                <w:rFonts w:ascii="Arial Narrow" w:hAnsi="Arial Narrow"/>
                <w:sz w:val="20"/>
              </w:rPr>
              <w:t>Median PFS, months (95% CI)</w:t>
            </w:r>
          </w:p>
        </w:tc>
        <w:tc>
          <w:tcPr>
            <w:tcW w:w="1558" w:type="pct"/>
            <w:shd w:val="clear" w:color="auto" w:fill="FFFFFF"/>
          </w:tcPr>
          <w:p w:rsidR="00963EFA" w:rsidRPr="00E209B2" w:rsidRDefault="00963EFA" w:rsidP="001F7F81">
            <w:pPr>
              <w:keepNext/>
              <w:jc w:val="center"/>
              <w:rPr>
                <w:rFonts w:ascii="Arial Narrow" w:hAnsi="Arial Narrow"/>
                <w:iCs/>
                <w:sz w:val="20"/>
                <w:szCs w:val="18"/>
              </w:rPr>
            </w:pPr>
            <w:r w:rsidRPr="00E209B2">
              <w:rPr>
                <w:rFonts w:ascii="Arial Narrow" w:hAnsi="Arial Narrow"/>
                <w:iCs/>
                <w:sz w:val="20"/>
              </w:rPr>
              <w:t>3.7 (3.5, 5.5)</w:t>
            </w:r>
          </w:p>
        </w:tc>
        <w:tc>
          <w:tcPr>
            <w:tcW w:w="1558" w:type="pct"/>
            <w:shd w:val="clear" w:color="auto" w:fill="FFFFFF"/>
            <w:vAlign w:val="center"/>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2.0 (1.9, 2.7)</w:t>
            </w:r>
          </w:p>
        </w:tc>
      </w:tr>
      <w:tr w:rsidR="00963EFA" w:rsidRPr="00E209B2" w:rsidTr="001F7F81">
        <w:tc>
          <w:tcPr>
            <w:tcW w:w="1884" w:type="pct"/>
          </w:tcPr>
          <w:p w:rsidR="00963EFA" w:rsidRPr="00E209B2" w:rsidRDefault="00963EFA" w:rsidP="001F7F81">
            <w:pPr>
              <w:keepNext/>
              <w:jc w:val="left"/>
              <w:rPr>
                <w:rFonts w:ascii="Arial Narrow" w:hAnsi="Arial Narrow"/>
                <w:sz w:val="20"/>
              </w:rPr>
            </w:pPr>
            <w:r w:rsidRPr="00E209B2">
              <w:rPr>
                <w:rFonts w:ascii="Arial Narrow" w:hAnsi="Arial Narrow"/>
                <w:sz w:val="20"/>
              </w:rPr>
              <w:t>Stratified HR (95% CI)</w:t>
            </w:r>
          </w:p>
        </w:tc>
        <w:tc>
          <w:tcPr>
            <w:tcW w:w="3116" w:type="pct"/>
            <w:gridSpan w:val="2"/>
            <w:shd w:val="clear" w:color="auto" w:fill="FFFFFF"/>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0.62 (0.519, 0.751)</w:t>
            </w:r>
          </w:p>
        </w:tc>
      </w:tr>
      <w:tr w:rsidR="00963EFA" w:rsidRPr="00E209B2" w:rsidTr="001F7F81">
        <w:tc>
          <w:tcPr>
            <w:tcW w:w="1884" w:type="pct"/>
          </w:tcPr>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KM estimate of PFS</w:t>
            </w:r>
          </w:p>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- 3 months, % (95% CI)</w:t>
            </w:r>
          </w:p>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- 6 months, % (95% CI)</w:t>
            </w:r>
          </w:p>
          <w:p w:rsidR="00963EFA" w:rsidRPr="00E209B2" w:rsidRDefault="00963EFA" w:rsidP="001F7F81">
            <w:pPr>
              <w:keepNext/>
              <w:jc w:val="left"/>
              <w:rPr>
                <w:rFonts w:ascii="Arial Narrow" w:hAnsi="Arial Narrow"/>
                <w:snapToGrid w:val="0"/>
                <w:sz w:val="20"/>
              </w:rPr>
            </w:pPr>
            <w:r w:rsidRPr="00E209B2">
              <w:rPr>
                <w:rFonts w:ascii="Arial Narrow" w:hAnsi="Arial Narrow"/>
                <w:snapToGrid w:val="0"/>
                <w:sz w:val="20"/>
              </w:rPr>
              <w:t>- 9 months, % (95% CI)</w:t>
            </w:r>
          </w:p>
          <w:p w:rsidR="00963EFA" w:rsidRPr="00E209B2" w:rsidRDefault="00963EFA" w:rsidP="001F7F81">
            <w:pPr>
              <w:keepNext/>
              <w:jc w:val="left"/>
              <w:rPr>
                <w:rFonts w:ascii="Arial Narrow" w:hAnsi="Arial Narrow"/>
                <w:snapToGrid w:val="0"/>
                <w:sz w:val="20"/>
              </w:rPr>
            </w:pPr>
            <w:r w:rsidRPr="00E209B2">
              <w:rPr>
                <w:rFonts w:ascii="Arial Narrow" w:hAnsi="Arial Narrow"/>
                <w:snapToGrid w:val="0"/>
                <w:sz w:val="20"/>
              </w:rPr>
              <w:t>- 12 months, % (95% CI)</w:t>
            </w:r>
          </w:p>
          <w:p w:rsidR="00963EFA" w:rsidRPr="00E209B2" w:rsidRDefault="00963EFA" w:rsidP="001F7F81">
            <w:pPr>
              <w:keepNext/>
              <w:jc w:val="left"/>
              <w:rPr>
                <w:rFonts w:ascii="Arial Narrow" w:hAnsi="Arial Narrow"/>
                <w:snapToGrid w:val="0"/>
                <w:sz w:val="20"/>
              </w:rPr>
            </w:pPr>
            <w:r w:rsidRPr="00E209B2">
              <w:rPr>
                <w:rFonts w:ascii="Arial Narrow" w:hAnsi="Arial Narrow"/>
                <w:snapToGrid w:val="0"/>
                <w:sz w:val="20"/>
              </w:rPr>
              <w:t>- 15 months, % (95% CI)</w:t>
            </w:r>
          </w:p>
        </w:tc>
        <w:tc>
          <w:tcPr>
            <w:tcW w:w="1558" w:type="pct"/>
            <w:shd w:val="clear" w:color="auto" w:fill="FFFFFF"/>
          </w:tcPr>
          <w:p w:rsidR="00963EFA" w:rsidRPr="00E209B2" w:rsidRDefault="00963EFA" w:rsidP="001F7F81">
            <w:pPr>
              <w:keepNext/>
              <w:jc w:val="center"/>
              <w:rPr>
                <w:rFonts w:ascii="Arial Narrow" w:hAnsi="Arial Narrow"/>
                <w:iCs/>
                <w:sz w:val="20"/>
              </w:rPr>
            </w:pPr>
          </w:p>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0.581 (0.525, 0.634) </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0.407 (0.352, 0.461) </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0.330 (0.278, 0.384) </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0.296 (0.244, 0.350) </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 xml:space="preserve">0.269 (0.218, 0.323) </w:t>
            </w:r>
          </w:p>
        </w:tc>
        <w:tc>
          <w:tcPr>
            <w:tcW w:w="1558" w:type="pct"/>
            <w:shd w:val="clear" w:color="auto" w:fill="FFFFFF"/>
          </w:tcPr>
          <w:p w:rsidR="00963EFA" w:rsidRPr="00E209B2" w:rsidRDefault="00963EFA" w:rsidP="001F7F81">
            <w:pPr>
              <w:keepNext/>
              <w:jc w:val="center"/>
              <w:rPr>
                <w:rFonts w:ascii="Arial Narrow" w:hAnsi="Arial Narrow"/>
                <w:iCs/>
                <w:sz w:val="20"/>
              </w:rPr>
            </w:pPr>
          </w:p>
          <w:p w:rsidR="00963EFA" w:rsidRPr="00E209B2" w:rsidRDefault="00963EFA" w:rsidP="001F7F81">
            <w:pPr>
              <w:keepNext/>
              <w:jc w:val="center"/>
              <w:rPr>
                <w:rFonts w:ascii="Arial Narrow" w:hAnsi="Arial Narrow"/>
                <w:iCs/>
                <w:sz w:val="20"/>
              </w:rPr>
            </w:pPr>
            <w:r w:rsidRPr="00E209B2">
              <w:rPr>
                <w:rFonts w:ascii="Arial Narrow" w:hAnsi="Arial Narrow"/>
                <w:iCs/>
                <w:sz w:val="20"/>
              </w:rPr>
              <w:t>0.427 (0.371, 0.481)</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0.218 (0.172, 0.267)</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0.184 (0.140, 0.232)</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0.131 (0.092, 0.178)</w:t>
            </w:r>
          </w:p>
          <w:p w:rsidR="00963EFA" w:rsidRPr="00E209B2" w:rsidRDefault="00963EFA" w:rsidP="001F7F81">
            <w:pPr>
              <w:keepNext/>
              <w:jc w:val="center"/>
              <w:rPr>
                <w:rFonts w:ascii="Arial Narrow" w:hAnsi="Arial Narrow"/>
                <w:iCs/>
                <w:sz w:val="20"/>
                <w:szCs w:val="18"/>
              </w:rPr>
            </w:pPr>
            <w:r w:rsidRPr="00E209B2">
              <w:rPr>
                <w:rFonts w:ascii="Arial Narrow" w:hAnsi="Arial Narrow"/>
                <w:iCs/>
                <w:sz w:val="20"/>
              </w:rPr>
              <w:t>0.119 (0.081, 0.165)</w:t>
            </w:r>
          </w:p>
        </w:tc>
      </w:tr>
      <w:tr w:rsidR="00963EFA" w:rsidRPr="00E209B2" w:rsidTr="001F7F81">
        <w:trPr>
          <w:cantSplit/>
        </w:trPr>
        <w:tc>
          <w:tcPr>
            <w:tcW w:w="5000" w:type="pct"/>
            <w:gridSpan w:val="3"/>
            <w:shd w:val="clear" w:color="auto" w:fill="FFFFFF"/>
          </w:tcPr>
          <w:p w:rsidR="00963EFA" w:rsidRPr="00E209B2" w:rsidRDefault="00963EFA" w:rsidP="001F7F81">
            <w:pPr>
              <w:keepNext/>
              <w:rPr>
                <w:rFonts w:ascii="Arial Narrow" w:hAnsi="Arial Narrow"/>
                <w:iCs/>
                <w:sz w:val="20"/>
              </w:rPr>
            </w:pPr>
            <w:r w:rsidRPr="00E209B2">
              <w:rPr>
                <w:rFonts w:ascii="Arial Narrow" w:hAnsi="Arial Narrow"/>
                <w:b/>
                <w:sz w:val="20"/>
              </w:rPr>
              <w:t>Investigator-assessed</w:t>
            </w:r>
          </w:p>
        </w:tc>
      </w:tr>
      <w:tr w:rsidR="00963EFA" w:rsidRPr="00E209B2" w:rsidTr="001F7F81">
        <w:trPr>
          <w:cantSplit/>
        </w:trPr>
        <w:tc>
          <w:tcPr>
            <w:tcW w:w="1884" w:type="pct"/>
            <w:vAlign w:val="center"/>
          </w:tcPr>
          <w:p w:rsidR="00963EFA" w:rsidRPr="00E209B2" w:rsidRDefault="00963EFA" w:rsidP="001F7F81">
            <w:pPr>
              <w:keepNext/>
              <w:jc w:val="left"/>
              <w:rPr>
                <w:rFonts w:ascii="Arial Narrow" w:hAnsi="Arial Narrow"/>
                <w:sz w:val="20"/>
              </w:rPr>
            </w:pPr>
            <w:r w:rsidRPr="00E209B2">
              <w:rPr>
                <w:rFonts w:ascii="Arial Narrow" w:hAnsi="Arial Narrow"/>
                <w:sz w:val="20"/>
              </w:rPr>
              <w:lastRenderedPageBreak/>
              <w:t>Subjects with event, n (%)</w:t>
            </w:r>
          </w:p>
          <w:p w:rsidR="00963EFA" w:rsidRPr="00E209B2" w:rsidRDefault="00963EFA" w:rsidP="001F7F81">
            <w:pPr>
              <w:keepNext/>
              <w:jc w:val="left"/>
              <w:rPr>
                <w:rFonts w:ascii="Arial Narrow" w:hAnsi="Arial Narrow"/>
                <w:sz w:val="20"/>
              </w:rPr>
            </w:pPr>
            <w:r w:rsidRPr="00E209B2">
              <w:rPr>
                <w:rFonts w:ascii="Arial Narrow" w:hAnsi="Arial Narrow"/>
                <w:sz w:val="20"/>
              </w:rPr>
              <w:t>- Progression, n (%)</w:t>
            </w:r>
          </w:p>
          <w:p w:rsidR="00963EFA" w:rsidRPr="00E209B2" w:rsidRDefault="00963EFA" w:rsidP="001F7F81">
            <w:pPr>
              <w:keepNext/>
              <w:jc w:val="left"/>
              <w:rPr>
                <w:rFonts w:ascii="Arial Narrow" w:hAnsi="Arial Narrow"/>
                <w:sz w:val="20"/>
              </w:rPr>
            </w:pPr>
            <w:r w:rsidRPr="00E209B2">
              <w:rPr>
                <w:rFonts w:ascii="Arial Narrow" w:hAnsi="Arial Narrow"/>
                <w:sz w:val="20"/>
              </w:rPr>
              <w:t>- Death, n (%)</w:t>
            </w:r>
          </w:p>
        </w:tc>
        <w:tc>
          <w:tcPr>
            <w:tcW w:w="1558" w:type="pct"/>
            <w:shd w:val="clear" w:color="auto" w:fill="FFFFFF"/>
            <w:vAlign w:val="center"/>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235 (67.1)</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225 (64.3)</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10 (2.9)</w:t>
            </w:r>
          </w:p>
        </w:tc>
        <w:tc>
          <w:tcPr>
            <w:tcW w:w="1558" w:type="pct"/>
            <w:shd w:val="clear" w:color="auto" w:fill="FFFFFF"/>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277 (79.1)</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271 (77.4)</w:t>
            </w:r>
          </w:p>
          <w:p w:rsidR="00963EFA" w:rsidRPr="00E209B2" w:rsidRDefault="00963EFA" w:rsidP="001F7F81">
            <w:pPr>
              <w:keepNext/>
              <w:jc w:val="center"/>
              <w:rPr>
                <w:rFonts w:ascii="Arial Narrow" w:hAnsi="Arial Narrow"/>
                <w:iCs/>
                <w:sz w:val="20"/>
              </w:rPr>
            </w:pPr>
            <w:r w:rsidRPr="00E209B2">
              <w:rPr>
                <w:rFonts w:ascii="Arial Narrow" w:hAnsi="Arial Narrow"/>
                <w:iCs/>
                <w:sz w:val="20"/>
              </w:rPr>
              <w:t>6 (1.7)</w:t>
            </w:r>
          </w:p>
        </w:tc>
      </w:tr>
      <w:tr w:rsidR="00963EFA" w:rsidRPr="00E209B2" w:rsidTr="001F7F81">
        <w:tc>
          <w:tcPr>
            <w:tcW w:w="1884" w:type="pct"/>
            <w:vAlign w:val="center"/>
          </w:tcPr>
          <w:p w:rsidR="00963EFA" w:rsidRPr="00E209B2" w:rsidRDefault="00963EFA" w:rsidP="001F7F81">
            <w:pPr>
              <w:keepNext/>
              <w:jc w:val="left"/>
              <w:rPr>
                <w:rFonts w:ascii="Arial Narrow" w:hAnsi="Arial Narrow"/>
                <w:iCs/>
                <w:sz w:val="20"/>
              </w:rPr>
            </w:pPr>
            <w:r w:rsidRPr="00E209B2">
              <w:rPr>
                <w:rFonts w:ascii="Arial Narrow" w:hAnsi="Arial Narrow"/>
                <w:sz w:val="20"/>
              </w:rPr>
              <w:t>Median PFS, months (95% CI)</w:t>
            </w:r>
          </w:p>
        </w:tc>
        <w:tc>
          <w:tcPr>
            <w:tcW w:w="1558" w:type="pct"/>
            <w:shd w:val="clear" w:color="auto" w:fill="FFFFFF"/>
          </w:tcPr>
          <w:p w:rsidR="00963EFA" w:rsidRPr="00E209B2" w:rsidRDefault="00963EFA" w:rsidP="001F7F81">
            <w:pPr>
              <w:keepNext/>
              <w:jc w:val="center"/>
              <w:rPr>
                <w:rFonts w:ascii="Arial Narrow" w:hAnsi="Arial Narrow"/>
                <w:iCs/>
                <w:sz w:val="20"/>
                <w:szCs w:val="18"/>
              </w:rPr>
            </w:pPr>
            <w:r w:rsidRPr="00E209B2">
              <w:rPr>
                <w:rFonts w:ascii="Arial Narrow" w:hAnsi="Arial Narrow"/>
                <w:iCs/>
                <w:sz w:val="20"/>
              </w:rPr>
              <w:t>5.5 (4.2, 7.2)</w:t>
            </w:r>
          </w:p>
        </w:tc>
        <w:tc>
          <w:tcPr>
            <w:tcW w:w="1558" w:type="pct"/>
            <w:shd w:val="clear" w:color="auto" w:fill="FFFFFF"/>
            <w:vAlign w:val="center"/>
          </w:tcPr>
          <w:p w:rsidR="00963EFA" w:rsidRPr="00E209B2" w:rsidRDefault="00963EFA" w:rsidP="001F7F81">
            <w:pPr>
              <w:keepNext/>
              <w:jc w:val="center"/>
              <w:rPr>
                <w:rFonts w:ascii="Arial Narrow" w:hAnsi="Arial Narrow"/>
                <w:iCs/>
                <w:sz w:val="20"/>
                <w:szCs w:val="18"/>
              </w:rPr>
            </w:pPr>
            <w:r w:rsidRPr="00E209B2">
              <w:rPr>
                <w:rFonts w:ascii="Arial Narrow" w:hAnsi="Arial Narrow"/>
                <w:iCs/>
                <w:sz w:val="20"/>
              </w:rPr>
              <w:t>2.1 (1.9, 3.0)</w:t>
            </w:r>
          </w:p>
        </w:tc>
      </w:tr>
      <w:tr w:rsidR="00963EFA" w:rsidRPr="00E209B2" w:rsidTr="001F7F81">
        <w:tc>
          <w:tcPr>
            <w:tcW w:w="1884" w:type="pct"/>
          </w:tcPr>
          <w:p w:rsidR="00963EFA" w:rsidRPr="00E209B2" w:rsidRDefault="00963EFA" w:rsidP="001F7F81">
            <w:pPr>
              <w:keepNext/>
              <w:jc w:val="left"/>
              <w:rPr>
                <w:rFonts w:ascii="Arial Narrow" w:hAnsi="Arial Narrow"/>
                <w:sz w:val="20"/>
              </w:rPr>
            </w:pPr>
            <w:r w:rsidRPr="00E209B2">
              <w:rPr>
                <w:rFonts w:ascii="Arial Narrow" w:hAnsi="Arial Narrow"/>
                <w:sz w:val="20"/>
              </w:rPr>
              <w:t>Stratified HR (95% CI)</w:t>
            </w:r>
          </w:p>
        </w:tc>
        <w:tc>
          <w:tcPr>
            <w:tcW w:w="3116" w:type="pct"/>
            <w:gridSpan w:val="2"/>
            <w:shd w:val="clear" w:color="auto" w:fill="FFFFFF"/>
          </w:tcPr>
          <w:p w:rsidR="00963EFA" w:rsidRPr="00E209B2" w:rsidRDefault="00963EFA" w:rsidP="001F7F81">
            <w:pPr>
              <w:keepNext/>
              <w:jc w:val="center"/>
              <w:rPr>
                <w:rFonts w:ascii="Arial Narrow" w:hAnsi="Arial Narrow"/>
                <w:iCs/>
                <w:sz w:val="20"/>
              </w:rPr>
            </w:pPr>
            <w:r w:rsidRPr="00E209B2">
              <w:rPr>
                <w:rFonts w:ascii="Arial Narrow" w:hAnsi="Arial Narrow"/>
                <w:iCs/>
                <w:sz w:val="20"/>
              </w:rPr>
              <w:t>0.52 (0.437, 0.625)</w:t>
            </w:r>
          </w:p>
        </w:tc>
      </w:tr>
      <w:tr w:rsidR="00963EFA" w:rsidRPr="00E209B2" w:rsidTr="001F7F81">
        <w:tc>
          <w:tcPr>
            <w:tcW w:w="1884" w:type="pct"/>
          </w:tcPr>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KM estimate of PFS</w:t>
            </w:r>
          </w:p>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- 3 months, % (95% CI)</w:t>
            </w:r>
          </w:p>
          <w:p w:rsidR="00963EFA" w:rsidRPr="00E209B2" w:rsidRDefault="00963EFA" w:rsidP="001F7F81">
            <w:pPr>
              <w:keepNext/>
              <w:widowControl w:val="0"/>
              <w:jc w:val="left"/>
              <w:rPr>
                <w:rFonts w:ascii="Arial Narrow" w:hAnsi="Arial Narrow"/>
                <w:snapToGrid w:val="0"/>
                <w:sz w:val="20"/>
              </w:rPr>
            </w:pPr>
            <w:r w:rsidRPr="00E209B2">
              <w:rPr>
                <w:rFonts w:ascii="Arial Narrow" w:hAnsi="Arial Narrow"/>
                <w:snapToGrid w:val="0"/>
                <w:sz w:val="20"/>
              </w:rPr>
              <w:t>- 6 months, % (95% CI)</w:t>
            </w:r>
          </w:p>
          <w:p w:rsidR="00963EFA" w:rsidRPr="00E209B2" w:rsidRDefault="00963EFA" w:rsidP="001F7F81">
            <w:pPr>
              <w:keepNext/>
              <w:jc w:val="left"/>
              <w:rPr>
                <w:rFonts w:ascii="Arial Narrow" w:hAnsi="Arial Narrow"/>
                <w:snapToGrid w:val="0"/>
                <w:sz w:val="20"/>
              </w:rPr>
            </w:pPr>
            <w:r w:rsidRPr="00E209B2">
              <w:rPr>
                <w:rFonts w:ascii="Arial Narrow" w:hAnsi="Arial Narrow"/>
                <w:snapToGrid w:val="0"/>
                <w:sz w:val="20"/>
              </w:rPr>
              <w:t>- 9 months, % (95% CI)</w:t>
            </w:r>
          </w:p>
          <w:p w:rsidR="00963EFA" w:rsidRPr="00E209B2" w:rsidRDefault="00963EFA" w:rsidP="001F7F81">
            <w:pPr>
              <w:keepNext/>
              <w:jc w:val="left"/>
              <w:rPr>
                <w:rFonts w:ascii="Arial Narrow" w:hAnsi="Arial Narrow"/>
                <w:snapToGrid w:val="0"/>
                <w:sz w:val="20"/>
              </w:rPr>
            </w:pPr>
            <w:r w:rsidRPr="00E209B2">
              <w:rPr>
                <w:rFonts w:ascii="Arial Narrow" w:hAnsi="Arial Narrow"/>
                <w:snapToGrid w:val="0"/>
                <w:sz w:val="20"/>
              </w:rPr>
              <w:t>- 12 months, % (95% CI)</w:t>
            </w:r>
          </w:p>
          <w:p w:rsidR="00963EFA" w:rsidRPr="00E209B2" w:rsidRDefault="00963EFA" w:rsidP="001F7F81">
            <w:pPr>
              <w:keepNext/>
              <w:jc w:val="left"/>
              <w:rPr>
                <w:rFonts w:ascii="Arial Narrow" w:hAnsi="Arial Narrow"/>
                <w:sz w:val="20"/>
              </w:rPr>
            </w:pPr>
            <w:r w:rsidRPr="00E209B2">
              <w:rPr>
                <w:rFonts w:ascii="Arial Narrow" w:hAnsi="Arial Narrow"/>
                <w:snapToGrid w:val="0"/>
                <w:sz w:val="20"/>
              </w:rPr>
              <w:t>- 15 months, % (95% CI)</w:t>
            </w:r>
          </w:p>
        </w:tc>
        <w:tc>
          <w:tcPr>
            <w:tcW w:w="1558" w:type="pct"/>
            <w:shd w:val="clear" w:color="auto" w:fill="FFFFFF"/>
          </w:tcPr>
          <w:p w:rsidR="00963EFA" w:rsidRPr="00E209B2" w:rsidRDefault="00963EFA" w:rsidP="001F7F81">
            <w:pPr>
              <w:keepNext/>
              <w:jc w:val="center"/>
              <w:rPr>
                <w:rFonts w:ascii="Arial Narrow" w:hAnsi="Arial Narrow"/>
                <w:iCs/>
                <w:sz w:val="20"/>
                <w:szCs w:val="20"/>
              </w:rPr>
            </w:pP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 xml:space="preserve">0.682 (0.629, 0.729) </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 xml:space="preserve">0.460 (0.406, 0.513) </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 xml:space="preserve">0.387 (0.334, 0.440) </w:t>
            </w:r>
          </w:p>
          <w:p w:rsidR="00963EFA" w:rsidRPr="00E209B2" w:rsidRDefault="00963EFA" w:rsidP="001F7F81">
            <w:pPr>
              <w:keepNext/>
              <w:jc w:val="center"/>
              <w:rPr>
                <w:rFonts w:ascii="Arial Narrow" w:hAnsi="Arial Narrow" w:cs="Times New Roman"/>
                <w:sz w:val="20"/>
                <w:szCs w:val="20"/>
              </w:rPr>
            </w:pPr>
            <w:r w:rsidRPr="00E209B2">
              <w:rPr>
                <w:rFonts w:ascii="Arial Narrow" w:hAnsi="Arial Narrow" w:cs="Times New Roman"/>
                <w:sz w:val="20"/>
                <w:szCs w:val="20"/>
              </w:rPr>
              <w:t xml:space="preserve">0.341 (0.288, 0.394) </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 xml:space="preserve">0.304 (0.252, 0.358) </w:t>
            </w:r>
          </w:p>
        </w:tc>
        <w:tc>
          <w:tcPr>
            <w:tcW w:w="1558" w:type="pct"/>
            <w:shd w:val="clear" w:color="auto" w:fill="FFFFFF"/>
          </w:tcPr>
          <w:p w:rsidR="00963EFA" w:rsidRPr="00E209B2" w:rsidRDefault="00963EFA" w:rsidP="001F7F81">
            <w:pPr>
              <w:keepNext/>
              <w:jc w:val="center"/>
              <w:rPr>
                <w:rFonts w:ascii="Arial Narrow" w:hAnsi="Arial Narrow"/>
                <w:iCs/>
                <w:sz w:val="20"/>
                <w:szCs w:val="20"/>
              </w:rPr>
            </w:pP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0.445 (0.390, 0.500)</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0.234 (0.188, 0.283)</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0.167 (0.127, 0.212)</w:t>
            </w:r>
          </w:p>
          <w:p w:rsidR="00963EFA" w:rsidRPr="00E209B2" w:rsidRDefault="00963EFA" w:rsidP="001F7F81">
            <w:pPr>
              <w:keepNext/>
              <w:jc w:val="center"/>
              <w:rPr>
                <w:rFonts w:ascii="Arial Narrow" w:hAnsi="Arial Narrow" w:cs="Times New Roman"/>
                <w:sz w:val="20"/>
                <w:szCs w:val="20"/>
              </w:rPr>
            </w:pPr>
            <w:r w:rsidRPr="00E209B2">
              <w:rPr>
                <w:rFonts w:ascii="Arial Narrow" w:hAnsi="Arial Narrow" w:cs="Times New Roman"/>
                <w:sz w:val="20"/>
                <w:szCs w:val="20"/>
              </w:rPr>
              <w:t>0.116 (0.081, 0.157)</w:t>
            </w:r>
          </w:p>
          <w:p w:rsidR="00963EFA" w:rsidRPr="00E209B2" w:rsidRDefault="00963EFA" w:rsidP="001F7F81">
            <w:pPr>
              <w:keepNext/>
              <w:jc w:val="center"/>
              <w:rPr>
                <w:rFonts w:ascii="Arial Narrow" w:hAnsi="Arial Narrow"/>
                <w:iCs/>
                <w:sz w:val="20"/>
                <w:szCs w:val="20"/>
              </w:rPr>
            </w:pPr>
            <w:r w:rsidRPr="00E209B2">
              <w:rPr>
                <w:rFonts w:ascii="Arial Narrow" w:hAnsi="Arial Narrow"/>
                <w:iCs/>
                <w:sz w:val="20"/>
                <w:szCs w:val="20"/>
              </w:rPr>
              <w:t>0.092 (0.061, 0.131)</w:t>
            </w:r>
          </w:p>
        </w:tc>
      </w:tr>
    </w:tbl>
    <w:p w:rsidR="00963EFA" w:rsidRPr="00E209B2" w:rsidRDefault="00963EFA" w:rsidP="00963EFA">
      <w:pPr>
        <w:pStyle w:val="TableFooter"/>
      </w:pPr>
      <w:r w:rsidRPr="00E209B2">
        <w:t xml:space="preserve">Source: Table 14.2.4.1, pp32-33; Table 14.2.4.2, pp34-35, Attachment 1C of the submission. </w:t>
      </w:r>
    </w:p>
    <w:p w:rsidR="00963EFA" w:rsidRPr="00E209B2" w:rsidRDefault="00963EFA" w:rsidP="00963EFA">
      <w:pPr>
        <w:pStyle w:val="TableFooter"/>
        <w:rPr>
          <w:color w:val="000000" w:themeColor="text1"/>
        </w:rPr>
      </w:pPr>
      <w:r w:rsidRPr="00E209B2">
        <w:t>Abbreviations: AVE, avelumab; BSC, best supportive care; CI, confidence interval; HR, hazard ratio; PFS, progression-free survival.</w:t>
      </w:r>
    </w:p>
    <w:p w:rsidR="00963EFA" w:rsidRPr="00E209B2" w:rsidRDefault="00963EFA" w:rsidP="00EC5836">
      <w:pPr>
        <w:pStyle w:val="ExecSumBodyText"/>
        <w:rPr>
          <w:color w:val="0066FF"/>
        </w:rPr>
      </w:pPr>
      <w:r w:rsidRPr="00E209B2">
        <w:rPr>
          <w:snapToGrid/>
        </w:rPr>
        <w:t xml:space="preserve">At a median duration of follow-up of 19.6 months for the avelumab + BSC arm and 19.2 months for the BSC arm, independent review committee-assessed progression-free survival was statistically significantly longer in the avelumab + BSC arm compared to the BSC arm (median progression-free survival 3.7 months for avelumab + BSC versus 2.0 months for BSC; hazard ratio = 0.62 [95% CI: 0.52, 0.75]). </w:t>
      </w:r>
    </w:p>
    <w:p w:rsidR="003E76CF" w:rsidRPr="00E209B2" w:rsidRDefault="00963EFA" w:rsidP="00EC5836">
      <w:pPr>
        <w:pStyle w:val="ExecSumBodyText"/>
        <w:rPr>
          <w:color w:val="0066FF"/>
        </w:rPr>
      </w:pPr>
      <w:r w:rsidRPr="00E209B2">
        <w:rPr>
          <w:snapToGrid/>
        </w:rPr>
        <w:t>Results based on investigator assessment were consistent with the independent review committee results, with slightly longer progression-free survival among patients in the avelumab + BSC arm (median progression-free survival 5.5 months for avelumab + BSC versus 2.1 months for BSC; hazard ratio = 0.52 [95% CI: 0.44, 0.63]).</w:t>
      </w:r>
    </w:p>
    <w:p w:rsidR="000953A8" w:rsidRPr="00E209B2" w:rsidRDefault="000953A8" w:rsidP="000953A8">
      <w:pPr>
        <w:pStyle w:val="ExecSumBodyText"/>
        <w:rPr>
          <w:iCs/>
        </w:rPr>
      </w:pPr>
      <w:r w:rsidRPr="00E209B2">
        <w:t xml:space="preserve">As per the criteria specified in </w:t>
      </w:r>
      <w:r w:rsidRPr="002B5A63">
        <w:t>paragraph 6.</w:t>
      </w:r>
      <w:r w:rsidR="00DE7605" w:rsidRPr="002B5A63">
        <w:t>9</w:t>
      </w:r>
      <w:r w:rsidRPr="00E209B2">
        <w:t xml:space="preserve">, </w:t>
      </w:r>
      <w:r w:rsidR="00DC76AF" w:rsidRPr="00E209B2">
        <w:t>120</w:t>
      </w:r>
      <w:r w:rsidRPr="00E209B2">
        <w:t xml:space="preserve"> patients in the avelumab + BSC arm with confirmed disease progression by both blinded independent review committee and investigator-</w:t>
      </w:r>
      <w:r w:rsidR="00D30B02" w:rsidRPr="00E209B2">
        <w:t>assessment</w:t>
      </w:r>
      <w:r w:rsidRPr="00E209B2">
        <w:t xml:space="preserve"> continued to receive avelumab. The mean number of infusions following confirmed progression was 5.7 (median 3.0; range: 1.0 - 44.0).</w:t>
      </w:r>
      <w:r w:rsidRPr="00E209B2">
        <w:rPr>
          <w:iCs/>
        </w:rPr>
        <w:t xml:space="preserve"> </w:t>
      </w:r>
    </w:p>
    <w:p w:rsidR="00D30B02" w:rsidRPr="00E209B2" w:rsidRDefault="000953A8" w:rsidP="000953A8">
      <w:pPr>
        <w:pStyle w:val="ExecSumBodyText"/>
      </w:pPr>
      <w:r w:rsidRPr="00E209B2">
        <w:t xml:space="preserve">The </w:t>
      </w:r>
      <w:r w:rsidR="003F7ACC" w:rsidRPr="00E209B2">
        <w:t xml:space="preserve">submission </w:t>
      </w:r>
      <w:r w:rsidRPr="00E209B2">
        <w:t>argued that the large number of patients continuing treatment beyond disease progression was due to study treatment being continued until radiological confirmation of progressive disease, which was required at least 4 weeks from the first</w:t>
      </w:r>
      <w:r w:rsidR="000E132D" w:rsidRPr="00E209B2">
        <w:t xml:space="preserve"> evidence of progression</w:t>
      </w:r>
      <w:r w:rsidRPr="00E209B2">
        <w:t xml:space="preserve">. The </w:t>
      </w:r>
      <w:r w:rsidR="003F7ACC" w:rsidRPr="00E209B2">
        <w:t xml:space="preserve">submission </w:t>
      </w:r>
      <w:r w:rsidRPr="00E209B2">
        <w:t xml:space="preserve">also suggested that </w:t>
      </w:r>
      <w:r w:rsidR="000E132D" w:rsidRPr="00E209B2">
        <w:t xml:space="preserve">continued </w:t>
      </w:r>
      <w:r w:rsidRPr="00E209B2">
        <w:t xml:space="preserve">treatment with avelumab </w:t>
      </w:r>
      <w:r w:rsidR="0082396D" w:rsidRPr="00E209B2">
        <w:t xml:space="preserve">in this context </w:t>
      </w:r>
      <w:r w:rsidRPr="00E209B2">
        <w:t xml:space="preserve">may reflect pseudo-progression or when an investigator feels that there has not been enough time for the effect of the treatment to become evident. </w:t>
      </w:r>
      <w:r w:rsidRPr="00E209B2">
        <w:rPr>
          <w:iCs/>
        </w:rPr>
        <w:t xml:space="preserve">However, it is unclear whether this accounted for all instances of treatment beyond disease progression. </w:t>
      </w:r>
      <w:r w:rsidR="005F2F14" w:rsidRPr="00E209B2">
        <w:rPr>
          <w:iCs/>
        </w:rPr>
        <w:t>The overall impact of treatment beyond disease progression on effectiveness and safety outcomes is unclear.</w:t>
      </w:r>
      <w:r w:rsidR="005F2F14" w:rsidRPr="00E209B2">
        <w:t xml:space="preserve"> </w:t>
      </w:r>
      <w:r w:rsidR="00D30B02" w:rsidRPr="00E209B2">
        <w:t xml:space="preserve">The ESC noted that the mean number of infusions post-progression (5.7) equated to approximately 11.4 weeks of treatment. The ESC considered this was not consistent with the </w:t>
      </w:r>
      <w:r w:rsidR="003F7ACC" w:rsidRPr="00E209B2">
        <w:t xml:space="preserve">submission’s </w:t>
      </w:r>
      <w:r w:rsidR="00D30B02" w:rsidRPr="00E209B2">
        <w:t>argument that most continuing use would be due to patients waiting for the confirmatory scan of disease progression undertaken 4 weeks after suspected progression.</w:t>
      </w:r>
    </w:p>
    <w:p w:rsidR="000953A8" w:rsidRPr="00E209B2" w:rsidRDefault="000953A8" w:rsidP="0082396D">
      <w:pPr>
        <w:pStyle w:val="ExecSumBodyText"/>
        <w:rPr>
          <w:color w:val="0066FF"/>
        </w:rPr>
      </w:pPr>
      <w:r w:rsidRPr="00E209B2">
        <w:lastRenderedPageBreak/>
        <w:t xml:space="preserve">The PSCR </w:t>
      </w:r>
      <w:r w:rsidR="00DC76AF" w:rsidRPr="00E209B2">
        <w:t xml:space="preserve">provided a subgroup analysis </w:t>
      </w:r>
      <w:r w:rsidR="003D180E" w:rsidRPr="00E209B2">
        <w:t xml:space="preserve">of </w:t>
      </w:r>
      <w:r w:rsidR="00EA3061" w:rsidRPr="00E209B2">
        <w:t>overall survival</w:t>
      </w:r>
      <w:r w:rsidR="003D180E" w:rsidRPr="00E209B2">
        <w:t xml:space="preserve"> </w:t>
      </w:r>
      <w:r w:rsidR="00DC76AF" w:rsidRPr="00E209B2">
        <w:t>excluding patients in the avelumab + BSC arm who received avelumab post progression (see Table 7). The PSCR</w:t>
      </w:r>
      <w:r w:rsidR="001B22DA">
        <w:t xml:space="preserve"> </w:t>
      </w:r>
      <w:r w:rsidRPr="00E209B2">
        <w:t xml:space="preserve">argued that </w:t>
      </w:r>
      <w:r w:rsidR="00DC76AF" w:rsidRPr="00E209B2">
        <w:t xml:space="preserve">the </w:t>
      </w:r>
      <w:r w:rsidR="003D180E" w:rsidRPr="00E209B2">
        <w:t xml:space="preserve">analysis </w:t>
      </w:r>
      <w:r w:rsidRPr="00E209B2">
        <w:t xml:space="preserve">demonstrated that the statistically significant improvement in median </w:t>
      </w:r>
      <w:r w:rsidR="00EA3061" w:rsidRPr="00E209B2">
        <w:t>overall survival</w:t>
      </w:r>
      <w:r w:rsidRPr="00E209B2">
        <w:t xml:space="preserve"> observed in the ITT population in </w:t>
      </w:r>
      <w:r w:rsidR="003D180E" w:rsidRPr="00E209B2">
        <w:t xml:space="preserve">the </w:t>
      </w:r>
      <w:r w:rsidRPr="00E209B2">
        <w:t xml:space="preserve">JAVELIN Bladder </w:t>
      </w:r>
      <w:r w:rsidR="003D180E" w:rsidRPr="00E209B2">
        <w:t xml:space="preserve">100 trial </w:t>
      </w:r>
      <w:r w:rsidRPr="00E209B2">
        <w:t>was not due to the use of avelumab post-progression.</w:t>
      </w:r>
      <w:r w:rsidR="0082396D" w:rsidRPr="00E209B2">
        <w:t xml:space="preserve"> The ESC considered that although the data presented in the PSCR suggested that the effectiveness was similar, it </w:t>
      </w:r>
      <w:r w:rsidR="005F2F14" w:rsidRPr="00E209B2">
        <w:t xml:space="preserve">did not answer questions regarding the impact of such use on safety outcomes or financial estimates. </w:t>
      </w:r>
    </w:p>
    <w:p w:rsidR="000953A8" w:rsidRPr="00E209B2" w:rsidRDefault="003D180E" w:rsidP="000953A8">
      <w:pPr>
        <w:pStyle w:val="TableFigureCaption"/>
        <w:rPr>
          <w:rFonts w:eastAsia="Times New Roman" w:cs="Arial"/>
          <w:bCs w:val="0"/>
          <w:snapToGrid w:val="0"/>
          <w:szCs w:val="20"/>
        </w:rPr>
      </w:pPr>
      <w:r w:rsidRPr="00E209B2">
        <w:rPr>
          <w:rFonts w:eastAsia="Times New Roman" w:cs="Arial"/>
          <w:bCs w:val="0"/>
          <w:snapToGrid w:val="0"/>
          <w:szCs w:val="20"/>
        </w:rPr>
        <w:t>Table 7</w:t>
      </w:r>
      <w:r w:rsidR="000953A8" w:rsidRPr="00E209B2">
        <w:rPr>
          <w:rFonts w:eastAsia="Times New Roman" w:cs="Arial"/>
          <w:bCs w:val="0"/>
          <w:snapToGrid w:val="0"/>
          <w:szCs w:val="20"/>
        </w:rPr>
        <w:t xml:space="preserve">: Overall survival results - subjects that continued avelumab after progression by both </w:t>
      </w:r>
      <w:r w:rsidRPr="00E209B2">
        <w:rPr>
          <w:rFonts w:eastAsia="Times New Roman" w:cs="Arial"/>
          <w:bCs w:val="0"/>
          <w:snapToGrid w:val="0"/>
          <w:szCs w:val="20"/>
        </w:rPr>
        <w:t xml:space="preserve">Independent review committee-assessed and </w:t>
      </w:r>
      <w:r w:rsidR="000953A8" w:rsidRPr="00E209B2">
        <w:rPr>
          <w:rFonts w:eastAsia="Times New Roman" w:cs="Arial"/>
          <w:bCs w:val="0"/>
          <w:snapToGrid w:val="0"/>
          <w:szCs w:val="20"/>
        </w:rPr>
        <w:t xml:space="preserve">investigator assessment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1"/>
        <w:gridCol w:w="2334"/>
        <w:gridCol w:w="4222"/>
      </w:tblGrid>
      <w:tr w:rsidR="000953A8" w:rsidRPr="00E209B2" w:rsidTr="00113716">
        <w:trPr>
          <w:trHeight w:val="349"/>
        </w:trPr>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3A8" w:rsidRPr="00E209B2" w:rsidRDefault="000953A8" w:rsidP="00113716">
            <w:pPr>
              <w:keepNext/>
              <w:rPr>
                <w:rFonts w:ascii="Arial Narrow" w:hAnsi="Arial Narrow"/>
                <w:b/>
                <w:iCs/>
                <w:sz w:val="20"/>
                <w:szCs w:val="18"/>
              </w:rPr>
            </w:pP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jc w:val="center"/>
              <w:rPr>
                <w:rFonts w:ascii="Arial Narrow" w:hAnsi="Arial Narrow"/>
                <w:b/>
                <w:sz w:val="20"/>
                <w:szCs w:val="20"/>
              </w:rPr>
            </w:pPr>
            <w:r w:rsidRPr="00E209B2">
              <w:rPr>
                <w:rFonts w:ascii="Arial Narrow" w:hAnsi="Arial Narrow"/>
                <w:b/>
                <w:sz w:val="20"/>
                <w:szCs w:val="20"/>
              </w:rPr>
              <w:t>All randomised</w:t>
            </w:r>
            <w:r w:rsidRPr="00E209B2">
              <w:rPr>
                <w:rFonts w:ascii="Arial Narrow" w:hAnsi="Arial Narrow"/>
                <w:b/>
                <w:bCs/>
                <w:sz w:val="20"/>
                <w:szCs w:val="20"/>
              </w:rPr>
              <w:t xml:space="preserve"> (ITT)</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jc w:val="center"/>
              <w:rPr>
                <w:rFonts w:ascii="Arial Narrow" w:hAnsi="Arial Narrow"/>
                <w:b/>
                <w:iCs/>
                <w:sz w:val="20"/>
                <w:szCs w:val="18"/>
              </w:rPr>
            </w:pPr>
            <w:r w:rsidRPr="00E209B2">
              <w:rPr>
                <w:rFonts w:ascii="Arial Narrow" w:hAnsi="Arial Narrow"/>
                <w:b/>
                <w:iCs/>
                <w:sz w:val="20"/>
                <w:szCs w:val="18"/>
              </w:rPr>
              <w:t>Excluding patients that received AVE post-progression</w:t>
            </w:r>
          </w:p>
        </w:tc>
      </w:tr>
      <w:tr w:rsidR="000953A8" w:rsidRPr="00E209B2" w:rsidTr="00113716">
        <w:trPr>
          <w:trHeight w:val="349"/>
        </w:trPr>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rPr>
                <w:rFonts w:ascii="Arial Narrow" w:hAnsi="Arial Narrow"/>
                <w:b/>
                <w:iCs/>
                <w:sz w:val="20"/>
                <w:szCs w:val="18"/>
              </w:rPr>
            </w:pPr>
            <w:r w:rsidRPr="00E209B2">
              <w:rPr>
                <w:rFonts w:ascii="Arial Narrow" w:hAnsi="Arial Narrow"/>
                <w:b/>
                <w:iCs/>
                <w:sz w:val="20"/>
                <w:szCs w:val="18"/>
              </w:rPr>
              <w:t>Cohort</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b/>
                <w:iCs/>
                <w:sz w:val="20"/>
                <w:szCs w:val="18"/>
              </w:rPr>
            </w:pPr>
            <w:r w:rsidRPr="00E209B2">
              <w:rPr>
                <w:rFonts w:ascii="Arial Narrow" w:hAnsi="Arial Narrow"/>
                <w:b/>
                <w:iCs/>
                <w:sz w:val="20"/>
                <w:szCs w:val="18"/>
              </w:rPr>
              <w:t>AVE + BSC</w:t>
            </w:r>
          </w:p>
          <w:p w:rsidR="000953A8" w:rsidRPr="00E209B2" w:rsidRDefault="000953A8" w:rsidP="00113716">
            <w:pPr>
              <w:keepNext/>
              <w:jc w:val="center"/>
              <w:rPr>
                <w:rFonts w:ascii="Arial Narrow" w:hAnsi="Arial Narrow"/>
                <w:b/>
                <w:iCs/>
                <w:sz w:val="20"/>
                <w:szCs w:val="18"/>
              </w:rPr>
            </w:pPr>
            <w:r w:rsidRPr="00E209B2">
              <w:rPr>
                <w:rFonts w:ascii="Arial Narrow" w:hAnsi="Arial Narrow"/>
                <w:b/>
                <w:iCs/>
                <w:sz w:val="20"/>
                <w:szCs w:val="18"/>
              </w:rPr>
              <w:t>(N=350)</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jc w:val="center"/>
              <w:rPr>
                <w:rFonts w:ascii="Arial Narrow" w:hAnsi="Arial Narrow"/>
                <w:b/>
                <w:iCs/>
                <w:sz w:val="20"/>
                <w:szCs w:val="18"/>
              </w:rPr>
            </w:pPr>
            <w:r w:rsidRPr="00E209B2">
              <w:rPr>
                <w:rFonts w:ascii="Arial Narrow" w:hAnsi="Arial Narrow"/>
                <w:b/>
                <w:iCs/>
                <w:sz w:val="20"/>
                <w:szCs w:val="18"/>
              </w:rPr>
              <w:t>AVE + BSC</w:t>
            </w:r>
          </w:p>
          <w:p w:rsidR="000953A8" w:rsidRPr="00E209B2" w:rsidRDefault="000953A8" w:rsidP="00113716">
            <w:pPr>
              <w:keepNext/>
              <w:jc w:val="center"/>
              <w:rPr>
                <w:rFonts w:ascii="Arial Narrow" w:hAnsi="Arial Narrow"/>
                <w:b/>
                <w:iCs/>
                <w:sz w:val="20"/>
                <w:szCs w:val="18"/>
              </w:rPr>
            </w:pPr>
            <w:r w:rsidRPr="00E209B2">
              <w:rPr>
                <w:rFonts w:ascii="Arial Narrow" w:hAnsi="Arial Narrow"/>
                <w:b/>
                <w:iCs/>
                <w:sz w:val="20"/>
                <w:szCs w:val="18"/>
              </w:rPr>
              <w:t>(N=230)</w:t>
            </w:r>
          </w:p>
        </w:tc>
      </w:tr>
      <w:tr w:rsidR="000953A8" w:rsidRPr="00E209B2" w:rsidTr="00113716">
        <w:trPr>
          <w:trHeight w:val="56"/>
        </w:trPr>
        <w:tc>
          <w:tcPr>
            <w:tcW w:w="1364" w:type="pct"/>
            <w:tcBorders>
              <w:top w:val="single" w:sz="4" w:space="0" w:color="auto"/>
              <w:left w:val="single" w:sz="4" w:space="0" w:color="auto"/>
              <w:bottom w:val="single" w:sz="4" w:space="0" w:color="auto"/>
              <w:right w:val="single" w:sz="4" w:space="0" w:color="auto"/>
            </w:tcBorders>
            <w:vAlign w:val="center"/>
            <w:hideMark/>
          </w:tcPr>
          <w:p w:rsidR="000953A8" w:rsidRPr="00E209B2" w:rsidRDefault="000953A8" w:rsidP="00113716">
            <w:pPr>
              <w:keepNext/>
              <w:jc w:val="left"/>
              <w:rPr>
                <w:rFonts w:ascii="Arial Narrow" w:hAnsi="Arial Narrow"/>
                <w:sz w:val="20"/>
              </w:rPr>
            </w:pPr>
            <w:r w:rsidRPr="00E209B2">
              <w:rPr>
                <w:rFonts w:ascii="Arial Narrow" w:hAnsi="Arial Narrow"/>
                <w:sz w:val="20"/>
              </w:rPr>
              <w:t>Subjects with event, n (%)</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145 (41.4)</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83 (36.1)</w:t>
            </w:r>
          </w:p>
        </w:tc>
      </w:tr>
      <w:tr w:rsidR="000953A8" w:rsidRPr="00E209B2" w:rsidTr="00113716">
        <w:tc>
          <w:tcPr>
            <w:tcW w:w="1364" w:type="pct"/>
            <w:tcBorders>
              <w:top w:val="single" w:sz="4" w:space="0" w:color="auto"/>
              <w:left w:val="single" w:sz="4" w:space="0" w:color="auto"/>
              <w:bottom w:val="single" w:sz="4" w:space="0" w:color="auto"/>
              <w:right w:val="single" w:sz="4" w:space="0" w:color="auto"/>
            </w:tcBorders>
            <w:vAlign w:val="center"/>
            <w:hideMark/>
          </w:tcPr>
          <w:p w:rsidR="000953A8" w:rsidRPr="00E209B2" w:rsidRDefault="000953A8" w:rsidP="00113716">
            <w:pPr>
              <w:keepNext/>
              <w:jc w:val="left"/>
              <w:rPr>
                <w:rFonts w:ascii="Arial Narrow" w:hAnsi="Arial Narrow"/>
                <w:iCs/>
                <w:sz w:val="20"/>
              </w:rPr>
            </w:pPr>
            <w:r w:rsidRPr="00E209B2">
              <w:rPr>
                <w:rFonts w:ascii="Arial Narrow" w:hAnsi="Arial Narrow"/>
                <w:sz w:val="20"/>
              </w:rPr>
              <w:t>Median OS, months (95% CI)</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szCs w:val="18"/>
              </w:rPr>
            </w:pPr>
            <w:r w:rsidRPr="00E209B2">
              <w:rPr>
                <w:rFonts w:ascii="Arial Narrow" w:hAnsi="Arial Narrow"/>
                <w:iCs/>
                <w:sz w:val="20"/>
                <w:szCs w:val="18"/>
              </w:rPr>
              <w:t>21.4 (18.9, 26.1)</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26.0 (22.5, NE)</w:t>
            </w:r>
          </w:p>
        </w:tc>
      </w:tr>
      <w:tr w:rsidR="000953A8" w:rsidRPr="00E209B2" w:rsidTr="00113716">
        <w:tc>
          <w:tcPr>
            <w:tcW w:w="1364" w:type="pct"/>
            <w:tcBorders>
              <w:top w:val="single" w:sz="4" w:space="0" w:color="auto"/>
              <w:left w:val="single" w:sz="4" w:space="0" w:color="auto"/>
              <w:bottom w:val="single" w:sz="4" w:space="0" w:color="auto"/>
              <w:right w:val="single" w:sz="4" w:space="0" w:color="auto"/>
            </w:tcBorders>
            <w:hideMark/>
          </w:tcPr>
          <w:p w:rsidR="000953A8" w:rsidRPr="00E209B2" w:rsidRDefault="000953A8" w:rsidP="00113716">
            <w:pPr>
              <w:keepNext/>
              <w:jc w:val="left"/>
              <w:rPr>
                <w:rFonts w:ascii="Arial Narrow" w:hAnsi="Arial Narrow"/>
                <w:sz w:val="20"/>
              </w:rPr>
            </w:pPr>
            <w:r w:rsidRPr="00E209B2">
              <w:rPr>
                <w:rFonts w:ascii="Arial Narrow" w:hAnsi="Arial Narrow"/>
                <w:sz w:val="20"/>
              </w:rPr>
              <w:t>Stratified HR (95% CI)</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0.69 (0.556, 0.863)</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0.64 (0.494, 0.833)</w:t>
            </w:r>
          </w:p>
        </w:tc>
      </w:tr>
      <w:tr w:rsidR="000953A8" w:rsidRPr="00E209B2" w:rsidTr="00113716">
        <w:tc>
          <w:tcPr>
            <w:tcW w:w="1364" w:type="pct"/>
            <w:tcBorders>
              <w:top w:val="single" w:sz="4" w:space="0" w:color="auto"/>
              <w:left w:val="single" w:sz="4" w:space="0" w:color="auto"/>
              <w:bottom w:val="single" w:sz="4" w:space="0" w:color="auto"/>
              <w:right w:val="single" w:sz="4" w:space="0" w:color="auto"/>
            </w:tcBorders>
            <w:hideMark/>
          </w:tcPr>
          <w:p w:rsidR="000953A8" w:rsidRPr="00E209B2" w:rsidRDefault="000953A8" w:rsidP="00113716">
            <w:pPr>
              <w:keepNext/>
              <w:jc w:val="left"/>
              <w:rPr>
                <w:rFonts w:ascii="Arial Narrow" w:hAnsi="Arial Narrow"/>
                <w:sz w:val="20"/>
              </w:rPr>
            </w:pPr>
            <w:r w:rsidRPr="00E209B2">
              <w:rPr>
                <w:rFonts w:ascii="Arial Narrow" w:hAnsi="Arial Narrow"/>
                <w:sz w:val="20"/>
              </w:rPr>
              <w:t>1-sided p-value</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0.0005</w:t>
            </w:r>
          </w:p>
        </w:tc>
        <w:tc>
          <w:tcPr>
            <w:tcW w:w="23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953A8" w:rsidRPr="00E209B2" w:rsidRDefault="000953A8" w:rsidP="00113716">
            <w:pPr>
              <w:keepNext/>
              <w:jc w:val="center"/>
              <w:rPr>
                <w:rFonts w:ascii="Arial Narrow" w:hAnsi="Arial Narrow"/>
                <w:iCs/>
                <w:sz w:val="20"/>
              </w:rPr>
            </w:pPr>
            <w:r w:rsidRPr="00E209B2">
              <w:rPr>
                <w:rFonts w:ascii="Arial Narrow" w:hAnsi="Arial Narrow"/>
                <w:iCs/>
                <w:sz w:val="20"/>
              </w:rPr>
              <w:t>0.0004</w:t>
            </w:r>
          </w:p>
        </w:tc>
      </w:tr>
    </w:tbl>
    <w:p w:rsidR="000953A8" w:rsidRPr="00E209B2" w:rsidRDefault="000953A8" w:rsidP="000953A8">
      <w:pPr>
        <w:pStyle w:val="ExecSumBodyText"/>
        <w:numPr>
          <w:ilvl w:val="0"/>
          <w:numId w:val="0"/>
        </w:numPr>
        <w:rPr>
          <w:rFonts w:ascii="Arial Narrow" w:hAnsi="Arial Narrow"/>
          <w:sz w:val="20"/>
          <w:szCs w:val="20"/>
        </w:rPr>
      </w:pPr>
      <w:r w:rsidRPr="00E209B2">
        <w:rPr>
          <w:rFonts w:ascii="Arial Narrow" w:hAnsi="Arial Narrow"/>
          <w:sz w:val="20"/>
          <w:szCs w:val="20"/>
        </w:rPr>
        <w:t>Source: Table 1 of PSCR</w:t>
      </w:r>
    </w:p>
    <w:p w:rsidR="00963EFA" w:rsidRPr="00E209B2" w:rsidRDefault="000033FB" w:rsidP="00EC5836">
      <w:pPr>
        <w:pStyle w:val="ExecSumBodyText"/>
      </w:pPr>
      <w:r w:rsidRPr="00E209B2">
        <w:t xml:space="preserve">Table </w:t>
      </w:r>
      <w:r w:rsidR="005F2F14" w:rsidRPr="00E209B2">
        <w:t>8</w:t>
      </w:r>
      <w:r w:rsidRPr="00E209B2">
        <w:t xml:space="preserve"> presents the results for independent review committee and investigator-assessed best overall response for the JAVELIN Bladder 100 trial.</w:t>
      </w:r>
    </w:p>
    <w:p w:rsidR="000033FB" w:rsidRPr="00E209B2" w:rsidRDefault="000033FB" w:rsidP="000339E5">
      <w:pPr>
        <w:keepNext/>
        <w:keepLines/>
        <w:rPr>
          <w:color w:val="000000" w:themeColor="text1"/>
        </w:rPr>
      </w:pPr>
      <w:r w:rsidRPr="00E209B2">
        <w:rPr>
          <w:rFonts w:ascii="Arial Narrow" w:hAnsi="Arial Narrow"/>
          <w:b/>
          <w:snapToGrid w:val="0"/>
          <w:sz w:val="20"/>
          <w:szCs w:val="20"/>
        </w:rPr>
        <w:lastRenderedPageBreak/>
        <w:t xml:space="preserve">Table </w:t>
      </w:r>
      <w:r w:rsidR="005F2F14" w:rsidRPr="00E209B2">
        <w:rPr>
          <w:rFonts w:ascii="Arial Narrow" w:hAnsi="Arial Narrow"/>
          <w:b/>
          <w:snapToGrid w:val="0"/>
          <w:sz w:val="20"/>
          <w:szCs w:val="20"/>
        </w:rPr>
        <w:t>8</w:t>
      </w:r>
      <w:r w:rsidRPr="00E209B2">
        <w:rPr>
          <w:rFonts w:ascii="Arial Narrow" w:hAnsi="Arial Narrow"/>
          <w:b/>
          <w:snapToGrid w:val="0"/>
          <w:sz w:val="20"/>
          <w:szCs w:val="20"/>
        </w:rPr>
        <w:t>: Best overall response results for the JAVELIN Bladder 100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7"/>
        <w:gridCol w:w="2810"/>
        <w:gridCol w:w="2810"/>
      </w:tblGrid>
      <w:tr w:rsidR="000033FB" w:rsidRPr="00E209B2" w:rsidTr="001F7F81">
        <w:trPr>
          <w:trHeight w:val="349"/>
        </w:trPr>
        <w:tc>
          <w:tcPr>
            <w:tcW w:w="1884" w:type="pct"/>
            <w:shd w:val="clear" w:color="auto" w:fill="FFFFFF"/>
            <w:vAlign w:val="center"/>
          </w:tcPr>
          <w:p w:rsidR="000033FB" w:rsidRPr="00E209B2" w:rsidRDefault="000033FB" w:rsidP="000339E5">
            <w:pPr>
              <w:keepNext/>
              <w:keepLines/>
              <w:rPr>
                <w:rFonts w:ascii="Arial Narrow" w:hAnsi="Arial Narrow"/>
                <w:b/>
                <w:iCs/>
                <w:sz w:val="20"/>
                <w:szCs w:val="18"/>
              </w:rPr>
            </w:pPr>
            <w:r w:rsidRPr="00E209B2">
              <w:rPr>
                <w:rFonts w:ascii="Arial Narrow" w:hAnsi="Arial Narrow"/>
                <w:b/>
                <w:iCs/>
                <w:sz w:val="20"/>
                <w:szCs w:val="18"/>
              </w:rPr>
              <w:t>Cohort</w:t>
            </w:r>
          </w:p>
        </w:tc>
        <w:tc>
          <w:tcPr>
            <w:tcW w:w="1558" w:type="pct"/>
            <w:shd w:val="clear" w:color="auto" w:fill="FFFFFF"/>
          </w:tcPr>
          <w:p w:rsidR="000033FB" w:rsidRPr="00E209B2" w:rsidRDefault="000033FB" w:rsidP="000339E5">
            <w:pPr>
              <w:keepNext/>
              <w:keepLines/>
              <w:jc w:val="center"/>
              <w:rPr>
                <w:rFonts w:ascii="Arial Narrow" w:hAnsi="Arial Narrow"/>
                <w:b/>
                <w:iCs/>
                <w:sz w:val="20"/>
                <w:szCs w:val="18"/>
              </w:rPr>
            </w:pPr>
            <w:r w:rsidRPr="00E209B2">
              <w:rPr>
                <w:rFonts w:ascii="Arial Narrow" w:hAnsi="Arial Narrow"/>
                <w:b/>
                <w:iCs/>
                <w:sz w:val="20"/>
                <w:szCs w:val="18"/>
              </w:rPr>
              <w:t>AVE + BSC</w:t>
            </w:r>
          </w:p>
          <w:p w:rsidR="000033FB" w:rsidRPr="00E209B2" w:rsidRDefault="000033FB" w:rsidP="000339E5">
            <w:pPr>
              <w:keepNext/>
              <w:keepLines/>
              <w:jc w:val="center"/>
              <w:rPr>
                <w:rFonts w:ascii="Arial Narrow" w:hAnsi="Arial Narrow"/>
                <w:b/>
                <w:iCs/>
                <w:sz w:val="20"/>
                <w:szCs w:val="18"/>
              </w:rPr>
            </w:pPr>
            <w:r w:rsidRPr="00E209B2">
              <w:rPr>
                <w:rFonts w:ascii="Arial Narrow" w:hAnsi="Arial Narrow"/>
                <w:b/>
                <w:iCs/>
                <w:sz w:val="20"/>
                <w:szCs w:val="18"/>
              </w:rPr>
              <w:t>(N=350)</w:t>
            </w:r>
          </w:p>
        </w:tc>
        <w:tc>
          <w:tcPr>
            <w:tcW w:w="1558" w:type="pct"/>
            <w:shd w:val="clear" w:color="auto" w:fill="FFFFFF"/>
            <w:vAlign w:val="center"/>
          </w:tcPr>
          <w:p w:rsidR="000033FB" w:rsidRPr="00E209B2" w:rsidRDefault="000033FB" w:rsidP="000339E5">
            <w:pPr>
              <w:keepNext/>
              <w:keepLines/>
              <w:jc w:val="center"/>
              <w:rPr>
                <w:rFonts w:ascii="Arial Narrow" w:hAnsi="Arial Narrow"/>
                <w:b/>
                <w:iCs/>
                <w:sz w:val="20"/>
                <w:szCs w:val="18"/>
              </w:rPr>
            </w:pPr>
            <w:r w:rsidRPr="00E209B2">
              <w:rPr>
                <w:rFonts w:ascii="Arial Narrow" w:hAnsi="Arial Narrow"/>
                <w:b/>
                <w:iCs/>
                <w:sz w:val="20"/>
                <w:szCs w:val="18"/>
              </w:rPr>
              <w:t>BSC</w:t>
            </w:r>
          </w:p>
          <w:p w:rsidR="000033FB" w:rsidRPr="00E209B2" w:rsidRDefault="000033FB" w:rsidP="000339E5">
            <w:pPr>
              <w:keepNext/>
              <w:keepLines/>
              <w:jc w:val="center"/>
              <w:rPr>
                <w:rFonts w:ascii="Arial Narrow" w:hAnsi="Arial Narrow"/>
                <w:b/>
                <w:iCs/>
                <w:sz w:val="20"/>
                <w:szCs w:val="18"/>
              </w:rPr>
            </w:pPr>
            <w:r w:rsidRPr="00E209B2">
              <w:rPr>
                <w:rFonts w:ascii="Arial Narrow" w:hAnsi="Arial Narrow"/>
                <w:b/>
                <w:iCs/>
                <w:sz w:val="20"/>
                <w:szCs w:val="18"/>
              </w:rPr>
              <w:t>(N=350)</w:t>
            </w:r>
          </w:p>
        </w:tc>
      </w:tr>
      <w:tr w:rsidR="000033FB" w:rsidRPr="00E209B2" w:rsidTr="001F7F81">
        <w:trPr>
          <w:trHeight w:val="49"/>
        </w:trPr>
        <w:tc>
          <w:tcPr>
            <w:tcW w:w="1884" w:type="pct"/>
            <w:shd w:val="clear" w:color="auto" w:fill="FFFFFF"/>
            <w:vAlign w:val="center"/>
          </w:tcPr>
          <w:p w:rsidR="000033FB" w:rsidRPr="00E209B2" w:rsidRDefault="000033FB" w:rsidP="000339E5">
            <w:pPr>
              <w:keepNext/>
              <w:keepLines/>
              <w:jc w:val="left"/>
              <w:rPr>
                <w:rFonts w:ascii="Arial Narrow" w:hAnsi="Arial Narrow"/>
                <w:iCs/>
                <w:sz w:val="20"/>
              </w:rPr>
            </w:pPr>
            <w:r w:rsidRPr="00E209B2">
              <w:rPr>
                <w:rFonts w:ascii="Arial Narrow" w:hAnsi="Arial Narrow"/>
                <w:iCs/>
                <w:sz w:val="20"/>
              </w:rPr>
              <w:t>Median duration of follow-up, months (range)</w:t>
            </w:r>
          </w:p>
        </w:tc>
        <w:tc>
          <w:tcPr>
            <w:tcW w:w="1558" w:type="pct"/>
            <w:shd w:val="clear" w:color="auto" w:fill="FFFFFF"/>
            <w:vAlign w:val="center"/>
          </w:tcPr>
          <w:p w:rsidR="000033FB" w:rsidRPr="00E209B2" w:rsidRDefault="000033FB" w:rsidP="000339E5">
            <w:pPr>
              <w:keepNext/>
              <w:keepLines/>
              <w:jc w:val="center"/>
              <w:rPr>
                <w:rFonts w:ascii="Arial Narrow" w:hAnsi="Arial Narrow"/>
                <w:iCs/>
                <w:sz w:val="20"/>
              </w:rPr>
            </w:pPr>
            <w:r w:rsidRPr="00E209B2">
              <w:rPr>
                <w:rFonts w:ascii="Arial Narrow" w:hAnsi="Arial Narrow"/>
                <w:iCs/>
                <w:sz w:val="20"/>
              </w:rPr>
              <w:t xml:space="preserve">19.6 (18.0 - 20.6) </w:t>
            </w:r>
          </w:p>
        </w:tc>
        <w:tc>
          <w:tcPr>
            <w:tcW w:w="1558" w:type="pct"/>
            <w:shd w:val="clear" w:color="auto" w:fill="FFFFFF"/>
            <w:vAlign w:val="center"/>
          </w:tcPr>
          <w:p w:rsidR="000033FB" w:rsidRPr="00E209B2" w:rsidRDefault="000033FB" w:rsidP="000339E5">
            <w:pPr>
              <w:keepNext/>
              <w:keepLines/>
              <w:jc w:val="center"/>
              <w:rPr>
                <w:rFonts w:ascii="Arial Narrow" w:hAnsi="Arial Narrow"/>
                <w:iCs/>
                <w:sz w:val="20"/>
              </w:rPr>
            </w:pPr>
            <w:r w:rsidRPr="00E209B2">
              <w:rPr>
                <w:rFonts w:ascii="Arial Narrow" w:hAnsi="Arial Narrow"/>
                <w:iCs/>
                <w:sz w:val="20"/>
              </w:rPr>
              <w:t>19.2 (17.4 - 21.6)</w:t>
            </w:r>
          </w:p>
        </w:tc>
      </w:tr>
      <w:tr w:rsidR="000033FB" w:rsidRPr="00E209B2" w:rsidTr="001F7F81">
        <w:tc>
          <w:tcPr>
            <w:tcW w:w="5000" w:type="pct"/>
            <w:gridSpan w:val="3"/>
            <w:shd w:val="clear" w:color="auto" w:fill="FFFFFF"/>
          </w:tcPr>
          <w:p w:rsidR="000033FB" w:rsidRPr="00E209B2" w:rsidRDefault="000033FB" w:rsidP="000339E5">
            <w:pPr>
              <w:keepNext/>
              <w:keepLines/>
              <w:rPr>
                <w:rFonts w:ascii="Arial Narrow" w:hAnsi="Arial Narrow"/>
                <w:iCs/>
                <w:sz w:val="20"/>
              </w:rPr>
            </w:pPr>
            <w:r w:rsidRPr="00E209B2">
              <w:rPr>
                <w:rFonts w:ascii="Arial Narrow" w:hAnsi="Arial Narrow"/>
                <w:b/>
                <w:sz w:val="20"/>
              </w:rPr>
              <w:t>Independent review committee-assessed</w:t>
            </w:r>
          </w:p>
        </w:tc>
      </w:tr>
      <w:tr w:rsidR="000033FB" w:rsidRPr="00E209B2" w:rsidTr="001F7F81">
        <w:trPr>
          <w:trHeight w:val="1606"/>
        </w:trPr>
        <w:tc>
          <w:tcPr>
            <w:tcW w:w="1884" w:type="pct"/>
            <w:shd w:val="clear" w:color="auto" w:fill="FFFFFF" w:themeFill="background1"/>
            <w:vAlign w:val="center"/>
          </w:tcPr>
          <w:p w:rsidR="000033FB" w:rsidRPr="00E209B2" w:rsidRDefault="000033FB" w:rsidP="000339E5">
            <w:pPr>
              <w:keepNext/>
              <w:keepLines/>
              <w:jc w:val="left"/>
              <w:rPr>
                <w:rFonts w:ascii="Arial Narrow" w:hAnsi="Arial Narrow"/>
                <w:sz w:val="20"/>
              </w:rPr>
            </w:pPr>
            <w:r w:rsidRPr="00E209B2">
              <w:rPr>
                <w:rFonts w:ascii="Arial Narrow" w:hAnsi="Arial Narrow"/>
                <w:sz w:val="20"/>
              </w:rPr>
              <w:t>Best overall response, n (%)</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Complete response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Partial response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Stable disease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Non-CR/non-PD</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Progressive disease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Not evaluable</w:t>
            </w:r>
          </w:p>
        </w:tc>
        <w:tc>
          <w:tcPr>
            <w:tcW w:w="1558" w:type="pct"/>
            <w:shd w:val="clear" w:color="auto" w:fill="FFFFFF"/>
          </w:tcPr>
          <w:p w:rsidR="000033FB" w:rsidRPr="00E209B2" w:rsidRDefault="000033FB" w:rsidP="000339E5">
            <w:pPr>
              <w:pStyle w:val="TableText"/>
              <w:keepLines/>
              <w:jc w:val="center"/>
            </w:pPr>
          </w:p>
          <w:p w:rsidR="000033FB" w:rsidRPr="00E209B2" w:rsidRDefault="000033FB" w:rsidP="000339E5">
            <w:pPr>
              <w:pStyle w:val="TableText"/>
              <w:keepLines/>
              <w:jc w:val="center"/>
            </w:pPr>
            <w:r w:rsidRPr="00E209B2">
              <w:t>21 (6.0)</w:t>
            </w:r>
          </w:p>
          <w:p w:rsidR="000033FB" w:rsidRPr="00E209B2" w:rsidRDefault="000033FB" w:rsidP="000339E5">
            <w:pPr>
              <w:pStyle w:val="TableText"/>
              <w:keepLines/>
              <w:jc w:val="center"/>
              <w:rPr>
                <w:iCs/>
              </w:rPr>
            </w:pPr>
            <w:r w:rsidRPr="00E209B2">
              <w:t>13 (3.7)</w:t>
            </w:r>
          </w:p>
          <w:p w:rsidR="000033FB" w:rsidRPr="00E209B2" w:rsidRDefault="000033FB" w:rsidP="000339E5">
            <w:pPr>
              <w:pStyle w:val="TableText"/>
              <w:keepLines/>
              <w:jc w:val="center"/>
              <w:rPr>
                <w:iCs/>
              </w:rPr>
            </w:pPr>
            <w:r w:rsidRPr="00E209B2">
              <w:t>44 (12.6)</w:t>
            </w:r>
          </w:p>
          <w:p w:rsidR="000033FB" w:rsidRPr="00E209B2" w:rsidRDefault="000033FB" w:rsidP="000339E5">
            <w:pPr>
              <w:pStyle w:val="TableText"/>
              <w:keepLines/>
              <w:jc w:val="center"/>
              <w:rPr>
                <w:iCs/>
              </w:rPr>
            </w:pPr>
            <w:r w:rsidRPr="00E209B2">
              <w:t>66 (18.9)</w:t>
            </w:r>
          </w:p>
          <w:p w:rsidR="000033FB" w:rsidRPr="00E209B2" w:rsidRDefault="000033FB" w:rsidP="000339E5">
            <w:pPr>
              <w:pStyle w:val="TableText"/>
              <w:keepLines/>
              <w:jc w:val="center"/>
              <w:rPr>
                <w:iCs/>
              </w:rPr>
            </w:pPr>
            <w:r w:rsidRPr="00E209B2">
              <w:t>130 (37.1)</w:t>
            </w:r>
          </w:p>
          <w:p w:rsidR="000033FB" w:rsidRPr="00E209B2" w:rsidRDefault="000033FB" w:rsidP="000339E5">
            <w:pPr>
              <w:pStyle w:val="TableText"/>
              <w:keepLines/>
              <w:jc w:val="center"/>
            </w:pPr>
            <w:r w:rsidRPr="00E209B2">
              <w:t>76 (21.7)</w:t>
            </w:r>
          </w:p>
        </w:tc>
        <w:tc>
          <w:tcPr>
            <w:tcW w:w="1558" w:type="pct"/>
            <w:shd w:val="clear" w:color="auto" w:fill="FFFFFF"/>
          </w:tcPr>
          <w:p w:rsidR="000033FB" w:rsidRPr="00E209B2" w:rsidRDefault="000033FB" w:rsidP="000339E5">
            <w:pPr>
              <w:pStyle w:val="TableText"/>
              <w:keepLines/>
              <w:jc w:val="center"/>
            </w:pPr>
          </w:p>
          <w:p w:rsidR="000033FB" w:rsidRPr="00E209B2" w:rsidRDefault="000033FB" w:rsidP="000339E5">
            <w:pPr>
              <w:pStyle w:val="TableText"/>
              <w:keepLines/>
              <w:jc w:val="center"/>
            </w:pPr>
            <w:r w:rsidRPr="00E209B2">
              <w:t>3 (0.9)</w:t>
            </w:r>
          </w:p>
          <w:p w:rsidR="000033FB" w:rsidRPr="00E209B2" w:rsidRDefault="000033FB" w:rsidP="000339E5">
            <w:pPr>
              <w:pStyle w:val="TableText"/>
              <w:keepLines/>
              <w:jc w:val="center"/>
              <w:rPr>
                <w:iCs/>
              </w:rPr>
            </w:pPr>
            <w:r w:rsidRPr="00E209B2">
              <w:t>2 (0.6)</w:t>
            </w:r>
          </w:p>
          <w:p w:rsidR="000033FB" w:rsidRPr="00E209B2" w:rsidRDefault="000033FB" w:rsidP="000339E5">
            <w:pPr>
              <w:pStyle w:val="TableText"/>
              <w:keepLines/>
              <w:jc w:val="center"/>
              <w:rPr>
                <w:iCs/>
              </w:rPr>
            </w:pPr>
            <w:r w:rsidRPr="00E209B2">
              <w:t>46 (13.1)</w:t>
            </w:r>
          </w:p>
          <w:p w:rsidR="000033FB" w:rsidRPr="00E209B2" w:rsidRDefault="000033FB" w:rsidP="000339E5">
            <w:pPr>
              <w:pStyle w:val="TableText"/>
              <w:keepLines/>
              <w:jc w:val="center"/>
              <w:rPr>
                <w:iCs/>
              </w:rPr>
            </w:pPr>
            <w:r w:rsidRPr="00E209B2">
              <w:t>45 (12.9)</w:t>
            </w:r>
          </w:p>
          <w:p w:rsidR="000033FB" w:rsidRPr="00E209B2" w:rsidRDefault="000033FB" w:rsidP="000339E5">
            <w:pPr>
              <w:pStyle w:val="TableText"/>
              <w:keepLines/>
              <w:jc w:val="center"/>
              <w:rPr>
                <w:iCs/>
              </w:rPr>
            </w:pPr>
            <w:r w:rsidRPr="00E209B2">
              <w:t>169 (48.3)</w:t>
            </w:r>
          </w:p>
          <w:p w:rsidR="000033FB" w:rsidRPr="00E209B2" w:rsidRDefault="000033FB" w:rsidP="000339E5">
            <w:pPr>
              <w:pStyle w:val="TableText"/>
              <w:keepLines/>
              <w:jc w:val="center"/>
            </w:pPr>
            <w:r w:rsidRPr="00E209B2">
              <w:t>85 (24.3)</w:t>
            </w:r>
          </w:p>
        </w:tc>
      </w:tr>
      <w:tr w:rsidR="000033FB" w:rsidRPr="00E209B2" w:rsidTr="001F7F81">
        <w:tc>
          <w:tcPr>
            <w:tcW w:w="1884" w:type="pct"/>
            <w:vAlign w:val="center"/>
          </w:tcPr>
          <w:p w:rsidR="000033FB" w:rsidRPr="00E209B2" w:rsidRDefault="000033FB" w:rsidP="000339E5">
            <w:pPr>
              <w:keepNext/>
              <w:keepLines/>
              <w:jc w:val="left"/>
              <w:rPr>
                <w:rFonts w:ascii="Arial Narrow" w:hAnsi="Arial Narrow"/>
                <w:sz w:val="20"/>
              </w:rPr>
            </w:pPr>
            <w:r w:rsidRPr="00E209B2">
              <w:rPr>
                <w:rFonts w:ascii="Arial Narrow" w:hAnsi="Arial Narrow"/>
                <w:sz w:val="20"/>
              </w:rPr>
              <w:t>Objective response (CR+PR), n (%)</w:t>
            </w:r>
          </w:p>
        </w:tc>
        <w:tc>
          <w:tcPr>
            <w:tcW w:w="1558" w:type="pct"/>
          </w:tcPr>
          <w:p w:rsidR="000033FB" w:rsidRPr="00E209B2" w:rsidRDefault="000033FB" w:rsidP="000339E5">
            <w:pPr>
              <w:pStyle w:val="TableText"/>
              <w:keepLines/>
              <w:jc w:val="center"/>
              <w:rPr>
                <w:iCs/>
              </w:rPr>
            </w:pPr>
            <w:r w:rsidRPr="00E209B2">
              <w:t>34 (9.7)</w:t>
            </w:r>
          </w:p>
        </w:tc>
        <w:tc>
          <w:tcPr>
            <w:tcW w:w="1558" w:type="pct"/>
          </w:tcPr>
          <w:p w:rsidR="000033FB" w:rsidRPr="00E209B2" w:rsidRDefault="000033FB" w:rsidP="000339E5">
            <w:pPr>
              <w:pStyle w:val="TableText"/>
              <w:keepLines/>
              <w:jc w:val="center"/>
              <w:rPr>
                <w:iCs/>
              </w:rPr>
            </w:pPr>
            <w:r w:rsidRPr="00E209B2">
              <w:t>5 (1.4)</w:t>
            </w:r>
          </w:p>
        </w:tc>
      </w:tr>
      <w:tr w:rsidR="000033FB" w:rsidRPr="00E209B2" w:rsidTr="001F7F81">
        <w:tc>
          <w:tcPr>
            <w:tcW w:w="1884" w:type="pct"/>
            <w:vAlign w:val="center"/>
          </w:tcPr>
          <w:p w:rsidR="000033FB" w:rsidRPr="00E209B2" w:rsidRDefault="000033FB" w:rsidP="000339E5">
            <w:pPr>
              <w:keepNext/>
              <w:keepLines/>
              <w:rPr>
                <w:rFonts w:ascii="Arial Narrow" w:hAnsi="Arial Narrow"/>
                <w:sz w:val="20"/>
              </w:rPr>
            </w:pPr>
            <w:r w:rsidRPr="00E209B2">
              <w:rPr>
                <w:rFonts w:ascii="Arial Narrow" w:hAnsi="Arial Narrow"/>
                <w:sz w:val="20"/>
              </w:rPr>
              <w:t>Objective response, odds ratio (95% CI)</w:t>
            </w:r>
          </w:p>
        </w:tc>
        <w:tc>
          <w:tcPr>
            <w:tcW w:w="3116" w:type="pct"/>
            <w:gridSpan w:val="2"/>
          </w:tcPr>
          <w:p w:rsidR="000033FB" w:rsidRPr="00E209B2" w:rsidRDefault="000033FB" w:rsidP="000339E5">
            <w:pPr>
              <w:pStyle w:val="TableText"/>
              <w:keepLines/>
              <w:jc w:val="center"/>
            </w:pPr>
            <w:r w:rsidRPr="00E209B2">
              <w:t>7.464 (2.824, 24.445)</w:t>
            </w:r>
          </w:p>
        </w:tc>
      </w:tr>
      <w:tr w:rsidR="000033FB" w:rsidRPr="00E209B2" w:rsidTr="001F7F81">
        <w:tc>
          <w:tcPr>
            <w:tcW w:w="5000" w:type="pct"/>
            <w:gridSpan w:val="3"/>
          </w:tcPr>
          <w:p w:rsidR="000033FB" w:rsidRPr="00E209B2" w:rsidRDefault="000033FB" w:rsidP="000339E5">
            <w:pPr>
              <w:keepNext/>
              <w:keepLines/>
              <w:rPr>
                <w:rFonts w:ascii="Arial Narrow" w:hAnsi="Arial Narrow"/>
                <w:b/>
                <w:iCs/>
                <w:sz w:val="20"/>
              </w:rPr>
            </w:pPr>
            <w:r w:rsidRPr="00E209B2">
              <w:rPr>
                <w:rFonts w:ascii="Arial Narrow" w:hAnsi="Arial Narrow"/>
                <w:b/>
                <w:iCs/>
                <w:sz w:val="20"/>
              </w:rPr>
              <w:t>Investigator-assessed</w:t>
            </w:r>
          </w:p>
        </w:tc>
      </w:tr>
      <w:tr w:rsidR="000033FB" w:rsidRPr="00E209B2" w:rsidTr="001F7F81">
        <w:trPr>
          <w:trHeight w:val="1625"/>
        </w:trPr>
        <w:tc>
          <w:tcPr>
            <w:tcW w:w="1884" w:type="pct"/>
            <w:shd w:val="clear" w:color="auto" w:fill="FFFFFF" w:themeFill="background1"/>
            <w:vAlign w:val="center"/>
          </w:tcPr>
          <w:p w:rsidR="000033FB" w:rsidRPr="00E209B2" w:rsidRDefault="000033FB" w:rsidP="000339E5">
            <w:pPr>
              <w:keepNext/>
              <w:keepLines/>
              <w:jc w:val="left"/>
              <w:rPr>
                <w:rFonts w:ascii="Arial Narrow" w:hAnsi="Arial Narrow"/>
                <w:sz w:val="20"/>
              </w:rPr>
            </w:pPr>
            <w:r w:rsidRPr="00E209B2">
              <w:rPr>
                <w:rFonts w:ascii="Arial Narrow" w:hAnsi="Arial Narrow"/>
                <w:sz w:val="20"/>
              </w:rPr>
              <w:t>Best overall response, n (%)</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Complete response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Partial response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Stable disease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Non-CR/non-PD</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Progressive disease</w:t>
            </w:r>
          </w:p>
          <w:p w:rsidR="000033FB" w:rsidRPr="00E209B2" w:rsidRDefault="000033FB" w:rsidP="000339E5">
            <w:pPr>
              <w:pStyle w:val="ListParagraph"/>
              <w:keepNext/>
              <w:keepLines/>
              <w:numPr>
                <w:ilvl w:val="0"/>
                <w:numId w:val="5"/>
              </w:numPr>
              <w:ind w:left="249" w:hanging="77"/>
              <w:jc w:val="left"/>
              <w:rPr>
                <w:rFonts w:ascii="Arial Narrow" w:hAnsi="Arial Narrow"/>
                <w:sz w:val="20"/>
              </w:rPr>
            </w:pPr>
            <w:r w:rsidRPr="00E209B2">
              <w:rPr>
                <w:rFonts w:ascii="Arial Narrow" w:hAnsi="Arial Narrow"/>
                <w:sz w:val="20"/>
              </w:rPr>
              <w:t>Not evaluable</w:t>
            </w:r>
          </w:p>
        </w:tc>
        <w:tc>
          <w:tcPr>
            <w:tcW w:w="1558" w:type="pct"/>
            <w:shd w:val="clear" w:color="auto" w:fill="FFFFFF"/>
          </w:tcPr>
          <w:p w:rsidR="000033FB" w:rsidRPr="00E209B2" w:rsidRDefault="000033FB" w:rsidP="000339E5">
            <w:pPr>
              <w:pStyle w:val="TableText"/>
              <w:keepLines/>
              <w:jc w:val="center"/>
              <w:rPr>
                <w:iCs/>
              </w:rPr>
            </w:pPr>
          </w:p>
          <w:p w:rsidR="000033FB" w:rsidRPr="00E209B2" w:rsidRDefault="000033FB" w:rsidP="000339E5">
            <w:pPr>
              <w:pStyle w:val="TableText"/>
              <w:keepLines/>
              <w:jc w:val="center"/>
              <w:rPr>
                <w:iCs/>
              </w:rPr>
            </w:pPr>
            <w:r w:rsidRPr="00E209B2">
              <w:rPr>
                <w:iCs/>
              </w:rPr>
              <w:t>22 (6.3)</w:t>
            </w:r>
          </w:p>
          <w:p w:rsidR="000033FB" w:rsidRPr="00E209B2" w:rsidRDefault="000033FB" w:rsidP="000339E5">
            <w:pPr>
              <w:pStyle w:val="TableText"/>
              <w:keepLines/>
              <w:jc w:val="center"/>
              <w:rPr>
                <w:iCs/>
              </w:rPr>
            </w:pPr>
            <w:r w:rsidRPr="00E209B2">
              <w:rPr>
                <w:iCs/>
              </w:rPr>
              <w:t>21 (6.0)</w:t>
            </w:r>
          </w:p>
          <w:p w:rsidR="000033FB" w:rsidRPr="00E209B2" w:rsidRDefault="000033FB" w:rsidP="000339E5">
            <w:pPr>
              <w:pStyle w:val="TableText"/>
              <w:keepLines/>
              <w:jc w:val="center"/>
              <w:rPr>
                <w:iCs/>
              </w:rPr>
            </w:pPr>
            <w:r w:rsidRPr="00E209B2">
              <w:rPr>
                <w:iCs/>
              </w:rPr>
              <w:t>78 (22.3)</w:t>
            </w:r>
          </w:p>
          <w:p w:rsidR="000033FB" w:rsidRPr="00E209B2" w:rsidRDefault="000033FB" w:rsidP="000339E5">
            <w:pPr>
              <w:pStyle w:val="TableText"/>
              <w:keepLines/>
              <w:jc w:val="center"/>
              <w:rPr>
                <w:iCs/>
              </w:rPr>
            </w:pPr>
            <w:r w:rsidRPr="00E209B2">
              <w:rPr>
                <w:iCs/>
              </w:rPr>
              <w:t>57 (16.3)</w:t>
            </w:r>
          </w:p>
          <w:p w:rsidR="000033FB" w:rsidRPr="00E209B2" w:rsidRDefault="000033FB" w:rsidP="000339E5">
            <w:pPr>
              <w:pStyle w:val="TableText"/>
              <w:keepLines/>
              <w:jc w:val="center"/>
              <w:rPr>
                <w:iCs/>
              </w:rPr>
            </w:pPr>
            <w:r w:rsidRPr="00E209B2">
              <w:rPr>
                <w:iCs/>
              </w:rPr>
              <w:t>102 (29.1)</w:t>
            </w:r>
          </w:p>
          <w:p w:rsidR="000033FB" w:rsidRPr="00E209B2" w:rsidRDefault="000033FB" w:rsidP="000339E5">
            <w:pPr>
              <w:pStyle w:val="TableText"/>
              <w:keepLines/>
              <w:jc w:val="center"/>
              <w:rPr>
                <w:iCs/>
              </w:rPr>
            </w:pPr>
            <w:r w:rsidRPr="00E209B2">
              <w:rPr>
                <w:iCs/>
              </w:rPr>
              <w:t>70 (20.0)</w:t>
            </w:r>
          </w:p>
        </w:tc>
        <w:tc>
          <w:tcPr>
            <w:tcW w:w="1558" w:type="pct"/>
            <w:shd w:val="clear" w:color="auto" w:fill="FFFFFF"/>
          </w:tcPr>
          <w:p w:rsidR="000033FB" w:rsidRPr="00E209B2" w:rsidRDefault="000033FB" w:rsidP="000339E5">
            <w:pPr>
              <w:pStyle w:val="TableText"/>
              <w:keepLines/>
              <w:jc w:val="center"/>
              <w:rPr>
                <w:iCs/>
              </w:rPr>
            </w:pPr>
          </w:p>
          <w:p w:rsidR="000033FB" w:rsidRPr="00E209B2" w:rsidRDefault="000033FB" w:rsidP="000339E5">
            <w:pPr>
              <w:pStyle w:val="TableText"/>
              <w:keepLines/>
              <w:jc w:val="center"/>
              <w:rPr>
                <w:iCs/>
              </w:rPr>
            </w:pPr>
            <w:r w:rsidRPr="00E209B2">
              <w:rPr>
                <w:iCs/>
              </w:rPr>
              <w:t>5 (1.4)</w:t>
            </w:r>
          </w:p>
          <w:p w:rsidR="000033FB" w:rsidRPr="00E209B2" w:rsidRDefault="000033FB" w:rsidP="000339E5">
            <w:pPr>
              <w:pStyle w:val="TableText"/>
              <w:keepLines/>
              <w:jc w:val="center"/>
              <w:rPr>
                <w:iCs/>
              </w:rPr>
            </w:pPr>
            <w:r w:rsidRPr="00E209B2">
              <w:rPr>
                <w:iCs/>
              </w:rPr>
              <w:t>7 (2.0)</w:t>
            </w:r>
          </w:p>
          <w:p w:rsidR="000033FB" w:rsidRPr="00E209B2" w:rsidRDefault="000033FB" w:rsidP="000339E5">
            <w:pPr>
              <w:pStyle w:val="TableText"/>
              <w:keepLines/>
              <w:jc w:val="center"/>
              <w:rPr>
                <w:iCs/>
              </w:rPr>
            </w:pPr>
            <w:r w:rsidRPr="00E209B2">
              <w:rPr>
                <w:iCs/>
              </w:rPr>
              <w:t>52 (14.9)</w:t>
            </w:r>
          </w:p>
          <w:p w:rsidR="000033FB" w:rsidRPr="00E209B2" w:rsidRDefault="000033FB" w:rsidP="000339E5">
            <w:pPr>
              <w:pStyle w:val="TableText"/>
              <w:keepLines/>
              <w:jc w:val="center"/>
              <w:rPr>
                <w:iCs/>
              </w:rPr>
            </w:pPr>
            <w:r w:rsidRPr="00E209B2">
              <w:rPr>
                <w:iCs/>
              </w:rPr>
              <w:t>55 (15.7)</w:t>
            </w:r>
          </w:p>
          <w:p w:rsidR="000033FB" w:rsidRPr="00E209B2" w:rsidRDefault="000033FB" w:rsidP="000339E5">
            <w:pPr>
              <w:pStyle w:val="TableText"/>
              <w:keepLines/>
              <w:jc w:val="center"/>
              <w:rPr>
                <w:iCs/>
              </w:rPr>
            </w:pPr>
            <w:r w:rsidRPr="00E209B2">
              <w:rPr>
                <w:iCs/>
              </w:rPr>
              <w:t>168 (48.0)</w:t>
            </w:r>
          </w:p>
          <w:p w:rsidR="000033FB" w:rsidRPr="00E209B2" w:rsidRDefault="000033FB" w:rsidP="000339E5">
            <w:pPr>
              <w:pStyle w:val="TableText"/>
              <w:keepLines/>
              <w:jc w:val="center"/>
              <w:rPr>
                <w:iCs/>
              </w:rPr>
            </w:pPr>
            <w:r w:rsidRPr="00E209B2">
              <w:rPr>
                <w:iCs/>
              </w:rPr>
              <w:t>63 (18.0)</w:t>
            </w:r>
          </w:p>
        </w:tc>
      </w:tr>
      <w:tr w:rsidR="000033FB" w:rsidRPr="00E209B2" w:rsidTr="001F7F81">
        <w:trPr>
          <w:trHeight w:val="46"/>
        </w:trPr>
        <w:tc>
          <w:tcPr>
            <w:tcW w:w="1884" w:type="pct"/>
            <w:vAlign w:val="center"/>
          </w:tcPr>
          <w:p w:rsidR="000033FB" w:rsidRPr="00E209B2" w:rsidRDefault="000033FB" w:rsidP="000339E5">
            <w:pPr>
              <w:keepNext/>
              <w:keepLines/>
              <w:jc w:val="left"/>
              <w:rPr>
                <w:rFonts w:ascii="Arial Narrow" w:hAnsi="Arial Narrow"/>
                <w:sz w:val="20"/>
              </w:rPr>
            </w:pPr>
            <w:r w:rsidRPr="00E209B2">
              <w:rPr>
                <w:rFonts w:ascii="Arial Narrow" w:hAnsi="Arial Narrow"/>
                <w:sz w:val="20"/>
              </w:rPr>
              <w:t>Objective response (CR+PR), n (%)</w:t>
            </w:r>
          </w:p>
        </w:tc>
        <w:tc>
          <w:tcPr>
            <w:tcW w:w="1558" w:type="pct"/>
          </w:tcPr>
          <w:p w:rsidR="000033FB" w:rsidRPr="00E209B2" w:rsidRDefault="000033FB" w:rsidP="000339E5">
            <w:pPr>
              <w:pStyle w:val="TableText"/>
              <w:keepLines/>
              <w:jc w:val="center"/>
              <w:rPr>
                <w:iCs/>
              </w:rPr>
            </w:pPr>
            <w:r w:rsidRPr="00E209B2">
              <w:rPr>
                <w:iCs/>
              </w:rPr>
              <w:t>43 (12.3)</w:t>
            </w:r>
          </w:p>
        </w:tc>
        <w:tc>
          <w:tcPr>
            <w:tcW w:w="1558" w:type="pct"/>
          </w:tcPr>
          <w:p w:rsidR="000033FB" w:rsidRPr="00E209B2" w:rsidRDefault="000033FB" w:rsidP="000339E5">
            <w:pPr>
              <w:pStyle w:val="TableText"/>
              <w:keepLines/>
              <w:jc w:val="center"/>
              <w:rPr>
                <w:iCs/>
                <w:highlight w:val="yellow"/>
              </w:rPr>
            </w:pPr>
            <w:r w:rsidRPr="00E209B2">
              <w:rPr>
                <w:iCs/>
              </w:rPr>
              <w:t>12 (3.4)</w:t>
            </w:r>
          </w:p>
        </w:tc>
      </w:tr>
      <w:tr w:rsidR="000033FB" w:rsidRPr="00E209B2" w:rsidTr="001F7F81">
        <w:trPr>
          <w:trHeight w:val="46"/>
        </w:trPr>
        <w:tc>
          <w:tcPr>
            <w:tcW w:w="1884" w:type="pct"/>
            <w:vAlign w:val="center"/>
          </w:tcPr>
          <w:p w:rsidR="000033FB" w:rsidRPr="00E209B2" w:rsidRDefault="000033FB" w:rsidP="000339E5">
            <w:pPr>
              <w:keepNext/>
              <w:keepLines/>
              <w:jc w:val="left"/>
              <w:rPr>
                <w:rFonts w:ascii="Arial Narrow" w:hAnsi="Arial Narrow"/>
                <w:sz w:val="20"/>
              </w:rPr>
            </w:pPr>
            <w:r w:rsidRPr="00E209B2">
              <w:rPr>
                <w:rFonts w:ascii="Arial Narrow" w:hAnsi="Arial Narrow"/>
                <w:sz w:val="20"/>
              </w:rPr>
              <w:t>Objective response, odds ratio (95% CI)</w:t>
            </w:r>
          </w:p>
        </w:tc>
        <w:tc>
          <w:tcPr>
            <w:tcW w:w="3116" w:type="pct"/>
            <w:gridSpan w:val="2"/>
          </w:tcPr>
          <w:p w:rsidR="000033FB" w:rsidRPr="00E209B2" w:rsidRDefault="000033FB" w:rsidP="000339E5">
            <w:pPr>
              <w:pStyle w:val="TableText"/>
              <w:keepLines/>
              <w:jc w:val="center"/>
              <w:rPr>
                <w:iCs/>
              </w:rPr>
            </w:pPr>
            <w:r w:rsidRPr="00E209B2">
              <w:t>3.939 (1.989, 8.327)</w:t>
            </w:r>
          </w:p>
        </w:tc>
      </w:tr>
    </w:tbl>
    <w:p w:rsidR="000033FB" w:rsidRPr="00E209B2" w:rsidRDefault="000033FB" w:rsidP="000339E5">
      <w:pPr>
        <w:pStyle w:val="TableFooter"/>
        <w:keepNext/>
        <w:keepLines/>
      </w:pPr>
      <w:r w:rsidRPr="00E209B2">
        <w:t>Source: Table 2.5-4, p72 of the submission; Table 17, pp75-76 of Appendix 1A of the submission; Table 14.2.1.1, pp11-13 of Appendix 1C of the submission.</w:t>
      </w:r>
    </w:p>
    <w:p w:rsidR="000033FB" w:rsidRPr="00E209B2" w:rsidRDefault="000033FB" w:rsidP="000339E5">
      <w:pPr>
        <w:pStyle w:val="TableFooter"/>
        <w:keepNext/>
        <w:keepLines/>
        <w:rPr>
          <w:color w:val="000000" w:themeColor="text1"/>
        </w:rPr>
      </w:pPr>
      <w:r w:rsidRPr="00E209B2">
        <w:t>Abbreviations: AVE, avelumab; BSC, best supportive care; CI, confidence interval; CR, complete response; PD, progressive disease; PR, partial response.</w:t>
      </w:r>
    </w:p>
    <w:p w:rsidR="000033FB" w:rsidRPr="00E209B2" w:rsidRDefault="000033FB" w:rsidP="00EC5836">
      <w:pPr>
        <w:pStyle w:val="ExecSumBodyText"/>
      </w:pPr>
      <w:r w:rsidRPr="00E209B2">
        <w:rPr>
          <w:snapToGrid/>
        </w:rPr>
        <w:t>Based on the independent review committee-assessed outcomes, the overall response rate was statistically significantly higher in the avelumab + BSC arm (9.7%) compared to the BSC arm (1.4%; odds ratio 7.46, 95% CI: 2.82-24.44).</w:t>
      </w:r>
    </w:p>
    <w:p w:rsidR="000033FB" w:rsidRPr="00E209B2" w:rsidRDefault="000033FB" w:rsidP="00EC5836">
      <w:pPr>
        <w:pStyle w:val="ExecSumBodyText"/>
      </w:pPr>
      <w:r w:rsidRPr="00E209B2">
        <w:rPr>
          <w:snapToGrid/>
        </w:rPr>
        <w:t>Results based on investigator-assessed outcomes were generally consistent with the independent review committee-assessed results, with slightly higher proportions of patients achieving objective responses in each arm (12.3% in the avelumab + BSC arm versus 3.4% in the BSC arm; odds ratio 3.94 [95% CI: 1.99-8.33]).</w:t>
      </w:r>
    </w:p>
    <w:p w:rsidR="000033FB" w:rsidRPr="00E209B2" w:rsidRDefault="00244EF1" w:rsidP="00EC5836">
      <w:pPr>
        <w:pStyle w:val="ExecSumBodyText"/>
      </w:pPr>
      <w:r w:rsidRPr="00E209B2">
        <w:t xml:space="preserve">Table </w:t>
      </w:r>
      <w:r w:rsidR="005F2F14" w:rsidRPr="00E209B2">
        <w:t>9</w:t>
      </w:r>
      <w:r w:rsidRPr="00E209B2">
        <w:t xml:space="preserve"> presents the results </w:t>
      </w:r>
      <w:r w:rsidR="00FD53E0" w:rsidRPr="00E209B2">
        <w:t>of</w:t>
      </w:r>
      <w:r w:rsidRPr="00E209B2">
        <w:t xml:space="preserve"> patient reported outcomes in the JAVELIN Bladder 100 trial. </w:t>
      </w:r>
    </w:p>
    <w:p w:rsidR="00CD3099" w:rsidRPr="00E209B2" w:rsidRDefault="00CD3099">
      <w:pPr>
        <w:jc w:val="left"/>
        <w:rPr>
          <w:rFonts w:ascii="Arial Narrow" w:hAnsi="Arial Narrow"/>
          <w:b/>
          <w:snapToGrid w:val="0"/>
          <w:sz w:val="20"/>
          <w:szCs w:val="20"/>
        </w:rPr>
      </w:pPr>
      <w:r w:rsidRPr="00E209B2">
        <w:rPr>
          <w:rFonts w:ascii="Arial Narrow" w:hAnsi="Arial Narrow"/>
          <w:b/>
          <w:snapToGrid w:val="0"/>
          <w:sz w:val="20"/>
          <w:szCs w:val="20"/>
        </w:rPr>
        <w:br w:type="page"/>
      </w:r>
    </w:p>
    <w:p w:rsidR="00244EF1" w:rsidRPr="00E209B2" w:rsidRDefault="00244EF1" w:rsidP="00244EF1">
      <w:pPr>
        <w:keepNext/>
        <w:rPr>
          <w:color w:val="000000" w:themeColor="text1"/>
        </w:rPr>
      </w:pPr>
      <w:r w:rsidRPr="00E209B2">
        <w:rPr>
          <w:rFonts w:ascii="Arial Narrow" w:hAnsi="Arial Narrow"/>
          <w:b/>
          <w:snapToGrid w:val="0"/>
          <w:sz w:val="20"/>
          <w:szCs w:val="20"/>
        </w:rPr>
        <w:lastRenderedPageBreak/>
        <w:t xml:space="preserve">Table </w:t>
      </w:r>
      <w:r w:rsidR="005F2F14" w:rsidRPr="00E209B2">
        <w:rPr>
          <w:rFonts w:ascii="Arial Narrow" w:hAnsi="Arial Narrow"/>
          <w:b/>
          <w:snapToGrid w:val="0"/>
          <w:sz w:val="20"/>
          <w:szCs w:val="20"/>
        </w:rPr>
        <w:t>9</w:t>
      </w:r>
      <w:r w:rsidRPr="00E209B2">
        <w:rPr>
          <w:rFonts w:ascii="Arial Narrow" w:hAnsi="Arial Narrow"/>
          <w:b/>
          <w:snapToGrid w:val="0"/>
          <w:sz w:val="20"/>
          <w:szCs w:val="20"/>
        </w:rPr>
        <w:t xml:space="preserve">: Patient reported outcomes </w:t>
      </w:r>
      <w:r w:rsidR="005D4C46" w:rsidRPr="00E209B2">
        <w:rPr>
          <w:rFonts w:ascii="Arial Narrow" w:hAnsi="Arial Narrow"/>
          <w:b/>
          <w:snapToGrid w:val="0"/>
          <w:sz w:val="20"/>
          <w:szCs w:val="20"/>
        </w:rPr>
        <w:t>reported</w:t>
      </w:r>
      <w:r w:rsidRPr="00E209B2">
        <w:rPr>
          <w:rFonts w:ascii="Arial Narrow" w:hAnsi="Arial Narrow"/>
          <w:b/>
          <w:snapToGrid w:val="0"/>
          <w:sz w:val="20"/>
          <w:szCs w:val="20"/>
        </w:rPr>
        <w:t xml:space="preserve"> in the JAVELIN Bladder 100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0"/>
        <w:gridCol w:w="2061"/>
        <w:gridCol w:w="2061"/>
        <w:gridCol w:w="2065"/>
      </w:tblGrid>
      <w:tr w:rsidR="00244EF1" w:rsidRPr="00E209B2" w:rsidTr="001F7F81">
        <w:trPr>
          <w:trHeight w:val="349"/>
        </w:trPr>
        <w:tc>
          <w:tcPr>
            <w:tcW w:w="1569" w:type="pct"/>
            <w:shd w:val="clear" w:color="auto" w:fill="FFFFFF"/>
            <w:vAlign w:val="center"/>
          </w:tcPr>
          <w:p w:rsidR="00244EF1" w:rsidRPr="00E209B2" w:rsidRDefault="00244EF1" w:rsidP="001F7F81">
            <w:pPr>
              <w:pStyle w:val="TableText"/>
              <w:rPr>
                <w:b/>
                <w:bCs w:val="0"/>
              </w:rPr>
            </w:pPr>
          </w:p>
        </w:tc>
        <w:tc>
          <w:tcPr>
            <w:tcW w:w="1143" w:type="pct"/>
            <w:shd w:val="clear" w:color="auto" w:fill="FFFFFF"/>
            <w:vAlign w:val="center"/>
          </w:tcPr>
          <w:p w:rsidR="00244EF1" w:rsidRPr="00E209B2" w:rsidRDefault="00244EF1" w:rsidP="001F7F81">
            <w:pPr>
              <w:pStyle w:val="TableText"/>
              <w:jc w:val="center"/>
              <w:rPr>
                <w:b/>
                <w:bCs w:val="0"/>
              </w:rPr>
            </w:pPr>
            <w:r w:rsidRPr="00E209B2">
              <w:rPr>
                <w:b/>
                <w:bCs w:val="0"/>
              </w:rPr>
              <w:t>AVE + BSC</w:t>
            </w:r>
          </w:p>
        </w:tc>
        <w:tc>
          <w:tcPr>
            <w:tcW w:w="1143" w:type="pct"/>
            <w:shd w:val="clear" w:color="auto" w:fill="FFFFFF"/>
            <w:vAlign w:val="center"/>
          </w:tcPr>
          <w:p w:rsidR="00244EF1" w:rsidRPr="00E209B2" w:rsidRDefault="00244EF1" w:rsidP="001F7F81">
            <w:pPr>
              <w:pStyle w:val="TableText"/>
              <w:jc w:val="center"/>
              <w:rPr>
                <w:b/>
                <w:bCs w:val="0"/>
              </w:rPr>
            </w:pPr>
            <w:r w:rsidRPr="00E209B2">
              <w:rPr>
                <w:b/>
                <w:bCs w:val="0"/>
              </w:rPr>
              <w:t>BSC</w:t>
            </w:r>
          </w:p>
        </w:tc>
        <w:tc>
          <w:tcPr>
            <w:tcW w:w="1144" w:type="pct"/>
            <w:shd w:val="clear" w:color="auto" w:fill="FFFFFF"/>
            <w:vAlign w:val="center"/>
          </w:tcPr>
          <w:p w:rsidR="00244EF1" w:rsidRPr="00E209B2" w:rsidRDefault="00244EF1" w:rsidP="001F7F81">
            <w:pPr>
              <w:pStyle w:val="TableText"/>
              <w:jc w:val="center"/>
              <w:rPr>
                <w:b/>
                <w:bCs w:val="0"/>
              </w:rPr>
            </w:pPr>
            <w:r w:rsidRPr="00E209B2">
              <w:rPr>
                <w:b/>
                <w:bCs w:val="0"/>
              </w:rPr>
              <w:t>AVE + BSC vs BSC</w:t>
            </w:r>
          </w:p>
          <w:p w:rsidR="00244EF1" w:rsidRPr="00E209B2" w:rsidRDefault="00244EF1" w:rsidP="001F7F81">
            <w:pPr>
              <w:pStyle w:val="TableText"/>
              <w:jc w:val="center"/>
              <w:rPr>
                <w:b/>
                <w:bCs w:val="0"/>
              </w:rPr>
            </w:pPr>
            <w:r w:rsidRPr="00E209B2">
              <w:rPr>
                <w:b/>
                <w:bCs w:val="0"/>
              </w:rPr>
              <w:t>Mean difference</w:t>
            </w:r>
          </w:p>
          <w:p w:rsidR="00244EF1" w:rsidRPr="00E209B2" w:rsidRDefault="00244EF1" w:rsidP="001F7F81">
            <w:pPr>
              <w:pStyle w:val="TableText"/>
              <w:jc w:val="center"/>
              <w:rPr>
                <w:b/>
                <w:bCs w:val="0"/>
              </w:rPr>
            </w:pPr>
            <w:r w:rsidRPr="00E209B2">
              <w:rPr>
                <w:b/>
                <w:bCs w:val="0"/>
              </w:rPr>
              <w:t>(95% CI)</w:t>
            </w:r>
          </w:p>
        </w:tc>
      </w:tr>
      <w:tr w:rsidR="00244EF1" w:rsidRPr="00E209B2" w:rsidTr="001F7F81">
        <w:trPr>
          <w:trHeight w:val="49"/>
        </w:trPr>
        <w:tc>
          <w:tcPr>
            <w:tcW w:w="5000" w:type="pct"/>
            <w:gridSpan w:val="4"/>
            <w:shd w:val="clear" w:color="auto" w:fill="FFFFFF"/>
          </w:tcPr>
          <w:p w:rsidR="00244EF1" w:rsidRPr="00E209B2" w:rsidRDefault="00244EF1" w:rsidP="001F7F81">
            <w:pPr>
              <w:pStyle w:val="TableText"/>
              <w:rPr>
                <w:b/>
                <w:bCs w:val="0"/>
              </w:rPr>
            </w:pPr>
            <w:r w:rsidRPr="00E209B2">
              <w:rPr>
                <w:b/>
                <w:bCs w:val="0"/>
              </w:rPr>
              <w:t>Functional Assessment of Cancer Therapy Bladder Cancer Symptom Index-18 (FACT FBISI-18)</w:t>
            </w:r>
          </w:p>
        </w:tc>
      </w:tr>
      <w:tr w:rsidR="00244EF1" w:rsidRPr="00E209B2" w:rsidTr="001F7F81">
        <w:trPr>
          <w:trHeight w:val="49"/>
        </w:trPr>
        <w:tc>
          <w:tcPr>
            <w:tcW w:w="1569" w:type="pct"/>
            <w:shd w:val="clear" w:color="auto" w:fill="FFFFFF"/>
            <w:vAlign w:val="center"/>
          </w:tcPr>
          <w:p w:rsidR="00244EF1" w:rsidRPr="00E209B2" w:rsidRDefault="00244EF1" w:rsidP="001F7F81">
            <w:pPr>
              <w:pStyle w:val="TableText"/>
            </w:pPr>
            <w:r w:rsidRPr="00E209B2">
              <w:t>Baseline, mean (SD)</w:t>
            </w:r>
          </w:p>
        </w:tc>
        <w:tc>
          <w:tcPr>
            <w:tcW w:w="1143" w:type="pct"/>
            <w:shd w:val="clear" w:color="auto" w:fill="FFFFFF"/>
          </w:tcPr>
          <w:p w:rsidR="00244EF1" w:rsidRPr="00E209B2" w:rsidRDefault="00244EF1" w:rsidP="001F7F81">
            <w:pPr>
              <w:pStyle w:val="TableText"/>
              <w:jc w:val="center"/>
            </w:pPr>
            <w:r w:rsidRPr="00E209B2">
              <w:t>N=332</w:t>
            </w:r>
          </w:p>
          <w:p w:rsidR="00244EF1" w:rsidRPr="00E209B2" w:rsidRDefault="00244EF1" w:rsidP="001F7F81">
            <w:pPr>
              <w:pStyle w:val="TableText"/>
              <w:jc w:val="center"/>
            </w:pPr>
            <w:r w:rsidRPr="00E209B2">
              <w:t>53.3 (9.59)</w:t>
            </w:r>
          </w:p>
        </w:tc>
        <w:tc>
          <w:tcPr>
            <w:tcW w:w="1143" w:type="pct"/>
            <w:shd w:val="clear" w:color="auto" w:fill="FFFFFF"/>
          </w:tcPr>
          <w:p w:rsidR="00244EF1" w:rsidRPr="00E209B2" w:rsidRDefault="00244EF1" w:rsidP="001F7F81">
            <w:pPr>
              <w:pStyle w:val="TableText"/>
              <w:jc w:val="center"/>
            </w:pPr>
            <w:r w:rsidRPr="00E209B2">
              <w:t>N=329</w:t>
            </w:r>
          </w:p>
          <w:p w:rsidR="00244EF1" w:rsidRPr="00E209B2" w:rsidRDefault="00244EF1" w:rsidP="001F7F81">
            <w:pPr>
              <w:pStyle w:val="TableText"/>
              <w:jc w:val="center"/>
            </w:pPr>
            <w:r w:rsidRPr="00E209B2">
              <w:t>52.7 (9.31)</w:t>
            </w:r>
          </w:p>
        </w:tc>
        <w:tc>
          <w:tcPr>
            <w:tcW w:w="1144" w:type="pct"/>
            <w:shd w:val="clear" w:color="auto" w:fill="FFFFFF"/>
          </w:tcPr>
          <w:p w:rsidR="00244EF1" w:rsidRPr="00E209B2" w:rsidRDefault="00244EF1" w:rsidP="001F7F81">
            <w:pPr>
              <w:pStyle w:val="TableText"/>
              <w:jc w:val="center"/>
            </w:pPr>
          </w:p>
        </w:tc>
      </w:tr>
      <w:tr w:rsidR="00244EF1" w:rsidRPr="00E209B2" w:rsidTr="001F7F81">
        <w:trPr>
          <w:trHeight w:val="56"/>
        </w:trPr>
        <w:tc>
          <w:tcPr>
            <w:tcW w:w="1569" w:type="pct"/>
            <w:shd w:val="clear" w:color="auto" w:fill="FFFFFF"/>
            <w:vAlign w:val="center"/>
          </w:tcPr>
          <w:p w:rsidR="00244EF1" w:rsidRPr="00E209B2" w:rsidRDefault="00244EF1" w:rsidP="001F7F81">
            <w:pPr>
              <w:pStyle w:val="TableText"/>
            </w:pPr>
            <w:r w:rsidRPr="00E209B2">
              <w:t>Overall treatment, mean (95% CI)</w:t>
            </w:r>
          </w:p>
        </w:tc>
        <w:tc>
          <w:tcPr>
            <w:tcW w:w="1143" w:type="pct"/>
            <w:shd w:val="clear" w:color="auto" w:fill="FFFFFF"/>
          </w:tcPr>
          <w:p w:rsidR="00244EF1" w:rsidRPr="00E209B2" w:rsidRDefault="00244EF1" w:rsidP="001F7F81">
            <w:pPr>
              <w:pStyle w:val="TableText"/>
              <w:jc w:val="center"/>
            </w:pPr>
            <w:r w:rsidRPr="00E209B2">
              <w:t>52.51 (51.54, 53.48)</w:t>
            </w:r>
          </w:p>
        </w:tc>
        <w:tc>
          <w:tcPr>
            <w:tcW w:w="1143" w:type="pct"/>
            <w:shd w:val="clear" w:color="auto" w:fill="FFFFFF"/>
          </w:tcPr>
          <w:p w:rsidR="00244EF1" w:rsidRPr="00E209B2" w:rsidRDefault="00244EF1" w:rsidP="001F7F81">
            <w:pPr>
              <w:pStyle w:val="TableText"/>
              <w:jc w:val="center"/>
            </w:pPr>
            <w:r w:rsidRPr="00E209B2">
              <w:t>52.41 (51.23, 53.59)</w:t>
            </w:r>
          </w:p>
        </w:tc>
        <w:tc>
          <w:tcPr>
            <w:tcW w:w="1144" w:type="pct"/>
            <w:shd w:val="clear" w:color="auto" w:fill="FFFFFF"/>
          </w:tcPr>
          <w:p w:rsidR="00244EF1" w:rsidRPr="00E209B2" w:rsidRDefault="00244EF1" w:rsidP="001F7F81">
            <w:pPr>
              <w:pStyle w:val="TableText"/>
              <w:jc w:val="center"/>
            </w:pPr>
            <w:r w:rsidRPr="00E209B2">
              <w:t>0.099 (-1.429, 1.627)</w:t>
            </w:r>
          </w:p>
        </w:tc>
      </w:tr>
      <w:tr w:rsidR="00244EF1" w:rsidRPr="00E209B2" w:rsidTr="001F7F81">
        <w:trPr>
          <w:trHeight w:val="49"/>
        </w:trPr>
        <w:tc>
          <w:tcPr>
            <w:tcW w:w="5000" w:type="pct"/>
            <w:gridSpan w:val="4"/>
            <w:shd w:val="clear" w:color="auto" w:fill="FFFFFF"/>
          </w:tcPr>
          <w:p w:rsidR="00244EF1" w:rsidRPr="00E209B2" w:rsidRDefault="00244EF1" w:rsidP="001F7F81">
            <w:pPr>
              <w:pStyle w:val="TableText"/>
              <w:rPr>
                <w:b/>
                <w:bCs w:val="0"/>
              </w:rPr>
            </w:pPr>
            <w:r w:rsidRPr="00E209B2">
              <w:rPr>
                <w:b/>
                <w:bCs w:val="0"/>
              </w:rPr>
              <w:t>EuroQoL 5-dimension 5-level (EQ-5D-5L)</w:t>
            </w:r>
          </w:p>
        </w:tc>
      </w:tr>
      <w:tr w:rsidR="00244EF1" w:rsidRPr="00E209B2" w:rsidTr="001F7F81">
        <w:trPr>
          <w:trHeight w:val="49"/>
        </w:trPr>
        <w:tc>
          <w:tcPr>
            <w:tcW w:w="1569" w:type="pct"/>
            <w:shd w:val="clear" w:color="auto" w:fill="FFFFFF"/>
            <w:vAlign w:val="center"/>
          </w:tcPr>
          <w:p w:rsidR="00244EF1" w:rsidRPr="00E209B2" w:rsidRDefault="00244EF1" w:rsidP="001F7F81">
            <w:pPr>
              <w:pStyle w:val="TableText"/>
            </w:pPr>
            <w:r w:rsidRPr="00E209B2">
              <w:t>Baseline, mean (SD)</w:t>
            </w:r>
          </w:p>
        </w:tc>
        <w:tc>
          <w:tcPr>
            <w:tcW w:w="1143" w:type="pct"/>
            <w:shd w:val="clear" w:color="auto" w:fill="FFFFFF"/>
          </w:tcPr>
          <w:p w:rsidR="00244EF1" w:rsidRPr="00E209B2" w:rsidRDefault="00244EF1" w:rsidP="001F7F81">
            <w:pPr>
              <w:pStyle w:val="TableText"/>
              <w:jc w:val="center"/>
            </w:pPr>
            <w:r w:rsidRPr="00E209B2">
              <w:t>N=336</w:t>
            </w:r>
          </w:p>
          <w:p w:rsidR="00244EF1" w:rsidRPr="00E209B2" w:rsidRDefault="00244EF1" w:rsidP="001F7F81">
            <w:pPr>
              <w:pStyle w:val="TableText"/>
              <w:jc w:val="center"/>
            </w:pPr>
            <w:r w:rsidRPr="00E209B2">
              <w:t>0.81 (0.18)</w:t>
            </w:r>
          </w:p>
        </w:tc>
        <w:tc>
          <w:tcPr>
            <w:tcW w:w="1143" w:type="pct"/>
            <w:shd w:val="clear" w:color="auto" w:fill="FFFFFF"/>
          </w:tcPr>
          <w:p w:rsidR="00244EF1" w:rsidRPr="00E209B2" w:rsidRDefault="00244EF1" w:rsidP="001F7F81">
            <w:pPr>
              <w:pStyle w:val="TableText"/>
              <w:jc w:val="center"/>
            </w:pPr>
            <w:r w:rsidRPr="00E209B2">
              <w:t>N=327</w:t>
            </w:r>
          </w:p>
          <w:p w:rsidR="00244EF1" w:rsidRPr="00E209B2" w:rsidRDefault="00244EF1" w:rsidP="001F7F81">
            <w:pPr>
              <w:pStyle w:val="TableText"/>
              <w:jc w:val="center"/>
            </w:pPr>
            <w:r w:rsidRPr="00E209B2">
              <w:t>0.79 (0.20)</w:t>
            </w:r>
          </w:p>
        </w:tc>
        <w:tc>
          <w:tcPr>
            <w:tcW w:w="1144" w:type="pct"/>
            <w:shd w:val="clear" w:color="auto" w:fill="FFFFFF"/>
          </w:tcPr>
          <w:p w:rsidR="00244EF1" w:rsidRPr="00E209B2" w:rsidRDefault="00244EF1" w:rsidP="001F7F81">
            <w:pPr>
              <w:pStyle w:val="TableText"/>
              <w:jc w:val="center"/>
            </w:pPr>
          </w:p>
        </w:tc>
      </w:tr>
      <w:tr w:rsidR="00244EF1" w:rsidRPr="00E209B2" w:rsidTr="001F7F81">
        <w:trPr>
          <w:trHeight w:val="49"/>
        </w:trPr>
        <w:tc>
          <w:tcPr>
            <w:tcW w:w="1569" w:type="pct"/>
            <w:shd w:val="clear" w:color="auto" w:fill="FFFFFF"/>
            <w:vAlign w:val="center"/>
          </w:tcPr>
          <w:p w:rsidR="00244EF1" w:rsidRPr="00E209B2" w:rsidRDefault="00244EF1" w:rsidP="001F7F81">
            <w:pPr>
              <w:pStyle w:val="TableText"/>
            </w:pPr>
            <w:r w:rsidRPr="00E209B2">
              <w:t>Overall treatment, mean (95% CI)</w:t>
            </w:r>
          </w:p>
        </w:tc>
        <w:tc>
          <w:tcPr>
            <w:tcW w:w="1143" w:type="pct"/>
            <w:shd w:val="clear" w:color="auto" w:fill="FFFFFF"/>
          </w:tcPr>
          <w:p w:rsidR="00244EF1" w:rsidRPr="00E209B2" w:rsidRDefault="00244EF1" w:rsidP="001F7F81">
            <w:pPr>
              <w:pStyle w:val="TableText"/>
              <w:jc w:val="center"/>
            </w:pPr>
            <w:r w:rsidRPr="00E209B2">
              <w:t>0.77 (0.75, 0.79)</w:t>
            </w:r>
          </w:p>
        </w:tc>
        <w:tc>
          <w:tcPr>
            <w:tcW w:w="1143" w:type="pct"/>
            <w:shd w:val="clear" w:color="auto" w:fill="FFFFFF"/>
          </w:tcPr>
          <w:p w:rsidR="00244EF1" w:rsidRPr="00E209B2" w:rsidRDefault="00244EF1" w:rsidP="001F7F81">
            <w:pPr>
              <w:pStyle w:val="TableText"/>
              <w:jc w:val="center"/>
            </w:pPr>
            <w:r w:rsidRPr="00E209B2">
              <w:t>0.75 (0.73, 0.78)</w:t>
            </w:r>
          </w:p>
        </w:tc>
        <w:tc>
          <w:tcPr>
            <w:tcW w:w="1144" w:type="pct"/>
            <w:shd w:val="clear" w:color="auto" w:fill="FFFFFF"/>
          </w:tcPr>
          <w:p w:rsidR="00244EF1" w:rsidRPr="00E209B2" w:rsidRDefault="00244EF1" w:rsidP="001F7F81">
            <w:pPr>
              <w:pStyle w:val="TableText"/>
              <w:jc w:val="center"/>
            </w:pPr>
            <w:r w:rsidRPr="00E209B2">
              <w:t>0.014 (-0.020, 0.048)</w:t>
            </w:r>
          </w:p>
        </w:tc>
      </w:tr>
    </w:tbl>
    <w:p w:rsidR="00244EF1" w:rsidRPr="00E209B2" w:rsidRDefault="00244EF1" w:rsidP="00244EF1">
      <w:pPr>
        <w:pStyle w:val="TableFooter"/>
      </w:pPr>
      <w:r w:rsidRPr="00E209B2">
        <w:t>Source: Table 2.5-8, p77 of the submission; Table 14.5.2.2.2.2, p31; Table 14.5.2.3.2.4, p97 of the clinical study report, Appendix 1D of the submission.</w:t>
      </w:r>
    </w:p>
    <w:p w:rsidR="00244EF1" w:rsidRPr="00E209B2" w:rsidRDefault="00244EF1" w:rsidP="00244EF1">
      <w:pPr>
        <w:pStyle w:val="TableFooter"/>
      </w:pPr>
      <w:r w:rsidRPr="00E209B2">
        <w:t>Abbreviations: AVE, avelumab; BSC, best supportive care; CI, confidence interval; EQ-5D-5L, EuroQol 5-dimension 5-level; FBISI, Functional Assessment of Cancer Therapy Bladder Cancer Symptom Index-18; SD, standard deviation.</w:t>
      </w:r>
    </w:p>
    <w:p w:rsidR="00244EF1" w:rsidRPr="00E209B2" w:rsidRDefault="00244EF1" w:rsidP="00244EF1">
      <w:pPr>
        <w:pStyle w:val="ExecSumBodyText"/>
      </w:pPr>
      <w:r w:rsidRPr="00E209B2">
        <w:t xml:space="preserve">There were no statistically significant differences between treatment arms for the FACT FBISI-18 or EQ-5D-5L at any of the assessed </w:t>
      </w:r>
      <w:r w:rsidR="001E5647" w:rsidRPr="00E209B2">
        <w:t>time points</w:t>
      </w:r>
      <w:r w:rsidRPr="00E209B2">
        <w:t>, or for the overall treatment comparison</w:t>
      </w:r>
      <w:r w:rsidR="00E14185" w:rsidRPr="00E209B2">
        <w:t>s</w:t>
      </w:r>
      <w:r w:rsidRPr="00E209B2">
        <w:t>.</w:t>
      </w:r>
    </w:p>
    <w:p w:rsidR="00244EF1" w:rsidRPr="00E209B2" w:rsidRDefault="00244EF1" w:rsidP="001E5647">
      <w:pPr>
        <w:pStyle w:val="4-SubsectSubhead"/>
        <w:ind w:firstLine="720"/>
      </w:pPr>
      <w:r w:rsidRPr="00E209B2">
        <w:t>Subgroup analyses</w:t>
      </w:r>
    </w:p>
    <w:p w:rsidR="00FE436D" w:rsidRPr="00E209B2" w:rsidRDefault="00FE436D" w:rsidP="00EC5836">
      <w:pPr>
        <w:pStyle w:val="ExecSumBodyText"/>
        <w:rPr>
          <w:iCs/>
        </w:rPr>
      </w:pPr>
      <w:r w:rsidRPr="00E209B2">
        <w:t>Among patients with PD-L1 positive tumours at baseline, treatment with avelumab + BSC was associated with a statistically significant increase in overall survival compared to treatment with BSC (</w:t>
      </w:r>
      <w:r w:rsidRPr="00E209B2">
        <w:rPr>
          <w:color w:val="000000" w:themeColor="text1"/>
        </w:rPr>
        <w:t>median overall survival not reached for avelumab + BSC versus 17.1 months for BSC;</w:t>
      </w:r>
      <w:r w:rsidRPr="00E209B2">
        <w:t xml:space="preserve"> hazard ratio: 0.56 [95% CI: 0.40-0.79]). Among patients with PD-L1 negative tumours at baseline, treatment with avelumab + BSC was associated with an increase in overall survival compared to treatment with BSC but the difference was not statistically significant (</w:t>
      </w:r>
      <w:r w:rsidRPr="00E209B2">
        <w:rPr>
          <w:color w:val="000000" w:themeColor="text1"/>
        </w:rPr>
        <w:t>median overall survival 18.8 months for avelumab + BSC versus 13.7 months for BSC;</w:t>
      </w:r>
      <w:r w:rsidRPr="00E209B2">
        <w:t xml:space="preserve"> hazard ratio: 0.85 [95% CI: 0.62-1.18]</w:t>
      </w:r>
      <w:r w:rsidR="00415185" w:rsidRPr="00E209B2">
        <w:t>)</w:t>
      </w:r>
      <w:r w:rsidRPr="00E209B2">
        <w:t>. A test for interaction for the subgroup of patients with PD-L1 negative tumours versus PD-L1 positive tumours was not statistically significant (p = 0.0803).</w:t>
      </w:r>
      <w:r w:rsidR="003F7ACC" w:rsidRPr="00E209B2">
        <w:t xml:space="preserve"> The pre-PBAC response  argued that, while not statistically significant, the incremental improvement in median overall survival of 5.1 months reported in PD-L1 negative patients </w:t>
      </w:r>
      <w:r w:rsidR="002B5C01" w:rsidRPr="00E209B2">
        <w:t>was</w:t>
      </w:r>
      <w:r w:rsidR="003F7ACC" w:rsidRPr="00E209B2">
        <w:t xml:space="preserve"> clinically meaningful. </w:t>
      </w:r>
    </w:p>
    <w:p w:rsidR="00FE436D" w:rsidRPr="00E209B2" w:rsidRDefault="00FE436D" w:rsidP="00EC5836">
      <w:pPr>
        <w:pStyle w:val="ExecSumBodyText"/>
        <w:rPr>
          <w:iCs/>
        </w:rPr>
      </w:pPr>
      <w:r w:rsidRPr="00E209B2">
        <w:t>Among patients with PD-L1 positive tumours at baseline, treatment with avelumab + BSC was associated with a statistically significant increase in progression-free survival compared to treatment with BSC alone (</w:t>
      </w:r>
      <w:r w:rsidRPr="00E209B2">
        <w:rPr>
          <w:color w:val="000000" w:themeColor="text1"/>
        </w:rPr>
        <w:t>median progression-free survival 5.7 months for avelumab + BSC versus 2.1 months for BSC;</w:t>
      </w:r>
      <w:r w:rsidRPr="00E209B2">
        <w:t xml:space="preserve"> hazard ratio: 0.56 [95% CI: 0.43, 0.73]). Among patients with PD-L1 negative tumours at baseline, treatment with avelumab + BSC was also associated with a statistically significant increase in progression-free survival compared to treatment with BSC alone (</w:t>
      </w:r>
      <w:r w:rsidRPr="00E209B2">
        <w:rPr>
          <w:color w:val="000000" w:themeColor="text1"/>
        </w:rPr>
        <w:t>median progression-free survival 3.0 months for avelumab + BSC versus 1.9 months for BSC;</w:t>
      </w:r>
      <w:r w:rsidRPr="00E209B2">
        <w:t xml:space="preserve"> hazard ratio: 0.63 </w:t>
      </w:r>
      <w:r w:rsidRPr="00E209B2">
        <w:lastRenderedPageBreak/>
        <w:t>[95% CI: 0.47, 0.84]). A test for interaction for the subgroup of patients with PD-L1 negative tumours versus PD-L1 positive tumours was not statistically significant (p = 0.5204).</w:t>
      </w:r>
    </w:p>
    <w:p w:rsidR="00B60939" w:rsidRPr="00E209B2" w:rsidRDefault="00B60939" w:rsidP="00D86231">
      <w:pPr>
        <w:pStyle w:val="3-SubsectionHeading"/>
      </w:pPr>
      <w:bookmarkStart w:id="14" w:name="_Toc22897642"/>
      <w:bookmarkStart w:id="15" w:name="_Toc62036123"/>
      <w:r w:rsidRPr="00E209B2">
        <w:t>Comparative harms</w:t>
      </w:r>
      <w:bookmarkEnd w:id="14"/>
      <w:bookmarkEnd w:id="15"/>
    </w:p>
    <w:p w:rsidR="00B60939" w:rsidRPr="00E209B2" w:rsidRDefault="005232E0" w:rsidP="00D86231">
      <w:pPr>
        <w:pStyle w:val="ExecSumBodyText"/>
      </w:pPr>
      <w:r w:rsidRPr="00E209B2">
        <w:t xml:space="preserve">Table </w:t>
      </w:r>
      <w:r w:rsidR="005F2F14" w:rsidRPr="00E209B2">
        <w:t>10</w:t>
      </w:r>
      <w:r w:rsidRPr="00E209B2">
        <w:t xml:space="preserve"> summarises the results of safety outcomes for the JAVELIN Bladder 100 trial during the on-treatment period (median follow-up 19.6 months for the avelumab + BSC arm, 19.2 months for the BSC arm). </w:t>
      </w:r>
      <w:r w:rsidRPr="00E209B2">
        <w:rPr>
          <w:iCs/>
        </w:rPr>
        <w:t xml:space="preserve">The results should be interpreted with caution given that the JAVELIN Bladder 100 trial was an open-label trial, and the BSC arm did not include any active anticancer treatment during the on-treatment </w:t>
      </w:r>
      <w:r w:rsidR="007617A7" w:rsidRPr="00E209B2">
        <w:rPr>
          <w:iCs/>
        </w:rPr>
        <w:t>period</w:t>
      </w:r>
      <w:r w:rsidRPr="00E209B2">
        <w:rPr>
          <w:iCs/>
        </w:rPr>
        <w:t>.</w:t>
      </w:r>
    </w:p>
    <w:p w:rsidR="005232E0" w:rsidRPr="00E209B2" w:rsidRDefault="005232E0" w:rsidP="005232E0">
      <w:pPr>
        <w:pStyle w:val="TableFigureCaption"/>
      </w:pPr>
      <w:r w:rsidRPr="00E209B2">
        <w:t xml:space="preserve">Table </w:t>
      </w:r>
      <w:r w:rsidR="005F2F14" w:rsidRPr="00E209B2">
        <w:t>10</w:t>
      </w:r>
      <w:r w:rsidRPr="00E209B2">
        <w:t>: Summary of key adverse events in the JAVELIN Bladder 100 trial (on-treatment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67"/>
        <w:gridCol w:w="1968"/>
        <w:gridCol w:w="1968"/>
      </w:tblGrid>
      <w:tr w:rsidR="005232E0" w:rsidRPr="00E209B2" w:rsidTr="001F7F81">
        <w:trPr>
          <w:trHeight w:val="304"/>
          <w:tblHeader/>
        </w:trPr>
        <w:tc>
          <w:tcPr>
            <w:tcW w:w="3114" w:type="dxa"/>
            <w:vAlign w:val="center"/>
          </w:tcPr>
          <w:p w:rsidR="005232E0" w:rsidRPr="00E209B2" w:rsidRDefault="005232E0" w:rsidP="001F7F81">
            <w:pPr>
              <w:pStyle w:val="Tableheadingrow"/>
              <w:rPr>
                <w:szCs w:val="20"/>
                <w:lang w:val="en-AU"/>
              </w:rPr>
            </w:pPr>
            <w:r w:rsidRPr="00E209B2">
              <w:rPr>
                <w:szCs w:val="20"/>
                <w:lang w:val="en-AU"/>
              </w:rPr>
              <w:t>Trial ID</w:t>
            </w:r>
          </w:p>
        </w:tc>
        <w:tc>
          <w:tcPr>
            <w:tcW w:w="1967" w:type="dxa"/>
            <w:vAlign w:val="center"/>
          </w:tcPr>
          <w:p w:rsidR="005232E0" w:rsidRPr="00E209B2" w:rsidRDefault="005232E0" w:rsidP="001F7F81">
            <w:pPr>
              <w:pStyle w:val="Tableheadingrow"/>
              <w:jc w:val="center"/>
              <w:rPr>
                <w:szCs w:val="20"/>
                <w:lang w:val="en-AU"/>
              </w:rPr>
            </w:pPr>
            <w:r w:rsidRPr="00E209B2">
              <w:rPr>
                <w:szCs w:val="20"/>
                <w:lang w:val="en-AU"/>
              </w:rPr>
              <w:t>AVE + BSC</w:t>
            </w:r>
          </w:p>
          <w:p w:rsidR="005232E0" w:rsidRPr="00E209B2" w:rsidRDefault="005232E0" w:rsidP="001F7F81">
            <w:pPr>
              <w:pStyle w:val="Tableheadingrow"/>
              <w:jc w:val="center"/>
              <w:rPr>
                <w:szCs w:val="20"/>
                <w:lang w:val="en-AU"/>
              </w:rPr>
            </w:pPr>
            <w:r w:rsidRPr="00E209B2">
              <w:rPr>
                <w:szCs w:val="20"/>
                <w:lang w:val="en-AU"/>
              </w:rPr>
              <w:t>n (%)</w:t>
            </w:r>
          </w:p>
        </w:tc>
        <w:tc>
          <w:tcPr>
            <w:tcW w:w="1968" w:type="dxa"/>
            <w:vAlign w:val="center"/>
          </w:tcPr>
          <w:p w:rsidR="005232E0" w:rsidRPr="00E209B2" w:rsidRDefault="005232E0" w:rsidP="001F7F81">
            <w:pPr>
              <w:pStyle w:val="Tableheadingrow"/>
              <w:jc w:val="center"/>
              <w:rPr>
                <w:szCs w:val="20"/>
                <w:lang w:val="en-AU"/>
              </w:rPr>
            </w:pPr>
            <w:r w:rsidRPr="00E209B2">
              <w:rPr>
                <w:szCs w:val="20"/>
                <w:lang w:val="en-AU"/>
              </w:rPr>
              <w:t>BSC</w:t>
            </w:r>
          </w:p>
          <w:p w:rsidR="005232E0" w:rsidRPr="00E209B2" w:rsidRDefault="005232E0" w:rsidP="001F7F81">
            <w:pPr>
              <w:pStyle w:val="Tableheadingrow"/>
              <w:jc w:val="center"/>
              <w:rPr>
                <w:szCs w:val="20"/>
                <w:lang w:val="en-AU"/>
              </w:rPr>
            </w:pPr>
            <w:r w:rsidRPr="00E209B2">
              <w:rPr>
                <w:szCs w:val="20"/>
                <w:lang w:val="en-AU"/>
              </w:rPr>
              <w:t>n (%)</w:t>
            </w:r>
          </w:p>
        </w:tc>
        <w:tc>
          <w:tcPr>
            <w:tcW w:w="1968" w:type="dxa"/>
            <w:vAlign w:val="center"/>
          </w:tcPr>
          <w:p w:rsidR="005232E0" w:rsidRPr="00E209B2" w:rsidRDefault="005232E0" w:rsidP="001F7F81">
            <w:pPr>
              <w:pStyle w:val="Tableheadingrow"/>
              <w:jc w:val="center"/>
              <w:rPr>
                <w:szCs w:val="20"/>
                <w:lang w:val="en-AU"/>
              </w:rPr>
            </w:pPr>
            <w:r w:rsidRPr="00E209B2">
              <w:rPr>
                <w:szCs w:val="20"/>
                <w:lang w:val="en-AU"/>
              </w:rPr>
              <w:t xml:space="preserve">AVE + BSC vs BSC </w:t>
            </w:r>
          </w:p>
          <w:p w:rsidR="005232E0" w:rsidRPr="00E209B2" w:rsidRDefault="005232E0" w:rsidP="001F7F81">
            <w:pPr>
              <w:pStyle w:val="Tableheadingrow"/>
              <w:jc w:val="center"/>
              <w:rPr>
                <w:szCs w:val="20"/>
                <w:lang w:val="en-AU"/>
              </w:rPr>
            </w:pPr>
            <w:r w:rsidRPr="00E209B2">
              <w:rPr>
                <w:szCs w:val="20"/>
                <w:lang w:val="en-AU"/>
              </w:rPr>
              <w:t>RD (95% CI)</w:t>
            </w:r>
          </w:p>
        </w:tc>
      </w:tr>
      <w:tr w:rsidR="005232E0" w:rsidRPr="00E209B2" w:rsidTr="001F7F81">
        <w:tc>
          <w:tcPr>
            <w:tcW w:w="3114" w:type="dxa"/>
          </w:tcPr>
          <w:p w:rsidR="005232E0" w:rsidRPr="00E209B2" w:rsidRDefault="005232E0" w:rsidP="001F7F81">
            <w:pPr>
              <w:pStyle w:val="TableText"/>
              <w:rPr>
                <w:szCs w:val="20"/>
              </w:rPr>
            </w:pPr>
            <w:r w:rsidRPr="00E209B2">
              <w:rPr>
                <w:szCs w:val="20"/>
              </w:rPr>
              <w:t>Any AE</w:t>
            </w:r>
          </w:p>
        </w:tc>
        <w:tc>
          <w:tcPr>
            <w:tcW w:w="1967" w:type="dxa"/>
            <w:vAlign w:val="center"/>
          </w:tcPr>
          <w:p w:rsidR="005232E0" w:rsidRPr="00E209B2" w:rsidRDefault="005232E0" w:rsidP="001F7F81">
            <w:pPr>
              <w:pStyle w:val="TableText"/>
              <w:jc w:val="center"/>
              <w:rPr>
                <w:szCs w:val="20"/>
              </w:rPr>
            </w:pPr>
            <w:r w:rsidRPr="00E209B2">
              <w:rPr>
                <w:szCs w:val="20"/>
              </w:rPr>
              <w:t>337 (98.0)</w:t>
            </w:r>
          </w:p>
        </w:tc>
        <w:tc>
          <w:tcPr>
            <w:tcW w:w="1968" w:type="dxa"/>
            <w:vAlign w:val="center"/>
          </w:tcPr>
          <w:p w:rsidR="005232E0" w:rsidRPr="00E209B2" w:rsidRDefault="005232E0" w:rsidP="001F7F81">
            <w:pPr>
              <w:pStyle w:val="TableText"/>
              <w:jc w:val="center"/>
              <w:rPr>
                <w:szCs w:val="20"/>
              </w:rPr>
            </w:pPr>
            <w:r w:rsidRPr="00E209B2">
              <w:rPr>
                <w:szCs w:val="20"/>
              </w:rPr>
              <w:t>268 (77.7)</w:t>
            </w:r>
          </w:p>
        </w:tc>
        <w:tc>
          <w:tcPr>
            <w:tcW w:w="1968" w:type="dxa"/>
            <w:vAlign w:val="center"/>
          </w:tcPr>
          <w:p w:rsidR="005232E0" w:rsidRPr="00E209B2" w:rsidRDefault="005232E0" w:rsidP="001F7F81">
            <w:pPr>
              <w:pStyle w:val="TableText"/>
              <w:jc w:val="center"/>
              <w:rPr>
                <w:szCs w:val="20"/>
              </w:rPr>
            </w:pPr>
            <w:r w:rsidRPr="00E209B2">
              <w:rPr>
                <w:szCs w:val="20"/>
              </w:rPr>
              <w:t>0.20 (0.16, 0.25)</w:t>
            </w:r>
          </w:p>
        </w:tc>
      </w:tr>
      <w:tr w:rsidR="005232E0" w:rsidRPr="00E209B2" w:rsidTr="001F7F81">
        <w:tc>
          <w:tcPr>
            <w:tcW w:w="3114" w:type="dxa"/>
          </w:tcPr>
          <w:p w:rsidR="005232E0" w:rsidRPr="00E209B2" w:rsidRDefault="005232E0" w:rsidP="001F7F81">
            <w:pPr>
              <w:pStyle w:val="TableText"/>
              <w:rPr>
                <w:szCs w:val="20"/>
              </w:rPr>
            </w:pPr>
            <w:r w:rsidRPr="00E209B2">
              <w:rPr>
                <w:szCs w:val="20"/>
              </w:rPr>
              <w:t>Grade ≥3 AE</w:t>
            </w:r>
          </w:p>
        </w:tc>
        <w:tc>
          <w:tcPr>
            <w:tcW w:w="1967" w:type="dxa"/>
            <w:vAlign w:val="center"/>
          </w:tcPr>
          <w:p w:rsidR="005232E0" w:rsidRPr="00E209B2" w:rsidRDefault="005232E0" w:rsidP="001F7F81">
            <w:pPr>
              <w:pStyle w:val="TableText"/>
              <w:jc w:val="center"/>
              <w:rPr>
                <w:szCs w:val="20"/>
              </w:rPr>
            </w:pPr>
            <w:r w:rsidRPr="00E209B2">
              <w:rPr>
                <w:szCs w:val="20"/>
              </w:rPr>
              <w:t>163 (47.4)</w:t>
            </w:r>
          </w:p>
        </w:tc>
        <w:tc>
          <w:tcPr>
            <w:tcW w:w="1968" w:type="dxa"/>
            <w:vAlign w:val="center"/>
          </w:tcPr>
          <w:p w:rsidR="005232E0" w:rsidRPr="00E209B2" w:rsidRDefault="005232E0" w:rsidP="001F7F81">
            <w:pPr>
              <w:pStyle w:val="TableText"/>
              <w:jc w:val="center"/>
              <w:rPr>
                <w:szCs w:val="20"/>
              </w:rPr>
            </w:pPr>
            <w:r w:rsidRPr="00E209B2">
              <w:rPr>
                <w:szCs w:val="20"/>
              </w:rPr>
              <w:t>87 (25.2)</w:t>
            </w:r>
          </w:p>
        </w:tc>
        <w:tc>
          <w:tcPr>
            <w:tcW w:w="1968" w:type="dxa"/>
            <w:vAlign w:val="center"/>
          </w:tcPr>
          <w:p w:rsidR="005232E0" w:rsidRPr="00E209B2" w:rsidRDefault="005232E0" w:rsidP="001F7F81">
            <w:pPr>
              <w:pStyle w:val="TableText"/>
              <w:jc w:val="center"/>
              <w:rPr>
                <w:szCs w:val="20"/>
              </w:rPr>
            </w:pPr>
            <w:r w:rsidRPr="00E209B2">
              <w:rPr>
                <w:szCs w:val="20"/>
              </w:rPr>
              <w:t>0.22 (0.15, 0.29)</w:t>
            </w:r>
          </w:p>
        </w:tc>
      </w:tr>
      <w:tr w:rsidR="005232E0" w:rsidRPr="00E209B2" w:rsidTr="001F7F81">
        <w:tc>
          <w:tcPr>
            <w:tcW w:w="3114" w:type="dxa"/>
          </w:tcPr>
          <w:p w:rsidR="005232E0" w:rsidRPr="00E209B2" w:rsidRDefault="005232E0" w:rsidP="001F7F81">
            <w:pPr>
              <w:pStyle w:val="TableText"/>
              <w:rPr>
                <w:szCs w:val="20"/>
              </w:rPr>
            </w:pPr>
            <w:r w:rsidRPr="00E209B2">
              <w:rPr>
                <w:szCs w:val="20"/>
              </w:rPr>
              <w:t>Treatment-related AE</w:t>
            </w:r>
          </w:p>
        </w:tc>
        <w:tc>
          <w:tcPr>
            <w:tcW w:w="1967" w:type="dxa"/>
            <w:vAlign w:val="center"/>
          </w:tcPr>
          <w:p w:rsidR="005232E0" w:rsidRPr="00E209B2" w:rsidRDefault="005232E0" w:rsidP="001F7F81">
            <w:pPr>
              <w:pStyle w:val="TableText"/>
              <w:jc w:val="center"/>
              <w:rPr>
                <w:szCs w:val="20"/>
              </w:rPr>
            </w:pPr>
            <w:r w:rsidRPr="00E209B2">
              <w:rPr>
                <w:szCs w:val="20"/>
              </w:rPr>
              <w:t>266 (77.3)</w:t>
            </w:r>
          </w:p>
        </w:tc>
        <w:tc>
          <w:tcPr>
            <w:tcW w:w="1968" w:type="dxa"/>
            <w:vAlign w:val="center"/>
          </w:tcPr>
          <w:p w:rsidR="005232E0" w:rsidRPr="00E209B2" w:rsidRDefault="005232E0" w:rsidP="001F7F81">
            <w:pPr>
              <w:pStyle w:val="TableText"/>
              <w:jc w:val="center"/>
              <w:rPr>
                <w:szCs w:val="20"/>
              </w:rPr>
            </w:pPr>
            <w:r w:rsidRPr="00E209B2">
              <w:rPr>
                <w:szCs w:val="20"/>
              </w:rPr>
              <w:t>4 (1.2)</w:t>
            </w:r>
          </w:p>
        </w:tc>
        <w:tc>
          <w:tcPr>
            <w:tcW w:w="1968" w:type="dxa"/>
            <w:vAlign w:val="center"/>
          </w:tcPr>
          <w:p w:rsidR="005232E0" w:rsidRPr="00E209B2" w:rsidRDefault="005232E0" w:rsidP="001F7F81">
            <w:pPr>
              <w:pStyle w:val="TableText"/>
              <w:jc w:val="center"/>
              <w:rPr>
                <w:szCs w:val="20"/>
              </w:rPr>
            </w:pPr>
            <w:r w:rsidRPr="00E209B2">
              <w:rPr>
                <w:szCs w:val="20"/>
              </w:rPr>
              <w:t>0.76 (0.72, 0.81)</w:t>
            </w:r>
          </w:p>
        </w:tc>
      </w:tr>
      <w:tr w:rsidR="005232E0" w:rsidRPr="00E209B2" w:rsidTr="001F7F81">
        <w:tc>
          <w:tcPr>
            <w:tcW w:w="3114" w:type="dxa"/>
          </w:tcPr>
          <w:p w:rsidR="005232E0" w:rsidRPr="00E209B2" w:rsidRDefault="005232E0" w:rsidP="001F7F81">
            <w:pPr>
              <w:pStyle w:val="TableText"/>
              <w:rPr>
                <w:szCs w:val="20"/>
              </w:rPr>
            </w:pPr>
            <w:r w:rsidRPr="00E209B2">
              <w:rPr>
                <w:szCs w:val="20"/>
              </w:rPr>
              <w:t>Treatment-related AE Grade ≥3</w:t>
            </w:r>
          </w:p>
        </w:tc>
        <w:tc>
          <w:tcPr>
            <w:tcW w:w="1967" w:type="dxa"/>
            <w:vAlign w:val="center"/>
          </w:tcPr>
          <w:p w:rsidR="005232E0" w:rsidRPr="00E209B2" w:rsidRDefault="005232E0" w:rsidP="001F7F81">
            <w:pPr>
              <w:pStyle w:val="TableText"/>
              <w:jc w:val="center"/>
              <w:rPr>
                <w:szCs w:val="20"/>
              </w:rPr>
            </w:pPr>
            <w:r w:rsidRPr="00E209B2">
              <w:rPr>
                <w:szCs w:val="20"/>
              </w:rPr>
              <w:t>57 (16.6)</w:t>
            </w:r>
          </w:p>
        </w:tc>
        <w:tc>
          <w:tcPr>
            <w:tcW w:w="1968" w:type="dxa"/>
            <w:vAlign w:val="center"/>
          </w:tcPr>
          <w:p w:rsidR="005232E0" w:rsidRPr="00E209B2" w:rsidRDefault="005232E0" w:rsidP="001F7F81">
            <w:pPr>
              <w:pStyle w:val="TableText"/>
              <w:jc w:val="center"/>
              <w:rPr>
                <w:szCs w:val="20"/>
              </w:rPr>
            </w:pPr>
            <w:r w:rsidRPr="00E209B2">
              <w:rPr>
                <w:szCs w:val="20"/>
              </w:rPr>
              <w:t>0</w:t>
            </w:r>
          </w:p>
        </w:tc>
        <w:tc>
          <w:tcPr>
            <w:tcW w:w="1968" w:type="dxa"/>
            <w:vAlign w:val="center"/>
          </w:tcPr>
          <w:p w:rsidR="005232E0" w:rsidRPr="00E209B2" w:rsidRDefault="005232E0" w:rsidP="001F7F81">
            <w:pPr>
              <w:pStyle w:val="TableText"/>
              <w:jc w:val="center"/>
              <w:rPr>
                <w:szCs w:val="20"/>
              </w:rPr>
            </w:pPr>
            <w:r w:rsidRPr="00E209B2">
              <w:rPr>
                <w:szCs w:val="20"/>
              </w:rPr>
              <w:t>0.17 (0.13, 0.20)</w:t>
            </w:r>
          </w:p>
        </w:tc>
      </w:tr>
      <w:tr w:rsidR="005232E0" w:rsidRPr="00E209B2" w:rsidTr="001F7F81">
        <w:tc>
          <w:tcPr>
            <w:tcW w:w="3114" w:type="dxa"/>
          </w:tcPr>
          <w:p w:rsidR="005232E0" w:rsidRPr="00E209B2" w:rsidRDefault="005232E0" w:rsidP="001F7F81">
            <w:pPr>
              <w:pStyle w:val="TableText"/>
              <w:rPr>
                <w:szCs w:val="20"/>
              </w:rPr>
            </w:pPr>
            <w:r w:rsidRPr="00E209B2">
              <w:rPr>
                <w:szCs w:val="20"/>
              </w:rPr>
              <w:t>Treatment-related AE leading to death</w:t>
            </w:r>
          </w:p>
        </w:tc>
        <w:tc>
          <w:tcPr>
            <w:tcW w:w="1967" w:type="dxa"/>
            <w:vAlign w:val="center"/>
          </w:tcPr>
          <w:p w:rsidR="005232E0" w:rsidRPr="00E209B2" w:rsidRDefault="005232E0" w:rsidP="001F7F81">
            <w:pPr>
              <w:pStyle w:val="TableText"/>
              <w:jc w:val="center"/>
              <w:rPr>
                <w:szCs w:val="20"/>
              </w:rPr>
            </w:pPr>
            <w:r w:rsidRPr="00E209B2">
              <w:rPr>
                <w:szCs w:val="20"/>
              </w:rPr>
              <w:t>1 (0.3)</w:t>
            </w:r>
          </w:p>
        </w:tc>
        <w:tc>
          <w:tcPr>
            <w:tcW w:w="1968" w:type="dxa"/>
            <w:vAlign w:val="center"/>
          </w:tcPr>
          <w:p w:rsidR="005232E0" w:rsidRPr="00E209B2" w:rsidRDefault="005232E0" w:rsidP="001F7F81">
            <w:pPr>
              <w:pStyle w:val="TableText"/>
              <w:jc w:val="center"/>
              <w:rPr>
                <w:szCs w:val="20"/>
              </w:rPr>
            </w:pPr>
            <w:r w:rsidRPr="00E209B2">
              <w:rPr>
                <w:szCs w:val="20"/>
              </w:rPr>
              <w:t>0</w:t>
            </w:r>
          </w:p>
        </w:tc>
        <w:tc>
          <w:tcPr>
            <w:tcW w:w="1968" w:type="dxa"/>
            <w:vAlign w:val="center"/>
          </w:tcPr>
          <w:p w:rsidR="005232E0" w:rsidRPr="00E209B2" w:rsidRDefault="005232E0" w:rsidP="001F7F81">
            <w:pPr>
              <w:pStyle w:val="TableText"/>
              <w:jc w:val="center"/>
              <w:rPr>
                <w:szCs w:val="20"/>
              </w:rPr>
            </w:pPr>
            <w:r w:rsidRPr="00E209B2">
              <w:rPr>
                <w:szCs w:val="20"/>
              </w:rPr>
              <w:t>0.006 (-0.004, 0.016)</w:t>
            </w:r>
          </w:p>
        </w:tc>
      </w:tr>
      <w:tr w:rsidR="005232E0" w:rsidRPr="00E209B2" w:rsidTr="001F7F81">
        <w:tc>
          <w:tcPr>
            <w:tcW w:w="3114" w:type="dxa"/>
          </w:tcPr>
          <w:p w:rsidR="005232E0" w:rsidRPr="00E209B2" w:rsidRDefault="005232E0" w:rsidP="001F7F81">
            <w:pPr>
              <w:pStyle w:val="TableText"/>
              <w:rPr>
                <w:szCs w:val="20"/>
              </w:rPr>
            </w:pPr>
            <w:r w:rsidRPr="00E209B2">
              <w:rPr>
                <w:szCs w:val="20"/>
              </w:rPr>
              <w:t>Immune-related AEs</w:t>
            </w:r>
          </w:p>
        </w:tc>
        <w:tc>
          <w:tcPr>
            <w:tcW w:w="1967" w:type="dxa"/>
            <w:vAlign w:val="center"/>
          </w:tcPr>
          <w:p w:rsidR="005232E0" w:rsidRPr="00E209B2" w:rsidRDefault="005232E0" w:rsidP="001F7F81">
            <w:pPr>
              <w:pStyle w:val="TableText"/>
              <w:jc w:val="center"/>
              <w:rPr>
                <w:szCs w:val="20"/>
              </w:rPr>
            </w:pPr>
            <w:r w:rsidRPr="00E209B2">
              <w:rPr>
                <w:szCs w:val="20"/>
              </w:rPr>
              <w:t>101 (29.4)</w:t>
            </w:r>
          </w:p>
        </w:tc>
        <w:tc>
          <w:tcPr>
            <w:tcW w:w="1968" w:type="dxa"/>
            <w:vAlign w:val="center"/>
          </w:tcPr>
          <w:p w:rsidR="005232E0" w:rsidRPr="00E209B2" w:rsidRDefault="005232E0" w:rsidP="001F7F81">
            <w:pPr>
              <w:pStyle w:val="TableText"/>
              <w:jc w:val="center"/>
              <w:rPr>
                <w:szCs w:val="20"/>
              </w:rPr>
            </w:pPr>
            <w:r w:rsidRPr="00E209B2">
              <w:rPr>
                <w:szCs w:val="20"/>
              </w:rPr>
              <w:t>5 (1.4)</w:t>
            </w:r>
          </w:p>
        </w:tc>
        <w:tc>
          <w:tcPr>
            <w:tcW w:w="1968" w:type="dxa"/>
            <w:vAlign w:val="center"/>
          </w:tcPr>
          <w:p w:rsidR="005232E0" w:rsidRPr="00E209B2" w:rsidRDefault="005232E0" w:rsidP="001F7F81">
            <w:pPr>
              <w:pStyle w:val="TableText"/>
              <w:jc w:val="center"/>
              <w:rPr>
                <w:szCs w:val="20"/>
              </w:rPr>
            </w:pPr>
            <w:r w:rsidRPr="00E209B2">
              <w:rPr>
                <w:szCs w:val="20"/>
              </w:rPr>
              <w:t>0.28 (0.23, 0.33)</w:t>
            </w:r>
          </w:p>
        </w:tc>
      </w:tr>
      <w:tr w:rsidR="005232E0" w:rsidRPr="00E209B2" w:rsidTr="001F7F81">
        <w:tc>
          <w:tcPr>
            <w:tcW w:w="3114" w:type="dxa"/>
          </w:tcPr>
          <w:p w:rsidR="005232E0" w:rsidRPr="00E209B2" w:rsidRDefault="005232E0" w:rsidP="001F7F81">
            <w:pPr>
              <w:pStyle w:val="TableText"/>
              <w:rPr>
                <w:szCs w:val="20"/>
              </w:rPr>
            </w:pPr>
            <w:r w:rsidRPr="00E209B2">
              <w:rPr>
                <w:szCs w:val="20"/>
              </w:rPr>
              <w:t>AE leading to discontinuation</w:t>
            </w:r>
          </w:p>
        </w:tc>
        <w:tc>
          <w:tcPr>
            <w:tcW w:w="1967" w:type="dxa"/>
            <w:vAlign w:val="center"/>
          </w:tcPr>
          <w:p w:rsidR="005232E0" w:rsidRPr="00E209B2" w:rsidRDefault="005232E0" w:rsidP="001F7F81">
            <w:pPr>
              <w:pStyle w:val="TableText"/>
              <w:jc w:val="center"/>
              <w:rPr>
                <w:szCs w:val="20"/>
              </w:rPr>
            </w:pPr>
            <w:r w:rsidRPr="00E209B2">
              <w:rPr>
                <w:szCs w:val="20"/>
              </w:rPr>
              <w:t>41 (11.9)</w:t>
            </w:r>
          </w:p>
        </w:tc>
        <w:tc>
          <w:tcPr>
            <w:tcW w:w="1968" w:type="dxa"/>
            <w:vAlign w:val="center"/>
          </w:tcPr>
          <w:p w:rsidR="005232E0" w:rsidRPr="00E209B2" w:rsidRDefault="005232E0" w:rsidP="001F7F81">
            <w:pPr>
              <w:pStyle w:val="TableText"/>
              <w:jc w:val="center"/>
              <w:rPr>
                <w:szCs w:val="20"/>
              </w:rPr>
            </w:pPr>
            <w:r w:rsidRPr="00E209B2">
              <w:rPr>
                <w:szCs w:val="20"/>
              </w:rPr>
              <w:t>0</w:t>
            </w:r>
          </w:p>
        </w:tc>
        <w:tc>
          <w:tcPr>
            <w:tcW w:w="1968" w:type="dxa"/>
            <w:vAlign w:val="center"/>
          </w:tcPr>
          <w:p w:rsidR="005232E0" w:rsidRPr="00E209B2" w:rsidRDefault="005232E0" w:rsidP="001F7F81">
            <w:pPr>
              <w:pStyle w:val="TableText"/>
              <w:jc w:val="center"/>
              <w:rPr>
                <w:szCs w:val="20"/>
              </w:rPr>
            </w:pPr>
            <w:r w:rsidRPr="00E209B2">
              <w:rPr>
                <w:szCs w:val="20"/>
              </w:rPr>
              <w:t>0.12 (0.08, 0.15)</w:t>
            </w:r>
          </w:p>
        </w:tc>
      </w:tr>
      <w:tr w:rsidR="005232E0" w:rsidRPr="00E209B2" w:rsidTr="001F7F81">
        <w:trPr>
          <w:trHeight w:val="1375"/>
        </w:trPr>
        <w:tc>
          <w:tcPr>
            <w:tcW w:w="3114" w:type="dxa"/>
          </w:tcPr>
          <w:p w:rsidR="005232E0" w:rsidRPr="00E209B2" w:rsidRDefault="005232E0" w:rsidP="001F7F81">
            <w:pPr>
              <w:pStyle w:val="TableText"/>
              <w:rPr>
                <w:szCs w:val="20"/>
              </w:rPr>
            </w:pPr>
            <w:r w:rsidRPr="00E209B2">
              <w:rPr>
                <w:szCs w:val="20"/>
              </w:rPr>
              <w:t>Grade ≥3 AE in &gt;1%</w:t>
            </w:r>
          </w:p>
          <w:p w:rsidR="005232E0" w:rsidRPr="00E209B2" w:rsidRDefault="005232E0" w:rsidP="00DF79E3">
            <w:pPr>
              <w:pStyle w:val="TableText"/>
              <w:numPr>
                <w:ilvl w:val="0"/>
                <w:numId w:val="7"/>
              </w:numPr>
              <w:ind w:left="308" w:hanging="231"/>
              <w:rPr>
                <w:szCs w:val="20"/>
              </w:rPr>
            </w:pPr>
            <w:r w:rsidRPr="00E209B2">
              <w:t>Urinary tract infection</w:t>
            </w:r>
          </w:p>
          <w:p w:rsidR="005232E0" w:rsidRPr="00E209B2" w:rsidRDefault="005232E0" w:rsidP="00DF79E3">
            <w:pPr>
              <w:pStyle w:val="TableText"/>
              <w:numPr>
                <w:ilvl w:val="0"/>
                <w:numId w:val="7"/>
              </w:numPr>
              <w:ind w:left="308" w:hanging="231"/>
              <w:rPr>
                <w:szCs w:val="20"/>
              </w:rPr>
            </w:pPr>
            <w:r w:rsidRPr="00E209B2">
              <w:t>Anaemia</w:t>
            </w:r>
          </w:p>
          <w:p w:rsidR="005232E0" w:rsidRPr="00E209B2" w:rsidRDefault="005232E0" w:rsidP="00DF79E3">
            <w:pPr>
              <w:pStyle w:val="TableText"/>
              <w:numPr>
                <w:ilvl w:val="0"/>
                <w:numId w:val="7"/>
              </w:numPr>
              <w:ind w:left="308" w:hanging="231"/>
            </w:pPr>
            <w:r w:rsidRPr="00E209B2">
              <w:t>Fatigue</w:t>
            </w:r>
          </w:p>
          <w:p w:rsidR="005232E0" w:rsidRPr="00E209B2" w:rsidRDefault="005232E0" w:rsidP="00DF79E3">
            <w:pPr>
              <w:pStyle w:val="TableText"/>
              <w:numPr>
                <w:ilvl w:val="0"/>
                <w:numId w:val="7"/>
              </w:numPr>
              <w:ind w:left="308" w:hanging="231"/>
            </w:pPr>
            <w:r w:rsidRPr="00E209B2">
              <w:t>Haematuria</w:t>
            </w:r>
          </w:p>
          <w:p w:rsidR="005232E0" w:rsidRPr="00E209B2" w:rsidRDefault="005232E0" w:rsidP="00DF79E3">
            <w:pPr>
              <w:pStyle w:val="TableText"/>
              <w:numPr>
                <w:ilvl w:val="0"/>
                <w:numId w:val="7"/>
              </w:numPr>
              <w:ind w:left="308" w:hanging="231"/>
            </w:pPr>
            <w:r w:rsidRPr="00E209B2">
              <w:t>Back pain</w:t>
            </w:r>
          </w:p>
          <w:p w:rsidR="005232E0" w:rsidRPr="00E209B2" w:rsidRDefault="005232E0" w:rsidP="00DF79E3">
            <w:pPr>
              <w:pStyle w:val="TableText"/>
              <w:numPr>
                <w:ilvl w:val="0"/>
                <w:numId w:val="7"/>
              </w:numPr>
              <w:ind w:left="308" w:hanging="231"/>
              <w:rPr>
                <w:szCs w:val="20"/>
              </w:rPr>
            </w:pPr>
            <w:r w:rsidRPr="00E209B2">
              <w:t>Vomiting</w:t>
            </w:r>
          </w:p>
          <w:p w:rsidR="005232E0" w:rsidRPr="00E209B2" w:rsidRDefault="005232E0" w:rsidP="00DF79E3">
            <w:pPr>
              <w:pStyle w:val="TableText"/>
              <w:numPr>
                <w:ilvl w:val="0"/>
                <w:numId w:val="7"/>
              </w:numPr>
              <w:ind w:left="308" w:hanging="231"/>
              <w:rPr>
                <w:szCs w:val="20"/>
              </w:rPr>
            </w:pPr>
            <w:r w:rsidRPr="00E209B2">
              <w:t>Asthenia</w:t>
            </w:r>
          </w:p>
        </w:tc>
        <w:tc>
          <w:tcPr>
            <w:tcW w:w="1967" w:type="dxa"/>
          </w:tcPr>
          <w:p w:rsidR="005232E0" w:rsidRPr="00E209B2" w:rsidRDefault="005232E0" w:rsidP="001F7F81">
            <w:pPr>
              <w:pStyle w:val="TableText"/>
              <w:jc w:val="center"/>
            </w:pPr>
          </w:p>
          <w:p w:rsidR="005232E0" w:rsidRPr="00E209B2" w:rsidRDefault="005232E0" w:rsidP="001F7F81">
            <w:pPr>
              <w:pStyle w:val="TableText"/>
              <w:jc w:val="center"/>
            </w:pPr>
            <w:r w:rsidRPr="00E209B2">
              <w:t>15 (4.4)</w:t>
            </w:r>
          </w:p>
          <w:p w:rsidR="005232E0" w:rsidRPr="00E209B2" w:rsidRDefault="005232E0" w:rsidP="001F7F81">
            <w:pPr>
              <w:pStyle w:val="TableText"/>
              <w:jc w:val="center"/>
            </w:pPr>
            <w:r w:rsidRPr="00E209B2">
              <w:t>13 (3.8)</w:t>
            </w:r>
          </w:p>
          <w:p w:rsidR="005232E0" w:rsidRPr="00E209B2" w:rsidRDefault="005232E0" w:rsidP="001F7F81">
            <w:pPr>
              <w:pStyle w:val="TableText"/>
              <w:jc w:val="center"/>
            </w:pPr>
            <w:r w:rsidRPr="00E209B2">
              <w:t>6 (1.7)</w:t>
            </w:r>
          </w:p>
          <w:p w:rsidR="005232E0" w:rsidRPr="00E209B2" w:rsidRDefault="005232E0" w:rsidP="001F7F81">
            <w:pPr>
              <w:pStyle w:val="TableText"/>
              <w:jc w:val="center"/>
            </w:pPr>
            <w:r w:rsidRPr="00E209B2">
              <w:t>6 (1.7)</w:t>
            </w:r>
          </w:p>
          <w:p w:rsidR="005232E0" w:rsidRPr="00E209B2" w:rsidRDefault="005232E0" w:rsidP="001F7F81">
            <w:pPr>
              <w:pStyle w:val="TableText"/>
              <w:jc w:val="center"/>
            </w:pPr>
            <w:r w:rsidRPr="00E209B2">
              <w:t>4 (1.2)</w:t>
            </w:r>
          </w:p>
          <w:p w:rsidR="005232E0" w:rsidRPr="00E209B2" w:rsidRDefault="005232E0" w:rsidP="001F7F81">
            <w:pPr>
              <w:pStyle w:val="TableText"/>
              <w:jc w:val="center"/>
              <w:rPr>
                <w:szCs w:val="20"/>
              </w:rPr>
            </w:pPr>
            <w:r w:rsidRPr="00E209B2">
              <w:t>4 (1.2)</w:t>
            </w:r>
          </w:p>
          <w:p w:rsidR="005232E0" w:rsidRPr="00E209B2" w:rsidRDefault="005232E0" w:rsidP="001F7F81">
            <w:pPr>
              <w:pStyle w:val="TableText"/>
              <w:jc w:val="center"/>
              <w:rPr>
                <w:szCs w:val="20"/>
              </w:rPr>
            </w:pPr>
            <w:r w:rsidRPr="00E209B2">
              <w:t>0</w:t>
            </w:r>
          </w:p>
        </w:tc>
        <w:tc>
          <w:tcPr>
            <w:tcW w:w="1968" w:type="dxa"/>
          </w:tcPr>
          <w:p w:rsidR="005232E0" w:rsidRPr="00E209B2" w:rsidRDefault="005232E0" w:rsidP="001F7F81">
            <w:pPr>
              <w:pStyle w:val="TableText"/>
              <w:jc w:val="center"/>
            </w:pPr>
          </w:p>
          <w:p w:rsidR="005232E0" w:rsidRPr="00E209B2" w:rsidRDefault="005232E0" w:rsidP="001F7F81">
            <w:pPr>
              <w:pStyle w:val="TableText"/>
              <w:jc w:val="center"/>
            </w:pPr>
            <w:r w:rsidRPr="00E209B2">
              <w:t>9 (2.6)</w:t>
            </w:r>
          </w:p>
          <w:p w:rsidR="005232E0" w:rsidRPr="00E209B2" w:rsidRDefault="005232E0" w:rsidP="001F7F81">
            <w:pPr>
              <w:pStyle w:val="TableText"/>
              <w:jc w:val="center"/>
            </w:pPr>
            <w:r w:rsidRPr="00E209B2">
              <w:t>10 (2.9)</w:t>
            </w:r>
          </w:p>
          <w:p w:rsidR="005232E0" w:rsidRPr="00E209B2" w:rsidRDefault="005232E0" w:rsidP="001F7F81">
            <w:pPr>
              <w:pStyle w:val="TableText"/>
              <w:jc w:val="center"/>
            </w:pPr>
            <w:r w:rsidRPr="00E209B2">
              <w:t>2 (0.6)</w:t>
            </w:r>
          </w:p>
          <w:p w:rsidR="005232E0" w:rsidRPr="00E209B2" w:rsidRDefault="005232E0" w:rsidP="001F7F81">
            <w:pPr>
              <w:pStyle w:val="TableText"/>
              <w:jc w:val="center"/>
            </w:pPr>
            <w:r w:rsidRPr="00E209B2">
              <w:t>5 (1.4)</w:t>
            </w:r>
          </w:p>
          <w:p w:rsidR="005232E0" w:rsidRPr="00E209B2" w:rsidRDefault="005232E0" w:rsidP="001F7F81">
            <w:pPr>
              <w:pStyle w:val="TableText"/>
              <w:jc w:val="center"/>
            </w:pPr>
            <w:r w:rsidRPr="00E209B2">
              <w:t>8 (2.3)</w:t>
            </w:r>
          </w:p>
          <w:p w:rsidR="005232E0" w:rsidRPr="00E209B2" w:rsidRDefault="005232E0" w:rsidP="001F7F81">
            <w:pPr>
              <w:pStyle w:val="TableText"/>
              <w:jc w:val="center"/>
              <w:rPr>
                <w:szCs w:val="20"/>
              </w:rPr>
            </w:pPr>
            <w:r w:rsidRPr="00E209B2">
              <w:t>2 (0.6)</w:t>
            </w:r>
          </w:p>
          <w:p w:rsidR="005232E0" w:rsidRPr="00E209B2" w:rsidRDefault="005232E0" w:rsidP="001F7F81">
            <w:pPr>
              <w:pStyle w:val="TableText"/>
              <w:jc w:val="center"/>
              <w:rPr>
                <w:szCs w:val="20"/>
              </w:rPr>
            </w:pPr>
            <w:r w:rsidRPr="00E209B2">
              <w:t>4 (1.2)</w:t>
            </w:r>
          </w:p>
        </w:tc>
        <w:tc>
          <w:tcPr>
            <w:tcW w:w="1968" w:type="dxa"/>
          </w:tcPr>
          <w:p w:rsidR="005232E0" w:rsidRPr="00E209B2" w:rsidRDefault="005232E0" w:rsidP="001F7F81">
            <w:pPr>
              <w:pStyle w:val="TableText"/>
              <w:jc w:val="center"/>
            </w:pPr>
          </w:p>
          <w:p w:rsidR="005232E0" w:rsidRPr="00E209B2" w:rsidRDefault="005232E0" w:rsidP="001F7F81">
            <w:pPr>
              <w:pStyle w:val="TableText"/>
              <w:jc w:val="center"/>
            </w:pPr>
            <w:r w:rsidRPr="00E209B2">
              <w:t>0.02 (-0.01, 0.04)</w:t>
            </w:r>
          </w:p>
          <w:p w:rsidR="005232E0" w:rsidRPr="00E209B2" w:rsidRDefault="005232E0" w:rsidP="001F7F81">
            <w:pPr>
              <w:pStyle w:val="TableText"/>
              <w:jc w:val="center"/>
            </w:pPr>
            <w:r w:rsidRPr="00E209B2">
              <w:t>0.01 (-0.02, 0.04)</w:t>
            </w:r>
          </w:p>
          <w:p w:rsidR="005232E0" w:rsidRPr="00E209B2" w:rsidRDefault="005232E0" w:rsidP="001F7F81">
            <w:pPr>
              <w:pStyle w:val="TableText"/>
              <w:jc w:val="center"/>
            </w:pPr>
            <w:r w:rsidRPr="00E209B2">
              <w:t>0.01 (-0.004, 0.03)</w:t>
            </w:r>
          </w:p>
          <w:p w:rsidR="005232E0" w:rsidRPr="00E209B2" w:rsidRDefault="005232E0" w:rsidP="001F7F81">
            <w:pPr>
              <w:pStyle w:val="TableText"/>
              <w:jc w:val="center"/>
            </w:pPr>
            <w:r w:rsidRPr="00E209B2">
              <w:t>0.00 (-0.02, 0.02)</w:t>
            </w:r>
          </w:p>
          <w:p w:rsidR="005232E0" w:rsidRPr="00E209B2" w:rsidRDefault="005232E0" w:rsidP="001F7F81">
            <w:pPr>
              <w:pStyle w:val="TableText"/>
              <w:jc w:val="center"/>
            </w:pPr>
            <w:r w:rsidRPr="00E209B2">
              <w:t>-0.01 (-0.03, 0.01)</w:t>
            </w:r>
          </w:p>
          <w:p w:rsidR="005232E0" w:rsidRPr="00E209B2" w:rsidRDefault="005232E0" w:rsidP="001F7F81">
            <w:pPr>
              <w:pStyle w:val="TableText"/>
              <w:jc w:val="center"/>
              <w:rPr>
                <w:szCs w:val="20"/>
              </w:rPr>
            </w:pPr>
            <w:r w:rsidRPr="00E209B2">
              <w:t>0.01 (-0.01, 0.02)</w:t>
            </w:r>
          </w:p>
          <w:p w:rsidR="005232E0" w:rsidRPr="00E209B2" w:rsidRDefault="005232E0" w:rsidP="001F7F81">
            <w:pPr>
              <w:pStyle w:val="TableText"/>
              <w:jc w:val="center"/>
              <w:rPr>
                <w:szCs w:val="20"/>
              </w:rPr>
            </w:pPr>
            <w:r w:rsidRPr="00E209B2">
              <w:t>-0.01 (-0.02, 0.001)</w:t>
            </w:r>
          </w:p>
        </w:tc>
      </w:tr>
    </w:tbl>
    <w:p w:rsidR="005232E0" w:rsidRPr="00E209B2" w:rsidRDefault="005232E0" w:rsidP="005232E0">
      <w:pPr>
        <w:pStyle w:val="TableFigureFooter"/>
      </w:pPr>
      <w:r w:rsidRPr="00E209B2">
        <w:t>Source: Table 2.5-5, p.74 of the submission.</w:t>
      </w:r>
    </w:p>
    <w:p w:rsidR="005232E0" w:rsidRPr="00E209B2" w:rsidRDefault="005232E0" w:rsidP="005232E0">
      <w:pPr>
        <w:pStyle w:val="TableFigureFooter"/>
      </w:pPr>
      <w:r w:rsidRPr="00E209B2">
        <w:t>Abbreviations: AE, adverse event; AVE, avelumab; BSC, best supportive care; RD, risk difference.</w:t>
      </w:r>
    </w:p>
    <w:p w:rsidR="00D20D88" w:rsidRPr="00E209B2" w:rsidRDefault="00D20D88" w:rsidP="001F7F81">
      <w:pPr>
        <w:pStyle w:val="ExecSumBodyText"/>
      </w:pPr>
      <w:r w:rsidRPr="00E209B2">
        <w:t>Ninety-eight percent of patients in the avelumab + BSC arm experienced at least one treatment-emergent adverse event, compared to 78% of patients in the BSC arm. The most commonly reported treatment-emergent adverse events in the avelumab + BSC arm (&gt;15%) were fatigue, pruritus, urinary tract infection, diarrhoea, arthralgia, asthenia, constipation, back pain, and nausea.</w:t>
      </w:r>
    </w:p>
    <w:p w:rsidR="00D20D88" w:rsidRPr="00E209B2" w:rsidRDefault="00D20D88" w:rsidP="001F7F81">
      <w:pPr>
        <w:pStyle w:val="ExecSumBodyText"/>
      </w:pPr>
      <w:r w:rsidRPr="00E209B2">
        <w:t>Seventy-seven percent of patients in the avelumab + BSC arm reported at least one treatment-related adverse event, compared to 1.2% in the BSC arm. Grade ≥3 adverse events (&gt;1%) in the avelumab + BSC arm included urinary tract infection (4.4%), anaemia (3.8%), fatigue (1.7%), haematuria (1.7%) and back pain (1.2%).</w:t>
      </w:r>
    </w:p>
    <w:p w:rsidR="00D375E5" w:rsidRPr="00E209B2" w:rsidRDefault="00D20D88" w:rsidP="001F7F81">
      <w:pPr>
        <w:pStyle w:val="ExecSumBodyText"/>
      </w:pPr>
      <w:r w:rsidRPr="00E209B2">
        <w:t xml:space="preserve">Fatal treatment-emergent adverse events were reported in 1.2% of patients treated with avelumab + BSC and 7.0% of patients treated with BSC alone. Two patients in the avelumab + BSC arm had a fatal adverse event that </w:t>
      </w:r>
      <w:r w:rsidRPr="00E209B2">
        <w:lastRenderedPageBreak/>
        <w:t>was considered related to treatment, including one event of sepsis, and one event of ischemic stroke that occurred 100 days after a single dose of avelumab.</w:t>
      </w:r>
    </w:p>
    <w:p w:rsidR="005232E0" w:rsidRPr="00E209B2" w:rsidRDefault="00D375E5" w:rsidP="00D375E5">
      <w:pPr>
        <w:pStyle w:val="ExecSumBodyText"/>
      </w:pPr>
      <w:r w:rsidRPr="00E209B2">
        <w:t>Immune-related adverse events were reported for 29.4% of patients in the avelumab + BSC arm and 1.4% of patients in the BSC alone arm. In the avelumab + BSC arm, immune-related Grade 3 events were reported for 7.0% of patients and no Grade 4 or Grade 5 events were reported. In the avelumab + BSC arm, the highest frequency of immune-related adverse events was in the thyroid disorders cluster (12.2%), and the most common immune-related adverse events were hypothyroidism (10.2%), rash (4.9%), and hyperthyroidism (4.7%). Nineteen (5.5%) patients in the avelumab + BSC arm discontinued study treatment due to an immune-related adverse event.</w:t>
      </w:r>
    </w:p>
    <w:p w:rsidR="007F1017" w:rsidRPr="00E209B2" w:rsidRDefault="007F1017" w:rsidP="00D86231">
      <w:pPr>
        <w:pStyle w:val="3-SubsectionHeading"/>
      </w:pPr>
      <w:bookmarkStart w:id="16" w:name="_Toc22897643"/>
      <w:bookmarkStart w:id="17" w:name="_Toc62036124"/>
      <w:r w:rsidRPr="00E209B2">
        <w:t>Benefits/harms</w:t>
      </w:r>
      <w:bookmarkEnd w:id="16"/>
      <w:bookmarkEnd w:id="17"/>
    </w:p>
    <w:p w:rsidR="000E2E17" w:rsidRPr="00E209B2" w:rsidRDefault="000E2E17" w:rsidP="009D43F5">
      <w:pPr>
        <w:pStyle w:val="ExecSumBodyText"/>
        <w:numPr>
          <w:ilvl w:val="1"/>
          <w:numId w:val="1"/>
        </w:numPr>
      </w:pPr>
      <w:r w:rsidRPr="00E209B2">
        <w:t xml:space="preserve">A summary of the comparative benefits and harms for avelumab + BSC versus BSC is presented in the </w:t>
      </w:r>
      <w:r w:rsidR="007E001E" w:rsidRPr="00E209B2">
        <w:t>t</w:t>
      </w:r>
      <w:r w:rsidRPr="00E209B2">
        <w:t>able below.</w:t>
      </w:r>
    </w:p>
    <w:p w:rsidR="007E001E" w:rsidRPr="00E209B2" w:rsidRDefault="007E001E" w:rsidP="003D39DA">
      <w:pPr>
        <w:pStyle w:val="TableHeading"/>
      </w:pPr>
      <w:r w:rsidRPr="00E209B2">
        <w:t xml:space="preserve">Table </w:t>
      </w:r>
      <w:r w:rsidR="00410AD4" w:rsidRPr="00E209B2">
        <w:t>1</w:t>
      </w:r>
      <w:r w:rsidR="005F2F14" w:rsidRPr="00E209B2">
        <w:t>1</w:t>
      </w:r>
      <w:r w:rsidRPr="00E209B2">
        <w:t>: Summary of the comparative benefits and harms for avelumab + BSC versus BSC</w:t>
      </w:r>
    </w:p>
    <w:tbl>
      <w:tblPr>
        <w:tblStyle w:val="TableGrid"/>
        <w:tblpPr w:leftFromText="180" w:rightFromText="180" w:vertAnchor="text" w:horzAnchor="margin" w:tblpY="35"/>
        <w:tblW w:w="5000" w:type="pct"/>
        <w:tblLayout w:type="fixed"/>
        <w:tblCellMar>
          <w:left w:w="28" w:type="dxa"/>
          <w:right w:w="28" w:type="dxa"/>
        </w:tblCellMar>
        <w:tblLook w:val="04A0" w:firstRow="1" w:lastRow="0" w:firstColumn="1" w:lastColumn="0" w:noHBand="0" w:noVBand="1"/>
        <w:tblCaption w:val="Table 11: Summary of the comparative benefits and harms for avelumab + BSC versus BSC"/>
      </w:tblPr>
      <w:tblGrid>
        <w:gridCol w:w="1838"/>
        <w:gridCol w:w="1183"/>
        <w:gridCol w:w="99"/>
        <w:gridCol w:w="1086"/>
        <w:gridCol w:w="330"/>
        <w:gridCol w:w="855"/>
        <w:gridCol w:w="561"/>
        <w:gridCol w:w="617"/>
        <w:gridCol w:w="867"/>
        <w:gridCol w:w="310"/>
        <w:gridCol w:w="1271"/>
      </w:tblGrid>
      <w:tr w:rsidR="003D39DA" w:rsidRPr="00E209B2" w:rsidTr="009262C3">
        <w:trPr>
          <w:tblHeader/>
        </w:trPr>
        <w:tc>
          <w:tcPr>
            <w:tcW w:w="1730" w:type="pct"/>
            <w:gridSpan w:val="3"/>
            <w:tcBorders>
              <w:bottom w:val="single" w:sz="4" w:space="0" w:color="auto"/>
            </w:tcBorders>
            <w:shd w:val="clear" w:color="auto" w:fill="auto"/>
            <w:vAlign w:val="center"/>
          </w:tcPr>
          <w:p w:rsidR="003D39DA" w:rsidRPr="00E209B2" w:rsidRDefault="003D39DA" w:rsidP="002C5D39">
            <w:pPr>
              <w:pStyle w:val="Tableheadingrow"/>
              <w:rPr>
                <w:lang w:val="en-AU"/>
              </w:rPr>
            </w:pPr>
            <w:r w:rsidRPr="00E209B2">
              <w:rPr>
                <w:lang w:val="en-AU"/>
              </w:rPr>
              <w:t>Benefits</w:t>
            </w:r>
          </w:p>
        </w:tc>
        <w:tc>
          <w:tcPr>
            <w:tcW w:w="785" w:type="pct"/>
            <w:gridSpan w:val="2"/>
            <w:tcBorders>
              <w:bottom w:val="single" w:sz="4" w:space="0" w:color="auto"/>
            </w:tcBorders>
            <w:shd w:val="clear" w:color="auto" w:fill="auto"/>
            <w:vAlign w:val="center"/>
          </w:tcPr>
          <w:p w:rsidR="003D39DA" w:rsidRPr="00E209B2" w:rsidRDefault="003D39DA" w:rsidP="002C5D39">
            <w:pPr>
              <w:pStyle w:val="Tableheadingrow"/>
              <w:jc w:val="center"/>
              <w:rPr>
                <w:lang w:val="en-AU"/>
              </w:rPr>
            </w:pPr>
          </w:p>
        </w:tc>
        <w:tc>
          <w:tcPr>
            <w:tcW w:w="785" w:type="pct"/>
            <w:gridSpan w:val="2"/>
            <w:tcBorders>
              <w:bottom w:val="single" w:sz="4" w:space="0" w:color="auto"/>
            </w:tcBorders>
            <w:shd w:val="clear" w:color="auto" w:fill="auto"/>
            <w:vAlign w:val="center"/>
          </w:tcPr>
          <w:p w:rsidR="003D39DA" w:rsidRPr="00E209B2" w:rsidRDefault="003D39DA" w:rsidP="002C5D39">
            <w:pPr>
              <w:pStyle w:val="Tableheadingrow"/>
              <w:jc w:val="center"/>
              <w:rPr>
                <w:lang w:val="en-AU"/>
              </w:rPr>
            </w:pPr>
          </w:p>
        </w:tc>
        <w:tc>
          <w:tcPr>
            <w:tcW w:w="823" w:type="pct"/>
            <w:gridSpan w:val="2"/>
            <w:tcBorders>
              <w:bottom w:val="single" w:sz="4" w:space="0" w:color="auto"/>
            </w:tcBorders>
            <w:shd w:val="clear" w:color="auto" w:fill="auto"/>
          </w:tcPr>
          <w:p w:rsidR="003D39DA" w:rsidRPr="00E209B2" w:rsidRDefault="003D39DA" w:rsidP="002C5D39">
            <w:pPr>
              <w:pStyle w:val="Tableheadingrow"/>
              <w:jc w:val="center"/>
              <w:rPr>
                <w:lang w:val="en-AU"/>
              </w:rPr>
            </w:pPr>
          </w:p>
        </w:tc>
        <w:tc>
          <w:tcPr>
            <w:tcW w:w="877" w:type="pct"/>
            <w:gridSpan w:val="2"/>
            <w:tcBorders>
              <w:bottom w:val="single" w:sz="4" w:space="0" w:color="auto"/>
            </w:tcBorders>
            <w:shd w:val="clear" w:color="auto" w:fill="auto"/>
            <w:vAlign w:val="center"/>
          </w:tcPr>
          <w:p w:rsidR="003D39DA" w:rsidRPr="00E209B2" w:rsidRDefault="003D39DA" w:rsidP="002C5D39">
            <w:pPr>
              <w:pStyle w:val="Tableheadingrow"/>
              <w:jc w:val="center"/>
              <w:rPr>
                <w:lang w:val="en-AU"/>
              </w:rPr>
            </w:pPr>
          </w:p>
        </w:tc>
      </w:tr>
      <w:tr w:rsidR="007E001E" w:rsidRPr="00E209B2" w:rsidTr="00A308E1">
        <w:tc>
          <w:tcPr>
            <w:tcW w:w="1730" w:type="pct"/>
            <w:gridSpan w:val="3"/>
            <w:tcBorders>
              <w:bottom w:val="single" w:sz="4" w:space="0" w:color="auto"/>
            </w:tcBorders>
            <w:shd w:val="clear" w:color="auto" w:fill="auto"/>
            <w:vAlign w:val="center"/>
          </w:tcPr>
          <w:p w:rsidR="007E001E" w:rsidRPr="00E209B2" w:rsidRDefault="007E001E" w:rsidP="002C5D39">
            <w:pPr>
              <w:pStyle w:val="Tableheadingrow"/>
              <w:rPr>
                <w:lang w:val="en-AU"/>
              </w:rPr>
            </w:pPr>
          </w:p>
        </w:tc>
        <w:tc>
          <w:tcPr>
            <w:tcW w:w="785" w:type="pct"/>
            <w:gridSpan w:val="2"/>
            <w:tcBorders>
              <w:bottom w:val="single" w:sz="4" w:space="0" w:color="auto"/>
            </w:tcBorders>
            <w:shd w:val="clear" w:color="auto" w:fill="auto"/>
            <w:vAlign w:val="center"/>
          </w:tcPr>
          <w:p w:rsidR="007E001E" w:rsidRPr="00E209B2" w:rsidRDefault="007E001E" w:rsidP="002C5D39">
            <w:pPr>
              <w:pStyle w:val="Tableheadingrow"/>
              <w:jc w:val="center"/>
              <w:rPr>
                <w:lang w:val="en-AU"/>
              </w:rPr>
            </w:pPr>
            <w:r w:rsidRPr="00E209B2">
              <w:rPr>
                <w:lang w:val="en-AU"/>
              </w:rPr>
              <w:t>AVE + BSC</w:t>
            </w:r>
          </w:p>
        </w:tc>
        <w:tc>
          <w:tcPr>
            <w:tcW w:w="785" w:type="pct"/>
            <w:gridSpan w:val="2"/>
            <w:tcBorders>
              <w:bottom w:val="single" w:sz="4" w:space="0" w:color="auto"/>
            </w:tcBorders>
            <w:shd w:val="clear" w:color="auto" w:fill="auto"/>
            <w:vAlign w:val="center"/>
          </w:tcPr>
          <w:p w:rsidR="007E001E" w:rsidRPr="00E209B2" w:rsidRDefault="007E001E" w:rsidP="002C5D39">
            <w:pPr>
              <w:pStyle w:val="Tableheadingrow"/>
              <w:jc w:val="center"/>
              <w:rPr>
                <w:lang w:val="en-AU"/>
              </w:rPr>
            </w:pPr>
            <w:r w:rsidRPr="00E209B2">
              <w:rPr>
                <w:lang w:val="en-AU"/>
              </w:rPr>
              <w:t>BSC</w:t>
            </w:r>
          </w:p>
        </w:tc>
        <w:tc>
          <w:tcPr>
            <w:tcW w:w="823" w:type="pct"/>
            <w:gridSpan w:val="2"/>
            <w:tcBorders>
              <w:bottom w:val="single" w:sz="4" w:space="0" w:color="auto"/>
            </w:tcBorders>
            <w:shd w:val="clear" w:color="auto" w:fill="auto"/>
          </w:tcPr>
          <w:p w:rsidR="007E001E" w:rsidRPr="00E209B2" w:rsidRDefault="007E001E" w:rsidP="002C5D39">
            <w:pPr>
              <w:pStyle w:val="Tableheadingrow"/>
              <w:jc w:val="center"/>
              <w:rPr>
                <w:lang w:val="en-AU"/>
              </w:rPr>
            </w:pPr>
            <w:r w:rsidRPr="00E209B2">
              <w:rPr>
                <w:lang w:val="en-AU"/>
              </w:rPr>
              <w:t>Absolute difference</w:t>
            </w:r>
          </w:p>
        </w:tc>
        <w:tc>
          <w:tcPr>
            <w:tcW w:w="877" w:type="pct"/>
            <w:gridSpan w:val="2"/>
            <w:tcBorders>
              <w:bottom w:val="single" w:sz="4" w:space="0" w:color="auto"/>
            </w:tcBorders>
            <w:shd w:val="clear" w:color="auto" w:fill="auto"/>
            <w:vAlign w:val="center"/>
          </w:tcPr>
          <w:p w:rsidR="007E001E" w:rsidRPr="00E209B2" w:rsidRDefault="007E001E" w:rsidP="002C5D39">
            <w:pPr>
              <w:pStyle w:val="Tableheadingrow"/>
              <w:jc w:val="center"/>
              <w:rPr>
                <w:lang w:val="en-AU"/>
              </w:rPr>
            </w:pPr>
            <w:r w:rsidRPr="00E209B2">
              <w:rPr>
                <w:lang w:val="en-AU"/>
              </w:rPr>
              <w:t xml:space="preserve">HR </w:t>
            </w:r>
          </w:p>
          <w:p w:rsidR="007E001E" w:rsidRPr="00E209B2" w:rsidRDefault="007E001E" w:rsidP="002C5D39">
            <w:pPr>
              <w:pStyle w:val="Tableheadingrow"/>
              <w:jc w:val="center"/>
              <w:rPr>
                <w:lang w:val="en-AU"/>
              </w:rPr>
            </w:pPr>
            <w:r w:rsidRPr="00E209B2">
              <w:rPr>
                <w:lang w:val="en-AU"/>
              </w:rPr>
              <w:t>(95% CI)</w:t>
            </w:r>
          </w:p>
        </w:tc>
      </w:tr>
      <w:tr w:rsidR="007E001E" w:rsidRPr="00E209B2" w:rsidTr="00A308E1">
        <w:tc>
          <w:tcPr>
            <w:tcW w:w="5000" w:type="pct"/>
            <w:gridSpan w:val="11"/>
            <w:tcBorders>
              <w:bottom w:val="single" w:sz="4" w:space="0" w:color="auto"/>
            </w:tcBorders>
            <w:shd w:val="clear" w:color="auto" w:fill="auto"/>
          </w:tcPr>
          <w:p w:rsidR="007E001E" w:rsidRPr="00E209B2" w:rsidRDefault="007E001E" w:rsidP="002C5D39">
            <w:pPr>
              <w:pStyle w:val="Tableheadingrow"/>
              <w:rPr>
                <w:lang w:val="en-AU"/>
              </w:rPr>
            </w:pPr>
            <w:r w:rsidRPr="00E209B2">
              <w:rPr>
                <w:lang w:val="en-AU"/>
              </w:rPr>
              <w:t>Progression-free survival (median duration of follow-up 19 months)</w:t>
            </w:r>
            <w:r w:rsidRPr="00E209B2">
              <w:rPr>
                <w:vertAlign w:val="superscript"/>
                <w:lang w:val="en-AU"/>
              </w:rPr>
              <w:t>1</w:t>
            </w:r>
          </w:p>
        </w:tc>
      </w:tr>
      <w:tr w:rsidR="007E001E" w:rsidRPr="00E209B2" w:rsidTr="00A308E1">
        <w:tc>
          <w:tcPr>
            <w:tcW w:w="1730" w:type="pct"/>
            <w:gridSpan w:val="3"/>
            <w:tcBorders>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Disease progression or death, n (%)</w:t>
            </w:r>
          </w:p>
        </w:tc>
        <w:tc>
          <w:tcPr>
            <w:tcW w:w="785" w:type="pct"/>
            <w:gridSpan w:val="2"/>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225 (64.3)</w:t>
            </w:r>
          </w:p>
        </w:tc>
        <w:tc>
          <w:tcPr>
            <w:tcW w:w="785" w:type="pct"/>
            <w:gridSpan w:val="2"/>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260 (74.3)</w:t>
            </w:r>
          </w:p>
        </w:tc>
        <w:tc>
          <w:tcPr>
            <w:tcW w:w="823" w:type="pct"/>
            <w:gridSpan w:val="2"/>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-10.0%</w:t>
            </w:r>
          </w:p>
        </w:tc>
        <w:tc>
          <w:tcPr>
            <w:tcW w:w="877" w:type="pct"/>
            <w:gridSpan w:val="2"/>
            <w:vMerge w:val="restart"/>
            <w:tcBorders>
              <w:left w:val="single" w:sz="4" w:space="0" w:color="auto"/>
            </w:tcBorders>
            <w:shd w:val="clear" w:color="auto" w:fill="auto"/>
            <w:vAlign w:val="center"/>
          </w:tcPr>
          <w:p w:rsidR="007E001E" w:rsidRPr="00E209B2" w:rsidRDefault="007E001E" w:rsidP="002C5D39">
            <w:pPr>
              <w:pStyle w:val="TableText"/>
              <w:keepLines/>
              <w:widowControl w:val="0"/>
              <w:jc w:val="center"/>
              <w:rPr>
                <w:szCs w:val="20"/>
              </w:rPr>
            </w:pPr>
            <w:r w:rsidRPr="00E209B2">
              <w:rPr>
                <w:szCs w:val="20"/>
              </w:rPr>
              <w:t>0.62 (0.519, 0.751)</w:t>
            </w:r>
          </w:p>
        </w:tc>
      </w:tr>
      <w:tr w:rsidR="007E001E" w:rsidRPr="00E209B2" w:rsidTr="00A308E1">
        <w:tc>
          <w:tcPr>
            <w:tcW w:w="1730" w:type="pct"/>
            <w:gridSpan w:val="3"/>
            <w:tcBorders>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Median PFS, months (95% CI)</w:t>
            </w:r>
          </w:p>
        </w:tc>
        <w:tc>
          <w:tcPr>
            <w:tcW w:w="785" w:type="pct"/>
            <w:gridSpan w:val="2"/>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rFonts w:cs="Times New Roman"/>
                <w:szCs w:val="20"/>
              </w:rPr>
            </w:pPr>
            <w:r w:rsidRPr="00E209B2">
              <w:rPr>
                <w:rFonts w:cs="Times New Roman"/>
                <w:szCs w:val="20"/>
              </w:rPr>
              <w:t>3.7 (3.5, 5.5)</w:t>
            </w:r>
          </w:p>
        </w:tc>
        <w:tc>
          <w:tcPr>
            <w:tcW w:w="785" w:type="pct"/>
            <w:gridSpan w:val="2"/>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rFonts w:cs="Times New Roman"/>
                <w:szCs w:val="20"/>
              </w:rPr>
            </w:pPr>
            <w:r w:rsidRPr="00E209B2">
              <w:rPr>
                <w:rFonts w:cs="Times New Roman"/>
                <w:szCs w:val="20"/>
              </w:rPr>
              <w:t>2.0 (1.9, 2.7)</w:t>
            </w:r>
          </w:p>
        </w:tc>
        <w:tc>
          <w:tcPr>
            <w:tcW w:w="823" w:type="pct"/>
            <w:gridSpan w:val="2"/>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1.7 months</w:t>
            </w:r>
          </w:p>
        </w:tc>
        <w:tc>
          <w:tcPr>
            <w:tcW w:w="877" w:type="pct"/>
            <w:gridSpan w:val="2"/>
            <w:vMerge/>
            <w:tcBorders>
              <w:left w:val="single" w:sz="4" w:space="0" w:color="auto"/>
            </w:tcBorders>
            <w:shd w:val="clear" w:color="auto" w:fill="auto"/>
            <w:vAlign w:val="center"/>
          </w:tcPr>
          <w:p w:rsidR="007E001E" w:rsidRPr="00E209B2" w:rsidRDefault="007E001E" w:rsidP="002C5D39">
            <w:pPr>
              <w:pStyle w:val="TableText"/>
              <w:keepLines/>
              <w:widowControl w:val="0"/>
              <w:jc w:val="center"/>
              <w:rPr>
                <w:szCs w:val="20"/>
              </w:rPr>
            </w:pPr>
          </w:p>
        </w:tc>
      </w:tr>
      <w:tr w:rsidR="007E001E" w:rsidRPr="00E209B2" w:rsidTr="00A308E1">
        <w:tc>
          <w:tcPr>
            <w:tcW w:w="1730" w:type="pct"/>
            <w:gridSpan w:val="3"/>
            <w:tcBorders>
              <w:top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Not progressed at 6 months, % (95% CI)</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rPr>
                <w:szCs w:val="20"/>
              </w:rPr>
              <w:t>40.7 (35.2, 46.1)</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21.8 (17.2, 26.7)</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18.9%</w:t>
            </w:r>
          </w:p>
        </w:tc>
        <w:tc>
          <w:tcPr>
            <w:tcW w:w="877" w:type="pct"/>
            <w:gridSpan w:val="2"/>
            <w:vMerge/>
            <w:tcBorders>
              <w:left w:val="single" w:sz="4" w:space="0" w:color="auto"/>
            </w:tcBorders>
            <w:shd w:val="clear" w:color="auto" w:fill="auto"/>
            <w:vAlign w:val="center"/>
          </w:tcPr>
          <w:p w:rsidR="007E001E" w:rsidRPr="00E209B2" w:rsidRDefault="007E001E" w:rsidP="002C5D39">
            <w:pPr>
              <w:pStyle w:val="TableText"/>
              <w:keepLines/>
              <w:widowControl w:val="0"/>
              <w:jc w:val="center"/>
            </w:pPr>
          </w:p>
        </w:tc>
      </w:tr>
      <w:tr w:rsidR="007E001E" w:rsidRPr="00E209B2" w:rsidTr="00A308E1">
        <w:tc>
          <w:tcPr>
            <w:tcW w:w="1730" w:type="pct"/>
            <w:gridSpan w:val="3"/>
            <w:tcBorders>
              <w:top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Not progressed at 12 months, % (95% CI)</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29.6 (24.4, 35.0)</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13.1 (9.2, 17.8)</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rFonts w:cs="Times New Roman"/>
                <w:szCs w:val="20"/>
              </w:rPr>
            </w:pPr>
            <w:r w:rsidRPr="00E209B2">
              <w:rPr>
                <w:rFonts w:cs="Times New Roman"/>
                <w:szCs w:val="20"/>
              </w:rPr>
              <w:t>16.5%</w:t>
            </w:r>
          </w:p>
        </w:tc>
        <w:tc>
          <w:tcPr>
            <w:tcW w:w="877" w:type="pct"/>
            <w:gridSpan w:val="2"/>
            <w:vMerge/>
            <w:tcBorders>
              <w:left w:val="single" w:sz="4" w:space="0" w:color="auto"/>
              <w:bottom w:val="single" w:sz="4" w:space="0" w:color="auto"/>
            </w:tcBorders>
            <w:shd w:val="clear" w:color="auto" w:fill="auto"/>
            <w:vAlign w:val="center"/>
          </w:tcPr>
          <w:p w:rsidR="007E001E" w:rsidRPr="00E209B2" w:rsidRDefault="007E001E" w:rsidP="002C5D39">
            <w:pPr>
              <w:pStyle w:val="TableText"/>
              <w:keepLines/>
              <w:widowControl w:val="0"/>
              <w:jc w:val="center"/>
            </w:pPr>
          </w:p>
        </w:tc>
      </w:tr>
      <w:tr w:rsidR="007E001E" w:rsidRPr="00E209B2" w:rsidTr="00A308E1">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headingrow"/>
              <w:rPr>
                <w:lang w:val="en-AU"/>
              </w:rPr>
            </w:pPr>
            <w:r w:rsidRPr="00E209B2">
              <w:rPr>
                <w:lang w:val="en-AU"/>
              </w:rPr>
              <w:t>Overall survival (median duration of follow-up 19 months)</w:t>
            </w:r>
          </w:p>
        </w:tc>
      </w:tr>
      <w:tr w:rsidR="007E001E" w:rsidRPr="00E209B2" w:rsidTr="00A308E1">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 xml:space="preserve">Death, n/N (%) </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145 (41.4)</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179 (51.1)</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-9.7%</w:t>
            </w:r>
          </w:p>
        </w:tc>
        <w:tc>
          <w:tcPr>
            <w:tcW w:w="877" w:type="pct"/>
            <w:gridSpan w:val="2"/>
            <w:vMerge w:val="restart"/>
            <w:tcBorders>
              <w:top w:val="single" w:sz="4" w:space="0" w:color="auto"/>
              <w:left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rPr>
                <w:szCs w:val="20"/>
              </w:rPr>
            </w:pPr>
            <w:r w:rsidRPr="00E209B2">
              <w:rPr>
                <w:szCs w:val="20"/>
              </w:rPr>
              <w:t>0.69 (0.556, 0.863)</w:t>
            </w:r>
          </w:p>
        </w:tc>
      </w:tr>
      <w:tr w:rsidR="007E001E" w:rsidRPr="00E209B2" w:rsidTr="00A308E1">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Median OS, months (95% CI)</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rFonts w:cs="Times New Roman"/>
                <w:szCs w:val="20"/>
              </w:rPr>
            </w:pPr>
            <w:r w:rsidRPr="00E209B2">
              <w:t>21.4 (18.9, 26.1)</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rFonts w:cs="Times New Roman"/>
                <w:szCs w:val="20"/>
              </w:rPr>
            </w:pPr>
            <w:r w:rsidRPr="00E209B2">
              <w:t>14.3 (12.9, 17.9)</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7.1 months</w:t>
            </w:r>
          </w:p>
        </w:tc>
        <w:tc>
          <w:tcPr>
            <w:tcW w:w="877" w:type="pct"/>
            <w:gridSpan w:val="2"/>
            <w:vMerge/>
            <w:tcBorders>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p>
        </w:tc>
      </w:tr>
      <w:tr w:rsidR="007E001E" w:rsidRPr="00E209B2" w:rsidTr="00A308E1">
        <w:tc>
          <w:tcPr>
            <w:tcW w:w="1730" w:type="pct"/>
            <w:gridSpan w:val="3"/>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pPr>
            <w:r w:rsidRPr="00E209B2">
              <w:t xml:space="preserve">Alive at 12 months, % (95% CI) </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rPr>
                <w:szCs w:val="20"/>
              </w:rPr>
              <w:t>71.3 (66.0, 76.0)</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58.4 (52.7, 63.7)</w:t>
            </w:r>
          </w:p>
        </w:tc>
        <w:tc>
          <w:tcPr>
            <w:tcW w:w="82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12.9%</w:t>
            </w:r>
          </w:p>
        </w:tc>
        <w:tc>
          <w:tcPr>
            <w:tcW w:w="877" w:type="pct"/>
            <w:gridSpan w:val="2"/>
            <w:vMerge/>
            <w:tcBorders>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p>
        </w:tc>
      </w:tr>
      <w:tr w:rsidR="007E001E" w:rsidRPr="00E209B2" w:rsidTr="00A308E1">
        <w:tc>
          <w:tcPr>
            <w:tcW w:w="1730" w:type="pct"/>
            <w:gridSpan w:val="3"/>
            <w:tcBorders>
              <w:top w:val="single" w:sz="4" w:space="0" w:color="auto"/>
              <w:left w:val="single" w:sz="4" w:space="0" w:color="auto"/>
              <w:bottom w:val="double" w:sz="4" w:space="0" w:color="auto"/>
              <w:right w:val="single" w:sz="4" w:space="0" w:color="auto"/>
            </w:tcBorders>
            <w:shd w:val="clear" w:color="auto" w:fill="auto"/>
          </w:tcPr>
          <w:p w:rsidR="007E001E" w:rsidRPr="00E209B2" w:rsidRDefault="007E001E" w:rsidP="002C5D39">
            <w:pPr>
              <w:pStyle w:val="TableText"/>
              <w:keepLines/>
              <w:widowControl w:val="0"/>
            </w:pPr>
            <w:r w:rsidRPr="00E209B2">
              <w:t>Alive at 24 months, % (95% CI)</w:t>
            </w:r>
          </w:p>
        </w:tc>
        <w:tc>
          <w:tcPr>
            <w:tcW w:w="785" w:type="pct"/>
            <w:gridSpan w:val="2"/>
            <w:tcBorders>
              <w:top w:val="single" w:sz="4" w:space="0" w:color="auto"/>
              <w:left w:val="single" w:sz="4" w:space="0" w:color="auto"/>
              <w:bottom w:val="doub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48.1 (41.3, 54.7)</w:t>
            </w:r>
          </w:p>
        </w:tc>
        <w:tc>
          <w:tcPr>
            <w:tcW w:w="785" w:type="pct"/>
            <w:gridSpan w:val="2"/>
            <w:tcBorders>
              <w:top w:val="single" w:sz="4" w:space="0" w:color="auto"/>
              <w:left w:val="single" w:sz="4" w:space="0" w:color="auto"/>
              <w:bottom w:val="double" w:sz="4" w:space="0" w:color="auto"/>
              <w:right w:val="single" w:sz="4" w:space="0" w:color="auto"/>
            </w:tcBorders>
            <w:shd w:val="clear" w:color="auto" w:fill="auto"/>
          </w:tcPr>
          <w:p w:rsidR="007E001E" w:rsidRPr="00E209B2" w:rsidRDefault="007E001E" w:rsidP="002C5D39">
            <w:pPr>
              <w:pStyle w:val="TableText"/>
              <w:keepLines/>
              <w:widowControl w:val="0"/>
              <w:jc w:val="center"/>
              <w:rPr>
                <w:szCs w:val="20"/>
              </w:rPr>
            </w:pPr>
            <w:r w:rsidRPr="00E209B2">
              <w:rPr>
                <w:szCs w:val="20"/>
              </w:rPr>
              <w:t>37.2 (30.9, 43.4)</w:t>
            </w:r>
          </w:p>
        </w:tc>
        <w:tc>
          <w:tcPr>
            <w:tcW w:w="823" w:type="pct"/>
            <w:gridSpan w:val="2"/>
            <w:tcBorders>
              <w:top w:val="single" w:sz="4" w:space="0" w:color="auto"/>
              <w:left w:val="single" w:sz="4" w:space="0" w:color="auto"/>
              <w:bottom w:val="double" w:sz="4" w:space="0" w:color="auto"/>
              <w:right w:val="single" w:sz="4" w:space="0" w:color="auto"/>
            </w:tcBorders>
            <w:shd w:val="clear" w:color="auto" w:fill="auto"/>
          </w:tcPr>
          <w:p w:rsidR="007E001E" w:rsidRPr="00E209B2" w:rsidRDefault="007E001E" w:rsidP="002C5D39">
            <w:pPr>
              <w:pStyle w:val="TableText"/>
              <w:keepLines/>
              <w:widowControl w:val="0"/>
              <w:jc w:val="center"/>
            </w:pPr>
            <w:r w:rsidRPr="00E209B2">
              <w:t>10.9%</w:t>
            </w:r>
          </w:p>
        </w:tc>
        <w:tc>
          <w:tcPr>
            <w:tcW w:w="877" w:type="pct"/>
            <w:gridSpan w:val="2"/>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p>
        </w:tc>
      </w:tr>
      <w:tr w:rsidR="007E001E" w:rsidRPr="00E209B2" w:rsidTr="00A308E1">
        <w:tc>
          <w:tcPr>
            <w:tcW w:w="5000" w:type="pct"/>
            <w:gridSpan w:val="11"/>
            <w:tcBorders>
              <w:top w:val="doub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rPr>
                <w:b/>
                <w:bCs w:val="0"/>
              </w:rPr>
            </w:pPr>
            <w:r w:rsidRPr="00E209B2">
              <w:rPr>
                <w:b/>
                <w:bCs w:val="0"/>
              </w:rPr>
              <w:t>Harms</w:t>
            </w:r>
          </w:p>
        </w:tc>
      </w:tr>
      <w:tr w:rsidR="007E001E" w:rsidRPr="00E209B2" w:rsidTr="00A308E1">
        <w:tc>
          <w:tcPr>
            <w:tcW w:w="1019" w:type="pct"/>
            <w:vMerge w:val="restart"/>
            <w:tcBorders>
              <w:top w:val="single" w:sz="4" w:space="0" w:color="auto"/>
              <w:left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rPr>
                <w:b/>
                <w:bCs w:val="0"/>
              </w:rPr>
            </w:pPr>
            <w:r w:rsidRPr="00E209B2">
              <w:rPr>
                <w:b/>
                <w:bCs w:val="0"/>
              </w:rPr>
              <w:t>Event</w:t>
            </w:r>
          </w:p>
        </w:tc>
        <w:tc>
          <w:tcPr>
            <w:tcW w:w="656" w:type="pct"/>
            <w:vMerge w:val="restart"/>
            <w:tcBorders>
              <w:top w:val="single" w:sz="4" w:space="0" w:color="auto"/>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AVE + BSC</w:t>
            </w:r>
          </w:p>
          <w:p w:rsidR="007E001E" w:rsidRPr="00E209B2" w:rsidRDefault="007E001E" w:rsidP="002C5D39">
            <w:pPr>
              <w:pStyle w:val="TableText"/>
              <w:keepLines/>
              <w:widowControl w:val="0"/>
              <w:jc w:val="center"/>
            </w:pPr>
            <w:r w:rsidRPr="00E209B2">
              <w:rPr>
                <w:b/>
                <w:bCs w:val="0"/>
              </w:rPr>
              <w:t>n/N</w:t>
            </w:r>
          </w:p>
        </w:tc>
        <w:tc>
          <w:tcPr>
            <w:tcW w:w="657" w:type="pct"/>
            <w:gridSpan w:val="2"/>
            <w:vMerge w:val="restart"/>
            <w:tcBorders>
              <w:top w:val="single" w:sz="4" w:space="0" w:color="auto"/>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BSC</w:t>
            </w:r>
          </w:p>
          <w:p w:rsidR="007E001E" w:rsidRPr="00E209B2" w:rsidRDefault="007E001E" w:rsidP="002C5D39">
            <w:pPr>
              <w:pStyle w:val="TableText"/>
              <w:keepLines/>
              <w:widowControl w:val="0"/>
              <w:jc w:val="center"/>
            </w:pPr>
            <w:r w:rsidRPr="00E209B2">
              <w:rPr>
                <w:b/>
                <w:bCs w:val="0"/>
              </w:rPr>
              <w:t>n/N</w:t>
            </w:r>
          </w:p>
        </w:tc>
        <w:tc>
          <w:tcPr>
            <w:tcW w:w="657" w:type="pct"/>
            <w:gridSpan w:val="2"/>
            <w:vMerge w:val="restart"/>
            <w:tcBorders>
              <w:top w:val="single" w:sz="4" w:space="0" w:color="auto"/>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RR</w:t>
            </w:r>
          </w:p>
          <w:p w:rsidR="007E001E" w:rsidRPr="00E209B2" w:rsidRDefault="007E001E" w:rsidP="002C5D39">
            <w:pPr>
              <w:pStyle w:val="TableText"/>
              <w:keepLines/>
              <w:widowControl w:val="0"/>
              <w:jc w:val="center"/>
            </w:pPr>
            <w:r w:rsidRPr="00E209B2">
              <w:rPr>
                <w:b/>
                <w:bCs w:val="0"/>
              </w:rPr>
              <w:t>(95% CI)</w:t>
            </w:r>
          </w:p>
        </w:tc>
        <w:tc>
          <w:tcPr>
            <w:tcW w:w="1306" w:type="pct"/>
            <w:gridSpan w:val="4"/>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Event rate/100 patients</w:t>
            </w:r>
          </w:p>
        </w:tc>
        <w:tc>
          <w:tcPr>
            <w:tcW w:w="705" w:type="pct"/>
            <w:vMerge w:val="restart"/>
            <w:tcBorders>
              <w:top w:val="single" w:sz="4" w:space="0" w:color="auto"/>
              <w:left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RD</w:t>
            </w:r>
          </w:p>
          <w:p w:rsidR="007E001E" w:rsidRPr="00E209B2" w:rsidRDefault="007E001E" w:rsidP="002C5D39">
            <w:pPr>
              <w:pStyle w:val="TableText"/>
              <w:keepLines/>
              <w:widowControl w:val="0"/>
              <w:jc w:val="center"/>
            </w:pPr>
            <w:r w:rsidRPr="00E209B2">
              <w:rPr>
                <w:b/>
                <w:bCs w:val="0"/>
              </w:rPr>
              <w:t>(95% CI)</w:t>
            </w:r>
          </w:p>
        </w:tc>
      </w:tr>
      <w:tr w:rsidR="007E001E" w:rsidRPr="00E209B2" w:rsidTr="00A308E1">
        <w:tc>
          <w:tcPr>
            <w:tcW w:w="1019" w:type="pct"/>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p>
        </w:tc>
        <w:tc>
          <w:tcPr>
            <w:tcW w:w="656" w:type="pct"/>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p>
        </w:tc>
        <w:tc>
          <w:tcPr>
            <w:tcW w:w="657" w:type="pct"/>
            <w:gridSpan w:val="2"/>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pPr>
          </w:p>
        </w:tc>
        <w:tc>
          <w:tcPr>
            <w:tcW w:w="657" w:type="pct"/>
            <w:gridSpan w:val="2"/>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AVE + BSC</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r w:rsidRPr="00E209B2">
              <w:rPr>
                <w:b/>
                <w:bCs w:val="0"/>
              </w:rPr>
              <w:t>BSC</w:t>
            </w:r>
          </w:p>
        </w:tc>
        <w:tc>
          <w:tcPr>
            <w:tcW w:w="705" w:type="pct"/>
            <w:vMerge/>
            <w:tcBorders>
              <w:left w:val="single" w:sz="4" w:space="0" w:color="auto"/>
              <w:bottom w:val="single" w:sz="4" w:space="0" w:color="auto"/>
              <w:right w:val="single" w:sz="4" w:space="0" w:color="auto"/>
            </w:tcBorders>
            <w:shd w:val="clear" w:color="auto" w:fill="auto"/>
          </w:tcPr>
          <w:p w:rsidR="007E001E" w:rsidRPr="00E209B2" w:rsidRDefault="007E001E" w:rsidP="002C5D39">
            <w:pPr>
              <w:pStyle w:val="TableText"/>
              <w:keepLines/>
              <w:widowControl w:val="0"/>
              <w:jc w:val="center"/>
              <w:rPr>
                <w:b/>
                <w:bCs w:val="0"/>
              </w:rPr>
            </w:pPr>
          </w:p>
        </w:tc>
      </w:tr>
      <w:tr w:rsidR="007E001E" w:rsidRPr="00E209B2" w:rsidTr="00A308E1">
        <w:tc>
          <w:tcPr>
            <w:tcW w:w="1019" w:type="pct"/>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pPr>
            <w:r w:rsidRPr="00E209B2">
              <w:t>Grade ≥3 urinary tract infection</w:t>
            </w:r>
          </w:p>
        </w:tc>
        <w:tc>
          <w:tcPr>
            <w:tcW w:w="656" w:type="pct"/>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15/344</w:t>
            </w:r>
          </w:p>
        </w:tc>
        <w:tc>
          <w:tcPr>
            <w:tcW w:w="657" w:type="pct"/>
            <w:gridSpan w:val="2"/>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9/345</w:t>
            </w:r>
          </w:p>
        </w:tc>
        <w:tc>
          <w:tcPr>
            <w:tcW w:w="657" w:type="pct"/>
            <w:gridSpan w:val="2"/>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 xml:space="preserve">1.67 </w:t>
            </w:r>
          </w:p>
          <w:p w:rsidR="007E001E" w:rsidRPr="00E209B2" w:rsidRDefault="007E001E" w:rsidP="002C5D39">
            <w:pPr>
              <w:pStyle w:val="TableText"/>
              <w:keepLines/>
              <w:widowControl w:val="0"/>
              <w:jc w:val="center"/>
            </w:pPr>
            <w:r w:rsidRPr="00E209B2">
              <w:t>(0.74, 3.77)</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rPr>
                <w:b/>
                <w:bCs w:val="0"/>
              </w:rPr>
            </w:pPr>
            <w:r w:rsidRPr="00E209B2">
              <w:t>4.4</w:t>
            </w:r>
          </w:p>
        </w:tc>
        <w:tc>
          <w:tcPr>
            <w:tcW w:w="6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rPr>
                <w:b/>
                <w:bCs w:val="0"/>
              </w:rPr>
            </w:pPr>
            <w:r w:rsidRPr="00E209B2">
              <w:t>2.6</w:t>
            </w:r>
          </w:p>
        </w:tc>
        <w:tc>
          <w:tcPr>
            <w:tcW w:w="705" w:type="pct"/>
            <w:tcBorders>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jc w:val="center"/>
            </w:pPr>
            <w:r w:rsidRPr="00E209B2">
              <w:t xml:space="preserve">0.02 </w:t>
            </w:r>
          </w:p>
          <w:p w:rsidR="007E001E" w:rsidRPr="00E209B2" w:rsidRDefault="007E001E" w:rsidP="002C5D39">
            <w:pPr>
              <w:pStyle w:val="TableText"/>
              <w:keepLines/>
              <w:widowControl w:val="0"/>
              <w:jc w:val="center"/>
              <w:rPr>
                <w:b/>
                <w:bCs w:val="0"/>
              </w:rPr>
            </w:pPr>
            <w:r w:rsidRPr="00E209B2">
              <w:t>(-0.01, 0.04)</w:t>
            </w:r>
          </w:p>
        </w:tc>
      </w:tr>
      <w:tr w:rsidR="007E001E" w:rsidRPr="00E209B2" w:rsidTr="00A308E1">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7E001E" w:rsidRPr="00E209B2" w:rsidRDefault="007E001E" w:rsidP="002C5D39">
            <w:pPr>
              <w:pStyle w:val="TableText"/>
              <w:keepLines/>
              <w:widowControl w:val="0"/>
            </w:pPr>
            <w:r w:rsidRPr="00E209B2">
              <w:t>Grade ≥3 anaemia</w:t>
            </w:r>
          </w:p>
        </w:tc>
        <w:tc>
          <w:tcPr>
            <w:tcW w:w="656" w:type="pct"/>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pPr>
            <w:r w:rsidRPr="00E209B2">
              <w:t>13/344</w:t>
            </w:r>
          </w:p>
        </w:tc>
        <w:tc>
          <w:tcPr>
            <w:tcW w:w="657" w:type="pct"/>
            <w:gridSpan w:val="2"/>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pPr>
            <w:r w:rsidRPr="00E209B2">
              <w:t>10/345</w:t>
            </w:r>
          </w:p>
        </w:tc>
        <w:tc>
          <w:tcPr>
            <w:tcW w:w="657" w:type="pct"/>
            <w:gridSpan w:val="2"/>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pPr>
            <w:r w:rsidRPr="00E209B2">
              <w:t xml:space="preserve">1.30 </w:t>
            </w:r>
          </w:p>
          <w:p w:rsidR="007E001E" w:rsidRPr="00E209B2" w:rsidRDefault="007E001E" w:rsidP="002C5D39">
            <w:pPr>
              <w:pStyle w:val="TableText"/>
              <w:keepLines/>
              <w:widowControl w:val="0"/>
              <w:jc w:val="center"/>
            </w:pPr>
            <w:r w:rsidRPr="00E209B2">
              <w:t>(0.58, 2.93)</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rPr>
                <w:b/>
                <w:bCs w:val="0"/>
              </w:rPr>
            </w:pPr>
            <w:r w:rsidRPr="00E209B2">
              <w:t>16.2</w:t>
            </w:r>
          </w:p>
        </w:tc>
        <w:tc>
          <w:tcPr>
            <w:tcW w:w="653" w:type="pct"/>
            <w:gridSpan w:val="2"/>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rPr>
                <w:b/>
                <w:bCs w:val="0"/>
              </w:rPr>
            </w:pPr>
            <w:r w:rsidRPr="00E209B2">
              <w:t>14.5</w:t>
            </w:r>
          </w:p>
        </w:tc>
        <w:tc>
          <w:tcPr>
            <w:tcW w:w="705" w:type="pct"/>
            <w:tcBorders>
              <w:top w:val="single" w:sz="4" w:space="0" w:color="auto"/>
              <w:left w:val="single" w:sz="4" w:space="0" w:color="auto"/>
              <w:bottom w:val="single" w:sz="4" w:space="0" w:color="auto"/>
              <w:right w:val="single" w:sz="4" w:space="0" w:color="auto"/>
            </w:tcBorders>
            <w:vAlign w:val="center"/>
          </w:tcPr>
          <w:p w:rsidR="007E001E" w:rsidRPr="00E209B2" w:rsidRDefault="007E001E" w:rsidP="002C5D39">
            <w:pPr>
              <w:pStyle w:val="TableText"/>
              <w:keepLines/>
              <w:widowControl w:val="0"/>
              <w:jc w:val="center"/>
            </w:pPr>
            <w:r w:rsidRPr="00E209B2">
              <w:t xml:space="preserve">0.01 </w:t>
            </w:r>
          </w:p>
          <w:p w:rsidR="007E001E" w:rsidRPr="00E209B2" w:rsidRDefault="007E001E" w:rsidP="002C5D39">
            <w:pPr>
              <w:pStyle w:val="TableText"/>
              <w:keepLines/>
              <w:widowControl w:val="0"/>
              <w:jc w:val="center"/>
              <w:rPr>
                <w:b/>
                <w:bCs w:val="0"/>
              </w:rPr>
            </w:pPr>
            <w:r w:rsidRPr="00E209B2">
              <w:t>(-0.02, 0.04)</w:t>
            </w:r>
          </w:p>
        </w:tc>
      </w:tr>
    </w:tbl>
    <w:p w:rsidR="007E001E" w:rsidRPr="00E209B2" w:rsidRDefault="007E001E" w:rsidP="007E001E">
      <w:pPr>
        <w:pStyle w:val="TableFigureFooter"/>
      </w:pPr>
      <w:bookmarkStart w:id="18" w:name="_Hlk61423365"/>
      <w:r w:rsidRPr="00E209B2">
        <w:t>Source: Table 2.5-1, p63; Table 2.5-2, p67; Table 2.5-6, p75 of the submission. Table 13, pp62-63 of the JAVELIN Bladder 100 clinical study report, Appendix 1A of the submission.</w:t>
      </w:r>
    </w:p>
    <w:p w:rsidR="007E001E" w:rsidRPr="00E209B2" w:rsidRDefault="007E001E" w:rsidP="007E001E">
      <w:pPr>
        <w:pStyle w:val="TableFigureFooter"/>
      </w:pPr>
      <w:r w:rsidRPr="00E209B2">
        <w:t>Abbreviations: AVE, avelumab; BSC, best supportive care; CI, confidence interval; OS, overall survival; PFS, progression-free survival; RD, risk difference; RR, risk ratio.</w:t>
      </w:r>
    </w:p>
    <w:p w:rsidR="007E001E" w:rsidRPr="00E209B2" w:rsidRDefault="007E001E" w:rsidP="007E001E">
      <w:pPr>
        <w:pStyle w:val="TableFigureFooter"/>
      </w:pPr>
      <w:r w:rsidRPr="00E209B2">
        <w:rPr>
          <w:vertAlign w:val="superscript"/>
        </w:rPr>
        <w:t>1</w:t>
      </w:r>
      <w:r w:rsidRPr="00E209B2">
        <w:t xml:space="preserve"> Progression-free survival assessed by independent review committe</w:t>
      </w:r>
      <w:bookmarkStart w:id="19" w:name="_GoBack"/>
      <w:bookmarkEnd w:id="19"/>
      <w:r w:rsidRPr="00E209B2">
        <w:t>e.</w:t>
      </w:r>
    </w:p>
    <w:bookmarkEnd w:id="18"/>
    <w:p w:rsidR="009D43F5" w:rsidRPr="00E209B2" w:rsidRDefault="00D20D88" w:rsidP="009D43F5">
      <w:pPr>
        <w:pStyle w:val="ExecSumBodyText"/>
        <w:numPr>
          <w:ilvl w:val="1"/>
          <w:numId w:val="1"/>
        </w:numPr>
      </w:pPr>
      <w:r w:rsidRPr="00E209B2">
        <w:t xml:space="preserve">On the basis of the direct evidence presented in the submission, for every 100 patients treated with avelumab + BSC in comparison with BSC alone: </w:t>
      </w:r>
    </w:p>
    <w:p w:rsidR="00D20D88" w:rsidRPr="00E209B2" w:rsidRDefault="00D20D88" w:rsidP="001E5647">
      <w:pPr>
        <w:pStyle w:val="ExecSumBodyText"/>
        <w:numPr>
          <w:ilvl w:val="0"/>
          <w:numId w:val="17"/>
        </w:numPr>
        <w:spacing w:after="0"/>
        <w:ind w:left="1077" w:hanging="357"/>
      </w:pPr>
      <w:r w:rsidRPr="00E209B2">
        <w:t xml:space="preserve">Approximately </w:t>
      </w:r>
      <w:r w:rsidR="009D43F5" w:rsidRPr="00E209B2">
        <w:t>11</w:t>
      </w:r>
      <w:r w:rsidRPr="00E209B2">
        <w:t xml:space="preserve"> additional patients will remain </w:t>
      </w:r>
      <w:r w:rsidR="009D43F5" w:rsidRPr="00E209B2">
        <w:t xml:space="preserve">alive </w:t>
      </w:r>
      <w:r w:rsidRPr="00E209B2">
        <w:t xml:space="preserve">at two years. </w:t>
      </w:r>
    </w:p>
    <w:p w:rsidR="009D43F5" w:rsidRPr="00E209B2" w:rsidRDefault="009D43F5" w:rsidP="001E5647">
      <w:pPr>
        <w:pStyle w:val="ExecSumBodyText"/>
        <w:numPr>
          <w:ilvl w:val="0"/>
          <w:numId w:val="17"/>
        </w:numPr>
        <w:spacing w:after="0"/>
        <w:ind w:left="1077" w:hanging="357"/>
      </w:pPr>
      <w:r w:rsidRPr="00E209B2">
        <w:t>Approximately 17 additional patients will remain free of disease progression at 12 months.</w:t>
      </w:r>
    </w:p>
    <w:p w:rsidR="00D20D88" w:rsidRPr="00E209B2" w:rsidRDefault="00D20D88" w:rsidP="001E5647">
      <w:pPr>
        <w:pStyle w:val="ExecSumBodyText"/>
        <w:numPr>
          <w:ilvl w:val="0"/>
          <w:numId w:val="17"/>
        </w:numPr>
        <w:spacing w:after="0"/>
        <w:ind w:left="1077" w:hanging="357"/>
      </w:pPr>
      <w:r w:rsidRPr="00E209B2">
        <w:lastRenderedPageBreak/>
        <w:t xml:space="preserve">Approximately </w:t>
      </w:r>
      <w:r w:rsidR="005F2119" w:rsidRPr="00E209B2">
        <w:t>2</w:t>
      </w:r>
      <w:r w:rsidRPr="00E209B2">
        <w:t xml:space="preserve"> </w:t>
      </w:r>
      <w:r w:rsidR="00744DBE" w:rsidRPr="00E209B2">
        <w:t xml:space="preserve">additional </w:t>
      </w:r>
      <w:r w:rsidRPr="00E209B2">
        <w:t xml:space="preserve">patients will experience </w:t>
      </w:r>
      <w:r w:rsidR="005F2119" w:rsidRPr="00E209B2">
        <w:t xml:space="preserve">a </w:t>
      </w:r>
      <w:r w:rsidRPr="00E209B2">
        <w:t xml:space="preserve">life-threatening or severe </w:t>
      </w:r>
      <w:r w:rsidR="005F2119" w:rsidRPr="00E209B2">
        <w:t>urinary tract infection</w:t>
      </w:r>
      <w:r w:rsidRPr="00E209B2">
        <w:t>.</w:t>
      </w:r>
    </w:p>
    <w:p w:rsidR="002E1071" w:rsidRPr="00E209B2" w:rsidRDefault="005F2119" w:rsidP="001E5647">
      <w:pPr>
        <w:pStyle w:val="ExecSumBodyText"/>
        <w:numPr>
          <w:ilvl w:val="0"/>
          <w:numId w:val="17"/>
        </w:numPr>
        <w:ind w:left="1077" w:hanging="357"/>
      </w:pPr>
      <w:r w:rsidRPr="00E209B2">
        <w:t>Approximately 1 additional patient will experience a life-threatening or severe anaemia.</w:t>
      </w:r>
    </w:p>
    <w:p w:rsidR="00B60939" w:rsidRPr="00E209B2" w:rsidRDefault="00B60939" w:rsidP="00E9094A">
      <w:pPr>
        <w:pStyle w:val="3-SubsectionHeading"/>
      </w:pPr>
      <w:bookmarkStart w:id="20" w:name="_Toc22897644"/>
      <w:bookmarkStart w:id="21" w:name="_Toc62036125"/>
      <w:r w:rsidRPr="00E209B2">
        <w:t>Clinical claim</w:t>
      </w:r>
      <w:bookmarkEnd w:id="20"/>
      <w:bookmarkEnd w:id="21"/>
    </w:p>
    <w:p w:rsidR="00841C76" w:rsidRPr="00E209B2" w:rsidRDefault="000A1DCE" w:rsidP="00841C76">
      <w:pPr>
        <w:pStyle w:val="ExecSumBodyText"/>
      </w:pPr>
      <w:r w:rsidRPr="00E209B2">
        <w:t xml:space="preserve">Based on the direct comparison of avelumab + BSC versus BSC in </w:t>
      </w:r>
      <w:r w:rsidR="00FE145D" w:rsidRPr="00E209B2">
        <w:t>the JAVELIN Bladder 100 trial</w:t>
      </w:r>
      <w:r w:rsidRPr="00E209B2">
        <w:t>, t</w:t>
      </w:r>
      <w:r w:rsidR="00655757" w:rsidRPr="00E209B2">
        <w:t xml:space="preserve">he submission described avelumab + BSC as superior in terms of overall survival and progression-free survival, and inferior in terms of safety compared to BSC. </w:t>
      </w:r>
      <w:r w:rsidR="00D87A87" w:rsidRPr="00E209B2">
        <w:rPr>
          <w:iCs/>
        </w:rPr>
        <w:t xml:space="preserve">The </w:t>
      </w:r>
      <w:r w:rsidR="002C7350" w:rsidRPr="00E209B2">
        <w:rPr>
          <w:iCs/>
        </w:rPr>
        <w:t xml:space="preserve">evaluation suggested the </w:t>
      </w:r>
      <w:r w:rsidR="00841C76" w:rsidRPr="00E209B2">
        <w:rPr>
          <w:iCs/>
        </w:rPr>
        <w:t>following issues should be considered</w:t>
      </w:r>
      <w:r w:rsidR="00D87A87" w:rsidRPr="00E209B2">
        <w:rPr>
          <w:iCs/>
        </w:rPr>
        <w:t xml:space="preserve"> when interpreting the clinical claims</w:t>
      </w:r>
      <w:r w:rsidR="00841C76" w:rsidRPr="00E209B2">
        <w:rPr>
          <w:iCs/>
        </w:rPr>
        <w:t>:</w:t>
      </w:r>
    </w:p>
    <w:p w:rsidR="00841C76" w:rsidRPr="00E209B2" w:rsidRDefault="00841C76" w:rsidP="00DF79E3">
      <w:pPr>
        <w:pStyle w:val="ExecSumBodyText"/>
        <w:numPr>
          <w:ilvl w:val="1"/>
          <w:numId w:val="7"/>
        </w:numPr>
        <w:spacing w:after="0"/>
        <w:ind w:left="1134" w:hanging="357"/>
        <w:rPr>
          <w:iCs/>
        </w:rPr>
      </w:pPr>
      <w:r w:rsidRPr="00E209B2">
        <w:rPr>
          <w:iCs/>
        </w:rPr>
        <w:t xml:space="preserve">In the full trial population, and among the subgroup of patients with PD-L1 positive tumours, treatment with avelumab + BSC was associated with statistically significant improvements in overall survival and progression-free survival compared to BSC. In the subgroup of patients with PD-L1 negative tumours at baseline, </w:t>
      </w:r>
      <w:r w:rsidR="006A7243" w:rsidRPr="00E209B2">
        <w:rPr>
          <w:iCs/>
        </w:rPr>
        <w:t>treatment with avelumab + BSC was associated with an increase in overall survival compared to treatment with BSC</w:t>
      </w:r>
      <w:r w:rsidR="008F686C" w:rsidRPr="00E209B2">
        <w:rPr>
          <w:iCs/>
        </w:rPr>
        <w:t>,</w:t>
      </w:r>
      <w:r w:rsidR="006A7243" w:rsidRPr="00E209B2">
        <w:rPr>
          <w:iCs/>
        </w:rPr>
        <w:t xml:space="preserve"> but the difference was not statistically significant</w:t>
      </w:r>
      <w:r w:rsidR="008F686C" w:rsidRPr="00E209B2">
        <w:rPr>
          <w:iCs/>
        </w:rPr>
        <w:t>.</w:t>
      </w:r>
      <w:r w:rsidR="00E71867" w:rsidRPr="00E209B2">
        <w:rPr>
          <w:iCs/>
        </w:rPr>
        <w:t xml:space="preserve"> The ESC </w:t>
      </w:r>
      <w:r w:rsidR="00EB6DB6" w:rsidRPr="00E209B2">
        <w:rPr>
          <w:iCs/>
        </w:rPr>
        <w:t xml:space="preserve">considered the benefit of avelumab on overall survival in PD-L1 negative patients is therefore unclear. </w:t>
      </w:r>
    </w:p>
    <w:p w:rsidR="00A06A74" w:rsidRPr="00E209B2" w:rsidRDefault="00841C76" w:rsidP="00DF79E3">
      <w:pPr>
        <w:pStyle w:val="ExecSumBodyText"/>
        <w:numPr>
          <w:ilvl w:val="1"/>
          <w:numId w:val="7"/>
        </w:numPr>
        <w:spacing w:after="0"/>
        <w:ind w:left="1134" w:hanging="357"/>
        <w:rPr>
          <w:iCs/>
        </w:rPr>
      </w:pPr>
      <w:r w:rsidRPr="00E209B2">
        <w:rPr>
          <w:iCs/>
        </w:rPr>
        <w:t xml:space="preserve">Overall survival results are likely to have been </w:t>
      </w:r>
      <w:r w:rsidR="008F686C" w:rsidRPr="00E209B2">
        <w:rPr>
          <w:iCs/>
        </w:rPr>
        <w:t>impacted</w:t>
      </w:r>
      <w:r w:rsidRPr="00E209B2">
        <w:rPr>
          <w:iCs/>
        </w:rPr>
        <w:t xml:space="preserve"> by differences in the pattern of use of subsequent anticancer therapies between treatment arms. </w:t>
      </w:r>
      <w:r w:rsidR="007B2529" w:rsidRPr="00E209B2">
        <w:rPr>
          <w:iCs/>
        </w:rPr>
        <w:t>The ESC considered t</w:t>
      </w:r>
      <w:r w:rsidR="00FE145D" w:rsidRPr="00E209B2">
        <w:rPr>
          <w:iCs/>
        </w:rPr>
        <w:t xml:space="preserve">he use </w:t>
      </w:r>
      <w:r w:rsidRPr="00E209B2">
        <w:rPr>
          <w:iCs/>
        </w:rPr>
        <w:t xml:space="preserve">of subsequent anticancer treatments in the </w:t>
      </w:r>
      <w:r w:rsidR="007B2529" w:rsidRPr="00E209B2">
        <w:rPr>
          <w:iCs/>
        </w:rPr>
        <w:t xml:space="preserve">BSC arm of the </w:t>
      </w:r>
      <w:r w:rsidR="00FE145D" w:rsidRPr="00E209B2">
        <w:rPr>
          <w:iCs/>
        </w:rPr>
        <w:t xml:space="preserve">JAVELIN Bladder 100 </w:t>
      </w:r>
      <w:r w:rsidRPr="00E209B2">
        <w:rPr>
          <w:iCs/>
        </w:rPr>
        <w:t xml:space="preserve">trial </w:t>
      </w:r>
      <w:r w:rsidR="007B2529" w:rsidRPr="00E209B2">
        <w:rPr>
          <w:iCs/>
        </w:rPr>
        <w:t xml:space="preserve">is lower than </w:t>
      </w:r>
      <w:r w:rsidRPr="00E209B2">
        <w:rPr>
          <w:iCs/>
        </w:rPr>
        <w:t xml:space="preserve">the </w:t>
      </w:r>
      <w:r w:rsidR="007B2529" w:rsidRPr="00E209B2">
        <w:rPr>
          <w:iCs/>
        </w:rPr>
        <w:t xml:space="preserve">expected </w:t>
      </w:r>
      <w:r w:rsidRPr="00E209B2">
        <w:rPr>
          <w:iCs/>
        </w:rPr>
        <w:t xml:space="preserve">use of subsequent anticancer treatment in </w:t>
      </w:r>
      <w:r w:rsidR="008F686C" w:rsidRPr="00E209B2">
        <w:rPr>
          <w:iCs/>
        </w:rPr>
        <w:t xml:space="preserve">Australian </w:t>
      </w:r>
      <w:r w:rsidRPr="00E209B2">
        <w:rPr>
          <w:iCs/>
        </w:rPr>
        <w:t>clinical practice.</w:t>
      </w:r>
      <w:r w:rsidR="007B2529" w:rsidRPr="00E209B2">
        <w:rPr>
          <w:iCs/>
        </w:rPr>
        <w:t xml:space="preserve"> The ESC considered </w:t>
      </w:r>
      <w:r w:rsidR="007B2529" w:rsidRPr="00E209B2">
        <w:t xml:space="preserve">the significant </w:t>
      </w:r>
      <w:r w:rsidR="00ED64CB" w:rsidRPr="00E209B2">
        <w:t>overall survival</w:t>
      </w:r>
      <w:r w:rsidR="007B2529" w:rsidRPr="00E209B2">
        <w:t xml:space="preserve"> </w:t>
      </w:r>
      <w:r w:rsidR="00807F54" w:rsidRPr="00E209B2">
        <w:t xml:space="preserve">results </w:t>
      </w:r>
      <w:r w:rsidR="00ED64CB" w:rsidRPr="00E209B2">
        <w:t>of the JAVELIN Bladder 100 trial</w:t>
      </w:r>
      <w:r w:rsidR="00807F54" w:rsidRPr="00E209B2">
        <w:t xml:space="preserve"> </w:t>
      </w:r>
      <w:r w:rsidR="007B2529" w:rsidRPr="00E209B2">
        <w:t xml:space="preserve">should be interpreted with caution given </w:t>
      </w:r>
      <w:r w:rsidR="00ED64CB" w:rsidRPr="00E209B2">
        <w:t xml:space="preserve">overall </w:t>
      </w:r>
      <w:r w:rsidR="007B2529" w:rsidRPr="00E209B2">
        <w:rPr>
          <w:iCs/>
        </w:rPr>
        <w:t>survival in the BSC arm</w:t>
      </w:r>
      <w:r w:rsidR="007B2529" w:rsidRPr="00E209B2">
        <w:t xml:space="preserve"> was </w:t>
      </w:r>
      <w:r w:rsidR="007B2529" w:rsidRPr="00E209B2">
        <w:rPr>
          <w:iCs/>
        </w:rPr>
        <w:t>potentially underestimated</w:t>
      </w:r>
      <w:r w:rsidR="00DA7FED" w:rsidRPr="00E209B2">
        <w:rPr>
          <w:iCs/>
        </w:rPr>
        <w:t xml:space="preserve"> as a result of a lower proportion of patients receiving subsequent treatment with a PD-1/PD-L1 inhibitor than would be expected in the Australian setting</w:t>
      </w:r>
      <w:r w:rsidR="007B2529" w:rsidRPr="00E209B2">
        <w:rPr>
          <w:iCs/>
        </w:rPr>
        <w:t>.</w:t>
      </w:r>
      <w:r w:rsidR="00D87A87" w:rsidRPr="00E209B2">
        <w:rPr>
          <w:iCs/>
        </w:rPr>
        <w:t xml:space="preserve"> The pre-PBAC response presented an ad-hoc analysis of overall survival for three sub-groups of the BSC arm of the JAVELIN Bladder 100 trial (see paragraph 6.17). </w:t>
      </w:r>
    </w:p>
    <w:p w:rsidR="008B03FD" w:rsidRPr="00E209B2" w:rsidRDefault="00841C76" w:rsidP="00DF79E3">
      <w:pPr>
        <w:pStyle w:val="ExecSumBodyText"/>
        <w:numPr>
          <w:ilvl w:val="1"/>
          <w:numId w:val="7"/>
        </w:numPr>
        <w:spacing w:after="0"/>
        <w:ind w:left="1134" w:hanging="357"/>
        <w:rPr>
          <w:iCs/>
        </w:rPr>
      </w:pPr>
      <w:r w:rsidRPr="00E209B2">
        <w:rPr>
          <w:iCs/>
        </w:rPr>
        <w:t>Treatment with avelumab + BSC was associated with statistically significantly higher rates of treatment-emergent adverse events, Grade ≥3 adverse events, treatment-related adverse events and immune-related adverse events.</w:t>
      </w:r>
      <w:r w:rsidR="00DB1330" w:rsidRPr="00E209B2">
        <w:rPr>
          <w:iCs/>
        </w:rPr>
        <w:t xml:space="preserve"> </w:t>
      </w:r>
    </w:p>
    <w:p w:rsidR="00655757" w:rsidRPr="00E209B2" w:rsidRDefault="008B03FD" w:rsidP="00DF79E3">
      <w:pPr>
        <w:pStyle w:val="ExecSumBodyText"/>
        <w:numPr>
          <w:ilvl w:val="1"/>
          <w:numId w:val="7"/>
        </w:numPr>
        <w:spacing w:after="0"/>
        <w:ind w:left="1134" w:hanging="357"/>
        <w:rPr>
          <w:iCs/>
        </w:rPr>
      </w:pPr>
      <w:r w:rsidRPr="00E209B2">
        <w:rPr>
          <w:iCs/>
        </w:rPr>
        <w:t>There is a lack long-term efficacy and safety data for avelumab</w:t>
      </w:r>
      <w:r w:rsidR="00A06A74" w:rsidRPr="00E209B2">
        <w:t>.</w:t>
      </w:r>
    </w:p>
    <w:p w:rsidR="00EB6DB6" w:rsidRPr="00E209B2" w:rsidRDefault="00DA7FED" w:rsidP="00A11746">
      <w:pPr>
        <w:pStyle w:val="ExecSumBodyText"/>
        <w:spacing w:before="120"/>
      </w:pPr>
      <w:r w:rsidRPr="00E209B2">
        <w:t xml:space="preserve">As outlined in </w:t>
      </w:r>
      <w:r w:rsidRPr="002B5A63">
        <w:t>paragraph 5.3</w:t>
      </w:r>
      <w:r w:rsidRPr="00E209B2">
        <w:t>, the ESC consider</w:t>
      </w:r>
      <w:r w:rsidR="002F1099" w:rsidRPr="00E209B2">
        <w:t>ed an appropriate comparator may be</w:t>
      </w:r>
      <w:r w:rsidRPr="00E209B2">
        <w:t xml:space="preserve"> BSC and subsequent therapy with pembrolizumab</w:t>
      </w:r>
      <w:r w:rsidR="002F1099" w:rsidRPr="00E209B2">
        <w:t>,</w:t>
      </w:r>
      <w:r w:rsidRPr="00E209B2">
        <w:t xml:space="preserve"> </w:t>
      </w:r>
      <w:r w:rsidR="002F1099" w:rsidRPr="00E209B2">
        <w:t>as per current Australian clinical practice</w:t>
      </w:r>
      <w:r w:rsidRPr="00E209B2">
        <w:t>. The ESC advised that the JAVELIN Bladder 100 trial</w:t>
      </w:r>
      <w:r w:rsidR="002F1099" w:rsidRPr="00E209B2">
        <w:t xml:space="preserve"> does not provide a comparison of the effectiveness of maintenance avelumab + BSC and BSC + pembrolizumab </w:t>
      </w:r>
      <w:r w:rsidR="002F1099" w:rsidRPr="00E209B2">
        <w:lastRenderedPageBreak/>
        <w:t>use on progression.</w:t>
      </w:r>
      <w:r w:rsidR="00DD3807" w:rsidRPr="00E209B2">
        <w:t xml:space="preserve"> The ESC noted the median progression-free survival reported in the BSC arm of the JAVELIN Bladder 100 trial was 2.0 months. The ESC considered it was unknown whethe</w:t>
      </w:r>
      <w:r w:rsidR="008E3CA0" w:rsidRPr="00E209B2">
        <w:t>r there is a clinical benefit of</w:t>
      </w:r>
      <w:r w:rsidR="00DD3807" w:rsidRPr="00E209B2">
        <w:t xml:space="preserve"> receiving maintenance avelumab + BSC over BSC + pembrolizumab use on progression. </w:t>
      </w:r>
    </w:p>
    <w:p w:rsidR="00F320D2" w:rsidRPr="00E209B2" w:rsidRDefault="00F320D2" w:rsidP="00AB741E">
      <w:pPr>
        <w:pStyle w:val="ExecSumBodyText"/>
      </w:pPr>
      <w:r w:rsidRPr="00E209B2">
        <w:t>The PBAC considered that the claim of superior comparative effectiveness</w:t>
      </w:r>
      <w:r w:rsidR="00A52365" w:rsidRPr="00E209B2">
        <w:t xml:space="preserve"> to BSC</w:t>
      </w:r>
      <w:r w:rsidRPr="00E209B2">
        <w:t xml:space="preserve"> was reasonable</w:t>
      </w:r>
      <w:r w:rsidR="00EC4686" w:rsidRPr="00E209B2">
        <w:t xml:space="preserve"> and </w:t>
      </w:r>
      <w:r w:rsidRPr="00E209B2">
        <w:t>adequately supported by the data</w:t>
      </w:r>
      <w:r w:rsidR="00EC4686" w:rsidRPr="00E209B2">
        <w:t xml:space="preserve"> in terms of </w:t>
      </w:r>
      <w:r w:rsidR="006E3B90" w:rsidRPr="00E209B2">
        <w:t>overall survival</w:t>
      </w:r>
      <w:r w:rsidR="00EC4686" w:rsidRPr="00E209B2">
        <w:t xml:space="preserve">, although </w:t>
      </w:r>
      <w:r w:rsidR="006E3B90" w:rsidRPr="00E209B2">
        <w:t xml:space="preserve">the Committee acknowledged </w:t>
      </w:r>
      <w:r w:rsidR="00EC4686" w:rsidRPr="00E209B2">
        <w:t>there was some uncertainty in the PD-L1 negative subgroup</w:t>
      </w:r>
      <w:r w:rsidRPr="00E209B2">
        <w:t>.</w:t>
      </w:r>
      <w:r w:rsidR="00EC4686" w:rsidRPr="00E209B2">
        <w:t xml:space="preserve"> </w:t>
      </w:r>
      <w:r w:rsidR="001476DA" w:rsidRPr="00E209B2">
        <w:t>The PBAC considered that, although the overall survival data presented supported the claim of superior comparative effectiveness versus BSC, the small median PFS benefit reported highlighted the importance of subsequent anticancer therapies. The PBAC considered it reasonable to anticipate that maintenance avelumab would offer benefit to some patients versus waiting for disease progression to initiate second-line pembrolizumab, although the magnitude of the incremental benefit is uncertain.</w:t>
      </w:r>
    </w:p>
    <w:p w:rsidR="002C761D" w:rsidRPr="00E209B2" w:rsidRDefault="00F320D2" w:rsidP="00AB741E">
      <w:pPr>
        <w:pStyle w:val="ExecSumBodyText"/>
      </w:pPr>
      <w:r w:rsidRPr="00E209B2">
        <w:t xml:space="preserve">The PBAC considered that the claim of inferior comparative safety </w:t>
      </w:r>
      <w:r w:rsidR="00A52365" w:rsidRPr="00E209B2">
        <w:t xml:space="preserve">to BSC </w:t>
      </w:r>
      <w:r w:rsidRPr="00E209B2">
        <w:t>was reasonable</w:t>
      </w:r>
      <w:r w:rsidR="00A52365" w:rsidRPr="00E209B2">
        <w:t xml:space="preserve"> and </w:t>
      </w:r>
      <w:r w:rsidRPr="00E209B2">
        <w:t>adequately supported by the data.</w:t>
      </w:r>
      <w:r w:rsidR="00A52365" w:rsidRPr="00E209B2">
        <w:t xml:space="preserve"> The PBAC </w:t>
      </w:r>
      <w:r w:rsidR="00116625" w:rsidRPr="00E209B2">
        <w:t>considered that</w:t>
      </w:r>
      <w:r w:rsidR="00A52365" w:rsidRPr="00E209B2">
        <w:t xml:space="preserve"> the safety of avelumab </w:t>
      </w:r>
      <w:r w:rsidR="00116625" w:rsidRPr="00E209B2">
        <w:t xml:space="preserve">+ BSC compared to </w:t>
      </w:r>
      <w:r w:rsidR="00A52365" w:rsidRPr="00E209B2">
        <w:t xml:space="preserve">BSC </w:t>
      </w:r>
      <w:r w:rsidR="00116625" w:rsidRPr="00E209B2">
        <w:t xml:space="preserve">+ pembrolizumab use on progression </w:t>
      </w:r>
      <w:r w:rsidR="00A52365" w:rsidRPr="00E209B2">
        <w:t xml:space="preserve">would </w:t>
      </w:r>
      <w:r w:rsidR="00836CDE" w:rsidRPr="00E209B2">
        <w:t xml:space="preserve">likely </w:t>
      </w:r>
      <w:r w:rsidR="00A52365" w:rsidRPr="00E209B2">
        <w:t xml:space="preserve">be </w:t>
      </w:r>
      <w:r w:rsidR="00836CDE" w:rsidRPr="00E209B2">
        <w:t>non-inferior</w:t>
      </w:r>
      <w:r w:rsidR="00A52365" w:rsidRPr="00E209B2">
        <w:t>.</w:t>
      </w:r>
    </w:p>
    <w:p w:rsidR="00B60939" w:rsidRPr="00E209B2" w:rsidRDefault="00B60939" w:rsidP="00E9094A">
      <w:pPr>
        <w:pStyle w:val="3-SubsectionHeading"/>
      </w:pPr>
      <w:bookmarkStart w:id="22" w:name="_Toc22897645"/>
      <w:bookmarkStart w:id="23" w:name="_Toc62036126"/>
      <w:r w:rsidRPr="00E209B2">
        <w:t>Economic analysis</w:t>
      </w:r>
      <w:bookmarkEnd w:id="22"/>
      <w:bookmarkEnd w:id="23"/>
      <w:r w:rsidR="00491B3A" w:rsidRPr="00E209B2">
        <w:t xml:space="preserve"> </w:t>
      </w:r>
    </w:p>
    <w:p w:rsidR="00275C5A" w:rsidRPr="00E209B2" w:rsidRDefault="0050721B" w:rsidP="00641FB3">
      <w:pPr>
        <w:pStyle w:val="ExecSumBodyText"/>
        <w:rPr>
          <w:b/>
          <w:bCs/>
          <w:color w:val="0066FF"/>
        </w:rPr>
      </w:pPr>
      <w:r w:rsidRPr="00E209B2">
        <w:t>The submission presented a stepped economic evaluation of avelumab + BSC compared to BSC alone, in patients with locally advanced or metastatic urothelial carcinoma whose disease has not progressed following treatment with first-line platinum-based chemotherapy.</w:t>
      </w:r>
      <w:r w:rsidR="00445719" w:rsidRPr="00E209B2">
        <w:t xml:space="preserve"> The type of economic evaluation was a cost-utility analysis.</w:t>
      </w:r>
    </w:p>
    <w:p w:rsidR="00275C5A" w:rsidRPr="00E209B2" w:rsidRDefault="00275C5A" w:rsidP="00230DB1">
      <w:pPr>
        <w:pStyle w:val="TableFigureCaption"/>
      </w:pPr>
      <w:r w:rsidRPr="00E209B2">
        <w:t>Table</w:t>
      </w:r>
      <w:r w:rsidR="00445719" w:rsidRPr="00E209B2">
        <w:t xml:space="preserve"> </w:t>
      </w:r>
      <w:r w:rsidR="0028379C" w:rsidRPr="00E209B2">
        <w:t>1</w:t>
      </w:r>
      <w:r w:rsidR="005F2F14" w:rsidRPr="00E209B2">
        <w:t>2</w:t>
      </w:r>
      <w:r w:rsidRPr="00E209B2">
        <w:t>: Summary of model structure</w:t>
      </w:r>
      <w:r w:rsidR="005D4C46" w:rsidRPr="00E209B2">
        <w:t xml:space="preserve"> and</w:t>
      </w:r>
      <w:r w:rsidR="00184B0E" w:rsidRPr="00E209B2">
        <w:t xml:space="preserve"> key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75C5A" w:rsidRPr="00E209B2" w:rsidTr="006B35E6">
        <w:trPr>
          <w:tblHeader/>
        </w:trPr>
        <w:tc>
          <w:tcPr>
            <w:tcW w:w="1396" w:type="pct"/>
            <w:shd w:val="clear" w:color="auto" w:fill="auto"/>
            <w:vAlign w:val="center"/>
          </w:tcPr>
          <w:p w:rsidR="00275C5A" w:rsidRPr="00E209B2" w:rsidRDefault="00275C5A" w:rsidP="00641FB3">
            <w:pPr>
              <w:pStyle w:val="Tableheadingrow"/>
              <w:rPr>
                <w:lang w:val="en-AU"/>
              </w:rPr>
            </w:pPr>
            <w:r w:rsidRPr="00E209B2">
              <w:rPr>
                <w:lang w:val="en-AU"/>
              </w:rPr>
              <w:t>Component</w:t>
            </w:r>
          </w:p>
        </w:tc>
        <w:tc>
          <w:tcPr>
            <w:tcW w:w="3604" w:type="pct"/>
            <w:shd w:val="clear" w:color="auto" w:fill="auto"/>
            <w:vAlign w:val="center"/>
          </w:tcPr>
          <w:p w:rsidR="00275C5A" w:rsidRPr="00E209B2" w:rsidRDefault="00275C5A" w:rsidP="00641FB3">
            <w:pPr>
              <w:pStyle w:val="Tableheadingrow"/>
              <w:rPr>
                <w:lang w:val="en-AU"/>
              </w:rPr>
            </w:pPr>
            <w:r w:rsidRPr="00E209B2">
              <w:rPr>
                <w:lang w:val="en-AU"/>
              </w:rPr>
              <w:t>Summary</w:t>
            </w:r>
          </w:p>
        </w:tc>
      </w:tr>
      <w:tr w:rsidR="000A6039" w:rsidRPr="00E209B2" w:rsidTr="006B35E6">
        <w:tc>
          <w:tcPr>
            <w:tcW w:w="1396" w:type="pct"/>
            <w:shd w:val="clear" w:color="auto" w:fill="auto"/>
            <w:vAlign w:val="center"/>
          </w:tcPr>
          <w:p w:rsidR="000A6039" w:rsidRPr="00E209B2" w:rsidRDefault="000A6039" w:rsidP="00BB00B3">
            <w:pPr>
              <w:pStyle w:val="TableText"/>
            </w:pPr>
            <w:r w:rsidRPr="00E209B2">
              <w:t>Treatments</w:t>
            </w:r>
          </w:p>
        </w:tc>
        <w:tc>
          <w:tcPr>
            <w:tcW w:w="3604" w:type="pct"/>
            <w:shd w:val="clear" w:color="auto" w:fill="auto"/>
            <w:vAlign w:val="center"/>
          </w:tcPr>
          <w:p w:rsidR="000A6039" w:rsidRPr="00E209B2" w:rsidRDefault="00445719" w:rsidP="00BB00B3">
            <w:pPr>
              <w:pStyle w:val="TableText"/>
            </w:pPr>
            <w:r w:rsidRPr="00E209B2">
              <w:t>Avelumab + BSC versus BSC</w:t>
            </w:r>
          </w:p>
        </w:tc>
      </w:tr>
      <w:tr w:rsidR="00275C5A" w:rsidRPr="00E209B2" w:rsidTr="006B35E6">
        <w:tc>
          <w:tcPr>
            <w:tcW w:w="1396" w:type="pct"/>
            <w:shd w:val="clear" w:color="auto" w:fill="auto"/>
            <w:vAlign w:val="center"/>
          </w:tcPr>
          <w:p w:rsidR="00275C5A" w:rsidRPr="00E209B2" w:rsidRDefault="00275C5A" w:rsidP="00BB00B3">
            <w:pPr>
              <w:pStyle w:val="TableText"/>
            </w:pPr>
            <w:r w:rsidRPr="00E209B2">
              <w:t>Time horizon</w:t>
            </w:r>
          </w:p>
        </w:tc>
        <w:tc>
          <w:tcPr>
            <w:tcW w:w="3604" w:type="pct"/>
            <w:shd w:val="clear" w:color="auto" w:fill="auto"/>
            <w:vAlign w:val="center"/>
          </w:tcPr>
          <w:p w:rsidR="00275C5A" w:rsidRPr="00E209B2" w:rsidRDefault="00445719" w:rsidP="00BB00B3">
            <w:pPr>
              <w:pStyle w:val="TableText"/>
            </w:pPr>
            <w:r w:rsidRPr="00E209B2">
              <w:t>10 years in the model base case versus median duration of follow-up of 19 months in the JAVELIN Bladder 100 trial.</w:t>
            </w:r>
          </w:p>
        </w:tc>
      </w:tr>
      <w:tr w:rsidR="00275C5A" w:rsidRPr="00E209B2" w:rsidTr="006B35E6">
        <w:tc>
          <w:tcPr>
            <w:tcW w:w="1396" w:type="pct"/>
            <w:shd w:val="clear" w:color="auto" w:fill="auto"/>
            <w:vAlign w:val="center"/>
          </w:tcPr>
          <w:p w:rsidR="00275C5A" w:rsidRPr="00E209B2" w:rsidRDefault="00275C5A" w:rsidP="00BB00B3">
            <w:pPr>
              <w:pStyle w:val="TableText"/>
            </w:pPr>
            <w:r w:rsidRPr="00E209B2">
              <w:t>Outcomes</w:t>
            </w:r>
          </w:p>
        </w:tc>
        <w:tc>
          <w:tcPr>
            <w:tcW w:w="3604" w:type="pct"/>
            <w:shd w:val="clear" w:color="auto" w:fill="auto"/>
            <w:vAlign w:val="center"/>
          </w:tcPr>
          <w:p w:rsidR="00275C5A" w:rsidRPr="00E209B2" w:rsidRDefault="00445719" w:rsidP="00BB00B3">
            <w:pPr>
              <w:pStyle w:val="TableText"/>
            </w:pPr>
            <w:r w:rsidRPr="00E209B2">
              <w:t>Life-years gained; quality-adjusted life years.</w:t>
            </w:r>
          </w:p>
        </w:tc>
      </w:tr>
      <w:tr w:rsidR="00275C5A" w:rsidRPr="00E209B2" w:rsidTr="006B35E6">
        <w:tc>
          <w:tcPr>
            <w:tcW w:w="1396" w:type="pct"/>
            <w:shd w:val="clear" w:color="auto" w:fill="auto"/>
            <w:vAlign w:val="center"/>
          </w:tcPr>
          <w:p w:rsidR="00275C5A" w:rsidRPr="00E209B2" w:rsidRDefault="00275C5A" w:rsidP="00BB00B3">
            <w:pPr>
              <w:pStyle w:val="TableText"/>
            </w:pPr>
            <w:r w:rsidRPr="00E209B2">
              <w:t>Methods used to generate results</w:t>
            </w:r>
          </w:p>
        </w:tc>
        <w:tc>
          <w:tcPr>
            <w:tcW w:w="3604" w:type="pct"/>
            <w:shd w:val="clear" w:color="auto" w:fill="auto"/>
            <w:vAlign w:val="center"/>
          </w:tcPr>
          <w:p w:rsidR="00275C5A" w:rsidRPr="00E209B2" w:rsidRDefault="00445719" w:rsidP="00BB00B3">
            <w:pPr>
              <w:pStyle w:val="TableText"/>
            </w:pPr>
            <w:r w:rsidRPr="00E209B2">
              <w:t>Partitioned survival analysis</w:t>
            </w:r>
          </w:p>
        </w:tc>
      </w:tr>
      <w:tr w:rsidR="00275C5A" w:rsidRPr="00E209B2" w:rsidTr="006B35E6">
        <w:tc>
          <w:tcPr>
            <w:tcW w:w="1396" w:type="pct"/>
            <w:shd w:val="clear" w:color="auto" w:fill="auto"/>
            <w:vAlign w:val="center"/>
          </w:tcPr>
          <w:p w:rsidR="00275C5A" w:rsidRPr="00E209B2" w:rsidRDefault="00275C5A" w:rsidP="00BB00B3">
            <w:pPr>
              <w:pStyle w:val="TableText"/>
            </w:pPr>
            <w:r w:rsidRPr="00E209B2">
              <w:t>Health states</w:t>
            </w:r>
          </w:p>
        </w:tc>
        <w:tc>
          <w:tcPr>
            <w:tcW w:w="3604" w:type="pct"/>
            <w:shd w:val="clear" w:color="auto" w:fill="auto"/>
            <w:vAlign w:val="center"/>
          </w:tcPr>
          <w:p w:rsidR="00275C5A" w:rsidRPr="00E209B2" w:rsidRDefault="00445719" w:rsidP="00BB00B3">
            <w:pPr>
              <w:pStyle w:val="TableText"/>
            </w:pPr>
            <w:r w:rsidRPr="00E209B2">
              <w:t>Progression-free, progressive disease and dead.</w:t>
            </w:r>
          </w:p>
        </w:tc>
      </w:tr>
      <w:tr w:rsidR="00275C5A" w:rsidRPr="00E209B2" w:rsidTr="006B35E6">
        <w:tc>
          <w:tcPr>
            <w:tcW w:w="1396" w:type="pct"/>
            <w:shd w:val="clear" w:color="auto" w:fill="auto"/>
            <w:vAlign w:val="center"/>
          </w:tcPr>
          <w:p w:rsidR="00275C5A" w:rsidRPr="00E209B2" w:rsidRDefault="00275C5A" w:rsidP="00BB00B3">
            <w:pPr>
              <w:pStyle w:val="TableText"/>
            </w:pPr>
            <w:r w:rsidRPr="00E209B2">
              <w:t>Cycle length</w:t>
            </w:r>
          </w:p>
        </w:tc>
        <w:tc>
          <w:tcPr>
            <w:tcW w:w="3604" w:type="pct"/>
            <w:shd w:val="clear" w:color="auto" w:fill="auto"/>
            <w:vAlign w:val="center"/>
          </w:tcPr>
          <w:p w:rsidR="00275C5A" w:rsidRPr="00E209B2" w:rsidRDefault="00445719" w:rsidP="00BB00B3">
            <w:pPr>
              <w:pStyle w:val="TableText"/>
            </w:pPr>
            <w:r w:rsidRPr="00E209B2">
              <w:t>7 days</w:t>
            </w:r>
          </w:p>
        </w:tc>
      </w:tr>
      <w:tr w:rsidR="00275C5A" w:rsidRPr="00E209B2" w:rsidTr="006B35E6">
        <w:tc>
          <w:tcPr>
            <w:tcW w:w="1396" w:type="pct"/>
            <w:shd w:val="clear" w:color="auto" w:fill="auto"/>
            <w:vAlign w:val="center"/>
          </w:tcPr>
          <w:p w:rsidR="00081E63" w:rsidRPr="00E209B2" w:rsidRDefault="00A06A74" w:rsidP="00BB00B3">
            <w:pPr>
              <w:pStyle w:val="TableText"/>
            </w:pPr>
            <w:r w:rsidRPr="00E209B2">
              <w:t>Allocation to health states</w:t>
            </w:r>
          </w:p>
        </w:tc>
        <w:tc>
          <w:tcPr>
            <w:tcW w:w="3604" w:type="pct"/>
            <w:shd w:val="clear" w:color="auto" w:fill="auto"/>
            <w:vAlign w:val="center"/>
          </w:tcPr>
          <w:p w:rsidR="00275C5A" w:rsidRPr="00E209B2" w:rsidRDefault="005808A4" w:rsidP="00BB00B3">
            <w:pPr>
              <w:pStyle w:val="TableText"/>
            </w:pPr>
            <w:r w:rsidRPr="00E209B2">
              <w:t>Extrapolated overall survival and progression-free survival curves based on data from the JAVELIN Bladder 100 trial.</w:t>
            </w:r>
          </w:p>
        </w:tc>
      </w:tr>
      <w:tr w:rsidR="00501854" w:rsidRPr="00E209B2" w:rsidTr="006B35E6">
        <w:tc>
          <w:tcPr>
            <w:tcW w:w="1396" w:type="pct"/>
            <w:shd w:val="clear" w:color="auto" w:fill="auto"/>
            <w:vAlign w:val="center"/>
          </w:tcPr>
          <w:p w:rsidR="00501854" w:rsidRPr="00E209B2" w:rsidRDefault="00501854" w:rsidP="00BB00B3">
            <w:pPr>
              <w:pStyle w:val="TableText"/>
            </w:pPr>
            <w:r w:rsidRPr="00E209B2">
              <w:t>Extrapolation method</w:t>
            </w:r>
          </w:p>
        </w:tc>
        <w:tc>
          <w:tcPr>
            <w:tcW w:w="3604" w:type="pct"/>
            <w:shd w:val="clear" w:color="auto" w:fill="auto"/>
            <w:vAlign w:val="center"/>
          </w:tcPr>
          <w:p w:rsidR="00E46EDA" w:rsidRPr="00E209B2" w:rsidRDefault="00E46EDA" w:rsidP="00E46EDA">
            <w:pPr>
              <w:pStyle w:val="TableText"/>
            </w:pPr>
            <w:r w:rsidRPr="00E209B2">
              <w:t xml:space="preserve">Overall survival: Extrapolated using a generalised gamma function fitted to JAVELIN Bladder 100 trial data for </w:t>
            </w:r>
            <w:r w:rsidR="003C7DD1" w:rsidRPr="00E209B2">
              <w:t>the avelumab + BSC and BSC arms.</w:t>
            </w:r>
            <w:r w:rsidRPr="00E209B2">
              <w:t xml:space="preserve"> </w:t>
            </w:r>
          </w:p>
          <w:p w:rsidR="00E46EDA" w:rsidRPr="00E209B2" w:rsidRDefault="00E46EDA" w:rsidP="00E46EDA">
            <w:pPr>
              <w:pStyle w:val="TableText"/>
            </w:pPr>
          </w:p>
          <w:p w:rsidR="00D533EC" w:rsidRPr="00E209B2" w:rsidRDefault="00E46EDA" w:rsidP="00BB00B3">
            <w:pPr>
              <w:pStyle w:val="TableText"/>
            </w:pPr>
            <w:r w:rsidRPr="00E209B2">
              <w:t xml:space="preserve">Progression-free </w:t>
            </w:r>
            <w:r w:rsidR="00260DF5" w:rsidRPr="00E209B2">
              <w:t>survival</w:t>
            </w:r>
            <w:r w:rsidRPr="00E209B2">
              <w:t>: Extrapolated using piecewise function</w:t>
            </w:r>
            <w:r w:rsidR="00260DF5" w:rsidRPr="00E209B2">
              <w:t>s</w:t>
            </w:r>
            <w:r w:rsidRPr="00E209B2">
              <w:t xml:space="preserve"> fitted to JAVELIN Bladder 100 trial data (</w:t>
            </w:r>
            <w:r w:rsidR="003C7DD1" w:rsidRPr="00E209B2">
              <w:t xml:space="preserve">avelumab + BSC: </w:t>
            </w:r>
            <w:r w:rsidRPr="00E209B2">
              <w:t>Gompertz function for initial 8 weeks</w:t>
            </w:r>
            <w:r w:rsidR="003C7DD1" w:rsidRPr="00E209B2">
              <w:t xml:space="preserve"> </w:t>
            </w:r>
            <w:r w:rsidR="001E5647" w:rsidRPr="00E209B2">
              <w:t>and Weibull</w:t>
            </w:r>
            <w:r w:rsidRPr="00E209B2">
              <w:t xml:space="preserve"> function beyond 8 weeks</w:t>
            </w:r>
            <w:r w:rsidR="00260DF5" w:rsidRPr="00E209B2">
              <w:t>;</w:t>
            </w:r>
            <w:r w:rsidR="003C7DD1" w:rsidRPr="00E209B2">
              <w:t xml:space="preserve"> BSC:</w:t>
            </w:r>
            <w:r w:rsidR="00260DF5" w:rsidRPr="00E209B2">
              <w:t xml:space="preserve"> </w:t>
            </w:r>
            <w:r w:rsidRPr="00E209B2">
              <w:t>Gompertz function for initial 8 weeks</w:t>
            </w:r>
            <w:r w:rsidR="003C7DD1" w:rsidRPr="00E209B2">
              <w:t xml:space="preserve"> and</w:t>
            </w:r>
            <w:r w:rsidRPr="00E209B2">
              <w:t xml:space="preserve"> log-normal function beyond 8 weeks).</w:t>
            </w:r>
          </w:p>
          <w:p w:rsidR="00ED70C4" w:rsidRPr="00E209B2" w:rsidRDefault="00ED70C4" w:rsidP="00BB00B3">
            <w:pPr>
              <w:pStyle w:val="TableText"/>
            </w:pPr>
          </w:p>
          <w:p w:rsidR="00ED70C4" w:rsidRPr="00E209B2" w:rsidRDefault="00ED70C4" w:rsidP="00BB00B3">
            <w:pPr>
              <w:pStyle w:val="TableText"/>
            </w:pPr>
            <w:r w:rsidRPr="00E209B2">
              <w:t>Time to treatment discontinuation:</w:t>
            </w:r>
            <w:r w:rsidR="00461D18" w:rsidRPr="00E209B2">
              <w:t xml:space="preserve"> Extrapolated using a generalised gamma function for the avelumab + BSC arm, and a log-logistic function for the BSC arm.</w:t>
            </w:r>
          </w:p>
          <w:p w:rsidR="001E362A" w:rsidRPr="00E209B2" w:rsidRDefault="001E362A" w:rsidP="00BB00B3">
            <w:pPr>
              <w:pStyle w:val="TableText"/>
            </w:pPr>
          </w:p>
          <w:p w:rsidR="001E362A" w:rsidRPr="00E209B2" w:rsidRDefault="004305DF" w:rsidP="00BB00B3">
            <w:pPr>
              <w:pStyle w:val="TableText"/>
              <w:rPr>
                <w:i/>
                <w:iCs/>
              </w:rPr>
            </w:pPr>
            <w:r w:rsidRPr="00E209B2">
              <w:rPr>
                <w:iCs/>
              </w:rPr>
              <w:t>51</w:t>
            </w:r>
            <w:r w:rsidR="00B813AC" w:rsidRPr="00E209B2">
              <w:rPr>
                <w:iCs/>
              </w:rPr>
              <w:t xml:space="preserve">% of the incremental QALYs and </w:t>
            </w:r>
            <w:r w:rsidRPr="00E209B2">
              <w:rPr>
                <w:iCs/>
              </w:rPr>
              <w:t>31</w:t>
            </w:r>
            <w:r w:rsidR="00B813AC" w:rsidRPr="00E209B2">
              <w:rPr>
                <w:iCs/>
              </w:rPr>
              <w:t>% of the incremental costs are accrued in the extrapolated period.</w:t>
            </w:r>
          </w:p>
        </w:tc>
      </w:tr>
      <w:tr w:rsidR="00501854" w:rsidRPr="00E209B2" w:rsidTr="006B35E6">
        <w:tc>
          <w:tcPr>
            <w:tcW w:w="1396" w:type="pct"/>
            <w:shd w:val="clear" w:color="auto" w:fill="auto"/>
            <w:vAlign w:val="center"/>
          </w:tcPr>
          <w:p w:rsidR="00501854" w:rsidRPr="00E209B2" w:rsidRDefault="00DD0F78" w:rsidP="00BB00B3">
            <w:pPr>
              <w:pStyle w:val="TableText"/>
            </w:pPr>
            <w:r w:rsidRPr="00E209B2">
              <w:t>Health related quality of life</w:t>
            </w:r>
          </w:p>
        </w:tc>
        <w:tc>
          <w:tcPr>
            <w:tcW w:w="3604" w:type="pct"/>
            <w:shd w:val="clear" w:color="auto" w:fill="auto"/>
            <w:vAlign w:val="center"/>
          </w:tcPr>
          <w:p w:rsidR="00AC0A37" w:rsidRPr="00E209B2" w:rsidRDefault="005808A4" w:rsidP="00BB00B3">
            <w:pPr>
              <w:pStyle w:val="TableText"/>
            </w:pPr>
            <w:r w:rsidRPr="00E209B2">
              <w:t>Progression-free state: 0.772; progressed disease state: 0.698</w:t>
            </w:r>
            <w:r w:rsidR="00AC0A37" w:rsidRPr="00E209B2">
              <w:t>; Death: 0.</w:t>
            </w:r>
          </w:p>
          <w:p w:rsidR="001F4081" w:rsidRPr="00E209B2" w:rsidRDefault="00E46EDA" w:rsidP="00BB00B3">
            <w:pPr>
              <w:pStyle w:val="TableText"/>
            </w:pPr>
            <w:r w:rsidRPr="00E209B2">
              <w:t>Based on EQ-5D-5L results from the JAVELIN Bladder 100 trial mapped to EQ-5D-3L using a crosswalk algorithm (van Hout et al., 2012) and the value set for EQ-5D-3L derived weights for England (Dolan 1997).</w:t>
            </w:r>
          </w:p>
        </w:tc>
      </w:tr>
      <w:tr w:rsidR="00501854" w:rsidRPr="00E209B2" w:rsidTr="006B35E6">
        <w:tc>
          <w:tcPr>
            <w:tcW w:w="1396" w:type="pct"/>
            <w:shd w:val="clear" w:color="auto" w:fill="auto"/>
            <w:vAlign w:val="center"/>
          </w:tcPr>
          <w:p w:rsidR="00DD0F78" w:rsidRPr="00E209B2" w:rsidRDefault="004865D5" w:rsidP="00BB00B3">
            <w:pPr>
              <w:pStyle w:val="TableText"/>
            </w:pPr>
            <w:r w:rsidRPr="00E209B2">
              <w:lastRenderedPageBreak/>
              <w:t>Health resource use and costs</w:t>
            </w:r>
            <w:r w:rsidR="00DD0F78" w:rsidRPr="00E209B2">
              <w:t xml:space="preserve"> </w:t>
            </w:r>
          </w:p>
        </w:tc>
        <w:tc>
          <w:tcPr>
            <w:tcW w:w="3604" w:type="pct"/>
            <w:shd w:val="clear" w:color="auto" w:fill="auto"/>
            <w:vAlign w:val="center"/>
          </w:tcPr>
          <w:p w:rsidR="004865D5" w:rsidRPr="00E209B2" w:rsidRDefault="009D3ECE" w:rsidP="00BB00B3">
            <w:pPr>
              <w:pStyle w:val="TableText"/>
            </w:pPr>
            <w:r w:rsidRPr="00E209B2">
              <w:t xml:space="preserve">Duration </w:t>
            </w:r>
            <w:r w:rsidR="004865D5" w:rsidRPr="00E209B2">
              <w:t xml:space="preserve">of avelumab </w:t>
            </w:r>
            <w:r w:rsidRPr="00E209B2">
              <w:t xml:space="preserve">treatment </w:t>
            </w:r>
            <w:r w:rsidR="004865D5" w:rsidRPr="00E209B2">
              <w:t xml:space="preserve">based on drug exposure reported in the JAVELIN Bladder </w:t>
            </w:r>
            <w:r w:rsidR="009C21DC" w:rsidRPr="00E209B2">
              <w:t xml:space="preserve">100 </w:t>
            </w:r>
            <w:r w:rsidR="004865D5" w:rsidRPr="00E209B2">
              <w:t>trial (extrapolated time to treatment discontinuation curve).</w:t>
            </w:r>
          </w:p>
          <w:p w:rsidR="004865D5" w:rsidRPr="00E209B2" w:rsidRDefault="004865D5" w:rsidP="00BB00B3">
            <w:pPr>
              <w:pStyle w:val="TableText"/>
            </w:pPr>
          </w:p>
          <w:p w:rsidR="004865D5" w:rsidRPr="00E209B2" w:rsidRDefault="004865D5" w:rsidP="00BB00B3">
            <w:pPr>
              <w:pStyle w:val="TableText"/>
            </w:pPr>
            <w:r w:rsidRPr="00E209B2">
              <w:t>Disease monitoring costs</w:t>
            </w:r>
            <w:r w:rsidR="009D3ECE" w:rsidRPr="00E209B2">
              <w:t xml:space="preserve"> for the progression-free and progressive disease states</w:t>
            </w:r>
            <w:r w:rsidRPr="00E209B2">
              <w:t xml:space="preserve"> derived from a survey of 11 Australian oncologists with expertise in the management of patients with locally advanced and metastatic urothelial carcinoma (conducted by the sponsor).</w:t>
            </w:r>
          </w:p>
          <w:p w:rsidR="003A7067" w:rsidRPr="00E209B2" w:rsidRDefault="003A7067" w:rsidP="00BB00B3">
            <w:pPr>
              <w:pStyle w:val="TableText"/>
            </w:pPr>
          </w:p>
          <w:p w:rsidR="003A7067" w:rsidRPr="00E209B2" w:rsidRDefault="009D3ECE" w:rsidP="00BB00B3">
            <w:pPr>
              <w:pStyle w:val="TableText"/>
            </w:pPr>
            <w:r w:rsidRPr="00E209B2">
              <w:t>Included c</w:t>
            </w:r>
            <w:r w:rsidR="001F7F81" w:rsidRPr="00E209B2">
              <w:t>osts associated with the management of Grade ≥3 adverse events that occurred in at least 2% of patients, and all Grade ≥3 immune-related adverse events in the JAVELIN Bladder 100 trial</w:t>
            </w:r>
            <w:r w:rsidRPr="00E209B2">
              <w:t xml:space="preserve">. Costs </w:t>
            </w:r>
            <w:r w:rsidR="00D7019B" w:rsidRPr="00E209B2">
              <w:t>estimated by</w:t>
            </w:r>
            <w:r w:rsidRPr="00E209B2">
              <w:t xml:space="preserve"> </w:t>
            </w:r>
            <w:r w:rsidR="00D7019B" w:rsidRPr="00E209B2">
              <w:t xml:space="preserve">mapping of adverse events to </w:t>
            </w:r>
            <w:r w:rsidR="00AC0A37" w:rsidRPr="00E209B2">
              <w:t>AR-DRGs.</w:t>
            </w:r>
          </w:p>
          <w:p w:rsidR="003A7067" w:rsidRPr="00E209B2" w:rsidRDefault="003A7067" w:rsidP="00BB00B3">
            <w:pPr>
              <w:pStyle w:val="TableText"/>
            </w:pPr>
          </w:p>
          <w:p w:rsidR="00501854" w:rsidRPr="00E209B2" w:rsidRDefault="001F7F81" w:rsidP="00BB00B3">
            <w:pPr>
              <w:pStyle w:val="TableText"/>
            </w:pPr>
            <w:r w:rsidRPr="00E209B2">
              <w:t xml:space="preserve">Costs of subsequent anticancer treatments based on the proportions of patients using subsequent anticancer treatments in the JAVELIN Bladder 100 trial, adapted to the Australian treatment setting based on input from clinicians and </w:t>
            </w:r>
            <w:r w:rsidR="00AC0A37" w:rsidRPr="00E209B2">
              <w:t xml:space="preserve">additional </w:t>
            </w:r>
            <w:r w:rsidRPr="00E209B2">
              <w:t>sponsor assumptions</w:t>
            </w:r>
            <w:r w:rsidR="00AC0A37" w:rsidRPr="00E209B2">
              <w:t>.</w:t>
            </w:r>
            <w:r w:rsidR="00D7019B" w:rsidRPr="00E209B2">
              <w:t xml:space="preserve"> The submission estimated the pembrolizumab effective price by applying a 10% discount to the published pembrolizumab AEMP.</w:t>
            </w:r>
          </w:p>
        </w:tc>
      </w:tr>
    </w:tbl>
    <w:p w:rsidR="003270E4" w:rsidRPr="00E209B2" w:rsidRDefault="003270E4" w:rsidP="00BB00B3">
      <w:pPr>
        <w:pStyle w:val="TableFigureFooter"/>
      </w:pPr>
      <w:r w:rsidRPr="00E209B2">
        <w:t>Source:</w:t>
      </w:r>
      <w:r w:rsidR="00AC0A37" w:rsidRPr="00E209B2">
        <w:t xml:space="preserve"> Table 3.1-1, p99; Section 3.4, pp122-139; Section 3.4.5, pp138-139; Table 3.5-1, p140; Section 3.6, pp140-153 of the submission.</w:t>
      </w:r>
    </w:p>
    <w:p w:rsidR="00AC0A37" w:rsidRPr="00E209B2" w:rsidRDefault="00AC0A37" w:rsidP="00BB00B3">
      <w:pPr>
        <w:pStyle w:val="TableFigureFooter"/>
      </w:pPr>
      <w:r w:rsidRPr="00E209B2">
        <w:t>Abbreviations: AR-DRG, Australian-refined diagnosis-related groups</w:t>
      </w:r>
      <w:r w:rsidR="0027617A" w:rsidRPr="00E209B2">
        <w:t>; BSC, best supportive care; EQ-5D, EuroQol 5-Dimension.</w:t>
      </w:r>
    </w:p>
    <w:p w:rsidR="00751A11" w:rsidRPr="00E209B2" w:rsidRDefault="00751A11" w:rsidP="00773134">
      <w:pPr>
        <w:pStyle w:val="ExecSumBodyText"/>
      </w:pPr>
      <w:r w:rsidRPr="00E209B2">
        <w:t xml:space="preserve">The </w:t>
      </w:r>
      <w:r w:rsidR="004C5AD1" w:rsidRPr="00E209B2">
        <w:t xml:space="preserve">ESC noted the </w:t>
      </w:r>
      <w:r w:rsidRPr="00E209B2">
        <w:t>economic model was based on the results of the JAVELIN Bladder 100 trial</w:t>
      </w:r>
      <w:r w:rsidR="00022544" w:rsidRPr="00E209B2">
        <w:t xml:space="preserve">. </w:t>
      </w:r>
      <w:r w:rsidR="00022544" w:rsidRPr="00E209B2">
        <w:rPr>
          <w:iCs/>
        </w:rPr>
        <w:t xml:space="preserve">The JAVELIN Bladder 100 trial </w:t>
      </w:r>
      <w:r w:rsidRPr="00E209B2">
        <w:rPr>
          <w:iCs/>
        </w:rPr>
        <w:t xml:space="preserve">recruited patients with documented Stage IV disease, </w:t>
      </w:r>
      <w:r w:rsidR="00022544" w:rsidRPr="00E209B2">
        <w:rPr>
          <w:iCs/>
        </w:rPr>
        <w:t xml:space="preserve">which differed from the </w:t>
      </w:r>
      <w:r w:rsidRPr="00E209B2">
        <w:rPr>
          <w:iCs/>
        </w:rPr>
        <w:t xml:space="preserve">proposed PBS population </w:t>
      </w:r>
      <w:r w:rsidR="006E3DD8" w:rsidRPr="00E209B2">
        <w:rPr>
          <w:iCs/>
        </w:rPr>
        <w:t>(</w:t>
      </w:r>
      <w:r w:rsidRPr="00E209B2">
        <w:rPr>
          <w:iCs/>
        </w:rPr>
        <w:t>patients with Stage III and Stage IV disease</w:t>
      </w:r>
      <w:r w:rsidR="006E3DD8" w:rsidRPr="00E209B2">
        <w:rPr>
          <w:iCs/>
        </w:rPr>
        <w:t>)</w:t>
      </w:r>
      <w:r w:rsidRPr="00E209B2">
        <w:rPr>
          <w:iCs/>
        </w:rPr>
        <w:t>.</w:t>
      </w:r>
      <w:r w:rsidR="00022544" w:rsidRPr="00E209B2">
        <w:rPr>
          <w:iCs/>
        </w:rPr>
        <w:t xml:space="preserve"> </w:t>
      </w:r>
    </w:p>
    <w:p w:rsidR="001B67B1" w:rsidRPr="00E209B2" w:rsidRDefault="0027617A" w:rsidP="00224578">
      <w:pPr>
        <w:pStyle w:val="ExecSumBodyText"/>
        <w:rPr>
          <w:iCs/>
          <w:snapToGrid/>
        </w:rPr>
      </w:pPr>
      <w:r w:rsidRPr="00E209B2">
        <w:rPr>
          <w:snapToGrid/>
        </w:rPr>
        <w:t xml:space="preserve">The base case analysis employed a 10-year time horizon with a one-week cycle length. The submission claimed that the use of a 10-year time horizon was supported by reported survival outcomes for patients with locally advanced and metastatic urothelial carcinoma in the published literature. </w:t>
      </w:r>
      <w:r w:rsidR="00BA37CA" w:rsidRPr="00E209B2">
        <w:rPr>
          <w:iCs/>
          <w:snapToGrid/>
        </w:rPr>
        <w:t>T</w:t>
      </w:r>
      <w:r w:rsidR="001B67B1" w:rsidRPr="00E209B2">
        <w:rPr>
          <w:iCs/>
          <w:snapToGrid/>
        </w:rPr>
        <w:t xml:space="preserve">he extrapolation of overall survival and progression-free survival from 33 months </w:t>
      </w:r>
      <w:r w:rsidR="00773134" w:rsidRPr="00E209B2">
        <w:rPr>
          <w:iCs/>
          <w:snapToGrid/>
        </w:rPr>
        <w:t xml:space="preserve">using parametric functions fitted to Kaplan-Meier curves from the JAVELIN Bladder 100 trial </w:t>
      </w:r>
      <w:r w:rsidR="001B67B1" w:rsidRPr="00E209B2">
        <w:rPr>
          <w:iCs/>
          <w:snapToGrid/>
        </w:rPr>
        <w:t>was associated with substantial uncertainty.</w:t>
      </w:r>
      <w:r w:rsidR="0016162F" w:rsidRPr="00E209B2">
        <w:rPr>
          <w:iCs/>
          <w:snapToGrid/>
        </w:rPr>
        <w:t xml:space="preserve"> </w:t>
      </w:r>
      <w:r w:rsidR="00372BAE" w:rsidRPr="00E209B2">
        <w:rPr>
          <w:iCs/>
          <w:snapToGrid/>
        </w:rPr>
        <w:t xml:space="preserve">In the July 2018 consideration of pembrolizumab for </w:t>
      </w:r>
      <w:r w:rsidR="00FD7DB0" w:rsidRPr="00E209B2">
        <w:rPr>
          <w:iCs/>
          <w:snapToGrid/>
        </w:rPr>
        <w:t>urothelial cancer</w:t>
      </w:r>
      <w:r w:rsidR="00772B2E" w:rsidRPr="00E209B2">
        <w:rPr>
          <w:iCs/>
          <w:snapToGrid/>
        </w:rPr>
        <w:t>, the PBAC considered</w:t>
      </w:r>
      <w:r w:rsidR="00170799" w:rsidRPr="00E209B2">
        <w:rPr>
          <w:iCs/>
          <w:snapToGrid/>
        </w:rPr>
        <w:t xml:space="preserve"> that a 5-year time horizon was appropriate given the short life-expectancy in the </w:t>
      </w:r>
      <w:r w:rsidR="007B6457" w:rsidRPr="00E209B2">
        <w:rPr>
          <w:iCs/>
          <w:snapToGrid/>
        </w:rPr>
        <w:t>target</w:t>
      </w:r>
      <w:r w:rsidR="00170799" w:rsidRPr="00E209B2">
        <w:rPr>
          <w:iCs/>
          <w:snapToGrid/>
        </w:rPr>
        <w:t xml:space="preserve"> population and</w:t>
      </w:r>
      <w:r w:rsidR="00FD7DB0" w:rsidRPr="00E209B2">
        <w:rPr>
          <w:iCs/>
          <w:snapToGrid/>
        </w:rPr>
        <w:t xml:space="preserve"> </w:t>
      </w:r>
      <w:r w:rsidR="00170799" w:rsidRPr="00E209B2">
        <w:rPr>
          <w:iCs/>
          <w:snapToGrid/>
        </w:rPr>
        <w:t xml:space="preserve">that benefits in urothelial cancer are derived within the first 5 years of treatment </w:t>
      </w:r>
      <w:r w:rsidR="00FD7DB0" w:rsidRPr="00E209B2">
        <w:rPr>
          <w:iCs/>
          <w:snapToGrid/>
        </w:rPr>
        <w:t>(paragraph 7.1</w:t>
      </w:r>
      <w:r w:rsidR="00E7092D" w:rsidRPr="00E209B2">
        <w:rPr>
          <w:iCs/>
          <w:snapToGrid/>
        </w:rPr>
        <w:t>5</w:t>
      </w:r>
      <w:r w:rsidR="00FD7DB0" w:rsidRPr="00E209B2">
        <w:rPr>
          <w:iCs/>
          <w:snapToGrid/>
        </w:rPr>
        <w:t xml:space="preserve">, </w:t>
      </w:r>
      <w:r w:rsidR="00772B2E" w:rsidRPr="00E209B2">
        <w:rPr>
          <w:iCs/>
          <w:snapToGrid/>
        </w:rPr>
        <w:t>pembrolizumab public summary document, July 2018 PBAC meeting).</w:t>
      </w:r>
      <w:r w:rsidR="0016162F" w:rsidRPr="00E209B2">
        <w:rPr>
          <w:iCs/>
          <w:snapToGrid/>
        </w:rPr>
        <w:t xml:space="preserve"> </w:t>
      </w:r>
      <w:r w:rsidR="00224578" w:rsidRPr="00E209B2">
        <w:rPr>
          <w:iCs/>
          <w:snapToGrid/>
        </w:rPr>
        <w:t xml:space="preserve">The PSCR argued that </w:t>
      </w:r>
      <w:r w:rsidR="006B4FC0" w:rsidRPr="00E209B2">
        <w:rPr>
          <w:iCs/>
          <w:snapToGrid/>
        </w:rPr>
        <w:t>it was appropriate to assume a time</w:t>
      </w:r>
      <w:r w:rsidR="001D1DA4" w:rsidRPr="00E209B2">
        <w:rPr>
          <w:iCs/>
          <w:snapToGrid/>
        </w:rPr>
        <w:t xml:space="preserve"> horizon</w:t>
      </w:r>
      <w:r w:rsidR="006B4FC0" w:rsidRPr="00E209B2">
        <w:rPr>
          <w:iCs/>
          <w:snapToGrid/>
        </w:rPr>
        <w:t xml:space="preserve"> </w:t>
      </w:r>
      <w:r w:rsidR="00224578" w:rsidRPr="00E209B2">
        <w:rPr>
          <w:iCs/>
          <w:snapToGrid/>
        </w:rPr>
        <w:t xml:space="preserve">longer than the 5 years </w:t>
      </w:r>
      <w:r w:rsidR="001D1DA4" w:rsidRPr="00E209B2">
        <w:rPr>
          <w:iCs/>
          <w:snapToGrid/>
        </w:rPr>
        <w:t xml:space="preserve">in </w:t>
      </w:r>
      <w:r w:rsidR="00224578" w:rsidRPr="00E209B2">
        <w:rPr>
          <w:iCs/>
          <w:snapToGrid/>
        </w:rPr>
        <w:t xml:space="preserve">the pembrolizumab submission given the prognosis of patients for whom listing of avelumab is sought is likely to be better than those who are eligible for treatment with pembrolizumab. The ESC </w:t>
      </w:r>
      <w:r w:rsidR="00907E20" w:rsidRPr="00E209B2">
        <w:rPr>
          <w:iCs/>
          <w:snapToGrid/>
        </w:rPr>
        <w:t xml:space="preserve">considered that </w:t>
      </w:r>
      <w:r w:rsidR="006E3D42" w:rsidRPr="00E209B2">
        <w:rPr>
          <w:iCs/>
          <w:snapToGrid/>
        </w:rPr>
        <w:t>a time horizon of 7.5 years may be appropriate</w:t>
      </w:r>
      <w:r w:rsidR="006D7E5B" w:rsidRPr="00E209B2">
        <w:rPr>
          <w:iCs/>
          <w:snapToGrid/>
        </w:rPr>
        <w:t>. The pre-PBAC response noted that the ICER</w:t>
      </w:r>
      <w:r w:rsidR="00797A2B" w:rsidRPr="00E209B2">
        <w:rPr>
          <w:iCs/>
          <w:snapToGrid/>
        </w:rPr>
        <w:t xml:space="preserve"> </w:t>
      </w:r>
      <w:r w:rsidR="006D7E5B" w:rsidRPr="00E209B2">
        <w:rPr>
          <w:iCs/>
          <w:snapToGrid/>
        </w:rPr>
        <w:t>does not change substantially between analyses based on time horizons of 7.5 years ($</w:t>
      </w:r>
      <w:r w:rsidR="00BE3AA5">
        <w:rPr>
          <w:iCs/>
          <w:snapToGrid/>
        </w:rPr>
        <w:t>55,000 to &lt; $75,000</w:t>
      </w:r>
      <w:r w:rsidR="006D7E5B" w:rsidRPr="00E209B2">
        <w:rPr>
          <w:iCs/>
          <w:snapToGrid/>
        </w:rPr>
        <w:t>/QALY</w:t>
      </w:r>
      <w:r w:rsidR="00BE3AA5">
        <w:rPr>
          <w:iCs/>
          <w:snapToGrid/>
        </w:rPr>
        <w:t>)</w:t>
      </w:r>
      <w:r w:rsidR="006D7E5B" w:rsidRPr="00E209B2">
        <w:rPr>
          <w:iCs/>
          <w:snapToGrid/>
        </w:rPr>
        <w:t xml:space="preserve"> and 10 years ($</w:t>
      </w:r>
      <w:r w:rsidR="00BE3AA5">
        <w:rPr>
          <w:iCs/>
          <w:snapToGrid/>
        </w:rPr>
        <w:t>55,000 to &lt; $75,000</w:t>
      </w:r>
      <w:r w:rsidR="006D7E5B" w:rsidRPr="00E209B2">
        <w:rPr>
          <w:iCs/>
          <w:snapToGrid/>
        </w:rPr>
        <w:t>/QALY).</w:t>
      </w:r>
    </w:p>
    <w:p w:rsidR="002524D5" w:rsidRPr="00E209B2" w:rsidRDefault="00CD4146" w:rsidP="00BB00B3">
      <w:pPr>
        <w:pStyle w:val="ExecSumBodyText"/>
      </w:pPr>
      <w:r w:rsidRPr="00E209B2">
        <w:t>The economic model include</w:t>
      </w:r>
      <w:r w:rsidR="00F17F93" w:rsidRPr="00E209B2">
        <w:t>d</w:t>
      </w:r>
      <w:r w:rsidRPr="00E209B2">
        <w:t xml:space="preserve"> costs associated with the intervention medicines (avelumab), disease monitoring, adverse event management, and subsequent anticancer therapies.</w:t>
      </w:r>
    </w:p>
    <w:p w:rsidR="00CD4146" w:rsidRPr="00E209B2" w:rsidRDefault="00907686" w:rsidP="00BB00B3">
      <w:pPr>
        <w:pStyle w:val="ExecSumBodyText"/>
      </w:pPr>
      <w:r w:rsidRPr="00E209B2">
        <w:t>The number of scripts for avelumab was based on exposure data from the JAVELIN Bladder 100 trial</w:t>
      </w:r>
      <w:r w:rsidR="000A7BE7" w:rsidRPr="00E209B2">
        <w:t xml:space="preserve"> (</w:t>
      </w:r>
      <w:r w:rsidRPr="00E209B2">
        <w:t>extrapolat</w:t>
      </w:r>
      <w:r w:rsidR="00ED70C4" w:rsidRPr="00E209B2">
        <w:t>ed</w:t>
      </w:r>
      <w:r w:rsidRPr="00E209B2">
        <w:t xml:space="preserve"> time to treatment discontinuation curve</w:t>
      </w:r>
      <w:r w:rsidR="000A7BE7" w:rsidRPr="00E209B2">
        <w:t>)</w:t>
      </w:r>
      <w:r w:rsidRPr="00E209B2">
        <w:t xml:space="preserve">. </w:t>
      </w:r>
      <w:r w:rsidR="00967F45" w:rsidRPr="00E209B2">
        <w:t xml:space="preserve">The evaluation noted </w:t>
      </w:r>
      <w:r w:rsidR="00967F45" w:rsidRPr="00E209B2">
        <w:rPr>
          <w:iCs/>
        </w:rPr>
        <w:t>t</w:t>
      </w:r>
      <w:r w:rsidR="0050124D" w:rsidRPr="00E209B2">
        <w:rPr>
          <w:iCs/>
        </w:rPr>
        <w:t xml:space="preserve">his may have overestimated the costs associated </w:t>
      </w:r>
      <w:r w:rsidR="0050124D" w:rsidRPr="00E209B2">
        <w:rPr>
          <w:iCs/>
        </w:rPr>
        <w:lastRenderedPageBreak/>
        <w:t>with avelumab, given that a proportion of patients in the JAVELIN Bladder 100 trial received treatment with avelumab beyond disease progression.</w:t>
      </w:r>
      <w:r w:rsidR="00666418" w:rsidRPr="00E209B2">
        <w:rPr>
          <w:iCs/>
        </w:rPr>
        <w:t xml:space="preserve"> </w:t>
      </w:r>
      <w:r w:rsidR="00666418" w:rsidRPr="00E209B2">
        <w:t>Best supportive care was assumed to have no cost.</w:t>
      </w:r>
    </w:p>
    <w:p w:rsidR="00CD4146" w:rsidRPr="00E209B2" w:rsidRDefault="0050124D" w:rsidP="00BB00B3">
      <w:pPr>
        <w:pStyle w:val="ExecSumBodyText"/>
      </w:pPr>
      <w:r w:rsidRPr="00E209B2">
        <w:t xml:space="preserve">The resource requirements associated with disease monitoring were derived from a survey of 11 Australian oncologists with expertise in the management of patients with locally advanced and metastatic urothelial carcinoma (conducted by the sponsor). </w:t>
      </w:r>
      <w:r w:rsidRPr="00E209B2">
        <w:rPr>
          <w:iCs/>
        </w:rPr>
        <w:t xml:space="preserve">The applicability of the survey results was unclear, as there were few details provided on the surveyed specialists or the characteristics of the treated patients. Costs of disease monitoring were higher in the progressed disease </w:t>
      </w:r>
      <w:r w:rsidR="00352CC4" w:rsidRPr="00E209B2">
        <w:rPr>
          <w:iCs/>
        </w:rPr>
        <w:t xml:space="preserve">health </w:t>
      </w:r>
      <w:r w:rsidRPr="00E209B2">
        <w:rPr>
          <w:iCs/>
        </w:rPr>
        <w:t>state ($263.66</w:t>
      </w:r>
      <w:r w:rsidR="00352CC4" w:rsidRPr="00E209B2">
        <w:rPr>
          <w:iCs/>
        </w:rPr>
        <w:t xml:space="preserve"> per cycle) compared to the progression-free health state ($186.14</w:t>
      </w:r>
      <w:r w:rsidR="000A7BE7" w:rsidRPr="00E209B2">
        <w:rPr>
          <w:iCs/>
        </w:rPr>
        <w:t xml:space="preserve"> per cycle</w:t>
      </w:r>
      <w:r w:rsidR="00352CC4" w:rsidRPr="00E209B2">
        <w:rPr>
          <w:iCs/>
        </w:rPr>
        <w:t>)</w:t>
      </w:r>
      <w:r w:rsidR="003744A6" w:rsidRPr="00E209B2">
        <w:rPr>
          <w:iCs/>
        </w:rPr>
        <w:t>.</w:t>
      </w:r>
    </w:p>
    <w:p w:rsidR="00352CC4" w:rsidRPr="00E209B2" w:rsidRDefault="00352CC4" w:rsidP="00BB00B3">
      <w:pPr>
        <w:pStyle w:val="ExecSumBodyText"/>
        <w:rPr>
          <w:color w:val="0066FF"/>
        </w:rPr>
      </w:pPr>
      <w:r w:rsidRPr="00E209B2">
        <w:t xml:space="preserve">The economic model included costs </w:t>
      </w:r>
      <w:r w:rsidR="000A7BE7" w:rsidRPr="00E209B2">
        <w:t xml:space="preserve">associated with the management </w:t>
      </w:r>
      <w:r w:rsidRPr="00E209B2">
        <w:t xml:space="preserve">of Grade ≥3 adverse events that occurred in at least 2% of patients, and all Grade ≥3 immune-related adverse events in the JAVELIN Bladder 100 trial. </w:t>
      </w:r>
      <w:r w:rsidRPr="00E209B2">
        <w:rPr>
          <w:iCs/>
        </w:rPr>
        <w:t xml:space="preserve">The restriction to adverse events of Grade ≥3 in at least 2% of patients is likely to favour the avelumab + BSC arm, given that the BSC arm did not include any active anticancer treatment. The submission did not adequately justify the use of incidence estimates rather than event rates given the potential for patients to experience multiple events, and the extrapolation of avelumab time on treatment beyond the duration of the trial. </w:t>
      </w:r>
    </w:p>
    <w:p w:rsidR="003752EF" w:rsidRPr="00E209B2" w:rsidRDefault="00352CC4" w:rsidP="00BB00B3">
      <w:pPr>
        <w:pStyle w:val="ExecSumBodyText"/>
      </w:pPr>
      <w:r w:rsidRPr="00E209B2">
        <w:t xml:space="preserve">The submission stated that the </w:t>
      </w:r>
      <w:r w:rsidR="000124BB" w:rsidRPr="00E209B2">
        <w:t>cost of subsequent anticancer</w:t>
      </w:r>
      <w:r w:rsidRPr="00E209B2">
        <w:t xml:space="preserve"> treatment</w:t>
      </w:r>
      <w:r w:rsidR="000124BB" w:rsidRPr="00E209B2">
        <w:t xml:space="preserve"> was</w:t>
      </w:r>
      <w:r w:rsidRPr="00E209B2">
        <w:t xml:space="preserve"> based on the subsequent anticancer treatments used in the JAVELIN Bladder 100 trial, adapted to the Australian treatment setting based on input from clinicians and sponsor assumptions.</w:t>
      </w:r>
      <w:r w:rsidR="00A559E2" w:rsidRPr="00E209B2">
        <w:t xml:space="preserve"> </w:t>
      </w:r>
      <w:r w:rsidR="001F2CC8" w:rsidRPr="00E209B2">
        <w:rPr>
          <w:iCs/>
        </w:rPr>
        <w:t>Patients in the avelumab + BSC arm who experience disease progression are assumed to receive paclitaxel (60%), docetaxel (15%) or no treatment (36%). The assumption that all patients treated with chemotherapy would receive paclitaxel or docetaxel was not adequately justified, given that some patients in the JAVELIN Bladder 100 trial were also treated with gemcitabine, cisplatin, and carboplatin, and PD-1/PD-L1 inhibitors. A higher proportion of patients in the avelumab + BSC arm were assigned ‘no treatment’ as subsequent treatment, which did not appear to be adequately justified, given that most patients would be expected to experience disease progression over the 10-year time horizon.</w:t>
      </w:r>
    </w:p>
    <w:p w:rsidR="004C2CDA" w:rsidRPr="00E209B2" w:rsidRDefault="001F2CC8" w:rsidP="001D1DA4">
      <w:pPr>
        <w:pStyle w:val="ExecSumBodyText"/>
      </w:pPr>
      <w:r w:rsidRPr="00E209B2">
        <w:t xml:space="preserve">The submission assumed that 80% of patients who experience disease progression in the BSC arm commence subsequent treatment with a PD-1 inhibitor, and the remaining patients were distributed between chemotherapy and no subsequent anticancer treatment. </w:t>
      </w:r>
      <w:r w:rsidRPr="00E209B2">
        <w:rPr>
          <w:iCs/>
        </w:rPr>
        <w:t xml:space="preserve">This assumption resulted in inconsistency between the costs for pembrolizumab included in the model, and the underlying use (and effectiveness) of the subsequent therapies used in the JAVELIN Bladder 100 trial. At the time of the interim analysis, 43.7% of </w:t>
      </w:r>
      <w:r w:rsidR="00FE0E54" w:rsidRPr="00E209B2">
        <w:rPr>
          <w:iCs/>
        </w:rPr>
        <w:t xml:space="preserve">all </w:t>
      </w:r>
      <w:r w:rsidRPr="00E209B2">
        <w:rPr>
          <w:iCs/>
        </w:rPr>
        <w:t xml:space="preserve">patients </w:t>
      </w:r>
      <w:r w:rsidR="00FE0E54" w:rsidRPr="00E209B2">
        <w:rPr>
          <w:iCs/>
        </w:rPr>
        <w:t xml:space="preserve">in the BSC arm </w:t>
      </w:r>
      <w:r w:rsidRPr="00E209B2">
        <w:rPr>
          <w:iCs/>
        </w:rPr>
        <w:t xml:space="preserve">had received subsequent treatment with a PD-1 or PD-L1 inhibitor. The higher cost of the subsequent therapy mix assumed for </w:t>
      </w:r>
      <w:r w:rsidRPr="00E209B2">
        <w:rPr>
          <w:iCs/>
        </w:rPr>
        <w:lastRenderedPageBreak/>
        <w:t>the BSC arm was likely to favour avelumab + BSC.</w:t>
      </w:r>
      <w:r w:rsidR="001D1DA4" w:rsidRPr="00E209B2">
        <w:rPr>
          <w:iCs/>
        </w:rPr>
        <w:t xml:space="preserve"> </w:t>
      </w:r>
      <w:r w:rsidR="00EC5157" w:rsidRPr="00E209B2">
        <w:rPr>
          <w:iCs/>
        </w:rPr>
        <w:t xml:space="preserve">The PSCR </w:t>
      </w:r>
      <w:r w:rsidR="0021358C" w:rsidRPr="00E209B2">
        <w:rPr>
          <w:iCs/>
        </w:rPr>
        <w:t>highlighted that the cost of subsequent anti</w:t>
      </w:r>
      <w:r w:rsidR="00B32B5B" w:rsidRPr="00E209B2">
        <w:rPr>
          <w:iCs/>
        </w:rPr>
        <w:t>cancer treatments in the model wa</w:t>
      </w:r>
      <w:r w:rsidR="0021358C" w:rsidRPr="00E209B2">
        <w:rPr>
          <w:iCs/>
        </w:rPr>
        <w:t xml:space="preserve">s based on the count of the number of patients who received each type of subsequent treatment in the JAVELIN Bladder 100 trial, although </w:t>
      </w:r>
      <w:r w:rsidR="00B32B5B" w:rsidRPr="00E209B2">
        <w:rPr>
          <w:iCs/>
        </w:rPr>
        <w:t>this wa</w:t>
      </w:r>
      <w:r w:rsidR="0021358C" w:rsidRPr="00E209B2">
        <w:rPr>
          <w:iCs/>
        </w:rPr>
        <w:t xml:space="preserve">s subsequently proportionally adjusted to reflect the distribution of use in Australian clinical practice. </w:t>
      </w:r>
      <w:r w:rsidR="001D1DA4" w:rsidRPr="00E209B2">
        <w:rPr>
          <w:iCs/>
        </w:rPr>
        <w:t xml:space="preserve">The ESC </w:t>
      </w:r>
      <w:r w:rsidR="0021358C" w:rsidRPr="00E209B2">
        <w:rPr>
          <w:iCs/>
        </w:rPr>
        <w:t xml:space="preserve">noted that all use of </w:t>
      </w:r>
      <w:r w:rsidR="00B3421F" w:rsidRPr="00E209B2">
        <w:rPr>
          <w:iCs/>
        </w:rPr>
        <w:t>PD-1/</w:t>
      </w:r>
      <w:r w:rsidR="0021358C" w:rsidRPr="00E209B2">
        <w:rPr>
          <w:iCs/>
        </w:rPr>
        <w:t xml:space="preserve">PD-L1 inhibitors as subsequent treatment in the model </w:t>
      </w:r>
      <w:r w:rsidR="00B3421F" w:rsidRPr="00E209B2">
        <w:rPr>
          <w:iCs/>
        </w:rPr>
        <w:t>wa</w:t>
      </w:r>
      <w:r w:rsidR="0021358C" w:rsidRPr="00E209B2">
        <w:rPr>
          <w:iCs/>
        </w:rPr>
        <w:t xml:space="preserve">s as a proportion of patients who have progressed. The ESC noted that in the JAVELIN Bladder 100 trial, </w:t>
      </w:r>
      <w:r w:rsidR="0021358C" w:rsidRPr="00E209B2">
        <w:t>61% (153/251) of patients who experienced disease progression in the BSC arm received subsequent treatment with a PD-1/PD-L1 inhibitor</w:t>
      </w:r>
      <w:r w:rsidR="002702EB" w:rsidRPr="00E209B2">
        <w:t xml:space="preserve"> which is lower than the 80% assumed in the model</w:t>
      </w:r>
      <w:r w:rsidR="0021358C" w:rsidRPr="00E209B2">
        <w:t>. The ESC</w:t>
      </w:r>
      <w:r w:rsidR="0021358C" w:rsidRPr="00E209B2">
        <w:rPr>
          <w:iCs/>
        </w:rPr>
        <w:t xml:space="preserve"> </w:t>
      </w:r>
      <w:r w:rsidR="001D1DA4" w:rsidRPr="00E209B2">
        <w:rPr>
          <w:iCs/>
        </w:rPr>
        <w:t>noted that no adjustment was</w:t>
      </w:r>
      <w:r w:rsidR="00B3421F" w:rsidRPr="00E209B2">
        <w:rPr>
          <w:iCs/>
        </w:rPr>
        <w:t xml:space="preserve"> </w:t>
      </w:r>
      <w:r w:rsidR="001D1DA4" w:rsidRPr="00E209B2">
        <w:rPr>
          <w:iCs/>
        </w:rPr>
        <w:t xml:space="preserve">made in the model to the </w:t>
      </w:r>
      <w:r w:rsidR="00FE0E54" w:rsidRPr="00E209B2">
        <w:rPr>
          <w:iCs/>
        </w:rPr>
        <w:t>overall survival</w:t>
      </w:r>
      <w:r w:rsidR="001D1DA4" w:rsidRPr="00E209B2">
        <w:rPr>
          <w:iCs/>
        </w:rPr>
        <w:t xml:space="preserve"> data to account for difference in the proportion of patients receiving PD-1/PD-L1 inhibitors in the trial versus that assumed in the model. As such,</w:t>
      </w:r>
      <w:r w:rsidR="0021358C" w:rsidRPr="00E209B2">
        <w:rPr>
          <w:iCs/>
        </w:rPr>
        <w:t xml:space="preserve"> the ESC considered</w:t>
      </w:r>
      <w:r w:rsidR="001D1DA4" w:rsidRPr="00E209B2">
        <w:rPr>
          <w:iCs/>
        </w:rPr>
        <w:t xml:space="preserve"> there were higher costs associated with PD-1/PD-L1 inhibitor therapy in the BSC arm of the model without </w:t>
      </w:r>
      <w:r w:rsidR="00B32B5B" w:rsidRPr="00E209B2">
        <w:rPr>
          <w:iCs/>
        </w:rPr>
        <w:t xml:space="preserve">corresponding </w:t>
      </w:r>
      <w:r w:rsidR="001D1DA4" w:rsidRPr="00E209B2">
        <w:rPr>
          <w:iCs/>
        </w:rPr>
        <w:t>adjustments to efficacy</w:t>
      </w:r>
      <w:r w:rsidR="00B32B5B" w:rsidRPr="00E209B2">
        <w:rPr>
          <w:iCs/>
        </w:rPr>
        <w:t xml:space="preserve"> outcomes</w:t>
      </w:r>
      <w:r w:rsidR="001D1DA4" w:rsidRPr="00E209B2">
        <w:rPr>
          <w:iCs/>
        </w:rPr>
        <w:t>.</w:t>
      </w:r>
      <w:r w:rsidR="002702EB" w:rsidRPr="00E209B2">
        <w:rPr>
          <w:iCs/>
        </w:rPr>
        <w:t xml:space="preserve"> The ESC considered this favoured avelumab. </w:t>
      </w:r>
      <w:r w:rsidR="005717C6" w:rsidRPr="00E209B2">
        <w:rPr>
          <w:iCs/>
        </w:rPr>
        <w:t>The pre-P</w:t>
      </w:r>
      <w:r w:rsidR="00867D03" w:rsidRPr="00E209B2">
        <w:rPr>
          <w:iCs/>
        </w:rPr>
        <w:t>BAC response stated</w:t>
      </w:r>
      <w:r w:rsidR="005717C6" w:rsidRPr="00E209B2">
        <w:rPr>
          <w:iCs/>
        </w:rPr>
        <w:t xml:space="preserve"> that</w:t>
      </w:r>
      <w:r w:rsidR="003A651D">
        <w:rPr>
          <w:iCs/>
        </w:rPr>
        <w:t xml:space="preserve"> </w:t>
      </w:r>
      <w:r w:rsidR="003A651D" w:rsidRPr="003A651D">
        <w:rPr>
          <w:iCs/>
        </w:rPr>
        <w:t xml:space="preserve">although overall survival for the BSC arm of the model was not adjusted for the greater proportion of use of subsequent treatment with </w:t>
      </w:r>
      <w:r w:rsidR="003A651D">
        <w:rPr>
          <w:iCs/>
        </w:rPr>
        <w:t xml:space="preserve">a </w:t>
      </w:r>
      <w:r w:rsidR="003A651D" w:rsidRPr="003A651D">
        <w:rPr>
          <w:iCs/>
        </w:rPr>
        <w:t>PD</w:t>
      </w:r>
      <w:r w:rsidR="003A651D">
        <w:rPr>
          <w:iCs/>
        </w:rPr>
        <w:t>-1</w:t>
      </w:r>
      <w:r w:rsidR="003A651D" w:rsidRPr="003A651D">
        <w:rPr>
          <w:iCs/>
        </w:rPr>
        <w:t xml:space="preserve">/PD-L1 </w:t>
      </w:r>
      <w:r w:rsidR="003A651D">
        <w:rPr>
          <w:iCs/>
        </w:rPr>
        <w:t>inhibitor, the result of</w:t>
      </w:r>
      <w:r w:rsidR="005717C6" w:rsidRPr="00E209B2">
        <w:rPr>
          <w:iCs/>
        </w:rPr>
        <w:t xml:space="preserve"> the ad-hoc analysis of the BSC arm subgroups (see paragraph </w:t>
      </w:r>
      <w:r w:rsidR="00867D03" w:rsidRPr="00E209B2">
        <w:rPr>
          <w:iCs/>
        </w:rPr>
        <w:t>6.17) indicated that patients who received subsequent treatments with a PD-1/PD-L1 inhibitor experienced a small improvement in overall survival (</w:t>
      </w:r>
      <w:r w:rsidR="00867D03" w:rsidRPr="00A4523B">
        <w:rPr>
          <w:iCs/>
        </w:rPr>
        <w:t>approximately 2.5 months</w:t>
      </w:r>
      <w:r w:rsidR="00867D03" w:rsidRPr="00E209B2">
        <w:rPr>
          <w:iCs/>
        </w:rPr>
        <w:t xml:space="preserve">). </w:t>
      </w:r>
    </w:p>
    <w:p w:rsidR="00BB00B3" w:rsidRPr="00E209B2" w:rsidRDefault="00676F38" w:rsidP="00BB00B3">
      <w:pPr>
        <w:pStyle w:val="ExecSumBodyText"/>
        <w:rPr>
          <w:color w:val="0066FF"/>
        </w:rPr>
      </w:pPr>
      <w:r w:rsidRPr="00E209B2">
        <w:t xml:space="preserve">The submission noted that the proportions of patients receiving subsequent anticancer treatment sum to more than 100% (110% in avelumab + BSC arm and 125.5% in BSC arm) due to some patients receiving more than one subsequent anticancer therapy in the JAVELIN Bladder 100 trial. </w:t>
      </w:r>
      <w:r w:rsidRPr="00E209B2">
        <w:rPr>
          <w:iCs/>
        </w:rPr>
        <w:t xml:space="preserve">The assumed proportions may not have adequately captured the costs associated with patients receiving multiple lines of subsequent anticancer treatment over the modelled period. </w:t>
      </w:r>
      <w:r w:rsidR="009C7510" w:rsidRPr="00E209B2">
        <w:rPr>
          <w:iCs/>
        </w:rPr>
        <w:t>The ESC noted</w:t>
      </w:r>
      <w:r w:rsidR="009C7510" w:rsidRPr="00E209B2">
        <w:rPr>
          <w:i/>
          <w:iCs/>
        </w:rPr>
        <w:t xml:space="preserve"> </w:t>
      </w:r>
      <w:r w:rsidR="009C7510" w:rsidRPr="00E209B2">
        <w:rPr>
          <w:iCs/>
        </w:rPr>
        <w:t>t</w:t>
      </w:r>
      <w:r w:rsidR="008A5D00" w:rsidRPr="00E209B2">
        <w:rPr>
          <w:iCs/>
        </w:rPr>
        <w:t xml:space="preserve">he costs assumed for subsequent anti-cancer therapy in the model were considered highly uncertain due to missing data on subsequent therapies for a large number of patients, limited duration of follow-up in the trial, and the likelihood that some patients will receive multiple lines of subsequent therapy. </w:t>
      </w:r>
      <w:r w:rsidR="00A559E2" w:rsidRPr="00E209B2">
        <w:t xml:space="preserve">The submission noted that pembrolizumab is subject to a special pricing arrangement and that the effective price is not known to the sponsor. The submission estimated the effective pembrolizumab price by applying a 10% discount to the published </w:t>
      </w:r>
      <w:r w:rsidR="00040940" w:rsidRPr="00E209B2">
        <w:t xml:space="preserve">pembrolizumab </w:t>
      </w:r>
      <w:r w:rsidR="00A559E2" w:rsidRPr="00E209B2">
        <w:t>ex-manufacturer price</w:t>
      </w:r>
      <w:r w:rsidR="00040940" w:rsidRPr="00E209B2">
        <w:t>.</w:t>
      </w:r>
    </w:p>
    <w:p w:rsidR="00275C5A" w:rsidRPr="00E209B2" w:rsidRDefault="00A559E2" w:rsidP="00A559E2">
      <w:pPr>
        <w:pStyle w:val="ExecSumBodyText"/>
      </w:pPr>
      <w:r w:rsidRPr="00E209B2">
        <w:t>Key drivers of the economic model are summarised in the table below.</w:t>
      </w:r>
    </w:p>
    <w:p w:rsidR="00D110BD" w:rsidRPr="00E209B2" w:rsidRDefault="00D110BD" w:rsidP="00230DB1">
      <w:pPr>
        <w:pStyle w:val="TableFigureCaption"/>
      </w:pPr>
      <w:r w:rsidRPr="00E209B2">
        <w:t xml:space="preserve">Table </w:t>
      </w:r>
      <w:r w:rsidR="00A559E2" w:rsidRPr="00E209B2">
        <w:t>1</w:t>
      </w:r>
      <w:r w:rsidR="005F2F14" w:rsidRPr="00E209B2">
        <w:t>3</w:t>
      </w:r>
      <w:r w:rsidRPr="00E209B2">
        <w:t xml:space="preserve">: </w:t>
      </w:r>
      <w:r w:rsidR="00A559E2" w:rsidRPr="00E209B2">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379"/>
        <w:gridCol w:w="1509"/>
      </w:tblGrid>
      <w:tr w:rsidR="00537182" w:rsidRPr="00E209B2" w:rsidTr="00AC4740">
        <w:trPr>
          <w:tblHeader/>
        </w:trPr>
        <w:tc>
          <w:tcPr>
            <w:tcW w:w="626" w:type="pct"/>
            <w:shd w:val="clear" w:color="auto" w:fill="auto"/>
            <w:vAlign w:val="center"/>
          </w:tcPr>
          <w:p w:rsidR="00D110BD" w:rsidRPr="00E209B2" w:rsidRDefault="00D110BD" w:rsidP="00BB00B3">
            <w:pPr>
              <w:pStyle w:val="Tableheadingrow"/>
              <w:jc w:val="center"/>
              <w:rPr>
                <w:lang w:val="en-AU"/>
              </w:rPr>
            </w:pPr>
            <w:r w:rsidRPr="00E209B2">
              <w:rPr>
                <w:lang w:val="en-AU"/>
              </w:rPr>
              <w:t>Description</w:t>
            </w:r>
          </w:p>
        </w:tc>
        <w:tc>
          <w:tcPr>
            <w:tcW w:w="3537" w:type="pct"/>
            <w:shd w:val="clear" w:color="auto" w:fill="auto"/>
            <w:vAlign w:val="center"/>
          </w:tcPr>
          <w:p w:rsidR="00D110BD" w:rsidRPr="00E209B2" w:rsidRDefault="00D110BD" w:rsidP="000A7453">
            <w:pPr>
              <w:pStyle w:val="Tableheadingrow"/>
              <w:jc w:val="center"/>
              <w:rPr>
                <w:lang w:val="en-AU"/>
              </w:rPr>
            </w:pPr>
            <w:r w:rsidRPr="00E209B2">
              <w:rPr>
                <w:lang w:val="en-AU"/>
              </w:rPr>
              <w:t>Method/Value</w:t>
            </w:r>
          </w:p>
        </w:tc>
        <w:tc>
          <w:tcPr>
            <w:tcW w:w="837" w:type="pct"/>
            <w:shd w:val="clear" w:color="auto" w:fill="auto"/>
            <w:vAlign w:val="center"/>
          </w:tcPr>
          <w:p w:rsidR="00490B17" w:rsidRPr="00E209B2" w:rsidRDefault="00A559E2" w:rsidP="000A7453">
            <w:pPr>
              <w:pStyle w:val="Tableheadingrow"/>
              <w:jc w:val="center"/>
              <w:rPr>
                <w:lang w:val="en-AU"/>
              </w:rPr>
            </w:pPr>
            <w:r w:rsidRPr="00E209B2">
              <w:rPr>
                <w:lang w:val="en-AU"/>
              </w:rPr>
              <w:t>Impact</w:t>
            </w:r>
          </w:p>
        </w:tc>
      </w:tr>
      <w:tr w:rsidR="00040940" w:rsidRPr="00E209B2" w:rsidTr="00AC4740">
        <w:tc>
          <w:tcPr>
            <w:tcW w:w="626" w:type="pct"/>
            <w:shd w:val="clear" w:color="auto" w:fill="auto"/>
            <w:vAlign w:val="center"/>
          </w:tcPr>
          <w:p w:rsidR="00040940" w:rsidRPr="00E209B2" w:rsidRDefault="00040940" w:rsidP="00040940">
            <w:pPr>
              <w:pStyle w:val="TableText"/>
              <w:jc w:val="center"/>
            </w:pPr>
            <w:r w:rsidRPr="00E209B2">
              <w:t>Extrapolation</w:t>
            </w:r>
          </w:p>
        </w:tc>
        <w:tc>
          <w:tcPr>
            <w:tcW w:w="3537" w:type="pct"/>
            <w:shd w:val="clear" w:color="auto" w:fill="auto"/>
            <w:vAlign w:val="center"/>
          </w:tcPr>
          <w:p w:rsidR="00040940" w:rsidRPr="00E209B2" w:rsidRDefault="002E53F3" w:rsidP="00040940">
            <w:pPr>
              <w:pStyle w:val="TableText"/>
              <w:rPr>
                <w:iCs/>
              </w:rPr>
            </w:pPr>
            <w:r w:rsidRPr="00E209B2">
              <w:t xml:space="preserve">Overall survival and progression-free survival data from the JAVELIN Bladder 100 trial </w:t>
            </w:r>
            <w:r w:rsidR="00B65D6D" w:rsidRPr="00E209B2">
              <w:t xml:space="preserve">were </w:t>
            </w:r>
            <w:r w:rsidRPr="00E209B2">
              <w:t xml:space="preserve">extrapolated using parametric functions. </w:t>
            </w:r>
            <w:r w:rsidRPr="00E209B2">
              <w:rPr>
                <w:iCs/>
              </w:rPr>
              <w:t xml:space="preserve">Extrapolation of the </w:t>
            </w:r>
            <w:r w:rsidR="00FE121C" w:rsidRPr="00E209B2">
              <w:rPr>
                <w:iCs/>
              </w:rPr>
              <w:t>survival curves</w:t>
            </w:r>
            <w:r w:rsidRPr="00E209B2">
              <w:rPr>
                <w:iCs/>
              </w:rPr>
              <w:t xml:space="preserve"> using parametric </w:t>
            </w:r>
            <w:r w:rsidR="00B65D6D" w:rsidRPr="00E209B2">
              <w:rPr>
                <w:iCs/>
              </w:rPr>
              <w:t>functions</w:t>
            </w:r>
            <w:r w:rsidRPr="00E209B2">
              <w:rPr>
                <w:iCs/>
              </w:rPr>
              <w:t xml:space="preserve"> was </w:t>
            </w:r>
            <w:r w:rsidR="00B65D6D" w:rsidRPr="00E209B2">
              <w:rPr>
                <w:iCs/>
              </w:rPr>
              <w:t>associated with substantial</w:t>
            </w:r>
            <w:r w:rsidRPr="00E209B2">
              <w:rPr>
                <w:iCs/>
              </w:rPr>
              <w:t xml:space="preserve"> uncertain</w:t>
            </w:r>
            <w:r w:rsidR="00B65D6D" w:rsidRPr="00E209B2">
              <w:rPr>
                <w:iCs/>
              </w:rPr>
              <w:t>ty</w:t>
            </w:r>
            <w:r w:rsidRPr="00E209B2">
              <w:rPr>
                <w:iCs/>
              </w:rPr>
              <w:t xml:space="preserve"> due to the limited duration of trial </w:t>
            </w:r>
            <w:r w:rsidR="00B65D6D" w:rsidRPr="00E209B2">
              <w:rPr>
                <w:iCs/>
              </w:rPr>
              <w:t>follow-up</w:t>
            </w:r>
            <w:r w:rsidRPr="00E209B2">
              <w:rPr>
                <w:iCs/>
              </w:rPr>
              <w:t xml:space="preserve"> relative to the time horizon</w:t>
            </w:r>
            <w:r w:rsidR="00B65D6D" w:rsidRPr="00E209B2">
              <w:rPr>
                <w:iCs/>
              </w:rPr>
              <w:t xml:space="preserve"> (median 19 months follow-up versus 10-year time horizon)</w:t>
            </w:r>
            <w:r w:rsidRPr="00E209B2">
              <w:rPr>
                <w:iCs/>
              </w:rPr>
              <w:t>, and the lack of published longer-term survival estimates to validate the chosen parametric functions.</w:t>
            </w:r>
          </w:p>
        </w:tc>
        <w:tc>
          <w:tcPr>
            <w:tcW w:w="837" w:type="pct"/>
            <w:shd w:val="clear" w:color="auto" w:fill="auto"/>
            <w:vAlign w:val="center"/>
          </w:tcPr>
          <w:p w:rsidR="00040940" w:rsidRPr="00E209B2" w:rsidRDefault="00040940" w:rsidP="00040940">
            <w:pPr>
              <w:pStyle w:val="TableText"/>
              <w:jc w:val="center"/>
            </w:pPr>
            <w:r w:rsidRPr="00E209B2">
              <w:t>High, direction unclear</w:t>
            </w:r>
          </w:p>
        </w:tc>
      </w:tr>
      <w:tr w:rsidR="00040940" w:rsidRPr="00E209B2" w:rsidTr="00AC4740">
        <w:tc>
          <w:tcPr>
            <w:tcW w:w="626" w:type="pct"/>
            <w:shd w:val="clear" w:color="auto" w:fill="auto"/>
            <w:vAlign w:val="center"/>
          </w:tcPr>
          <w:p w:rsidR="00040940" w:rsidRPr="00E209B2" w:rsidRDefault="00040940" w:rsidP="00040940">
            <w:pPr>
              <w:pStyle w:val="TableText"/>
              <w:jc w:val="center"/>
            </w:pPr>
            <w:r w:rsidRPr="00E209B2">
              <w:lastRenderedPageBreak/>
              <w:t>Subsequent anticancer treatments</w:t>
            </w:r>
          </w:p>
        </w:tc>
        <w:tc>
          <w:tcPr>
            <w:tcW w:w="3537" w:type="pct"/>
            <w:shd w:val="clear" w:color="auto" w:fill="auto"/>
            <w:vAlign w:val="center"/>
          </w:tcPr>
          <w:p w:rsidR="00676F38" w:rsidRPr="00E209B2" w:rsidRDefault="004F754A" w:rsidP="00507B43">
            <w:pPr>
              <w:pStyle w:val="TableText"/>
              <w:rPr>
                <w:iCs/>
              </w:rPr>
            </w:pPr>
            <w:r w:rsidRPr="00E209B2">
              <w:t xml:space="preserve">The cost of subsequent treatments was based on the subsequent anticancer treatments used in the JAVELIN Bladder 100 trial, adapted to the Australian treatment setting based on input from clinicians and sponsor assumptions. </w:t>
            </w:r>
            <w:r w:rsidR="00055B2E" w:rsidRPr="00E209B2">
              <w:rPr>
                <w:iCs/>
              </w:rPr>
              <w:t>The costs assumed for subsequent anti-cancer therapy in the model were considered highly uncertain due to missing data on subsequent therapies for a large number of patients, the limited duration of follow-up, and the likelihood that many patients will receive multiple lines of subsequent therapy.</w:t>
            </w:r>
            <w:r w:rsidR="00055B2E" w:rsidRPr="00E209B2">
              <w:t xml:space="preserve"> </w:t>
            </w:r>
            <w:r w:rsidR="002851A6" w:rsidRPr="00E209B2">
              <w:rPr>
                <w:iCs/>
              </w:rPr>
              <w:t xml:space="preserve">There was </w:t>
            </w:r>
            <w:r w:rsidR="00055B2E" w:rsidRPr="00E209B2">
              <w:rPr>
                <w:iCs/>
              </w:rPr>
              <w:t xml:space="preserve">potential </w:t>
            </w:r>
            <w:r w:rsidR="002851A6" w:rsidRPr="00E209B2">
              <w:rPr>
                <w:iCs/>
              </w:rPr>
              <w:t>inconsistency between the costs assumed in the economic model and the underlying use (and effectiveness) of the subsequent therapies in the JAVELIN Bladder 100 trial. In particular, the submission assumed that 80% of patients in the BSC arm with disease progression receive treatment with pembrolizumab. However, at the time of the interim analysis, only 43.7% of</w:t>
            </w:r>
            <w:r w:rsidR="00414D98" w:rsidRPr="00E209B2">
              <w:rPr>
                <w:iCs/>
              </w:rPr>
              <w:t xml:space="preserve"> all </w:t>
            </w:r>
            <w:r w:rsidR="002851A6" w:rsidRPr="00E209B2">
              <w:rPr>
                <w:iCs/>
              </w:rPr>
              <w:t>patients</w:t>
            </w:r>
            <w:r w:rsidR="00DC082B" w:rsidRPr="00E209B2">
              <w:rPr>
                <w:iCs/>
              </w:rPr>
              <w:t xml:space="preserve"> </w:t>
            </w:r>
            <w:r w:rsidR="00414D98" w:rsidRPr="00E209B2">
              <w:rPr>
                <w:iCs/>
              </w:rPr>
              <w:t xml:space="preserve">in the BSC arm (or 61% of patients who had experienced disease progression) </w:t>
            </w:r>
            <w:r w:rsidR="002851A6" w:rsidRPr="00E209B2">
              <w:rPr>
                <w:iCs/>
              </w:rPr>
              <w:t>had received subsequent treatment with a PD-1 or PD-L1 inhibitor. The higher cost of the subsequent therapy mix assumed for the BSC arm was likely to favour the avelumab + BSC.</w:t>
            </w:r>
            <w:r w:rsidR="00247391" w:rsidRPr="00E209B2">
              <w:t xml:space="preserve"> </w:t>
            </w:r>
          </w:p>
        </w:tc>
        <w:tc>
          <w:tcPr>
            <w:tcW w:w="837" w:type="pct"/>
            <w:shd w:val="clear" w:color="auto" w:fill="auto"/>
            <w:vAlign w:val="center"/>
          </w:tcPr>
          <w:p w:rsidR="00040940" w:rsidRPr="00E209B2" w:rsidRDefault="005D4C46" w:rsidP="00040940">
            <w:pPr>
              <w:pStyle w:val="TableText"/>
              <w:jc w:val="center"/>
              <w:rPr>
                <w:iCs/>
              </w:rPr>
            </w:pPr>
            <w:r w:rsidRPr="00E209B2">
              <w:rPr>
                <w:iCs/>
              </w:rPr>
              <w:t>Moderate</w:t>
            </w:r>
            <w:r w:rsidR="00CB6C68" w:rsidRPr="00E209B2">
              <w:rPr>
                <w:iCs/>
              </w:rPr>
              <w:t xml:space="preserve">, </w:t>
            </w:r>
            <w:r w:rsidR="00551EAA" w:rsidRPr="00E209B2">
              <w:rPr>
                <w:iCs/>
              </w:rPr>
              <w:t>favours avelumab</w:t>
            </w:r>
          </w:p>
        </w:tc>
      </w:tr>
    </w:tbl>
    <w:p w:rsidR="00D110BD" w:rsidRPr="00E209B2" w:rsidRDefault="009D792E" w:rsidP="00BB00B3">
      <w:pPr>
        <w:pStyle w:val="TableFigureFooter"/>
      </w:pPr>
      <w:r w:rsidRPr="00E209B2">
        <w:t xml:space="preserve">Source: </w:t>
      </w:r>
      <w:r w:rsidR="00AE2336" w:rsidRPr="00E209B2">
        <w:t>Constructed during the evaluation.</w:t>
      </w:r>
    </w:p>
    <w:p w:rsidR="00AE2336" w:rsidRPr="00E209B2" w:rsidRDefault="00AE2336" w:rsidP="00BB00B3">
      <w:pPr>
        <w:pStyle w:val="TableFigureFooter"/>
      </w:pPr>
      <w:r w:rsidRPr="00E209B2">
        <w:t>Abbreviations: BSC, best supportive care; EQ-5D, EuroQol 5-Dimension.</w:t>
      </w:r>
    </w:p>
    <w:p w:rsidR="00C3371F" w:rsidRDefault="00C3371F">
      <w:pPr>
        <w:jc w:val="left"/>
        <w:rPr>
          <w:rFonts w:asciiTheme="minorHAnsi" w:hAnsiTheme="minorHAnsi"/>
          <w:snapToGrid w:val="0"/>
        </w:rPr>
      </w:pPr>
      <w:r>
        <w:br w:type="page"/>
      </w:r>
    </w:p>
    <w:p w:rsidR="008C5739" w:rsidRPr="00E209B2" w:rsidRDefault="00061B12" w:rsidP="008934FC">
      <w:pPr>
        <w:pStyle w:val="ExecSumBodyText"/>
      </w:pPr>
      <w:r w:rsidRPr="00E209B2">
        <w:t>The results of the modelled economic evaluation are summarised below.</w:t>
      </w:r>
    </w:p>
    <w:p w:rsidR="003215C0" w:rsidRPr="00E209B2" w:rsidRDefault="003215C0" w:rsidP="003215C0">
      <w:pPr>
        <w:pStyle w:val="TableFigureCaption"/>
      </w:pPr>
      <w:r w:rsidRPr="00E209B2">
        <w:t xml:space="preserve">Table </w:t>
      </w:r>
      <w:r w:rsidR="00BC13BC" w:rsidRPr="00E209B2">
        <w:t>1</w:t>
      </w:r>
      <w:r w:rsidR="005F2F14" w:rsidRPr="00E209B2">
        <w:t>4</w:t>
      </w:r>
      <w:r w:rsidRPr="00E209B2">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6"/>
        <w:gridCol w:w="1701"/>
        <w:gridCol w:w="1699"/>
        <w:gridCol w:w="1511"/>
      </w:tblGrid>
      <w:tr w:rsidR="003215C0" w:rsidRPr="00E209B2" w:rsidTr="00CC08FA">
        <w:trPr>
          <w:tblHeader/>
        </w:trPr>
        <w:tc>
          <w:tcPr>
            <w:tcW w:w="2277" w:type="pct"/>
            <w:vAlign w:val="center"/>
          </w:tcPr>
          <w:p w:rsidR="003215C0" w:rsidRPr="00E209B2" w:rsidRDefault="003215C0" w:rsidP="008A7944">
            <w:pPr>
              <w:pStyle w:val="Tableheadingrow"/>
              <w:rPr>
                <w:lang w:val="en-AU"/>
              </w:rPr>
            </w:pPr>
            <w:r w:rsidRPr="00E209B2">
              <w:rPr>
                <w:lang w:val="en-AU"/>
              </w:rPr>
              <w:t>Step and component</w:t>
            </w:r>
          </w:p>
        </w:tc>
        <w:tc>
          <w:tcPr>
            <w:tcW w:w="943" w:type="pct"/>
            <w:vAlign w:val="center"/>
          </w:tcPr>
          <w:p w:rsidR="003215C0" w:rsidRPr="00E209B2" w:rsidRDefault="003215C0" w:rsidP="008A7944">
            <w:pPr>
              <w:pStyle w:val="Tableheadingrow"/>
              <w:jc w:val="center"/>
              <w:rPr>
                <w:lang w:val="en-AU"/>
              </w:rPr>
            </w:pPr>
            <w:r w:rsidRPr="00E209B2">
              <w:rPr>
                <w:lang w:val="en-AU"/>
              </w:rPr>
              <w:t>AVE + BSC</w:t>
            </w:r>
          </w:p>
        </w:tc>
        <w:tc>
          <w:tcPr>
            <w:tcW w:w="942" w:type="pct"/>
            <w:vAlign w:val="center"/>
          </w:tcPr>
          <w:p w:rsidR="003215C0" w:rsidRPr="00E209B2" w:rsidRDefault="003215C0" w:rsidP="008A7944">
            <w:pPr>
              <w:pStyle w:val="Tableheadingrow"/>
              <w:jc w:val="center"/>
              <w:rPr>
                <w:lang w:val="en-AU"/>
              </w:rPr>
            </w:pPr>
            <w:r w:rsidRPr="00E209B2">
              <w:rPr>
                <w:lang w:val="en-AU"/>
              </w:rPr>
              <w:t>BSC</w:t>
            </w:r>
          </w:p>
        </w:tc>
        <w:tc>
          <w:tcPr>
            <w:tcW w:w="838" w:type="pct"/>
            <w:vAlign w:val="center"/>
          </w:tcPr>
          <w:p w:rsidR="003215C0" w:rsidRPr="00E209B2" w:rsidRDefault="003215C0" w:rsidP="008A7944">
            <w:pPr>
              <w:pStyle w:val="Tableheadingrow"/>
              <w:jc w:val="center"/>
              <w:rPr>
                <w:lang w:val="en-AU"/>
              </w:rPr>
            </w:pPr>
            <w:r w:rsidRPr="00E209B2">
              <w:rPr>
                <w:lang w:val="en-AU"/>
              </w:rPr>
              <w:t>Increment</w:t>
            </w:r>
          </w:p>
        </w:tc>
      </w:tr>
      <w:tr w:rsidR="003215C0" w:rsidRPr="00E209B2" w:rsidTr="008A7944">
        <w:tc>
          <w:tcPr>
            <w:tcW w:w="5000" w:type="pct"/>
            <w:gridSpan w:val="4"/>
            <w:vAlign w:val="center"/>
          </w:tcPr>
          <w:p w:rsidR="003215C0" w:rsidRPr="00E209B2" w:rsidRDefault="003215C0" w:rsidP="008A7944">
            <w:pPr>
              <w:pStyle w:val="TableText"/>
              <w:rPr>
                <w:b/>
                <w:bCs w:val="0"/>
              </w:rPr>
            </w:pPr>
            <w:r w:rsidRPr="00E209B2">
              <w:rPr>
                <w:b/>
                <w:bCs w:val="0"/>
              </w:rPr>
              <w:t>Step 1: Trial-based analysis of life-years gained over 33 months, including avelumab treatment costs only (drug and administration)</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Costs</w:t>
            </w:r>
          </w:p>
        </w:tc>
        <w:tc>
          <w:tcPr>
            <w:tcW w:w="943"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c>
          <w:tcPr>
            <w:tcW w:w="942" w:type="pct"/>
          </w:tcPr>
          <w:p w:rsidR="003215C0" w:rsidRPr="00E209B2" w:rsidRDefault="003215C0" w:rsidP="008A7944">
            <w:pPr>
              <w:pStyle w:val="TableText"/>
              <w:jc w:val="center"/>
              <w:rPr>
                <w:rFonts w:ascii="Times" w:hAnsi="Times"/>
              </w:rPr>
            </w:pPr>
            <w:r w:rsidRPr="00E209B2">
              <w:t>$0</w:t>
            </w:r>
          </w:p>
        </w:tc>
        <w:tc>
          <w:tcPr>
            <w:tcW w:w="838"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Life years</w:t>
            </w:r>
          </w:p>
        </w:tc>
        <w:tc>
          <w:tcPr>
            <w:tcW w:w="943" w:type="pct"/>
          </w:tcPr>
          <w:p w:rsidR="003215C0" w:rsidRPr="00E209B2" w:rsidRDefault="003215C0" w:rsidP="008A7944">
            <w:pPr>
              <w:pStyle w:val="TableText"/>
              <w:jc w:val="center"/>
              <w:rPr>
                <w:rFonts w:ascii="Times" w:hAnsi="Times"/>
              </w:rPr>
            </w:pPr>
            <w:r w:rsidRPr="00E209B2">
              <w:t>1.74</w:t>
            </w:r>
          </w:p>
        </w:tc>
        <w:tc>
          <w:tcPr>
            <w:tcW w:w="942" w:type="pct"/>
          </w:tcPr>
          <w:p w:rsidR="003215C0" w:rsidRPr="00E209B2" w:rsidRDefault="003215C0" w:rsidP="008A7944">
            <w:pPr>
              <w:pStyle w:val="TableText"/>
              <w:jc w:val="center"/>
              <w:rPr>
                <w:rFonts w:ascii="Times" w:hAnsi="Times"/>
              </w:rPr>
            </w:pPr>
            <w:r w:rsidRPr="00E209B2">
              <w:t>1.45</w:t>
            </w:r>
          </w:p>
        </w:tc>
        <w:tc>
          <w:tcPr>
            <w:tcW w:w="838" w:type="pct"/>
          </w:tcPr>
          <w:p w:rsidR="003215C0" w:rsidRPr="00E209B2" w:rsidRDefault="003215C0" w:rsidP="008A7944">
            <w:pPr>
              <w:pStyle w:val="TableText"/>
              <w:jc w:val="center"/>
            </w:pPr>
            <w:r w:rsidRPr="00E209B2">
              <w:t>0.29</w:t>
            </w:r>
          </w:p>
        </w:tc>
      </w:tr>
      <w:tr w:rsidR="003215C0" w:rsidRPr="00E209B2" w:rsidTr="008A7944">
        <w:tc>
          <w:tcPr>
            <w:tcW w:w="4162" w:type="pct"/>
            <w:gridSpan w:val="3"/>
            <w:vAlign w:val="center"/>
          </w:tcPr>
          <w:p w:rsidR="003215C0" w:rsidRPr="00E209B2" w:rsidRDefault="003215C0" w:rsidP="008A7944">
            <w:pPr>
              <w:pStyle w:val="TableText"/>
              <w:rPr>
                <w:rFonts w:ascii="Times" w:hAnsi="Times"/>
              </w:rPr>
            </w:pPr>
            <w:r w:rsidRPr="00E209B2">
              <w:t>Incremental cost/extra life year gained</w:t>
            </w:r>
          </w:p>
        </w:tc>
        <w:tc>
          <w:tcPr>
            <w:tcW w:w="838" w:type="pct"/>
            <w:vAlign w:val="center"/>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r w:rsidR="00CF5C76">
              <w:rPr>
                <w:vertAlign w:val="superscript"/>
              </w:rPr>
              <w:t>1</w:t>
            </w:r>
          </w:p>
        </w:tc>
      </w:tr>
      <w:tr w:rsidR="003215C0" w:rsidRPr="00E209B2" w:rsidTr="008A7944">
        <w:tc>
          <w:tcPr>
            <w:tcW w:w="5000" w:type="pct"/>
            <w:gridSpan w:val="4"/>
            <w:vAlign w:val="center"/>
          </w:tcPr>
          <w:p w:rsidR="003215C0" w:rsidRPr="00E209B2" w:rsidRDefault="003215C0" w:rsidP="008A7944">
            <w:pPr>
              <w:pStyle w:val="Tableheadingrow"/>
              <w:rPr>
                <w:lang w:val="en-AU"/>
              </w:rPr>
            </w:pPr>
            <w:r w:rsidRPr="00E209B2">
              <w:rPr>
                <w:lang w:val="en-AU"/>
              </w:rPr>
              <w:t>Step 2: Time horizon increased to 10 years</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Costs</w:t>
            </w:r>
          </w:p>
        </w:tc>
        <w:tc>
          <w:tcPr>
            <w:tcW w:w="943"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c>
          <w:tcPr>
            <w:tcW w:w="942" w:type="pct"/>
          </w:tcPr>
          <w:p w:rsidR="003215C0" w:rsidRPr="00E209B2" w:rsidRDefault="003215C0" w:rsidP="008A7944">
            <w:pPr>
              <w:pStyle w:val="TableText"/>
              <w:jc w:val="center"/>
              <w:rPr>
                <w:rFonts w:ascii="Times" w:hAnsi="Times"/>
              </w:rPr>
            </w:pPr>
            <w:r w:rsidRPr="00E209B2">
              <w:t>$0</w:t>
            </w:r>
          </w:p>
        </w:tc>
        <w:tc>
          <w:tcPr>
            <w:tcW w:w="838"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Life years</w:t>
            </w:r>
          </w:p>
        </w:tc>
        <w:tc>
          <w:tcPr>
            <w:tcW w:w="943" w:type="pct"/>
          </w:tcPr>
          <w:p w:rsidR="003215C0" w:rsidRPr="00E209B2" w:rsidRDefault="003215C0" w:rsidP="008A7944">
            <w:pPr>
              <w:pStyle w:val="TableText"/>
              <w:jc w:val="center"/>
              <w:rPr>
                <w:rFonts w:ascii="Times" w:hAnsi="Times"/>
              </w:rPr>
            </w:pPr>
            <w:r w:rsidRPr="00E209B2">
              <w:t>2.75</w:t>
            </w:r>
          </w:p>
        </w:tc>
        <w:tc>
          <w:tcPr>
            <w:tcW w:w="942" w:type="pct"/>
          </w:tcPr>
          <w:p w:rsidR="003215C0" w:rsidRPr="00E209B2" w:rsidRDefault="003215C0" w:rsidP="008A7944">
            <w:pPr>
              <w:pStyle w:val="TableText"/>
              <w:jc w:val="center"/>
              <w:rPr>
                <w:rFonts w:ascii="Times" w:hAnsi="Times"/>
              </w:rPr>
            </w:pPr>
            <w:r w:rsidRPr="00E209B2">
              <w:t>2.14</w:t>
            </w:r>
          </w:p>
        </w:tc>
        <w:tc>
          <w:tcPr>
            <w:tcW w:w="838" w:type="pct"/>
          </w:tcPr>
          <w:p w:rsidR="003215C0" w:rsidRPr="00E209B2" w:rsidRDefault="003215C0" w:rsidP="008A7944">
            <w:pPr>
              <w:pStyle w:val="TableText"/>
              <w:jc w:val="center"/>
            </w:pPr>
            <w:r w:rsidRPr="00E209B2">
              <w:t>0.61</w:t>
            </w:r>
          </w:p>
        </w:tc>
      </w:tr>
      <w:tr w:rsidR="003215C0" w:rsidRPr="00E209B2" w:rsidTr="008A7944">
        <w:tc>
          <w:tcPr>
            <w:tcW w:w="4162" w:type="pct"/>
            <w:gridSpan w:val="3"/>
            <w:vAlign w:val="center"/>
          </w:tcPr>
          <w:p w:rsidR="003215C0" w:rsidRPr="00E209B2" w:rsidRDefault="003215C0" w:rsidP="008A7944">
            <w:pPr>
              <w:pStyle w:val="TableText"/>
              <w:rPr>
                <w:rFonts w:ascii="Times" w:hAnsi="Times"/>
              </w:rPr>
            </w:pPr>
            <w:r w:rsidRPr="00E209B2">
              <w:t>Incremental cost/extra life year gained</w:t>
            </w:r>
          </w:p>
        </w:tc>
        <w:tc>
          <w:tcPr>
            <w:tcW w:w="838" w:type="pct"/>
            <w:vAlign w:val="center"/>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r w:rsidR="00CF5C76">
              <w:rPr>
                <w:vertAlign w:val="superscript"/>
              </w:rPr>
              <w:t>2</w:t>
            </w:r>
          </w:p>
        </w:tc>
      </w:tr>
      <w:tr w:rsidR="003215C0" w:rsidRPr="00E209B2" w:rsidTr="008A7944">
        <w:tc>
          <w:tcPr>
            <w:tcW w:w="5000" w:type="pct"/>
            <w:gridSpan w:val="4"/>
            <w:vAlign w:val="center"/>
          </w:tcPr>
          <w:p w:rsidR="003215C0" w:rsidRPr="00E209B2" w:rsidRDefault="003215C0" w:rsidP="008A7944">
            <w:pPr>
              <w:pStyle w:val="Tableheadingrow"/>
              <w:rPr>
                <w:lang w:val="en-AU"/>
              </w:rPr>
            </w:pPr>
            <w:r w:rsidRPr="00E209B2">
              <w:rPr>
                <w:lang w:val="en-AU"/>
              </w:rPr>
              <w:t>Step 3: Disease monitoring costs, adverse events costs, and subsequent anticancer treatment costs included</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Costs</w:t>
            </w:r>
          </w:p>
        </w:tc>
        <w:tc>
          <w:tcPr>
            <w:tcW w:w="943"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c>
          <w:tcPr>
            <w:tcW w:w="942" w:type="pct"/>
          </w:tcPr>
          <w:p w:rsidR="003215C0" w:rsidRPr="00E209B2" w:rsidRDefault="003215C0" w:rsidP="008A7944">
            <w:pPr>
              <w:pStyle w:val="TableText"/>
              <w:jc w:val="center"/>
              <w:rPr>
                <w:rFonts w:ascii="Times" w:hAnsi="Times"/>
              </w:rPr>
            </w:pPr>
            <w:r w:rsidRPr="00E209B2">
              <w:t>$80,168</w:t>
            </w:r>
          </w:p>
        </w:tc>
        <w:tc>
          <w:tcPr>
            <w:tcW w:w="838"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Life years</w:t>
            </w:r>
          </w:p>
        </w:tc>
        <w:tc>
          <w:tcPr>
            <w:tcW w:w="943" w:type="pct"/>
          </w:tcPr>
          <w:p w:rsidR="003215C0" w:rsidRPr="00E209B2" w:rsidRDefault="003215C0" w:rsidP="008A7944">
            <w:pPr>
              <w:pStyle w:val="TableText"/>
              <w:jc w:val="center"/>
              <w:rPr>
                <w:rFonts w:ascii="Times" w:hAnsi="Times"/>
              </w:rPr>
            </w:pPr>
            <w:r w:rsidRPr="00E209B2">
              <w:t>2.75</w:t>
            </w:r>
          </w:p>
        </w:tc>
        <w:tc>
          <w:tcPr>
            <w:tcW w:w="942" w:type="pct"/>
          </w:tcPr>
          <w:p w:rsidR="003215C0" w:rsidRPr="00E209B2" w:rsidRDefault="003215C0" w:rsidP="008A7944">
            <w:pPr>
              <w:pStyle w:val="TableText"/>
              <w:jc w:val="center"/>
              <w:rPr>
                <w:rFonts w:ascii="Times" w:hAnsi="Times"/>
              </w:rPr>
            </w:pPr>
            <w:r w:rsidRPr="00E209B2">
              <w:t>2.14</w:t>
            </w:r>
          </w:p>
        </w:tc>
        <w:tc>
          <w:tcPr>
            <w:tcW w:w="838" w:type="pct"/>
          </w:tcPr>
          <w:p w:rsidR="003215C0" w:rsidRPr="00E209B2" w:rsidRDefault="003215C0" w:rsidP="008A7944">
            <w:pPr>
              <w:pStyle w:val="TableText"/>
              <w:jc w:val="center"/>
            </w:pPr>
            <w:r w:rsidRPr="00E209B2">
              <w:t>0.61</w:t>
            </w:r>
          </w:p>
        </w:tc>
      </w:tr>
      <w:tr w:rsidR="003215C0" w:rsidRPr="00E209B2" w:rsidTr="008A7944">
        <w:tc>
          <w:tcPr>
            <w:tcW w:w="4162" w:type="pct"/>
            <w:gridSpan w:val="3"/>
            <w:vAlign w:val="center"/>
          </w:tcPr>
          <w:p w:rsidR="003215C0" w:rsidRPr="00E209B2" w:rsidRDefault="003215C0" w:rsidP="008A7944">
            <w:pPr>
              <w:pStyle w:val="TableText"/>
              <w:rPr>
                <w:rFonts w:ascii="Times" w:hAnsi="Times"/>
              </w:rPr>
            </w:pPr>
            <w:r w:rsidRPr="00E209B2">
              <w:t>Incremental cost/extra LYG gained</w:t>
            </w:r>
          </w:p>
        </w:tc>
        <w:tc>
          <w:tcPr>
            <w:tcW w:w="838" w:type="pct"/>
            <w:vAlign w:val="center"/>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r w:rsidR="00CF5C76">
              <w:rPr>
                <w:vertAlign w:val="superscript"/>
              </w:rPr>
              <w:t>3</w:t>
            </w:r>
          </w:p>
        </w:tc>
      </w:tr>
      <w:tr w:rsidR="003215C0" w:rsidRPr="00E209B2" w:rsidTr="008A7944">
        <w:tc>
          <w:tcPr>
            <w:tcW w:w="5000" w:type="pct"/>
            <w:gridSpan w:val="4"/>
            <w:vAlign w:val="center"/>
          </w:tcPr>
          <w:p w:rsidR="003215C0" w:rsidRPr="00E209B2" w:rsidRDefault="003215C0" w:rsidP="008A7944">
            <w:pPr>
              <w:pStyle w:val="Tableheadingrow"/>
              <w:rPr>
                <w:lang w:val="en-AU"/>
              </w:rPr>
            </w:pPr>
            <w:r w:rsidRPr="00E209B2">
              <w:rPr>
                <w:lang w:val="en-AU"/>
              </w:rPr>
              <w:t>Step 4: Health state utility weights applied</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Costs</w:t>
            </w:r>
          </w:p>
        </w:tc>
        <w:tc>
          <w:tcPr>
            <w:tcW w:w="943"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c>
          <w:tcPr>
            <w:tcW w:w="942" w:type="pct"/>
          </w:tcPr>
          <w:p w:rsidR="003215C0" w:rsidRPr="00E209B2" w:rsidRDefault="003215C0" w:rsidP="008A7944">
            <w:pPr>
              <w:pStyle w:val="TableText"/>
              <w:jc w:val="center"/>
              <w:rPr>
                <w:rFonts w:ascii="Times" w:hAnsi="Times"/>
              </w:rPr>
            </w:pPr>
            <w:r w:rsidRPr="00E209B2">
              <w:t>$80,168</w:t>
            </w:r>
          </w:p>
        </w:tc>
        <w:tc>
          <w:tcPr>
            <w:tcW w:w="838"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QALYs</w:t>
            </w:r>
          </w:p>
        </w:tc>
        <w:tc>
          <w:tcPr>
            <w:tcW w:w="943" w:type="pct"/>
          </w:tcPr>
          <w:p w:rsidR="003215C0" w:rsidRPr="00E209B2" w:rsidRDefault="003215C0" w:rsidP="008A7944">
            <w:pPr>
              <w:pStyle w:val="TableText"/>
              <w:jc w:val="center"/>
              <w:rPr>
                <w:rFonts w:ascii="Times" w:hAnsi="Times"/>
              </w:rPr>
            </w:pPr>
            <w:r w:rsidRPr="00E209B2">
              <w:t>2.02</w:t>
            </w:r>
          </w:p>
        </w:tc>
        <w:tc>
          <w:tcPr>
            <w:tcW w:w="942" w:type="pct"/>
          </w:tcPr>
          <w:p w:rsidR="003215C0" w:rsidRPr="00E209B2" w:rsidRDefault="003215C0" w:rsidP="008A7944">
            <w:pPr>
              <w:pStyle w:val="TableText"/>
              <w:jc w:val="center"/>
              <w:rPr>
                <w:rFonts w:ascii="Times" w:hAnsi="Times"/>
              </w:rPr>
            </w:pPr>
            <w:r w:rsidRPr="00E209B2">
              <w:t>1.55</w:t>
            </w:r>
          </w:p>
        </w:tc>
        <w:tc>
          <w:tcPr>
            <w:tcW w:w="838" w:type="pct"/>
          </w:tcPr>
          <w:p w:rsidR="003215C0" w:rsidRPr="00E209B2" w:rsidRDefault="003215C0" w:rsidP="008A7944">
            <w:pPr>
              <w:pStyle w:val="TableText"/>
              <w:jc w:val="center"/>
            </w:pPr>
            <w:r w:rsidRPr="00E209B2">
              <w:t>0.47</w:t>
            </w:r>
          </w:p>
        </w:tc>
      </w:tr>
      <w:tr w:rsidR="003215C0" w:rsidRPr="00E209B2" w:rsidTr="008A7944">
        <w:tc>
          <w:tcPr>
            <w:tcW w:w="4162" w:type="pct"/>
            <w:gridSpan w:val="3"/>
            <w:vAlign w:val="center"/>
          </w:tcPr>
          <w:p w:rsidR="003215C0" w:rsidRPr="00E209B2" w:rsidRDefault="003215C0" w:rsidP="008A7944">
            <w:pPr>
              <w:pStyle w:val="TableText"/>
              <w:rPr>
                <w:rFonts w:ascii="Times" w:hAnsi="Times"/>
              </w:rPr>
            </w:pPr>
            <w:r w:rsidRPr="00E209B2">
              <w:t>Incremental cost/extra QALY gained</w:t>
            </w:r>
          </w:p>
        </w:tc>
        <w:tc>
          <w:tcPr>
            <w:tcW w:w="838" w:type="pct"/>
            <w:vAlign w:val="center"/>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r w:rsidR="00CF5C76">
              <w:rPr>
                <w:vertAlign w:val="superscript"/>
              </w:rPr>
              <w:t>4</w:t>
            </w:r>
          </w:p>
        </w:tc>
      </w:tr>
      <w:tr w:rsidR="003215C0" w:rsidRPr="00E209B2" w:rsidTr="008A7944">
        <w:tc>
          <w:tcPr>
            <w:tcW w:w="5000" w:type="pct"/>
            <w:gridSpan w:val="4"/>
            <w:vAlign w:val="center"/>
          </w:tcPr>
          <w:p w:rsidR="003215C0" w:rsidRPr="00E209B2" w:rsidRDefault="003215C0" w:rsidP="008A7944">
            <w:pPr>
              <w:pStyle w:val="Tableheadingrow"/>
              <w:rPr>
                <w:lang w:val="en-AU"/>
              </w:rPr>
            </w:pPr>
            <w:r w:rsidRPr="00E209B2">
              <w:rPr>
                <w:lang w:val="en-AU"/>
              </w:rPr>
              <w:t>Step 5: Financial stopping rule included</w:t>
            </w:r>
          </w:p>
        </w:tc>
      </w:tr>
      <w:tr w:rsidR="003215C0" w:rsidRPr="00E209B2" w:rsidTr="00CC08FA">
        <w:tc>
          <w:tcPr>
            <w:tcW w:w="2277" w:type="pct"/>
            <w:vAlign w:val="center"/>
          </w:tcPr>
          <w:p w:rsidR="003215C0" w:rsidRPr="00E209B2" w:rsidRDefault="003215C0" w:rsidP="008A7944">
            <w:pPr>
              <w:pStyle w:val="TableText"/>
              <w:rPr>
                <w:rFonts w:ascii="Times" w:hAnsi="Times"/>
              </w:rPr>
            </w:pPr>
            <w:r w:rsidRPr="00E209B2">
              <w:t>Costs</w:t>
            </w:r>
          </w:p>
        </w:tc>
        <w:tc>
          <w:tcPr>
            <w:tcW w:w="943"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c>
          <w:tcPr>
            <w:tcW w:w="942" w:type="pct"/>
          </w:tcPr>
          <w:p w:rsidR="003215C0" w:rsidRPr="00E209B2" w:rsidRDefault="003215C0" w:rsidP="008A7944">
            <w:pPr>
              <w:pStyle w:val="TableText"/>
              <w:jc w:val="center"/>
              <w:rPr>
                <w:rFonts w:ascii="Times" w:hAnsi="Times"/>
              </w:rPr>
            </w:pPr>
            <w:r w:rsidRPr="00E209B2">
              <w:t>$80,168</w:t>
            </w:r>
          </w:p>
        </w:tc>
        <w:tc>
          <w:tcPr>
            <w:tcW w:w="838" w:type="pct"/>
          </w:tcPr>
          <w:p w:rsidR="003215C0" w:rsidRPr="00E209B2" w:rsidRDefault="003215C0" w:rsidP="008A7944">
            <w:pPr>
              <w:pStyle w:val="TableText"/>
              <w:jc w:val="center"/>
              <w:rPr>
                <w:rFonts w:ascii="Times" w:hAnsi="Times"/>
              </w:rPr>
            </w:pPr>
            <w:r w:rsidRPr="00E209B2">
              <w:t>$</w:t>
            </w:r>
            <w:r w:rsidR="001529E4">
              <w:rPr>
                <w:noProof/>
                <w:color w:val="000000"/>
                <w:highlight w:val="black"/>
              </w:rPr>
              <w:t>'''''''''''''''</w:t>
            </w:r>
          </w:p>
        </w:tc>
      </w:tr>
      <w:tr w:rsidR="003215C0" w:rsidRPr="00E209B2" w:rsidTr="00CC08FA">
        <w:tc>
          <w:tcPr>
            <w:tcW w:w="2277" w:type="pct"/>
            <w:tcBorders>
              <w:bottom w:val="single" w:sz="4" w:space="0" w:color="auto"/>
            </w:tcBorders>
            <w:vAlign w:val="center"/>
          </w:tcPr>
          <w:p w:rsidR="003215C0" w:rsidRPr="00E209B2" w:rsidRDefault="003215C0" w:rsidP="008A7944">
            <w:pPr>
              <w:pStyle w:val="TableText"/>
              <w:rPr>
                <w:rFonts w:ascii="Times" w:hAnsi="Times"/>
              </w:rPr>
            </w:pPr>
            <w:r w:rsidRPr="00E209B2">
              <w:t>QALYs</w:t>
            </w:r>
          </w:p>
        </w:tc>
        <w:tc>
          <w:tcPr>
            <w:tcW w:w="943" w:type="pct"/>
            <w:tcBorders>
              <w:bottom w:val="single" w:sz="4" w:space="0" w:color="auto"/>
            </w:tcBorders>
          </w:tcPr>
          <w:p w:rsidR="003215C0" w:rsidRPr="00E209B2" w:rsidRDefault="003215C0" w:rsidP="008A7944">
            <w:pPr>
              <w:pStyle w:val="TableText"/>
              <w:jc w:val="center"/>
              <w:rPr>
                <w:rFonts w:ascii="Times" w:hAnsi="Times"/>
              </w:rPr>
            </w:pPr>
            <w:r w:rsidRPr="00E209B2">
              <w:t>2.02</w:t>
            </w:r>
          </w:p>
        </w:tc>
        <w:tc>
          <w:tcPr>
            <w:tcW w:w="942" w:type="pct"/>
            <w:tcBorders>
              <w:bottom w:val="single" w:sz="4" w:space="0" w:color="auto"/>
            </w:tcBorders>
          </w:tcPr>
          <w:p w:rsidR="003215C0" w:rsidRPr="00E209B2" w:rsidRDefault="003215C0" w:rsidP="008A7944">
            <w:pPr>
              <w:pStyle w:val="TableText"/>
              <w:jc w:val="center"/>
              <w:rPr>
                <w:rFonts w:ascii="Times" w:hAnsi="Times"/>
              </w:rPr>
            </w:pPr>
            <w:r w:rsidRPr="00E209B2">
              <w:t>1.55</w:t>
            </w:r>
          </w:p>
        </w:tc>
        <w:tc>
          <w:tcPr>
            <w:tcW w:w="838" w:type="pct"/>
            <w:tcBorders>
              <w:bottom w:val="single" w:sz="4" w:space="0" w:color="auto"/>
            </w:tcBorders>
          </w:tcPr>
          <w:p w:rsidR="003215C0" w:rsidRPr="00E209B2" w:rsidRDefault="003215C0" w:rsidP="008A7944">
            <w:pPr>
              <w:pStyle w:val="TableText"/>
              <w:jc w:val="center"/>
            </w:pPr>
            <w:r w:rsidRPr="00E209B2">
              <w:t>0.47</w:t>
            </w:r>
          </w:p>
        </w:tc>
      </w:tr>
      <w:tr w:rsidR="003215C0" w:rsidRPr="00E209B2" w:rsidTr="00022544">
        <w:tc>
          <w:tcPr>
            <w:tcW w:w="4162" w:type="pct"/>
            <w:gridSpan w:val="3"/>
            <w:tcBorders>
              <w:bottom w:val="single" w:sz="4" w:space="0" w:color="auto"/>
            </w:tcBorders>
            <w:vAlign w:val="center"/>
          </w:tcPr>
          <w:p w:rsidR="003215C0" w:rsidRPr="00E209B2" w:rsidRDefault="003215C0" w:rsidP="008A7944">
            <w:pPr>
              <w:pStyle w:val="TableText"/>
              <w:rPr>
                <w:rFonts w:ascii="Times" w:hAnsi="Times"/>
                <w:b/>
              </w:rPr>
            </w:pPr>
            <w:r w:rsidRPr="00E209B2">
              <w:rPr>
                <w:b/>
              </w:rPr>
              <w:t>Incremental cost/extra QALY gained (base case)</w:t>
            </w:r>
          </w:p>
        </w:tc>
        <w:tc>
          <w:tcPr>
            <w:tcW w:w="838" w:type="pct"/>
            <w:tcBorders>
              <w:bottom w:val="single" w:sz="4" w:space="0" w:color="auto"/>
            </w:tcBorders>
            <w:vAlign w:val="center"/>
          </w:tcPr>
          <w:p w:rsidR="003215C0" w:rsidRPr="00E209B2" w:rsidRDefault="003215C0" w:rsidP="008A7944">
            <w:pPr>
              <w:pStyle w:val="TableText"/>
              <w:jc w:val="center"/>
              <w:rPr>
                <w:rFonts w:ascii="Times" w:hAnsi="Times"/>
                <w:b/>
              </w:rPr>
            </w:pPr>
            <w:r w:rsidRPr="00E209B2">
              <w:rPr>
                <w:b/>
              </w:rPr>
              <w:t>$</w:t>
            </w:r>
            <w:r w:rsidR="001529E4">
              <w:rPr>
                <w:b/>
                <w:noProof/>
                <w:color w:val="000000"/>
                <w:highlight w:val="black"/>
              </w:rPr>
              <w:t>''''''''''''''</w:t>
            </w:r>
            <w:r w:rsidR="003822E0" w:rsidRPr="003822E0">
              <w:rPr>
                <w:vertAlign w:val="superscript"/>
              </w:rPr>
              <w:t>5</w:t>
            </w:r>
          </w:p>
        </w:tc>
      </w:tr>
    </w:tbl>
    <w:p w:rsidR="003215C0" w:rsidRPr="00E209B2" w:rsidRDefault="003215C0" w:rsidP="003215C0">
      <w:pPr>
        <w:pStyle w:val="TableFigureFooter"/>
      </w:pPr>
      <w:r w:rsidRPr="00E209B2">
        <w:t>Source: Table 3.8-1, p160 of the submission.</w:t>
      </w:r>
    </w:p>
    <w:p w:rsidR="003215C0" w:rsidRDefault="003215C0" w:rsidP="003215C0">
      <w:pPr>
        <w:pStyle w:val="TableFigureFooter"/>
      </w:pPr>
      <w:r w:rsidRPr="00E209B2">
        <w:t>Abbreviations: AVE, avelumab; BSC, best supportive care; LYG, life years gained; QALY, quality adjusted life year.</w:t>
      </w:r>
    </w:p>
    <w:p w:rsidR="00CF5C76" w:rsidRPr="00CF5C76" w:rsidRDefault="00CF5C76" w:rsidP="003215C0">
      <w:pPr>
        <w:pStyle w:val="TableFigureFooter"/>
        <w:rPr>
          <w:i/>
        </w:rPr>
      </w:pPr>
      <w:r w:rsidRPr="00CF5C76">
        <w:rPr>
          <w:i/>
        </w:rPr>
        <w:t>The redacted values correspond to the following ranges:</w:t>
      </w:r>
    </w:p>
    <w:p w:rsidR="00CF5C76" w:rsidRPr="00CF5C76" w:rsidRDefault="004F126C" w:rsidP="003215C0">
      <w:pPr>
        <w:pStyle w:val="TableFigureFooter"/>
        <w:rPr>
          <w:i/>
        </w:rPr>
      </w:pPr>
      <w:r>
        <w:rPr>
          <w:i/>
          <w:vertAlign w:val="superscript"/>
        </w:rPr>
        <w:t>1</w:t>
      </w:r>
      <w:r w:rsidR="00CF5C76" w:rsidRPr="00CF5C76">
        <w:rPr>
          <w:i/>
          <w:vertAlign w:val="superscript"/>
        </w:rPr>
        <w:t xml:space="preserve"> </w:t>
      </w:r>
      <w:r w:rsidR="00CF5C76" w:rsidRPr="00CF5C76">
        <w:rPr>
          <w:i/>
        </w:rPr>
        <w:t>$155,000 to &lt; $255,000/QALY gained</w:t>
      </w:r>
    </w:p>
    <w:p w:rsidR="00CF5C76" w:rsidRPr="00CF5C76" w:rsidRDefault="004F126C" w:rsidP="003215C0">
      <w:pPr>
        <w:pStyle w:val="TableFigureFooter"/>
        <w:rPr>
          <w:i/>
        </w:rPr>
      </w:pPr>
      <w:r>
        <w:rPr>
          <w:i/>
          <w:vertAlign w:val="superscript"/>
        </w:rPr>
        <w:t>2</w:t>
      </w:r>
      <w:r w:rsidR="00CF5C76" w:rsidRPr="00CF5C76">
        <w:rPr>
          <w:i/>
          <w:vertAlign w:val="superscript"/>
        </w:rPr>
        <w:t xml:space="preserve"> </w:t>
      </w:r>
      <w:r w:rsidR="00CF5C76" w:rsidRPr="00CF5C76">
        <w:rPr>
          <w:i/>
        </w:rPr>
        <w:t>$135,000 to &lt; $155,000/QALY gained</w:t>
      </w:r>
    </w:p>
    <w:p w:rsidR="00CF5C76" w:rsidRPr="00CF5C76" w:rsidRDefault="00CF5C76" w:rsidP="003215C0">
      <w:pPr>
        <w:pStyle w:val="TableFigureFooter"/>
        <w:rPr>
          <w:i/>
        </w:rPr>
      </w:pPr>
      <w:r w:rsidRPr="00CF5C76">
        <w:rPr>
          <w:i/>
          <w:vertAlign w:val="superscript"/>
        </w:rPr>
        <w:t>3</w:t>
      </w:r>
      <w:r w:rsidRPr="00CF5C76">
        <w:rPr>
          <w:i/>
        </w:rPr>
        <w:t>$</w:t>
      </w:r>
      <w:r w:rsidR="00A8781C">
        <w:rPr>
          <w:i/>
        </w:rPr>
        <w:t>7</w:t>
      </w:r>
      <w:r w:rsidRPr="00CF5C76">
        <w:rPr>
          <w:i/>
        </w:rPr>
        <w:t>5,000 to &lt; $</w:t>
      </w:r>
      <w:r w:rsidR="00A8781C">
        <w:rPr>
          <w:i/>
        </w:rPr>
        <w:t>9</w:t>
      </w:r>
      <w:r w:rsidRPr="00CF5C76">
        <w:rPr>
          <w:i/>
        </w:rPr>
        <w:t>5,000/QALY gained</w:t>
      </w:r>
    </w:p>
    <w:p w:rsidR="00CF5C76" w:rsidRPr="00CF5C76" w:rsidRDefault="004F126C" w:rsidP="003215C0">
      <w:pPr>
        <w:pStyle w:val="TableFigureFooter"/>
        <w:rPr>
          <w:i/>
        </w:rPr>
      </w:pPr>
      <w:r>
        <w:rPr>
          <w:i/>
          <w:vertAlign w:val="superscript"/>
        </w:rPr>
        <w:t>4</w:t>
      </w:r>
      <w:r w:rsidR="00CF5C76" w:rsidRPr="00CF5C76">
        <w:rPr>
          <w:i/>
          <w:vertAlign w:val="superscript"/>
        </w:rPr>
        <w:t xml:space="preserve"> </w:t>
      </w:r>
      <w:r w:rsidR="00CF5C76" w:rsidRPr="00CF5C76">
        <w:rPr>
          <w:i/>
        </w:rPr>
        <w:t>$95,000 to &lt; $115,000/QALY gained</w:t>
      </w:r>
    </w:p>
    <w:p w:rsidR="00CF5C76" w:rsidRPr="00CF5C76" w:rsidRDefault="00CF5C76" w:rsidP="003215C0">
      <w:pPr>
        <w:pStyle w:val="TableFigureFooter"/>
        <w:rPr>
          <w:i/>
        </w:rPr>
      </w:pPr>
      <w:r w:rsidRPr="00CF5C76">
        <w:rPr>
          <w:i/>
          <w:vertAlign w:val="superscript"/>
        </w:rPr>
        <w:t>5</w:t>
      </w:r>
      <w:r w:rsidRPr="00CF5C76">
        <w:rPr>
          <w:i/>
        </w:rPr>
        <w:t>$55,000 to &lt; $75,000/QALY gained</w:t>
      </w:r>
    </w:p>
    <w:p w:rsidR="003215C0" w:rsidRPr="00E209B2" w:rsidRDefault="00666418" w:rsidP="003215C0">
      <w:pPr>
        <w:pStyle w:val="ExecSumBodyText"/>
        <w:rPr>
          <w:iCs/>
        </w:rPr>
      </w:pPr>
      <w:r w:rsidRPr="00E209B2">
        <w:rPr>
          <w:iCs/>
        </w:rPr>
        <w:t>The difference in incremental cost between treatment arms was driven by the cost of avelumab, which was partially offset by costs associated with pembrolizumab</w:t>
      </w:r>
      <w:r w:rsidR="006662A0" w:rsidRPr="00E209B2">
        <w:rPr>
          <w:iCs/>
        </w:rPr>
        <w:t xml:space="preserve"> </w:t>
      </w:r>
      <w:r w:rsidRPr="00E209B2">
        <w:rPr>
          <w:iCs/>
        </w:rPr>
        <w:t xml:space="preserve">as a subsequent anticancer treatment. The difference in health outcomes was primarily driven by the additional time spent in the progression-free health state, associated </w:t>
      </w:r>
      <w:r w:rsidRPr="00E209B2">
        <w:rPr>
          <w:iCs/>
        </w:rPr>
        <w:lastRenderedPageBreak/>
        <w:t>with better quality of life, for patients treated with avelumab + BSC, compared to BSC.</w:t>
      </w:r>
      <w:r w:rsidR="006662A0" w:rsidRPr="00E209B2">
        <w:rPr>
          <w:iCs/>
        </w:rPr>
        <w:t xml:space="preserve"> The PBAC noted the </w:t>
      </w:r>
      <w:r w:rsidR="00E90207" w:rsidRPr="00E209B2">
        <w:rPr>
          <w:iCs/>
        </w:rPr>
        <w:t xml:space="preserve">BSC costs </w:t>
      </w:r>
      <w:r w:rsidR="006662A0" w:rsidRPr="00E209B2">
        <w:rPr>
          <w:iCs/>
        </w:rPr>
        <w:t xml:space="preserve">differed </w:t>
      </w:r>
      <w:r w:rsidR="00E90207" w:rsidRPr="00E209B2">
        <w:rPr>
          <w:iCs/>
        </w:rPr>
        <w:t xml:space="preserve">to those presented in Table 14 </w:t>
      </w:r>
      <w:r w:rsidR="006662A0" w:rsidRPr="00E209B2">
        <w:rPr>
          <w:iCs/>
        </w:rPr>
        <w:t xml:space="preserve">when the effective price </w:t>
      </w:r>
      <w:r w:rsidR="00E90207" w:rsidRPr="00E209B2">
        <w:rPr>
          <w:iCs/>
        </w:rPr>
        <w:t xml:space="preserve">of pembrolizumab </w:t>
      </w:r>
      <w:r w:rsidR="006662A0" w:rsidRPr="00E209B2">
        <w:rPr>
          <w:iCs/>
        </w:rPr>
        <w:t xml:space="preserve">was applied. </w:t>
      </w:r>
    </w:p>
    <w:p w:rsidR="00BC13BC" w:rsidRPr="00E209B2" w:rsidRDefault="00BC13BC" w:rsidP="00BB732D">
      <w:pPr>
        <w:pStyle w:val="ExecSumBodyText"/>
      </w:pPr>
      <w:r w:rsidRPr="00E209B2">
        <w:t>Based on the economic model presented in the submission, treatment with avelumab + BSC was associated with a cost per QALY gained of $</w:t>
      </w:r>
      <w:r w:rsidR="00CF190C">
        <w:t>55,000 to &lt; $75,000</w:t>
      </w:r>
      <w:r w:rsidRPr="00E209B2">
        <w:t xml:space="preserve"> compared to BSC alone.</w:t>
      </w:r>
      <w:r w:rsidR="00E90207" w:rsidRPr="00E209B2">
        <w:t xml:space="preserve"> </w:t>
      </w:r>
    </w:p>
    <w:p w:rsidR="000C238D" w:rsidRPr="00E209B2" w:rsidRDefault="000C238D" w:rsidP="000C238D">
      <w:pPr>
        <w:pStyle w:val="ExecSumBodyText"/>
        <w:rPr>
          <w:iCs/>
        </w:rPr>
      </w:pPr>
      <w:r w:rsidRPr="00E209B2">
        <w:t>The results of key univariate sensitivity analyses are summarised below.</w:t>
      </w:r>
    </w:p>
    <w:p w:rsidR="00CD3099" w:rsidRPr="00E209B2" w:rsidRDefault="00CD3099">
      <w:pPr>
        <w:jc w:val="left"/>
        <w:rPr>
          <w:rFonts w:ascii="Arial Narrow" w:eastAsiaTheme="majorEastAsia" w:hAnsi="Arial Narrow" w:cstheme="majorBidi"/>
          <w:b/>
          <w:bCs/>
          <w:sz w:val="20"/>
        </w:rPr>
      </w:pPr>
      <w:r w:rsidRPr="00E209B2">
        <w:br w:type="page"/>
      </w:r>
    </w:p>
    <w:p w:rsidR="00166958" w:rsidRPr="00E209B2" w:rsidRDefault="00BC13BC" w:rsidP="00166958">
      <w:pPr>
        <w:pStyle w:val="TableFigureCaption"/>
      </w:pPr>
      <w:r w:rsidRPr="00E209B2">
        <w:lastRenderedPageBreak/>
        <w:t xml:space="preserve">Table </w:t>
      </w:r>
      <w:r w:rsidR="008934FC" w:rsidRPr="00E209B2">
        <w:t>1</w:t>
      </w:r>
      <w:r w:rsidR="005F2F14" w:rsidRPr="00E209B2">
        <w:t>5</w:t>
      </w:r>
      <w:r w:rsidRPr="00E209B2">
        <w:t xml:space="preserve">: </w:t>
      </w:r>
      <w:r w:rsidR="00166958" w:rsidRPr="00E209B2">
        <w:t>Results of sensitivity analyses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559"/>
        <w:gridCol w:w="1701"/>
        <w:gridCol w:w="1257"/>
      </w:tblGrid>
      <w:tr w:rsidR="00166958" w:rsidRPr="00E209B2" w:rsidTr="000F1EAD">
        <w:trPr>
          <w:tblHeader/>
        </w:trPr>
        <w:tc>
          <w:tcPr>
            <w:tcW w:w="4786" w:type="dxa"/>
          </w:tcPr>
          <w:p w:rsidR="00166958" w:rsidRPr="00E209B2" w:rsidRDefault="00166958" w:rsidP="00166958">
            <w:pPr>
              <w:pStyle w:val="Tableheadingrow"/>
              <w:keepNext w:val="0"/>
              <w:rPr>
                <w:lang w:val="en-AU"/>
              </w:rPr>
            </w:pPr>
            <w:r w:rsidRPr="00E209B2">
              <w:rPr>
                <w:lang w:val="en-AU"/>
              </w:rPr>
              <w:t>Analyses</w:t>
            </w:r>
          </w:p>
        </w:tc>
        <w:tc>
          <w:tcPr>
            <w:tcW w:w="1559" w:type="dxa"/>
          </w:tcPr>
          <w:p w:rsidR="00166958" w:rsidRPr="00E209B2" w:rsidRDefault="00166958" w:rsidP="00166958">
            <w:pPr>
              <w:pStyle w:val="Tableheadingrow"/>
              <w:keepNext w:val="0"/>
              <w:jc w:val="center"/>
              <w:rPr>
                <w:lang w:val="en-AU"/>
              </w:rPr>
            </w:pPr>
            <w:r w:rsidRPr="00E209B2">
              <w:rPr>
                <w:lang w:val="en-AU"/>
              </w:rPr>
              <w:t>Incremental cost</w:t>
            </w:r>
          </w:p>
        </w:tc>
        <w:tc>
          <w:tcPr>
            <w:tcW w:w="1701" w:type="dxa"/>
          </w:tcPr>
          <w:p w:rsidR="00166958" w:rsidRPr="00E209B2" w:rsidRDefault="00166958" w:rsidP="00166958">
            <w:pPr>
              <w:pStyle w:val="Tableheadingrow"/>
              <w:keepNext w:val="0"/>
              <w:jc w:val="center"/>
              <w:rPr>
                <w:lang w:val="en-AU"/>
              </w:rPr>
            </w:pPr>
            <w:r w:rsidRPr="00E209B2">
              <w:rPr>
                <w:lang w:val="en-AU"/>
              </w:rPr>
              <w:t>Incremental QALY</w:t>
            </w:r>
          </w:p>
        </w:tc>
        <w:tc>
          <w:tcPr>
            <w:tcW w:w="1257" w:type="dxa"/>
          </w:tcPr>
          <w:p w:rsidR="00166958" w:rsidRPr="00E209B2" w:rsidRDefault="00166958" w:rsidP="00166958">
            <w:pPr>
              <w:pStyle w:val="Tableheadingrow"/>
              <w:keepNext w:val="0"/>
              <w:jc w:val="center"/>
              <w:rPr>
                <w:lang w:val="en-AU"/>
              </w:rPr>
            </w:pPr>
            <w:r w:rsidRPr="00E209B2">
              <w:rPr>
                <w:lang w:val="en-AU"/>
              </w:rPr>
              <w:t>ICER</w:t>
            </w:r>
          </w:p>
        </w:tc>
      </w:tr>
      <w:tr w:rsidR="00166958" w:rsidRPr="00E209B2" w:rsidTr="000F1EAD">
        <w:tc>
          <w:tcPr>
            <w:tcW w:w="4786" w:type="dxa"/>
          </w:tcPr>
          <w:p w:rsidR="00166958" w:rsidRPr="00E209B2" w:rsidRDefault="00166958" w:rsidP="00166958">
            <w:pPr>
              <w:pStyle w:val="TableText"/>
              <w:keepNext w:val="0"/>
              <w:rPr>
                <w:b/>
              </w:rPr>
            </w:pPr>
            <w:r w:rsidRPr="00E209B2">
              <w:rPr>
                <w:b/>
              </w:rPr>
              <w:t>Base case</w:t>
            </w:r>
          </w:p>
        </w:tc>
        <w:tc>
          <w:tcPr>
            <w:tcW w:w="1559" w:type="dxa"/>
          </w:tcPr>
          <w:p w:rsidR="00166958" w:rsidRPr="00E209B2" w:rsidRDefault="00166958" w:rsidP="00166958">
            <w:pPr>
              <w:pStyle w:val="TableText"/>
              <w:keepNext w:val="0"/>
              <w:jc w:val="center"/>
              <w:rPr>
                <w:b/>
              </w:rPr>
            </w:pPr>
            <w:r w:rsidRPr="00E209B2">
              <w:rPr>
                <w:b/>
              </w:rPr>
              <w:t>$</w:t>
            </w:r>
            <w:r w:rsidR="001529E4">
              <w:rPr>
                <w:b/>
                <w:noProof/>
                <w:color w:val="000000"/>
                <w:highlight w:val="black"/>
              </w:rPr>
              <w:t>'''''''''''''</w:t>
            </w:r>
          </w:p>
        </w:tc>
        <w:tc>
          <w:tcPr>
            <w:tcW w:w="1701" w:type="dxa"/>
          </w:tcPr>
          <w:p w:rsidR="00166958" w:rsidRPr="00E209B2" w:rsidRDefault="00166958" w:rsidP="00166958">
            <w:pPr>
              <w:pStyle w:val="TableText"/>
              <w:keepNext w:val="0"/>
              <w:jc w:val="center"/>
              <w:rPr>
                <w:b/>
              </w:rPr>
            </w:pPr>
            <w:r w:rsidRPr="00E209B2">
              <w:rPr>
                <w:b/>
              </w:rPr>
              <w:t>0.47</w:t>
            </w:r>
          </w:p>
        </w:tc>
        <w:tc>
          <w:tcPr>
            <w:tcW w:w="1257" w:type="dxa"/>
          </w:tcPr>
          <w:p w:rsidR="00166958" w:rsidRPr="00E209B2" w:rsidRDefault="00166958" w:rsidP="00166958">
            <w:pPr>
              <w:pStyle w:val="TableText"/>
              <w:keepNext w:val="0"/>
              <w:jc w:val="center"/>
              <w:rPr>
                <w:b/>
              </w:rPr>
            </w:pPr>
            <w:r w:rsidRPr="00E209B2">
              <w:rPr>
                <w:b/>
              </w:rPr>
              <w:t>$</w:t>
            </w:r>
            <w:r w:rsidR="001529E4">
              <w:rPr>
                <w:b/>
                <w:noProof/>
                <w:color w:val="000000"/>
                <w:highlight w:val="black"/>
              </w:rPr>
              <w:t>''''''''''''''</w:t>
            </w:r>
            <w:r w:rsidR="0097486B">
              <w:rPr>
                <w:vertAlign w:val="superscript"/>
              </w:rPr>
              <w:t>1</w:t>
            </w:r>
          </w:p>
        </w:tc>
      </w:tr>
      <w:tr w:rsidR="00166958" w:rsidRPr="00E209B2" w:rsidTr="000F1EAD">
        <w:tc>
          <w:tcPr>
            <w:tcW w:w="4786" w:type="dxa"/>
          </w:tcPr>
          <w:p w:rsidR="00166958" w:rsidRPr="00E209B2" w:rsidRDefault="00166958" w:rsidP="00166958">
            <w:pPr>
              <w:pStyle w:val="TableText"/>
              <w:keepNext w:val="0"/>
            </w:pPr>
            <w:r w:rsidRPr="00E209B2">
              <w:t>Time horizon (base case: 10 years)</w:t>
            </w:r>
          </w:p>
          <w:p w:rsidR="00166958" w:rsidRPr="00E209B2" w:rsidRDefault="00166958" w:rsidP="00DF79E3">
            <w:pPr>
              <w:pStyle w:val="TableText"/>
              <w:keepNext w:val="0"/>
              <w:numPr>
                <w:ilvl w:val="0"/>
                <w:numId w:val="9"/>
              </w:numPr>
              <w:ind w:left="192" w:hanging="113"/>
              <w:rPr>
                <w:iCs/>
              </w:rPr>
            </w:pPr>
            <w:r w:rsidRPr="00E209B2">
              <w:rPr>
                <w:iCs/>
              </w:rPr>
              <w:t>5 years</w:t>
            </w:r>
            <w:r w:rsidR="00A97778" w:rsidRPr="00E209B2">
              <w:rPr>
                <w:iCs/>
              </w:rPr>
              <w:t>*</w:t>
            </w:r>
          </w:p>
          <w:p w:rsidR="00166958" w:rsidRPr="00E209B2" w:rsidRDefault="00166958" w:rsidP="00DF79E3">
            <w:pPr>
              <w:pStyle w:val="TableText"/>
              <w:keepNext w:val="0"/>
              <w:numPr>
                <w:ilvl w:val="0"/>
                <w:numId w:val="9"/>
              </w:numPr>
              <w:ind w:left="192" w:hanging="113"/>
            </w:pPr>
            <w:r w:rsidRPr="00E209B2">
              <w:t>7.5 years</w:t>
            </w:r>
          </w:p>
        </w:tc>
        <w:tc>
          <w:tcPr>
            <w:tcW w:w="1559" w:type="dxa"/>
          </w:tcPr>
          <w:p w:rsidR="00166958" w:rsidRPr="00E209B2" w:rsidRDefault="00166958" w:rsidP="00166958">
            <w:pPr>
              <w:pStyle w:val="TableText"/>
              <w:keepNext w:val="0"/>
              <w:jc w:val="center"/>
            </w:pPr>
          </w:p>
          <w:p w:rsidR="00166958" w:rsidRPr="001529E4"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920332">
            <w:pPr>
              <w:pStyle w:val="TableText"/>
              <w:keepNext w:val="0"/>
              <w:jc w:val="center"/>
            </w:pPr>
            <w:r w:rsidRPr="00E209B2">
              <w:t>$</w:t>
            </w:r>
            <w:r w:rsidR="001529E4">
              <w:rPr>
                <w:noProof/>
                <w:color w:val="000000"/>
                <w:highlight w:val="black"/>
              </w:rPr>
              <w:t>''''''''''''''''''</w:t>
            </w:r>
          </w:p>
        </w:tc>
        <w:tc>
          <w:tcPr>
            <w:tcW w:w="1701"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rPr>
                <w:iCs/>
              </w:rPr>
            </w:pPr>
            <w:r w:rsidRPr="00E209B2">
              <w:rPr>
                <w:iCs/>
              </w:rPr>
              <w:t>0.36</w:t>
            </w:r>
          </w:p>
          <w:p w:rsidR="00166958" w:rsidRPr="00E209B2" w:rsidRDefault="00166958" w:rsidP="00920332">
            <w:pPr>
              <w:pStyle w:val="TableText"/>
              <w:keepNext w:val="0"/>
              <w:jc w:val="center"/>
            </w:pPr>
            <w:r w:rsidRPr="00E209B2">
              <w:t>0.43</w:t>
            </w:r>
          </w:p>
        </w:tc>
        <w:tc>
          <w:tcPr>
            <w:tcW w:w="1257"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357E94">
              <w:rPr>
                <w:vertAlign w:val="superscript"/>
              </w:rPr>
              <w:t>2</w:t>
            </w:r>
          </w:p>
          <w:p w:rsidR="00166958" w:rsidRPr="00E209B2" w:rsidRDefault="00166958" w:rsidP="00920332">
            <w:pPr>
              <w:pStyle w:val="TableText"/>
              <w:keepNext w:val="0"/>
              <w:jc w:val="center"/>
            </w:pPr>
            <w:r w:rsidRPr="00E209B2">
              <w:t>$</w:t>
            </w:r>
            <w:r w:rsidR="001529E4">
              <w:rPr>
                <w:noProof/>
                <w:color w:val="000000"/>
                <w:highlight w:val="black"/>
              </w:rPr>
              <w:t>''''''''''''''''</w:t>
            </w:r>
            <w:r w:rsidR="0097486B">
              <w:rPr>
                <w:vertAlign w:val="superscript"/>
              </w:rPr>
              <w:t>1</w:t>
            </w:r>
          </w:p>
        </w:tc>
      </w:tr>
      <w:tr w:rsidR="00166958" w:rsidRPr="00E209B2" w:rsidTr="000F1EAD">
        <w:tc>
          <w:tcPr>
            <w:tcW w:w="4786" w:type="dxa"/>
          </w:tcPr>
          <w:p w:rsidR="00166958" w:rsidRPr="00E209B2" w:rsidRDefault="00166958" w:rsidP="00166958">
            <w:pPr>
              <w:pStyle w:val="TableText"/>
              <w:keepNext w:val="0"/>
            </w:pPr>
            <w:r w:rsidRPr="00E209B2">
              <w:t>Health state utilities (base case: PF 0.772; PD 0.698)</w:t>
            </w:r>
          </w:p>
          <w:p w:rsidR="00166958" w:rsidRPr="00E209B2" w:rsidRDefault="00166958" w:rsidP="00DF79E3">
            <w:pPr>
              <w:pStyle w:val="TableText"/>
              <w:keepNext w:val="0"/>
              <w:numPr>
                <w:ilvl w:val="0"/>
                <w:numId w:val="8"/>
              </w:numPr>
              <w:ind w:left="192" w:hanging="113"/>
            </w:pPr>
            <w:r w:rsidRPr="00E209B2">
              <w:t>PF 0.678, PD 0.614 (SMC [1339/18])</w:t>
            </w:r>
          </w:p>
          <w:p w:rsidR="00166958" w:rsidRPr="00E209B2" w:rsidRDefault="00166958" w:rsidP="00DF79E3">
            <w:pPr>
              <w:pStyle w:val="TableText"/>
              <w:keepNext w:val="0"/>
              <w:numPr>
                <w:ilvl w:val="0"/>
                <w:numId w:val="8"/>
              </w:numPr>
              <w:ind w:left="192" w:hanging="113"/>
            </w:pPr>
            <w:r w:rsidRPr="00E209B2">
              <w:t>PF 0.860, PD 0.810 (Srivastava et al., 2020)</w:t>
            </w:r>
          </w:p>
        </w:tc>
        <w:tc>
          <w:tcPr>
            <w:tcW w:w="1559"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AC537C">
            <w:pPr>
              <w:pStyle w:val="TableText"/>
              <w:keepNext w:val="0"/>
              <w:jc w:val="center"/>
              <w:rPr>
                <w:i/>
                <w:iCs/>
              </w:rPr>
            </w:pPr>
            <w:r w:rsidRPr="00E209B2">
              <w:t>$</w:t>
            </w:r>
            <w:r w:rsidR="001529E4">
              <w:rPr>
                <w:noProof/>
                <w:color w:val="000000"/>
                <w:highlight w:val="black"/>
              </w:rPr>
              <w:t>'''''''''''''''</w:t>
            </w:r>
          </w:p>
        </w:tc>
        <w:tc>
          <w:tcPr>
            <w:tcW w:w="1701"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0.41</w:t>
            </w:r>
          </w:p>
          <w:p w:rsidR="00166958" w:rsidRPr="00E209B2" w:rsidRDefault="00166958" w:rsidP="00AC537C">
            <w:pPr>
              <w:pStyle w:val="TableText"/>
              <w:keepNext w:val="0"/>
              <w:jc w:val="center"/>
              <w:rPr>
                <w:i/>
                <w:iCs/>
              </w:rPr>
            </w:pPr>
            <w:r w:rsidRPr="00E209B2">
              <w:t>0.52</w:t>
            </w:r>
          </w:p>
        </w:tc>
        <w:tc>
          <w:tcPr>
            <w:tcW w:w="1257"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r w:rsidR="0097486B">
              <w:rPr>
                <w:vertAlign w:val="superscript"/>
              </w:rPr>
              <w:t>1</w:t>
            </w:r>
          </w:p>
          <w:p w:rsidR="00166958" w:rsidRPr="00E209B2" w:rsidRDefault="00166958" w:rsidP="00AC537C">
            <w:pPr>
              <w:pStyle w:val="TableText"/>
              <w:keepNext w:val="0"/>
              <w:jc w:val="center"/>
              <w:rPr>
                <w:i/>
                <w:iCs/>
              </w:rPr>
            </w:pPr>
            <w:r w:rsidRPr="00E209B2">
              <w:t>$</w:t>
            </w:r>
            <w:r w:rsidR="001529E4">
              <w:rPr>
                <w:noProof/>
                <w:color w:val="000000"/>
                <w:highlight w:val="black"/>
              </w:rPr>
              <w:t>'''''''''''''''''</w:t>
            </w:r>
            <w:r w:rsidR="0097486B">
              <w:rPr>
                <w:vertAlign w:val="superscript"/>
              </w:rPr>
              <w:t>1</w:t>
            </w:r>
          </w:p>
        </w:tc>
      </w:tr>
      <w:tr w:rsidR="00166958" w:rsidRPr="00E209B2" w:rsidTr="000F1EAD">
        <w:tc>
          <w:tcPr>
            <w:tcW w:w="4786" w:type="dxa"/>
          </w:tcPr>
          <w:p w:rsidR="00166958" w:rsidRPr="00E209B2" w:rsidRDefault="00166958" w:rsidP="00166958">
            <w:pPr>
              <w:pStyle w:val="TableText"/>
              <w:keepNext w:val="0"/>
            </w:pPr>
            <w:r w:rsidRPr="00E209B2">
              <w:t>Avelumab + BSC extrapolation for overall survival</w:t>
            </w:r>
          </w:p>
          <w:p w:rsidR="00166958" w:rsidRPr="00E209B2" w:rsidRDefault="00166958" w:rsidP="00DF79E3">
            <w:pPr>
              <w:pStyle w:val="TableText"/>
              <w:keepNext w:val="0"/>
              <w:numPr>
                <w:ilvl w:val="0"/>
                <w:numId w:val="10"/>
              </w:numPr>
              <w:ind w:left="192" w:hanging="113"/>
            </w:pPr>
            <w:r w:rsidRPr="00E209B2">
              <w:t xml:space="preserve">Independent single fit – Exponential </w:t>
            </w:r>
          </w:p>
          <w:p w:rsidR="00166958" w:rsidRPr="00E209B2" w:rsidRDefault="00166958" w:rsidP="00DF79E3">
            <w:pPr>
              <w:pStyle w:val="TableText"/>
              <w:keepNext w:val="0"/>
              <w:numPr>
                <w:ilvl w:val="0"/>
                <w:numId w:val="10"/>
              </w:numPr>
              <w:ind w:left="192" w:hanging="113"/>
            </w:pPr>
            <w:r w:rsidRPr="00E209B2">
              <w:t>Independent single fit – Weibull</w:t>
            </w:r>
          </w:p>
          <w:p w:rsidR="00166958" w:rsidRPr="00E209B2" w:rsidRDefault="00166958" w:rsidP="00DF79E3">
            <w:pPr>
              <w:pStyle w:val="TableText"/>
              <w:keepNext w:val="0"/>
              <w:numPr>
                <w:ilvl w:val="0"/>
                <w:numId w:val="10"/>
              </w:numPr>
              <w:ind w:left="192" w:hanging="113"/>
            </w:pPr>
            <w:r w:rsidRPr="00E209B2">
              <w:t>Independent single fit – Gompertz</w:t>
            </w:r>
          </w:p>
          <w:p w:rsidR="00166958" w:rsidRPr="00E209B2" w:rsidRDefault="00166958" w:rsidP="00DF79E3">
            <w:pPr>
              <w:pStyle w:val="TableText"/>
              <w:keepNext w:val="0"/>
              <w:numPr>
                <w:ilvl w:val="0"/>
                <w:numId w:val="10"/>
              </w:numPr>
              <w:ind w:left="192" w:hanging="113"/>
            </w:pPr>
            <w:r w:rsidRPr="00E209B2">
              <w:t>Independent single fit – Log-Logistic</w:t>
            </w:r>
          </w:p>
          <w:p w:rsidR="00166958" w:rsidRPr="00E209B2" w:rsidRDefault="00166958" w:rsidP="00DF79E3">
            <w:pPr>
              <w:pStyle w:val="TableText"/>
              <w:keepNext w:val="0"/>
              <w:numPr>
                <w:ilvl w:val="0"/>
                <w:numId w:val="10"/>
              </w:numPr>
              <w:ind w:left="192" w:hanging="113"/>
            </w:pPr>
            <w:r w:rsidRPr="00E209B2">
              <w:t>Independent single fit – Log-Normal</w:t>
            </w:r>
          </w:p>
        </w:tc>
        <w:tc>
          <w:tcPr>
            <w:tcW w:w="1559"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tc>
        <w:tc>
          <w:tcPr>
            <w:tcW w:w="1701"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0.44</w:t>
            </w:r>
          </w:p>
          <w:p w:rsidR="00166958" w:rsidRPr="00E209B2" w:rsidRDefault="00166958" w:rsidP="00166958">
            <w:pPr>
              <w:pStyle w:val="TableText"/>
              <w:keepNext w:val="0"/>
              <w:jc w:val="center"/>
            </w:pPr>
            <w:r w:rsidRPr="00E209B2">
              <w:t>0.18</w:t>
            </w:r>
          </w:p>
          <w:p w:rsidR="00166958" w:rsidRPr="00E209B2" w:rsidRDefault="00166958" w:rsidP="00166958">
            <w:pPr>
              <w:pStyle w:val="TableText"/>
              <w:keepNext w:val="0"/>
              <w:jc w:val="center"/>
            </w:pPr>
            <w:r w:rsidRPr="00E209B2">
              <w:t>0.22</w:t>
            </w:r>
          </w:p>
          <w:p w:rsidR="00166958" w:rsidRPr="00E209B2" w:rsidRDefault="00166958" w:rsidP="00166958">
            <w:pPr>
              <w:pStyle w:val="TableText"/>
              <w:keepNext w:val="0"/>
              <w:jc w:val="center"/>
            </w:pPr>
            <w:r w:rsidRPr="00E209B2">
              <w:t>0.31</w:t>
            </w:r>
          </w:p>
          <w:p w:rsidR="00166958" w:rsidRPr="00E209B2" w:rsidRDefault="00166958" w:rsidP="00166958">
            <w:pPr>
              <w:pStyle w:val="TableText"/>
              <w:keepNext w:val="0"/>
              <w:jc w:val="center"/>
            </w:pPr>
            <w:r w:rsidRPr="00E209B2">
              <w:t>0.38</w:t>
            </w:r>
          </w:p>
        </w:tc>
        <w:tc>
          <w:tcPr>
            <w:tcW w:w="1257"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r w:rsidR="0097486B">
              <w:rPr>
                <w:vertAlign w:val="superscript"/>
              </w:rPr>
              <w:t>1</w:t>
            </w:r>
          </w:p>
          <w:p w:rsidR="00166958" w:rsidRPr="00E209B2" w:rsidRDefault="00166958" w:rsidP="00166958">
            <w:pPr>
              <w:pStyle w:val="TableText"/>
              <w:keepNext w:val="0"/>
              <w:jc w:val="center"/>
            </w:pPr>
            <w:r w:rsidRPr="00E209B2">
              <w:t>$</w:t>
            </w:r>
            <w:r w:rsidR="001529E4">
              <w:rPr>
                <w:noProof/>
                <w:color w:val="000000"/>
                <w:highlight w:val="black"/>
              </w:rPr>
              <w:t>''''''''''''''''''</w:t>
            </w:r>
            <w:r w:rsidR="00357E94">
              <w:rPr>
                <w:vertAlign w:val="superscript"/>
              </w:rPr>
              <w:t>3</w:t>
            </w:r>
          </w:p>
          <w:p w:rsidR="00166958" w:rsidRPr="00E209B2" w:rsidRDefault="00166958" w:rsidP="00166958">
            <w:pPr>
              <w:pStyle w:val="TableText"/>
              <w:keepNext w:val="0"/>
              <w:jc w:val="center"/>
            </w:pPr>
            <w:r w:rsidRPr="00E209B2">
              <w:t>$</w:t>
            </w:r>
            <w:r w:rsidR="001529E4">
              <w:rPr>
                <w:noProof/>
                <w:color w:val="000000"/>
                <w:highlight w:val="black"/>
              </w:rPr>
              <w:t>'''''''''''''''''''''</w:t>
            </w:r>
            <w:r w:rsidR="00357E94">
              <w:rPr>
                <w:vertAlign w:val="superscript"/>
              </w:rPr>
              <w:t>4</w:t>
            </w:r>
          </w:p>
          <w:p w:rsidR="00166958" w:rsidRPr="00E209B2" w:rsidRDefault="00166958" w:rsidP="00166958">
            <w:pPr>
              <w:pStyle w:val="TableText"/>
              <w:keepNext w:val="0"/>
              <w:jc w:val="center"/>
            </w:pPr>
            <w:r w:rsidRPr="00E209B2">
              <w:t>$</w:t>
            </w:r>
            <w:r w:rsidR="001529E4">
              <w:rPr>
                <w:noProof/>
                <w:color w:val="000000"/>
                <w:highlight w:val="black"/>
              </w:rPr>
              <w:t>''''''''''''''''</w:t>
            </w:r>
            <w:r w:rsidR="00357E94">
              <w:rPr>
                <w:vertAlign w:val="superscript"/>
              </w:rPr>
              <w:t>2</w:t>
            </w:r>
          </w:p>
          <w:p w:rsidR="00166958" w:rsidRPr="00E209B2" w:rsidRDefault="00166958" w:rsidP="00166958">
            <w:pPr>
              <w:pStyle w:val="TableText"/>
              <w:keepNext w:val="0"/>
              <w:jc w:val="center"/>
            </w:pPr>
            <w:r w:rsidRPr="00E209B2">
              <w:t>$</w:t>
            </w:r>
            <w:r w:rsidR="001529E4">
              <w:rPr>
                <w:noProof/>
                <w:color w:val="000000"/>
                <w:highlight w:val="black"/>
              </w:rPr>
              <w:t>'''''''''''''''</w:t>
            </w:r>
            <w:r w:rsidR="0097486B">
              <w:rPr>
                <w:vertAlign w:val="superscript"/>
              </w:rPr>
              <w:t>1</w:t>
            </w:r>
          </w:p>
        </w:tc>
      </w:tr>
      <w:tr w:rsidR="00166958" w:rsidRPr="00E209B2" w:rsidTr="000F1EAD">
        <w:tc>
          <w:tcPr>
            <w:tcW w:w="4786" w:type="dxa"/>
          </w:tcPr>
          <w:p w:rsidR="00166958" w:rsidRPr="00E209B2" w:rsidRDefault="00166958" w:rsidP="00166958">
            <w:pPr>
              <w:pStyle w:val="TableText"/>
              <w:keepNext w:val="0"/>
            </w:pPr>
            <w:r w:rsidRPr="00E209B2">
              <w:t>BSC extrapolation for OS</w:t>
            </w:r>
          </w:p>
          <w:p w:rsidR="00166958" w:rsidRPr="00E209B2" w:rsidRDefault="00166958" w:rsidP="00DF79E3">
            <w:pPr>
              <w:pStyle w:val="TableText"/>
              <w:keepNext w:val="0"/>
              <w:numPr>
                <w:ilvl w:val="0"/>
                <w:numId w:val="13"/>
              </w:numPr>
              <w:ind w:left="192" w:hanging="113"/>
            </w:pPr>
            <w:r w:rsidRPr="00E209B2">
              <w:t xml:space="preserve">Independent single fit – Exponential </w:t>
            </w:r>
          </w:p>
          <w:p w:rsidR="00166958" w:rsidRPr="00E209B2" w:rsidRDefault="00166958" w:rsidP="00DF79E3">
            <w:pPr>
              <w:pStyle w:val="TableText"/>
              <w:keepNext w:val="0"/>
              <w:numPr>
                <w:ilvl w:val="0"/>
                <w:numId w:val="13"/>
              </w:numPr>
              <w:ind w:left="192" w:hanging="113"/>
            </w:pPr>
            <w:r w:rsidRPr="00E209B2">
              <w:t>Independent single fit – Weibull</w:t>
            </w:r>
          </w:p>
          <w:p w:rsidR="00166958" w:rsidRPr="00E209B2" w:rsidRDefault="00166958" w:rsidP="00DF79E3">
            <w:pPr>
              <w:pStyle w:val="TableText"/>
              <w:keepNext w:val="0"/>
              <w:numPr>
                <w:ilvl w:val="0"/>
                <w:numId w:val="13"/>
              </w:numPr>
              <w:ind w:left="192" w:hanging="113"/>
            </w:pPr>
            <w:r w:rsidRPr="00E209B2">
              <w:t>Independent single fit – Gompertz</w:t>
            </w:r>
          </w:p>
          <w:p w:rsidR="00166958" w:rsidRPr="00E209B2" w:rsidRDefault="00166958" w:rsidP="00DF79E3">
            <w:pPr>
              <w:pStyle w:val="TableText"/>
              <w:keepNext w:val="0"/>
              <w:numPr>
                <w:ilvl w:val="0"/>
                <w:numId w:val="13"/>
              </w:numPr>
              <w:ind w:left="192" w:hanging="113"/>
            </w:pPr>
            <w:r w:rsidRPr="00E209B2">
              <w:t>Independent single fit – Log-Normal</w:t>
            </w:r>
          </w:p>
          <w:p w:rsidR="00166958" w:rsidRPr="00E209B2" w:rsidRDefault="00166958" w:rsidP="00DF79E3">
            <w:pPr>
              <w:pStyle w:val="TableText"/>
              <w:keepNext w:val="0"/>
              <w:numPr>
                <w:ilvl w:val="0"/>
                <w:numId w:val="13"/>
              </w:numPr>
              <w:ind w:left="192" w:hanging="113"/>
            </w:pPr>
            <w:r w:rsidRPr="00E209B2">
              <w:t>Independent single fit – Log-Logistic</w:t>
            </w:r>
          </w:p>
        </w:tc>
        <w:tc>
          <w:tcPr>
            <w:tcW w:w="1559"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p w:rsidR="00166958" w:rsidRPr="00E209B2" w:rsidRDefault="00166958" w:rsidP="00166958">
            <w:pPr>
              <w:pStyle w:val="TableText"/>
              <w:keepNext w:val="0"/>
              <w:jc w:val="center"/>
            </w:pPr>
            <w:r w:rsidRPr="00E209B2">
              <w:t>$</w:t>
            </w:r>
            <w:r w:rsidR="001529E4">
              <w:rPr>
                <w:noProof/>
                <w:color w:val="000000"/>
                <w:highlight w:val="black"/>
              </w:rPr>
              <w:t>'''''''''''''''</w:t>
            </w:r>
          </w:p>
        </w:tc>
        <w:tc>
          <w:tcPr>
            <w:tcW w:w="1701"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0.53</w:t>
            </w:r>
          </w:p>
          <w:p w:rsidR="00166958" w:rsidRPr="00E209B2" w:rsidRDefault="00166958" w:rsidP="00166958">
            <w:pPr>
              <w:pStyle w:val="TableText"/>
              <w:keepNext w:val="0"/>
              <w:jc w:val="center"/>
            </w:pPr>
            <w:r w:rsidRPr="00E209B2">
              <w:t>0.60</w:t>
            </w:r>
          </w:p>
          <w:p w:rsidR="00166958" w:rsidRPr="00E209B2" w:rsidRDefault="00166958" w:rsidP="00166958">
            <w:pPr>
              <w:pStyle w:val="TableText"/>
              <w:keepNext w:val="0"/>
              <w:jc w:val="center"/>
            </w:pPr>
            <w:r w:rsidRPr="00E209B2">
              <w:t>0.53</w:t>
            </w:r>
          </w:p>
          <w:p w:rsidR="00166958" w:rsidRPr="00E209B2" w:rsidRDefault="00166958" w:rsidP="00166958">
            <w:pPr>
              <w:pStyle w:val="TableText"/>
              <w:keepNext w:val="0"/>
              <w:jc w:val="center"/>
            </w:pPr>
            <w:r w:rsidRPr="00E209B2">
              <w:t>0.55</w:t>
            </w:r>
          </w:p>
          <w:p w:rsidR="00166958" w:rsidRPr="00E209B2" w:rsidRDefault="00166958" w:rsidP="00166958">
            <w:pPr>
              <w:pStyle w:val="TableText"/>
              <w:keepNext w:val="0"/>
              <w:jc w:val="center"/>
            </w:pPr>
            <w:r w:rsidRPr="00E209B2">
              <w:t>0.59</w:t>
            </w:r>
          </w:p>
        </w:tc>
        <w:tc>
          <w:tcPr>
            <w:tcW w:w="1257" w:type="dxa"/>
          </w:tcPr>
          <w:p w:rsidR="00166958" w:rsidRPr="00E209B2" w:rsidRDefault="00166958" w:rsidP="00166958">
            <w:pPr>
              <w:pStyle w:val="TableText"/>
              <w:keepNext w:val="0"/>
              <w:jc w:val="center"/>
            </w:pPr>
          </w:p>
          <w:p w:rsidR="00166958" w:rsidRPr="00E209B2" w:rsidRDefault="00166958" w:rsidP="00166958">
            <w:pPr>
              <w:pStyle w:val="TableText"/>
              <w:keepNext w:val="0"/>
              <w:jc w:val="center"/>
            </w:pPr>
            <w:r w:rsidRPr="00E209B2">
              <w:t>$</w:t>
            </w:r>
            <w:r w:rsidR="001529E4">
              <w:rPr>
                <w:noProof/>
                <w:color w:val="000000"/>
                <w:highlight w:val="black"/>
              </w:rPr>
              <w:t>'''''''''''''''''</w:t>
            </w:r>
            <w:r w:rsidR="00AF00CE">
              <w:rPr>
                <w:vertAlign w:val="superscript"/>
              </w:rPr>
              <w:t>1</w:t>
            </w:r>
          </w:p>
          <w:p w:rsidR="00166958" w:rsidRPr="00E209B2" w:rsidRDefault="00166958" w:rsidP="00166958">
            <w:pPr>
              <w:pStyle w:val="TableText"/>
              <w:keepNext w:val="0"/>
              <w:jc w:val="center"/>
            </w:pPr>
            <w:r w:rsidRPr="00E209B2">
              <w:t>$</w:t>
            </w:r>
            <w:r w:rsidR="001529E4">
              <w:rPr>
                <w:noProof/>
                <w:color w:val="000000"/>
                <w:highlight w:val="black"/>
              </w:rPr>
              <w:t>'''''''''''''''''</w:t>
            </w:r>
            <w:r w:rsidR="00AF00CE">
              <w:rPr>
                <w:vertAlign w:val="superscript"/>
              </w:rPr>
              <w:t>1</w:t>
            </w:r>
          </w:p>
          <w:p w:rsidR="00166958" w:rsidRPr="00E209B2" w:rsidRDefault="00166958" w:rsidP="00166958">
            <w:pPr>
              <w:pStyle w:val="TableText"/>
              <w:keepNext w:val="0"/>
              <w:jc w:val="center"/>
            </w:pPr>
            <w:r w:rsidRPr="00E209B2">
              <w:t>$</w:t>
            </w:r>
            <w:r w:rsidR="001529E4">
              <w:rPr>
                <w:noProof/>
                <w:color w:val="000000"/>
                <w:highlight w:val="black"/>
              </w:rPr>
              <w:t>''''''''''''''''</w:t>
            </w:r>
            <w:r w:rsidR="00AF00CE">
              <w:rPr>
                <w:vertAlign w:val="superscript"/>
              </w:rPr>
              <w:t>1</w:t>
            </w:r>
          </w:p>
          <w:p w:rsidR="00166958" w:rsidRPr="00E209B2" w:rsidRDefault="00166958" w:rsidP="00166958">
            <w:pPr>
              <w:pStyle w:val="TableText"/>
              <w:keepNext w:val="0"/>
              <w:jc w:val="center"/>
            </w:pPr>
            <w:r w:rsidRPr="00E209B2">
              <w:t>$</w:t>
            </w:r>
            <w:r w:rsidR="001529E4">
              <w:rPr>
                <w:noProof/>
                <w:color w:val="000000"/>
                <w:highlight w:val="black"/>
              </w:rPr>
              <w:t>''''''''''''''''</w:t>
            </w:r>
            <w:r w:rsidR="00AF00CE">
              <w:rPr>
                <w:vertAlign w:val="superscript"/>
              </w:rPr>
              <w:t>1</w:t>
            </w:r>
          </w:p>
          <w:p w:rsidR="00166958" w:rsidRPr="00E209B2" w:rsidRDefault="00166958" w:rsidP="00166958">
            <w:pPr>
              <w:pStyle w:val="TableText"/>
              <w:keepNext w:val="0"/>
              <w:jc w:val="center"/>
            </w:pPr>
            <w:r w:rsidRPr="00E209B2">
              <w:t>$</w:t>
            </w:r>
            <w:r w:rsidR="001529E4">
              <w:rPr>
                <w:noProof/>
                <w:color w:val="000000"/>
                <w:highlight w:val="black"/>
              </w:rPr>
              <w:t>'''''''''''''''</w:t>
            </w:r>
            <w:r w:rsidR="009A589C">
              <w:rPr>
                <w:vertAlign w:val="superscript"/>
              </w:rPr>
              <w:t>6</w:t>
            </w:r>
          </w:p>
        </w:tc>
      </w:tr>
      <w:tr w:rsidR="00166958" w:rsidRPr="00E209B2" w:rsidTr="000F1EAD">
        <w:tc>
          <w:tcPr>
            <w:tcW w:w="4786" w:type="dxa"/>
          </w:tcPr>
          <w:p w:rsidR="00166958" w:rsidRPr="00E209B2" w:rsidRDefault="00166958" w:rsidP="00166958">
            <w:pPr>
              <w:pStyle w:val="TableText"/>
              <w:keepNext w:val="0"/>
              <w:rPr>
                <w:iCs/>
              </w:rPr>
            </w:pPr>
            <w:r w:rsidRPr="00E209B2">
              <w:rPr>
                <w:iCs/>
              </w:rPr>
              <w:t>Adverse event costs</w:t>
            </w:r>
            <w:r w:rsidR="00D16B4A" w:rsidRPr="00E209B2">
              <w:rPr>
                <w:iCs/>
              </w:rPr>
              <w:t>*</w:t>
            </w:r>
          </w:p>
          <w:p w:rsidR="00166958" w:rsidRPr="00E209B2" w:rsidRDefault="00166958" w:rsidP="00DF79E3">
            <w:pPr>
              <w:pStyle w:val="TableText"/>
              <w:keepNext w:val="0"/>
              <w:numPr>
                <w:ilvl w:val="0"/>
                <w:numId w:val="13"/>
              </w:numPr>
              <w:ind w:left="164" w:hanging="87"/>
              <w:rPr>
                <w:iCs/>
              </w:rPr>
            </w:pPr>
            <w:r w:rsidRPr="00E209B2">
              <w:rPr>
                <w:iCs/>
              </w:rPr>
              <w:t>Costs removed</w:t>
            </w:r>
          </w:p>
          <w:p w:rsidR="00166958" w:rsidRPr="00E209B2" w:rsidRDefault="00166958" w:rsidP="00DF79E3">
            <w:pPr>
              <w:pStyle w:val="TableText"/>
              <w:keepNext w:val="0"/>
              <w:numPr>
                <w:ilvl w:val="0"/>
                <w:numId w:val="13"/>
              </w:numPr>
              <w:ind w:left="164" w:hanging="87"/>
              <w:rPr>
                <w:iCs/>
              </w:rPr>
            </w:pPr>
            <w:r w:rsidRPr="00E209B2">
              <w:rPr>
                <w:iCs/>
              </w:rPr>
              <w:t>Double cost for avelumab + BSC</w:t>
            </w:r>
          </w:p>
        </w:tc>
        <w:tc>
          <w:tcPr>
            <w:tcW w:w="1559"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tc>
        <w:tc>
          <w:tcPr>
            <w:tcW w:w="1701"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0.47</w:t>
            </w:r>
          </w:p>
          <w:p w:rsidR="00166958" w:rsidRPr="00E209B2" w:rsidRDefault="00166958" w:rsidP="00166958">
            <w:pPr>
              <w:pStyle w:val="TableText"/>
              <w:keepNext w:val="0"/>
              <w:jc w:val="center"/>
              <w:rPr>
                <w:iCs/>
              </w:rPr>
            </w:pPr>
            <w:r w:rsidRPr="00E209B2">
              <w:rPr>
                <w:iCs/>
              </w:rPr>
              <w:t>0.47</w:t>
            </w:r>
          </w:p>
        </w:tc>
        <w:tc>
          <w:tcPr>
            <w:tcW w:w="1257"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AF00CE">
              <w:rPr>
                <w:vertAlign w:val="superscript"/>
              </w:rPr>
              <w:t>1</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AF00CE">
              <w:rPr>
                <w:vertAlign w:val="superscript"/>
              </w:rPr>
              <w:t>1</w:t>
            </w:r>
          </w:p>
        </w:tc>
      </w:tr>
      <w:tr w:rsidR="00166958" w:rsidRPr="00E209B2" w:rsidTr="000F1EAD">
        <w:tc>
          <w:tcPr>
            <w:tcW w:w="4786" w:type="dxa"/>
          </w:tcPr>
          <w:p w:rsidR="00166958" w:rsidRPr="00E209B2" w:rsidRDefault="00166958" w:rsidP="00166958">
            <w:pPr>
              <w:pStyle w:val="TableText"/>
              <w:keepNext w:val="0"/>
              <w:rPr>
                <w:iCs/>
              </w:rPr>
            </w:pPr>
            <w:r w:rsidRPr="00E209B2">
              <w:rPr>
                <w:iCs/>
              </w:rPr>
              <w:t>Disease monitoring costs</w:t>
            </w:r>
            <w:r w:rsidR="00D16B4A" w:rsidRPr="00E209B2">
              <w:rPr>
                <w:iCs/>
              </w:rPr>
              <w:t>*</w:t>
            </w:r>
          </w:p>
          <w:p w:rsidR="00166958" w:rsidRPr="00E209B2" w:rsidRDefault="00166958" w:rsidP="00DF79E3">
            <w:pPr>
              <w:pStyle w:val="TableText"/>
              <w:keepNext w:val="0"/>
              <w:numPr>
                <w:ilvl w:val="0"/>
                <w:numId w:val="13"/>
              </w:numPr>
              <w:ind w:left="164" w:hanging="87"/>
              <w:rPr>
                <w:iCs/>
              </w:rPr>
            </w:pPr>
            <w:r w:rsidRPr="00E209B2">
              <w:rPr>
                <w:iCs/>
              </w:rPr>
              <w:t>Costs removed</w:t>
            </w:r>
          </w:p>
          <w:p w:rsidR="00166958" w:rsidRPr="00E209B2" w:rsidRDefault="00166958" w:rsidP="00DF79E3">
            <w:pPr>
              <w:pStyle w:val="TableText"/>
              <w:keepNext w:val="0"/>
              <w:numPr>
                <w:ilvl w:val="0"/>
                <w:numId w:val="13"/>
              </w:numPr>
              <w:ind w:left="164" w:hanging="87"/>
              <w:rPr>
                <w:iCs/>
              </w:rPr>
            </w:pPr>
            <w:r w:rsidRPr="00E209B2">
              <w:rPr>
                <w:iCs/>
              </w:rPr>
              <w:t>PF cost same as PD cost</w:t>
            </w:r>
          </w:p>
        </w:tc>
        <w:tc>
          <w:tcPr>
            <w:tcW w:w="1559"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tc>
        <w:tc>
          <w:tcPr>
            <w:tcW w:w="1701"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0.47</w:t>
            </w:r>
          </w:p>
          <w:p w:rsidR="00166958" w:rsidRPr="00E209B2" w:rsidRDefault="00166958" w:rsidP="00166958">
            <w:pPr>
              <w:pStyle w:val="TableText"/>
              <w:keepNext w:val="0"/>
              <w:jc w:val="center"/>
              <w:rPr>
                <w:iCs/>
              </w:rPr>
            </w:pPr>
            <w:r w:rsidRPr="00E209B2">
              <w:rPr>
                <w:iCs/>
              </w:rPr>
              <w:t>0.47</w:t>
            </w:r>
          </w:p>
        </w:tc>
        <w:tc>
          <w:tcPr>
            <w:tcW w:w="1257"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9A589C">
              <w:rPr>
                <w:vertAlign w:val="superscript"/>
              </w:rPr>
              <w:t>6</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AF00CE">
              <w:rPr>
                <w:vertAlign w:val="superscript"/>
              </w:rPr>
              <w:t>1</w:t>
            </w:r>
          </w:p>
        </w:tc>
      </w:tr>
      <w:tr w:rsidR="00166958" w:rsidRPr="00E209B2" w:rsidTr="000F1EAD">
        <w:tc>
          <w:tcPr>
            <w:tcW w:w="4786" w:type="dxa"/>
          </w:tcPr>
          <w:p w:rsidR="00166958" w:rsidRPr="00E209B2" w:rsidRDefault="00166958" w:rsidP="00166958">
            <w:pPr>
              <w:pStyle w:val="TableText"/>
              <w:keepNext w:val="0"/>
              <w:rPr>
                <w:iCs/>
              </w:rPr>
            </w:pPr>
            <w:r w:rsidRPr="00E209B2">
              <w:rPr>
                <w:iCs/>
              </w:rPr>
              <w:t>Subsequent treatment with PD-L1</w:t>
            </w:r>
            <w:r w:rsidR="00755252" w:rsidRPr="00E209B2">
              <w:rPr>
                <w:iCs/>
              </w:rPr>
              <w:t xml:space="preserve"> (BSC arm)</w:t>
            </w:r>
            <w:r w:rsidR="00D16B4A" w:rsidRPr="00E209B2">
              <w:rPr>
                <w:iCs/>
              </w:rPr>
              <w:t>*</w:t>
            </w:r>
          </w:p>
          <w:p w:rsidR="00166958" w:rsidRPr="00E209B2" w:rsidRDefault="00166958" w:rsidP="00DF79E3">
            <w:pPr>
              <w:pStyle w:val="TableText"/>
              <w:keepNext w:val="0"/>
              <w:numPr>
                <w:ilvl w:val="0"/>
                <w:numId w:val="13"/>
              </w:numPr>
              <w:ind w:left="164" w:hanging="87"/>
              <w:rPr>
                <w:iCs/>
              </w:rPr>
            </w:pPr>
            <w:r w:rsidRPr="00E209B2">
              <w:rPr>
                <w:iCs/>
              </w:rPr>
              <w:t>100%</w:t>
            </w:r>
          </w:p>
          <w:p w:rsidR="00166958" w:rsidRPr="00E209B2" w:rsidRDefault="00166958" w:rsidP="00DF79E3">
            <w:pPr>
              <w:pStyle w:val="TableText"/>
              <w:keepNext w:val="0"/>
              <w:numPr>
                <w:ilvl w:val="0"/>
                <w:numId w:val="13"/>
              </w:numPr>
              <w:ind w:left="164" w:hanging="87"/>
              <w:rPr>
                <w:iCs/>
              </w:rPr>
            </w:pPr>
            <w:r w:rsidRPr="00E209B2">
              <w:rPr>
                <w:iCs/>
              </w:rPr>
              <w:t>90%</w:t>
            </w:r>
          </w:p>
          <w:p w:rsidR="00166958" w:rsidRPr="00E209B2" w:rsidRDefault="00166958" w:rsidP="00DF79E3">
            <w:pPr>
              <w:pStyle w:val="TableText"/>
              <w:keepNext w:val="0"/>
              <w:numPr>
                <w:ilvl w:val="0"/>
                <w:numId w:val="13"/>
              </w:numPr>
              <w:ind w:left="164" w:hanging="87"/>
              <w:rPr>
                <w:iCs/>
              </w:rPr>
            </w:pPr>
            <w:r w:rsidRPr="00E209B2">
              <w:rPr>
                <w:iCs/>
              </w:rPr>
              <w:t>70%</w:t>
            </w:r>
          </w:p>
          <w:p w:rsidR="00166958" w:rsidRPr="00E209B2" w:rsidRDefault="00166958" w:rsidP="00DF79E3">
            <w:pPr>
              <w:pStyle w:val="TableText"/>
              <w:keepNext w:val="0"/>
              <w:numPr>
                <w:ilvl w:val="0"/>
                <w:numId w:val="13"/>
              </w:numPr>
              <w:ind w:left="164" w:hanging="87"/>
              <w:rPr>
                <w:iCs/>
              </w:rPr>
            </w:pPr>
            <w:r w:rsidRPr="00E209B2">
              <w:rPr>
                <w:iCs/>
              </w:rPr>
              <w:t>60%</w:t>
            </w:r>
          </w:p>
        </w:tc>
        <w:tc>
          <w:tcPr>
            <w:tcW w:w="1559"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p>
        </w:tc>
        <w:tc>
          <w:tcPr>
            <w:tcW w:w="1701"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0.47</w:t>
            </w:r>
          </w:p>
          <w:p w:rsidR="00166958" w:rsidRPr="00E209B2" w:rsidRDefault="00166958" w:rsidP="00166958">
            <w:pPr>
              <w:pStyle w:val="TableText"/>
              <w:keepNext w:val="0"/>
              <w:jc w:val="center"/>
              <w:rPr>
                <w:iCs/>
              </w:rPr>
            </w:pPr>
            <w:r w:rsidRPr="00E209B2">
              <w:rPr>
                <w:iCs/>
              </w:rPr>
              <w:t>0.47</w:t>
            </w:r>
          </w:p>
          <w:p w:rsidR="00166958" w:rsidRPr="00E209B2" w:rsidRDefault="00166958" w:rsidP="00166958">
            <w:pPr>
              <w:pStyle w:val="TableText"/>
              <w:keepNext w:val="0"/>
              <w:jc w:val="center"/>
              <w:rPr>
                <w:iCs/>
              </w:rPr>
            </w:pPr>
            <w:r w:rsidRPr="00E209B2">
              <w:rPr>
                <w:iCs/>
              </w:rPr>
              <w:t>0.47</w:t>
            </w:r>
          </w:p>
          <w:p w:rsidR="00166958" w:rsidRPr="00E209B2" w:rsidRDefault="00166958" w:rsidP="00166958">
            <w:pPr>
              <w:pStyle w:val="TableText"/>
              <w:keepNext w:val="0"/>
              <w:jc w:val="center"/>
              <w:rPr>
                <w:iCs/>
              </w:rPr>
            </w:pPr>
            <w:r w:rsidRPr="00E209B2">
              <w:rPr>
                <w:iCs/>
              </w:rPr>
              <w:t>0.47</w:t>
            </w:r>
          </w:p>
        </w:tc>
        <w:tc>
          <w:tcPr>
            <w:tcW w:w="1257" w:type="dxa"/>
          </w:tcPr>
          <w:p w:rsidR="00166958" w:rsidRPr="00E209B2" w:rsidRDefault="00166958" w:rsidP="00166958">
            <w:pPr>
              <w:pStyle w:val="TableText"/>
              <w:keepNext w:val="0"/>
              <w:jc w:val="center"/>
              <w:rPr>
                <w:iCs/>
              </w:rPr>
            </w:pP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9A589C">
              <w:rPr>
                <w:vertAlign w:val="superscript"/>
              </w:rPr>
              <w:t>7</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9A589C">
              <w:rPr>
                <w:vertAlign w:val="superscript"/>
              </w:rPr>
              <w:t>6</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357E94">
              <w:rPr>
                <w:vertAlign w:val="superscript"/>
              </w:rPr>
              <w:t>2</w:t>
            </w:r>
          </w:p>
          <w:p w:rsidR="00166958" w:rsidRPr="00E209B2" w:rsidRDefault="00166958" w:rsidP="00166958">
            <w:pPr>
              <w:pStyle w:val="TableText"/>
              <w:keepNext w:val="0"/>
              <w:jc w:val="center"/>
              <w:rPr>
                <w:iCs/>
              </w:rPr>
            </w:pPr>
            <w:r w:rsidRPr="00E209B2">
              <w:rPr>
                <w:iCs/>
              </w:rPr>
              <w:t>$</w:t>
            </w:r>
            <w:r w:rsidR="001529E4">
              <w:rPr>
                <w:iCs/>
                <w:noProof/>
                <w:color w:val="000000"/>
                <w:highlight w:val="black"/>
              </w:rPr>
              <w:t>'''''''''''''''</w:t>
            </w:r>
            <w:r w:rsidR="00357E94">
              <w:rPr>
                <w:vertAlign w:val="superscript"/>
              </w:rPr>
              <w:t>2</w:t>
            </w:r>
          </w:p>
        </w:tc>
      </w:tr>
      <w:tr w:rsidR="00A97778" w:rsidRPr="00E209B2" w:rsidTr="00C25EFD">
        <w:tc>
          <w:tcPr>
            <w:tcW w:w="4786" w:type="dxa"/>
          </w:tcPr>
          <w:p w:rsidR="00A97778" w:rsidRPr="00E209B2" w:rsidRDefault="00A97778" w:rsidP="00A97778">
            <w:pPr>
              <w:pStyle w:val="TableText"/>
              <w:keepNext w:val="0"/>
              <w:rPr>
                <w:rFonts w:eastAsiaTheme="minorHAnsi"/>
                <w:szCs w:val="20"/>
                <w:lang w:eastAsia="en-US"/>
              </w:rPr>
            </w:pPr>
            <w:r w:rsidRPr="00E209B2">
              <w:rPr>
                <w:rFonts w:eastAsiaTheme="minorHAnsi"/>
                <w:szCs w:val="20"/>
                <w:lang w:eastAsia="en-US"/>
              </w:rPr>
              <w:t>Financial stopping rule (Base case: included)</w:t>
            </w:r>
            <w:r w:rsidR="00C25EFD" w:rsidRPr="00E209B2">
              <w:rPr>
                <w:rFonts w:eastAsiaTheme="minorHAnsi"/>
                <w:szCs w:val="20"/>
                <w:lang w:eastAsia="en-US"/>
              </w:rPr>
              <w:t>*</w:t>
            </w:r>
          </w:p>
          <w:p w:rsidR="00A97778" w:rsidRPr="00E209B2" w:rsidRDefault="00A97778" w:rsidP="00A97778">
            <w:pPr>
              <w:pStyle w:val="TableText"/>
              <w:keepNext w:val="0"/>
              <w:numPr>
                <w:ilvl w:val="0"/>
                <w:numId w:val="13"/>
              </w:numPr>
              <w:ind w:left="164" w:hanging="87"/>
              <w:rPr>
                <w:iCs/>
              </w:rPr>
            </w:pPr>
            <w:r w:rsidRPr="00E209B2">
              <w:rPr>
                <w:iCs/>
              </w:rPr>
              <w:t>Excluded</w:t>
            </w:r>
          </w:p>
        </w:tc>
        <w:tc>
          <w:tcPr>
            <w:tcW w:w="1559" w:type="dxa"/>
            <w:vAlign w:val="center"/>
          </w:tcPr>
          <w:p w:rsidR="00A97778" w:rsidRPr="00E209B2" w:rsidRDefault="00A97778" w:rsidP="00A97778">
            <w:pPr>
              <w:pStyle w:val="TableText"/>
              <w:keepNext w:val="0"/>
              <w:jc w:val="center"/>
              <w:rPr>
                <w:rFonts w:eastAsiaTheme="minorHAnsi"/>
                <w:szCs w:val="20"/>
                <w:lang w:eastAsia="en-US"/>
              </w:rPr>
            </w:pPr>
          </w:p>
          <w:p w:rsidR="00A97778" w:rsidRPr="00E209B2" w:rsidRDefault="00A97778" w:rsidP="00A97778">
            <w:pPr>
              <w:pStyle w:val="TableText"/>
              <w:keepNext w:val="0"/>
              <w:jc w:val="center"/>
              <w:rPr>
                <w:iCs/>
              </w:rPr>
            </w:pPr>
            <w:r w:rsidRPr="00E209B2">
              <w:rPr>
                <w:rFonts w:eastAsiaTheme="minorHAnsi"/>
                <w:szCs w:val="20"/>
                <w:lang w:eastAsia="en-US"/>
              </w:rPr>
              <w:t>$</w:t>
            </w:r>
            <w:r w:rsidR="001529E4">
              <w:rPr>
                <w:rFonts w:eastAsiaTheme="minorHAnsi"/>
                <w:noProof/>
                <w:color w:val="000000"/>
                <w:szCs w:val="20"/>
                <w:highlight w:val="black"/>
                <w:lang w:eastAsia="en-US"/>
              </w:rPr>
              <w:t>'''''''''''''''''</w:t>
            </w:r>
          </w:p>
        </w:tc>
        <w:tc>
          <w:tcPr>
            <w:tcW w:w="1701" w:type="dxa"/>
            <w:vAlign w:val="center"/>
          </w:tcPr>
          <w:p w:rsidR="00A97778" w:rsidRPr="00E209B2" w:rsidRDefault="00A97778" w:rsidP="00A97778">
            <w:pPr>
              <w:pStyle w:val="TableText"/>
              <w:keepNext w:val="0"/>
              <w:jc w:val="center"/>
              <w:rPr>
                <w:rFonts w:eastAsiaTheme="minorHAnsi"/>
                <w:szCs w:val="20"/>
                <w:lang w:eastAsia="en-US"/>
              </w:rPr>
            </w:pPr>
          </w:p>
          <w:p w:rsidR="00A97778" w:rsidRPr="00E209B2" w:rsidRDefault="00A97778" w:rsidP="00A97778">
            <w:pPr>
              <w:pStyle w:val="TableText"/>
              <w:keepNext w:val="0"/>
              <w:jc w:val="center"/>
              <w:rPr>
                <w:iCs/>
              </w:rPr>
            </w:pPr>
            <w:r w:rsidRPr="00E209B2">
              <w:rPr>
                <w:rFonts w:eastAsiaTheme="minorHAnsi"/>
                <w:szCs w:val="20"/>
                <w:lang w:eastAsia="en-US"/>
              </w:rPr>
              <w:t>0.47</w:t>
            </w:r>
          </w:p>
        </w:tc>
        <w:tc>
          <w:tcPr>
            <w:tcW w:w="1257" w:type="dxa"/>
            <w:vAlign w:val="center"/>
          </w:tcPr>
          <w:p w:rsidR="00A97778" w:rsidRPr="00E209B2" w:rsidRDefault="00A97778" w:rsidP="00A97778">
            <w:pPr>
              <w:pStyle w:val="TableText"/>
              <w:keepNext w:val="0"/>
              <w:jc w:val="center"/>
              <w:rPr>
                <w:rFonts w:eastAsiaTheme="minorHAnsi"/>
                <w:szCs w:val="20"/>
                <w:lang w:eastAsia="en-US"/>
              </w:rPr>
            </w:pPr>
          </w:p>
          <w:p w:rsidR="00A97778" w:rsidRPr="00E209B2" w:rsidRDefault="00A97778" w:rsidP="00A97778">
            <w:pPr>
              <w:pStyle w:val="TableText"/>
              <w:keepNext w:val="0"/>
              <w:jc w:val="center"/>
              <w:rPr>
                <w:iCs/>
              </w:rPr>
            </w:pPr>
            <w:r w:rsidRPr="00E209B2">
              <w:rPr>
                <w:rFonts w:eastAsiaTheme="minorHAnsi"/>
                <w:szCs w:val="20"/>
                <w:lang w:eastAsia="en-US"/>
              </w:rPr>
              <w:t>$</w:t>
            </w:r>
            <w:r w:rsidR="001529E4">
              <w:rPr>
                <w:rFonts w:eastAsiaTheme="minorHAnsi"/>
                <w:noProof/>
                <w:color w:val="000000"/>
                <w:szCs w:val="20"/>
                <w:highlight w:val="black"/>
                <w:lang w:eastAsia="en-US"/>
              </w:rPr>
              <w:t>'''''''''''''''''''''</w:t>
            </w:r>
            <w:r w:rsidR="00357E94">
              <w:rPr>
                <w:vertAlign w:val="superscript"/>
              </w:rPr>
              <w:t>5</w:t>
            </w:r>
          </w:p>
        </w:tc>
      </w:tr>
      <w:tr w:rsidR="00A97778" w:rsidRPr="00E209B2" w:rsidTr="008573AA">
        <w:tc>
          <w:tcPr>
            <w:tcW w:w="4786" w:type="dxa"/>
          </w:tcPr>
          <w:p w:rsidR="00A97778" w:rsidRPr="00E209B2" w:rsidRDefault="00A97778" w:rsidP="00A97778">
            <w:pPr>
              <w:pStyle w:val="TableText"/>
              <w:keepNext w:val="0"/>
              <w:rPr>
                <w:rFonts w:eastAsiaTheme="minorHAnsi"/>
                <w:bCs w:val="0"/>
                <w:szCs w:val="20"/>
                <w:lang w:eastAsia="en-US"/>
              </w:rPr>
            </w:pPr>
            <w:r w:rsidRPr="00E209B2">
              <w:rPr>
                <w:rFonts w:eastAsiaTheme="minorHAnsi"/>
                <w:bCs w:val="0"/>
                <w:szCs w:val="20"/>
                <w:lang w:eastAsia="en-US"/>
              </w:rPr>
              <w:t>OS curve convergence (base case: no convergence)*</w:t>
            </w:r>
            <w:r w:rsidR="00D16B4A" w:rsidRPr="00E209B2">
              <w:rPr>
                <w:rFonts w:eastAsiaTheme="minorHAnsi"/>
                <w:bCs w:val="0"/>
                <w:szCs w:val="20"/>
                <w:lang w:eastAsia="en-US"/>
              </w:rPr>
              <w:t>*</w:t>
            </w:r>
          </w:p>
          <w:p w:rsidR="00A97778" w:rsidRPr="00E209B2" w:rsidRDefault="00A97778" w:rsidP="00A97778">
            <w:pPr>
              <w:pStyle w:val="TableText"/>
              <w:keepNext w:val="0"/>
              <w:numPr>
                <w:ilvl w:val="0"/>
                <w:numId w:val="13"/>
              </w:numPr>
              <w:ind w:left="164" w:hanging="87"/>
              <w:rPr>
                <w:iCs/>
              </w:rPr>
            </w:pPr>
            <w:r w:rsidRPr="00E209B2">
              <w:rPr>
                <w:iCs/>
              </w:rPr>
              <w:t xml:space="preserve">OS convergence from 5 to 10 years </w:t>
            </w:r>
          </w:p>
          <w:p w:rsidR="00A97778" w:rsidRPr="00E209B2" w:rsidRDefault="00A97778" w:rsidP="00A97778">
            <w:pPr>
              <w:pStyle w:val="TableText"/>
              <w:keepNext w:val="0"/>
              <w:numPr>
                <w:ilvl w:val="0"/>
                <w:numId w:val="13"/>
              </w:numPr>
              <w:ind w:left="164" w:hanging="87"/>
              <w:rPr>
                <w:iCs/>
              </w:rPr>
            </w:pPr>
            <w:r w:rsidRPr="00E209B2">
              <w:rPr>
                <w:iCs/>
              </w:rPr>
              <w:t>OS convergence from 7.5 to 10 years</w:t>
            </w:r>
          </w:p>
          <w:p w:rsidR="00A97778" w:rsidRPr="00E209B2" w:rsidRDefault="00A97778" w:rsidP="00A97778">
            <w:pPr>
              <w:pStyle w:val="TableText"/>
              <w:keepNext w:val="0"/>
              <w:numPr>
                <w:ilvl w:val="0"/>
                <w:numId w:val="13"/>
              </w:numPr>
              <w:ind w:left="164" w:hanging="87"/>
              <w:rPr>
                <w:rFonts w:eastAsiaTheme="minorHAnsi"/>
                <w:szCs w:val="20"/>
                <w:lang w:eastAsia="en-US"/>
              </w:rPr>
            </w:pPr>
            <w:r w:rsidRPr="00E209B2">
              <w:rPr>
                <w:iCs/>
              </w:rPr>
              <w:t>OS convergence from 5 to 7.5 years</w:t>
            </w:r>
          </w:p>
        </w:tc>
        <w:tc>
          <w:tcPr>
            <w:tcW w:w="1559" w:type="dxa"/>
            <w:vAlign w:val="center"/>
          </w:tcPr>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1529E4"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E209B2" w:rsidRDefault="00A97778" w:rsidP="00A97778">
            <w:pPr>
              <w:pStyle w:val="TableText"/>
              <w:keepNext w:val="0"/>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tc>
        <w:tc>
          <w:tcPr>
            <w:tcW w:w="1701" w:type="dxa"/>
            <w:vAlign w:val="center"/>
          </w:tcPr>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0.46</w:t>
            </w:r>
          </w:p>
          <w:p w:rsidR="00A97778" w:rsidRPr="00E209B2" w:rsidRDefault="00A97778" w:rsidP="00A97778">
            <w:pPr>
              <w:pStyle w:val="TableText"/>
              <w:keepNext w:val="0"/>
              <w:jc w:val="center"/>
              <w:rPr>
                <w:rFonts w:eastAsiaTheme="minorHAnsi"/>
                <w:szCs w:val="20"/>
                <w:lang w:eastAsia="en-US"/>
              </w:rPr>
            </w:pPr>
            <w:r w:rsidRPr="00E209B2">
              <w:rPr>
                <w:rFonts w:eastAsiaTheme="minorHAnsi"/>
                <w:szCs w:val="20"/>
                <w:lang w:eastAsia="en-US"/>
              </w:rPr>
              <w:t>0.41</w:t>
            </w:r>
          </w:p>
        </w:tc>
        <w:tc>
          <w:tcPr>
            <w:tcW w:w="1257" w:type="dxa"/>
            <w:vAlign w:val="center"/>
          </w:tcPr>
          <w:p w:rsidR="00A97778" w:rsidRPr="00E209B2" w:rsidRDefault="00A97778" w:rsidP="00A97778">
            <w:pPr>
              <w:pStyle w:val="TableText"/>
              <w:jc w:val="center"/>
              <w:rPr>
                <w:rFonts w:eastAsiaTheme="minorHAnsi"/>
                <w:szCs w:val="20"/>
                <w:lang w:eastAsia="en-US"/>
              </w:rPr>
            </w:pPr>
          </w:p>
          <w:p w:rsidR="00A97778" w:rsidRPr="001529E4"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keepNext w:val="0"/>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tc>
      </w:tr>
      <w:tr w:rsidR="00A97778" w:rsidRPr="00E209B2" w:rsidTr="008573AA">
        <w:tc>
          <w:tcPr>
            <w:tcW w:w="4786" w:type="dxa"/>
          </w:tcPr>
          <w:p w:rsidR="00A97778" w:rsidRPr="00A4523B" w:rsidRDefault="00A97778" w:rsidP="00A97778">
            <w:pPr>
              <w:pStyle w:val="TableText"/>
              <w:keepNext w:val="0"/>
              <w:rPr>
                <w:rFonts w:eastAsiaTheme="minorHAnsi"/>
                <w:bCs w:val="0"/>
                <w:szCs w:val="20"/>
                <w:lang w:eastAsia="en-US"/>
              </w:rPr>
            </w:pPr>
            <w:r w:rsidRPr="00E209B2">
              <w:rPr>
                <w:rFonts w:eastAsiaTheme="minorHAnsi"/>
                <w:bCs w:val="0"/>
                <w:szCs w:val="20"/>
                <w:lang w:eastAsia="en-US"/>
              </w:rPr>
              <w:t xml:space="preserve">Avelumab + BSC extrapolation for time to treatment discontinuation (base case: generalised gamma; mean duration of </w:t>
            </w:r>
            <w:r w:rsidRPr="00A4523B">
              <w:rPr>
                <w:rFonts w:eastAsiaTheme="minorHAnsi"/>
                <w:bCs w:val="0"/>
                <w:szCs w:val="20"/>
                <w:lang w:eastAsia="en-US"/>
              </w:rPr>
              <w:t>treatment 16.74 months)*</w:t>
            </w:r>
            <w:r w:rsidR="00D16B4A" w:rsidRPr="00A4523B">
              <w:rPr>
                <w:rFonts w:eastAsiaTheme="minorHAnsi"/>
                <w:bCs w:val="0"/>
                <w:szCs w:val="20"/>
                <w:lang w:eastAsia="en-US"/>
              </w:rPr>
              <w:t>*</w:t>
            </w:r>
          </w:p>
          <w:p w:rsidR="00A97778" w:rsidRPr="00A4523B" w:rsidRDefault="00A97778" w:rsidP="00A97778">
            <w:pPr>
              <w:pStyle w:val="TableText"/>
              <w:keepNext w:val="0"/>
              <w:numPr>
                <w:ilvl w:val="0"/>
                <w:numId w:val="13"/>
              </w:numPr>
              <w:ind w:left="164" w:hanging="87"/>
              <w:rPr>
                <w:iCs/>
              </w:rPr>
            </w:pPr>
            <w:r w:rsidRPr="00A4523B">
              <w:rPr>
                <w:iCs/>
              </w:rPr>
              <w:t>Exponential (mean treatment duration: 12.64 months)</w:t>
            </w:r>
          </w:p>
          <w:p w:rsidR="00A97778" w:rsidRPr="00A4523B" w:rsidRDefault="00A97778" w:rsidP="00A97778">
            <w:pPr>
              <w:pStyle w:val="TableText"/>
              <w:keepNext w:val="0"/>
              <w:numPr>
                <w:ilvl w:val="0"/>
                <w:numId w:val="13"/>
              </w:numPr>
              <w:ind w:left="164" w:hanging="87"/>
              <w:rPr>
                <w:iCs/>
              </w:rPr>
            </w:pPr>
            <w:r w:rsidRPr="00A4523B">
              <w:rPr>
                <w:iCs/>
              </w:rPr>
              <w:t>Weibull (mean treatment duration: 12.85 months)</w:t>
            </w:r>
          </w:p>
          <w:p w:rsidR="00A97778" w:rsidRPr="00A4523B" w:rsidRDefault="00A97778" w:rsidP="00A97778">
            <w:pPr>
              <w:pStyle w:val="TableText"/>
              <w:keepNext w:val="0"/>
              <w:numPr>
                <w:ilvl w:val="0"/>
                <w:numId w:val="13"/>
              </w:numPr>
              <w:ind w:left="164" w:hanging="87"/>
              <w:rPr>
                <w:iCs/>
              </w:rPr>
            </w:pPr>
            <w:r w:rsidRPr="00A4523B">
              <w:rPr>
                <w:iCs/>
              </w:rPr>
              <w:t>Log-normal (mean treatment duration: 14.90 months)</w:t>
            </w:r>
          </w:p>
          <w:p w:rsidR="00A97778" w:rsidRPr="00A4523B" w:rsidRDefault="00A97778" w:rsidP="00A97778">
            <w:pPr>
              <w:pStyle w:val="TableText"/>
              <w:keepNext w:val="0"/>
              <w:numPr>
                <w:ilvl w:val="0"/>
                <w:numId w:val="13"/>
              </w:numPr>
              <w:ind w:left="164" w:hanging="87"/>
              <w:rPr>
                <w:iCs/>
              </w:rPr>
            </w:pPr>
            <w:r w:rsidRPr="00A4523B">
              <w:rPr>
                <w:iCs/>
              </w:rPr>
              <w:t>Log-logistic (mean treatment duration: 15.77 months)</w:t>
            </w:r>
          </w:p>
          <w:p w:rsidR="00A97778" w:rsidRPr="00E209B2" w:rsidRDefault="00A97778" w:rsidP="00A97778">
            <w:pPr>
              <w:pStyle w:val="TableText"/>
              <w:keepNext w:val="0"/>
              <w:numPr>
                <w:ilvl w:val="0"/>
                <w:numId w:val="13"/>
              </w:numPr>
              <w:ind w:left="164" w:hanging="87"/>
              <w:rPr>
                <w:rFonts w:eastAsiaTheme="minorHAnsi"/>
                <w:b/>
                <w:bCs w:val="0"/>
                <w:szCs w:val="20"/>
                <w:lang w:eastAsia="en-US"/>
              </w:rPr>
            </w:pPr>
            <w:r w:rsidRPr="00A4523B">
              <w:rPr>
                <w:iCs/>
              </w:rPr>
              <w:t>Gompertz (mean treatment duration: 18.66 months</w:t>
            </w:r>
            <w:r w:rsidRPr="00E209B2">
              <w:rPr>
                <w:iCs/>
              </w:rPr>
              <w:t>)</w:t>
            </w:r>
          </w:p>
        </w:tc>
        <w:tc>
          <w:tcPr>
            <w:tcW w:w="1559" w:type="dxa"/>
            <w:vAlign w:val="center"/>
          </w:tcPr>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1529E4"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p>
        </w:tc>
        <w:tc>
          <w:tcPr>
            <w:tcW w:w="1701" w:type="dxa"/>
            <w:vAlign w:val="center"/>
          </w:tcPr>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0.47</w:t>
            </w:r>
          </w:p>
        </w:tc>
        <w:tc>
          <w:tcPr>
            <w:tcW w:w="1257" w:type="dxa"/>
            <w:vAlign w:val="center"/>
          </w:tcPr>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p w:rsidR="00A97778" w:rsidRPr="00E209B2" w:rsidRDefault="00A97778" w:rsidP="00A97778">
            <w:pPr>
              <w:pStyle w:val="TableText"/>
              <w:jc w:val="center"/>
              <w:rPr>
                <w:rFonts w:eastAsiaTheme="minorHAnsi"/>
                <w:szCs w:val="20"/>
                <w:lang w:eastAsia="en-US"/>
              </w:rPr>
            </w:pPr>
            <w:r w:rsidRPr="00E209B2">
              <w:rPr>
                <w:rFonts w:eastAsiaTheme="minorHAnsi"/>
                <w:szCs w:val="20"/>
                <w:lang w:eastAsia="en-US"/>
              </w:rPr>
              <w:t>$</w:t>
            </w:r>
            <w:r w:rsidR="001529E4">
              <w:rPr>
                <w:rFonts w:eastAsiaTheme="minorHAnsi"/>
                <w:noProof/>
                <w:color w:val="000000"/>
                <w:szCs w:val="20"/>
                <w:highlight w:val="black"/>
                <w:lang w:eastAsia="en-US"/>
              </w:rPr>
              <w:t>'''''''''''''''</w:t>
            </w:r>
            <w:r w:rsidR="00AF00CE">
              <w:rPr>
                <w:vertAlign w:val="superscript"/>
              </w:rPr>
              <w:t>1</w:t>
            </w:r>
          </w:p>
        </w:tc>
      </w:tr>
    </w:tbl>
    <w:p w:rsidR="00ED70C4" w:rsidRPr="00E209B2" w:rsidRDefault="00166958" w:rsidP="00ED70C4">
      <w:pPr>
        <w:pStyle w:val="TableFigureFooter"/>
      </w:pPr>
      <w:r w:rsidRPr="00E209B2">
        <w:t>Source: Table 3.9-1, pp163-164 of the submission</w:t>
      </w:r>
      <w:r w:rsidR="00A97778" w:rsidRPr="00E209B2">
        <w:t>; *constructed during</w:t>
      </w:r>
      <w:r w:rsidR="00D16B4A" w:rsidRPr="00E209B2">
        <w:t xml:space="preserve"> the </w:t>
      </w:r>
      <w:r w:rsidR="00A97778" w:rsidRPr="00E209B2">
        <w:t>evaluation using the ‘Bavencio (avelumab) Economic Evaluation’ Excel workbook.</w:t>
      </w:r>
      <w:r w:rsidR="00D16B4A" w:rsidRPr="00E209B2">
        <w:t xml:space="preserve"> **constructed during the ESC evaluation using the ‘Bavencio (avelumab) Economic Evaluation’ Excel workbook.</w:t>
      </w:r>
    </w:p>
    <w:p w:rsidR="00BC13BC" w:rsidRDefault="00166958" w:rsidP="00ED70C4">
      <w:pPr>
        <w:pStyle w:val="TableFigureFooter"/>
      </w:pPr>
      <w:r w:rsidRPr="00E209B2">
        <w:t>Abbreviations: BSC, best supportive care; ICER, incremental cost-effectiveness ratio; PD, progressive disease; OS, overall survival; PF, progression-free; PFS, progression-free survival; QALY, quality adjusted life year; SMC, Scottish Medicines Consortium; TTD, time to treatment discontinuation</w:t>
      </w:r>
      <w:r w:rsidR="00DF5EBB" w:rsidRPr="00E209B2">
        <w:t>.</w:t>
      </w:r>
    </w:p>
    <w:p w:rsidR="00CF190C" w:rsidRPr="00854EC4" w:rsidRDefault="00CF190C" w:rsidP="00ED70C4">
      <w:pPr>
        <w:pStyle w:val="TableFigureFooter"/>
        <w:rPr>
          <w:i/>
        </w:rPr>
      </w:pPr>
      <w:r w:rsidRPr="00854EC4">
        <w:rPr>
          <w:i/>
        </w:rPr>
        <w:t>The redacted values correspond to the following ranges:</w:t>
      </w:r>
    </w:p>
    <w:p w:rsidR="00CF190C" w:rsidRPr="00854EC4" w:rsidRDefault="00CF190C" w:rsidP="00ED70C4">
      <w:pPr>
        <w:pStyle w:val="TableFigureFooter"/>
        <w:rPr>
          <w:i/>
        </w:rPr>
      </w:pPr>
      <w:r w:rsidRPr="00854EC4">
        <w:rPr>
          <w:i/>
          <w:vertAlign w:val="superscript"/>
        </w:rPr>
        <w:t>1</w:t>
      </w:r>
      <w:r w:rsidR="0097486B" w:rsidRPr="00854EC4">
        <w:rPr>
          <w:i/>
        </w:rPr>
        <w:t xml:space="preserve"> $55,000 to &lt; $75,000/QALY gained</w:t>
      </w:r>
    </w:p>
    <w:p w:rsidR="00357E94" w:rsidRPr="00854EC4" w:rsidRDefault="00357E94" w:rsidP="00ED70C4">
      <w:pPr>
        <w:pStyle w:val="TableFigureFooter"/>
        <w:rPr>
          <w:i/>
        </w:rPr>
      </w:pPr>
      <w:r w:rsidRPr="00854EC4">
        <w:rPr>
          <w:i/>
          <w:vertAlign w:val="superscript"/>
        </w:rPr>
        <w:t>2</w:t>
      </w:r>
      <w:r w:rsidRPr="00854EC4">
        <w:rPr>
          <w:i/>
        </w:rPr>
        <w:t xml:space="preserve"> $75,000 to &lt; $95,000/QALY gained</w:t>
      </w:r>
    </w:p>
    <w:p w:rsidR="009A589C" w:rsidRPr="00854EC4" w:rsidRDefault="00357E94" w:rsidP="00ED70C4">
      <w:pPr>
        <w:pStyle w:val="TableFigureFooter"/>
        <w:rPr>
          <w:i/>
        </w:rPr>
      </w:pPr>
      <w:r w:rsidRPr="00854EC4">
        <w:rPr>
          <w:i/>
          <w:vertAlign w:val="superscript"/>
        </w:rPr>
        <w:lastRenderedPageBreak/>
        <w:t>3</w:t>
      </w:r>
      <w:r w:rsidRPr="00854EC4">
        <w:rPr>
          <w:i/>
        </w:rPr>
        <w:t xml:space="preserve"> $135,000 to &lt; $155,000/QALY gained</w:t>
      </w:r>
    </w:p>
    <w:p w:rsidR="00357E94" w:rsidRPr="00854EC4" w:rsidRDefault="00357E94" w:rsidP="00ED70C4">
      <w:pPr>
        <w:pStyle w:val="TableFigureFooter"/>
        <w:rPr>
          <w:i/>
        </w:rPr>
      </w:pPr>
      <w:r w:rsidRPr="00854EC4">
        <w:rPr>
          <w:i/>
          <w:vertAlign w:val="superscript"/>
        </w:rPr>
        <w:t>4</w:t>
      </w:r>
      <w:r w:rsidRPr="00854EC4">
        <w:rPr>
          <w:i/>
        </w:rPr>
        <w:t xml:space="preserve"> $115,000 to &lt; $135,000/QALY gained </w:t>
      </w:r>
    </w:p>
    <w:p w:rsidR="00357E94" w:rsidRPr="00854EC4" w:rsidRDefault="00357E94" w:rsidP="00ED70C4">
      <w:pPr>
        <w:pStyle w:val="TableFigureFooter"/>
        <w:rPr>
          <w:i/>
        </w:rPr>
      </w:pPr>
      <w:r w:rsidRPr="00854EC4">
        <w:rPr>
          <w:i/>
          <w:vertAlign w:val="superscript"/>
        </w:rPr>
        <w:t>5</w:t>
      </w:r>
      <w:r w:rsidRPr="00854EC4">
        <w:rPr>
          <w:i/>
        </w:rPr>
        <w:t xml:space="preserve"> $95,000 to &lt; $115,000/QALY gained</w:t>
      </w:r>
    </w:p>
    <w:p w:rsidR="009A589C" w:rsidRPr="00854EC4" w:rsidRDefault="009A589C" w:rsidP="00ED70C4">
      <w:pPr>
        <w:pStyle w:val="TableFigureFooter"/>
        <w:rPr>
          <w:i/>
        </w:rPr>
      </w:pPr>
      <w:r w:rsidRPr="00854EC4">
        <w:rPr>
          <w:i/>
          <w:vertAlign w:val="superscript"/>
        </w:rPr>
        <w:t>6</w:t>
      </w:r>
      <w:r w:rsidRPr="00854EC4">
        <w:rPr>
          <w:i/>
        </w:rPr>
        <w:t xml:space="preserve"> $45,000 to &lt; $55,000/QALY gained</w:t>
      </w:r>
    </w:p>
    <w:p w:rsidR="009A589C" w:rsidRPr="00854EC4" w:rsidRDefault="009A589C" w:rsidP="00ED70C4">
      <w:pPr>
        <w:pStyle w:val="TableFigureFooter"/>
        <w:rPr>
          <w:i/>
        </w:rPr>
      </w:pPr>
      <w:r w:rsidRPr="00854EC4">
        <w:rPr>
          <w:i/>
          <w:vertAlign w:val="superscript"/>
        </w:rPr>
        <w:t>7</w:t>
      </w:r>
      <w:r w:rsidRPr="00854EC4">
        <w:rPr>
          <w:i/>
        </w:rPr>
        <w:t xml:space="preserve"> $35,000 to &lt; $45,000/QALY gained</w:t>
      </w:r>
    </w:p>
    <w:p w:rsidR="00C25EFD" w:rsidRPr="00E209B2" w:rsidRDefault="00DC617F" w:rsidP="008553D8">
      <w:pPr>
        <w:pStyle w:val="ExecSumBodyText"/>
        <w:rPr>
          <w:i/>
        </w:rPr>
      </w:pPr>
      <w:r w:rsidRPr="00E209B2" w:rsidDel="00215C6E">
        <w:t>The results of sensitivity analyses indicate that the model is most sensitive to a reduction in the model time horizon, the choice of parametric extrapolation for overall survival for the avelumab + BSC arm, and the proportion of patients in the BSC arm receiving pembrolizumab as a subsequent anticancer treatment.</w:t>
      </w:r>
      <w:r w:rsidR="00C25EFD" w:rsidRPr="00E209B2">
        <w:t xml:space="preserve"> </w:t>
      </w:r>
    </w:p>
    <w:p w:rsidR="00352366" w:rsidRPr="00E209B2" w:rsidRDefault="00352366" w:rsidP="00352366">
      <w:pPr>
        <w:pStyle w:val="ExecSumBodyText"/>
      </w:pPr>
      <w:r w:rsidRPr="00E209B2">
        <w:t>The ESC considered that overall survival curve convergence would be appropriate to reflect the likely reduction in treatment benefits of avelumab over time. The ESC noted that overall survival curve convergence from 5 years to 7.5 years increased the ICER to $</w:t>
      </w:r>
      <w:r w:rsidR="00854EC4">
        <w:t>55,000 to &lt; $75,000</w:t>
      </w:r>
      <w:r w:rsidRPr="00E209B2">
        <w:t xml:space="preserve"> per QALY.</w:t>
      </w:r>
    </w:p>
    <w:p w:rsidR="002E1C23" w:rsidRPr="00E209B2" w:rsidRDefault="002E1C23" w:rsidP="002E1C23">
      <w:pPr>
        <w:pStyle w:val="ExecSumBodyText"/>
      </w:pPr>
      <w:r w:rsidRPr="00E209B2">
        <w:t>The ESC noted the base case scenario included the proposed financial stopping rule where the cost of avelumab incurred after the</w:t>
      </w:r>
      <w:r w:rsidR="004C5AD1" w:rsidRPr="00E209B2">
        <w:t xml:space="preserve"> fourth year of treatment would </w:t>
      </w:r>
      <w:r w:rsidRPr="00E209B2">
        <w:t>be provided as a rebate to government. The ESC noted this had a substantial effect on the ICER</w:t>
      </w:r>
      <w:r w:rsidR="00944DEA" w:rsidRPr="00E209B2">
        <w:t>,</w:t>
      </w:r>
      <w:r w:rsidRPr="00E209B2">
        <w:t xml:space="preserve"> which increased </w:t>
      </w:r>
      <w:r w:rsidR="004C5AD1" w:rsidRPr="00E209B2">
        <w:t>from $</w:t>
      </w:r>
      <w:r w:rsidR="008C310E">
        <w:t>55,000 to &lt; $75,000</w:t>
      </w:r>
      <w:r w:rsidR="004C5AD1" w:rsidRPr="00E209B2">
        <w:t xml:space="preserve"> per QALY </w:t>
      </w:r>
      <w:r w:rsidR="00944DEA" w:rsidRPr="00E209B2">
        <w:t xml:space="preserve">(base case) </w:t>
      </w:r>
      <w:r w:rsidRPr="00E209B2">
        <w:t>to $</w:t>
      </w:r>
      <w:r w:rsidR="008C310E">
        <w:t>95,000 to &lt; $115,000</w:t>
      </w:r>
      <w:r w:rsidR="004C5AD1" w:rsidRPr="00E209B2">
        <w:t xml:space="preserve"> per QALY </w:t>
      </w:r>
      <w:r w:rsidRPr="00E209B2">
        <w:t xml:space="preserve">when </w:t>
      </w:r>
      <w:r w:rsidR="004C5AD1" w:rsidRPr="00E209B2">
        <w:t xml:space="preserve">the </w:t>
      </w:r>
      <w:r w:rsidRPr="00E209B2">
        <w:t>stopping rule</w:t>
      </w:r>
      <w:r w:rsidR="004C5AD1" w:rsidRPr="00E209B2">
        <w:t xml:space="preserve"> was removed</w:t>
      </w:r>
      <w:r w:rsidRPr="00E209B2">
        <w:t>.</w:t>
      </w:r>
      <w:r w:rsidR="004C5AD1" w:rsidRPr="00E209B2">
        <w:t xml:space="preserve"> As outlined in </w:t>
      </w:r>
      <w:r w:rsidR="004C5AD1" w:rsidRPr="002B5A63">
        <w:t>paragraph 6.</w:t>
      </w:r>
      <w:r w:rsidR="00A211EA" w:rsidRPr="002B5A63">
        <w:t>7</w:t>
      </w:r>
      <w:r w:rsidR="00125BAE">
        <w:t>0</w:t>
      </w:r>
      <w:r w:rsidR="004C5AD1" w:rsidRPr="00E209B2">
        <w:t xml:space="preserve">, the ESC </w:t>
      </w:r>
      <w:r w:rsidR="0017541E" w:rsidRPr="00E209B2">
        <w:t xml:space="preserve">and DUSC </w:t>
      </w:r>
      <w:r w:rsidR="004C5AD1" w:rsidRPr="00E209B2">
        <w:t>considered the proposed four year stopping rule inappropriate</w:t>
      </w:r>
      <w:r w:rsidR="00E209B2">
        <w:t xml:space="preserve">. </w:t>
      </w:r>
    </w:p>
    <w:p w:rsidR="00215C6E" w:rsidRPr="00D7767F" w:rsidRDefault="00215C6E" w:rsidP="008553D8">
      <w:pPr>
        <w:pStyle w:val="ExecSumBodyText"/>
        <w:rPr>
          <w:i/>
        </w:rPr>
      </w:pPr>
      <w:r w:rsidRPr="00E209B2">
        <w:t>In the economic model, costs associated with avelumab treatment were estimated by fitting parametric functions to the time to treatment discontinuation data reported for the JAVELIN Bladder 100 trial. In the base case, Kaplan</w:t>
      </w:r>
      <w:r w:rsidR="00C25EFD" w:rsidRPr="00E209B2">
        <w:t>-</w:t>
      </w:r>
      <w:r w:rsidRPr="00E209B2">
        <w:t xml:space="preserve">Meier data for the avelumab + BSC arm </w:t>
      </w:r>
      <w:r w:rsidRPr="00A4523B">
        <w:t>were extrapolated using a generalised gamma function, resulting in a mean treatment duration of 16.74 months.</w:t>
      </w:r>
      <w:r w:rsidR="00E27A19" w:rsidRPr="00A4523B">
        <w:t xml:space="preserve"> The PSCR argued </w:t>
      </w:r>
      <w:r w:rsidR="00E27A19" w:rsidRPr="00A4523B">
        <w:rPr>
          <w:iCs/>
        </w:rPr>
        <w:t>the extrapolation must be considered in the context of the observed Kaplan-Meier survival rather than based on a comparison of median follow-up versus the time horizon. The ESC considered</w:t>
      </w:r>
      <w:r w:rsidRPr="00A4523B">
        <w:t xml:space="preserve"> </w:t>
      </w:r>
      <w:r w:rsidR="008553D8" w:rsidRPr="00A4523B">
        <w:t xml:space="preserve">the choice of extrapolation functions in the submission was not adequately justified. The ESC advised that </w:t>
      </w:r>
      <w:r w:rsidR="00E27A19" w:rsidRPr="00A4523B">
        <w:t>t</w:t>
      </w:r>
      <w:r w:rsidRPr="00A4523B">
        <w:t xml:space="preserve">he alternative extrapolation functions </w:t>
      </w:r>
      <w:r w:rsidR="008553D8" w:rsidRPr="00A4523B">
        <w:t xml:space="preserve">presented in the sensitivity analyses could </w:t>
      </w:r>
      <w:r w:rsidRPr="00A4523B">
        <w:t>be used to explore the impact of different mean treatment durations</w:t>
      </w:r>
      <w:r w:rsidR="002E1C23" w:rsidRPr="00A4523B">
        <w:t xml:space="preserve"> (see Table 15)</w:t>
      </w:r>
      <w:r w:rsidRPr="00A4523B">
        <w:t xml:space="preserve">. However, </w:t>
      </w:r>
      <w:r w:rsidR="00E27A19" w:rsidRPr="00A4523B">
        <w:t xml:space="preserve">the ESC </w:t>
      </w:r>
      <w:r w:rsidRPr="00A4523B">
        <w:t>note</w:t>
      </w:r>
      <w:r w:rsidR="00E27A19" w:rsidRPr="00A4523B">
        <w:t>d</w:t>
      </w:r>
      <w:r w:rsidRPr="00A4523B">
        <w:t xml:space="preserve"> that time to treatment discontinuation </w:t>
      </w:r>
      <w:r w:rsidR="00E27A19" w:rsidRPr="00A4523B">
        <w:t>in the model wa</w:t>
      </w:r>
      <w:r w:rsidRPr="00A4523B">
        <w:t>s independent of health outcomes (i.e. affects avelumab drug costs only), and therefore the sensitivity analyses</w:t>
      </w:r>
      <w:r w:rsidR="00E27A19" w:rsidRPr="00A4523B">
        <w:t xml:space="preserve"> above</w:t>
      </w:r>
      <w:r w:rsidRPr="00A4523B">
        <w:t xml:space="preserve"> do not capture the impact of differences in treatment duration on clinical outcomes.</w:t>
      </w:r>
      <w:r w:rsidR="00D7767F" w:rsidRPr="00A4523B">
        <w:t xml:space="preserve"> </w:t>
      </w:r>
      <w:r w:rsidR="00047D84" w:rsidRPr="00A4523B">
        <w:t xml:space="preserve">The PBAC noted that extrapolation of the time to treatment discontinuation with the generalised gamma function resulted in a proportion of patients being on treatment for a very long duration with 12%, 4% and 3% on treatment at 5, 7.5 and 10 years, respectively. </w:t>
      </w:r>
      <w:r w:rsidR="00D7767F" w:rsidRPr="00A4523B">
        <w:t xml:space="preserve">The PBAC considered that a </w:t>
      </w:r>
      <w:r w:rsidR="00047D84" w:rsidRPr="00A4523B">
        <w:t>more appropriate</w:t>
      </w:r>
      <w:r w:rsidR="00D7767F" w:rsidRPr="00A4523B">
        <w:t xml:space="preserve"> ap</w:t>
      </w:r>
      <w:r w:rsidR="00D7767F" w:rsidRPr="00A4523B">
        <w:lastRenderedPageBreak/>
        <w:t>proach to the extrapolation of time to treatment discontinuation for avelumab + BSC would be us</w:t>
      </w:r>
      <w:r w:rsidR="00047D84" w:rsidRPr="00A4523B">
        <w:t>e of</w:t>
      </w:r>
      <w:r w:rsidR="00D7767F" w:rsidRPr="00A4523B">
        <w:t xml:space="preserve"> an exponential function </w:t>
      </w:r>
      <w:r w:rsidR="00047D84" w:rsidRPr="00A4523B">
        <w:t xml:space="preserve">for which </w:t>
      </w:r>
      <w:r w:rsidR="00D7767F" w:rsidRPr="00A4523B">
        <w:t>the resulting mean treatment duration was 12.64 months</w:t>
      </w:r>
      <w:r w:rsidR="00047D84" w:rsidRPr="00A4523B">
        <w:t xml:space="preserve"> with only 1% of patients remaining on treatment</w:t>
      </w:r>
      <w:r w:rsidR="00047D84">
        <w:t xml:space="preserve"> at 5 years</w:t>
      </w:r>
      <w:r w:rsidR="00D7767F">
        <w:t xml:space="preserve">.  </w:t>
      </w:r>
    </w:p>
    <w:p w:rsidR="00C25D9C" w:rsidRPr="00E209B2" w:rsidRDefault="00C25D9C" w:rsidP="00BB732D">
      <w:pPr>
        <w:pStyle w:val="3-SubsectionHeading"/>
      </w:pPr>
      <w:bookmarkStart w:id="24" w:name="_Toc22897646"/>
      <w:bookmarkStart w:id="25" w:name="_Toc62036127"/>
      <w:r w:rsidRPr="00E209B2">
        <w:t>Drug</w:t>
      </w:r>
      <w:r w:rsidR="005712E4" w:rsidRPr="00E209B2">
        <w:t xml:space="preserve"> </w:t>
      </w:r>
      <w:r w:rsidRPr="00E209B2">
        <w:t>cost/patient</w:t>
      </w:r>
      <w:bookmarkEnd w:id="24"/>
      <w:r w:rsidR="00127686" w:rsidRPr="00E209B2">
        <w:t>/course</w:t>
      </w:r>
      <w:bookmarkEnd w:id="25"/>
    </w:p>
    <w:p w:rsidR="00DA5164" w:rsidRPr="00E209B2" w:rsidRDefault="00DA5164" w:rsidP="00290BBE">
      <w:pPr>
        <w:pStyle w:val="ExecSumBodyText"/>
      </w:pPr>
      <w:r w:rsidRPr="00E209B2">
        <w:t xml:space="preserve">The estimated drug cost per patient for avelumab is </w:t>
      </w:r>
      <w:r w:rsidR="00B143EB" w:rsidRPr="00E209B2">
        <w:t>$</w:t>
      </w:r>
      <w:r w:rsidR="001529E4">
        <w:rPr>
          <w:noProof/>
          <w:color w:val="000000"/>
          <w:highlight w:val="black"/>
        </w:rPr>
        <w:t>'''''''''''''''''</w:t>
      </w:r>
      <w:r w:rsidR="00B143EB" w:rsidRPr="00E209B2">
        <w:t>, based on the requested effective DPMA of $</w:t>
      </w:r>
      <w:r w:rsidR="001529E4">
        <w:rPr>
          <w:noProof/>
          <w:color w:val="000000"/>
          <w:highlight w:val="black"/>
        </w:rPr>
        <w:t>'''''''''''''''</w:t>
      </w:r>
      <w:r w:rsidR="00ED70C4" w:rsidRPr="00E209B2">
        <w:t xml:space="preserve">, </w:t>
      </w:r>
      <w:r w:rsidR="00B143EB" w:rsidRPr="00E209B2">
        <w:t xml:space="preserve">assuming </w:t>
      </w:r>
      <w:r w:rsidR="00ED70C4" w:rsidRPr="00E209B2">
        <w:t xml:space="preserve">a </w:t>
      </w:r>
      <w:r w:rsidR="00B143EB" w:rsidRPr="00E209B2">
        <w:t>24.4% public/75.6% private split</w:t>
      </w:r>
      <w:r w:rsidR="00BB77C5" w:rsidRPr="00E209B2">
        <w:t xml:space="preserve"> (based on pembrolizumab dispensing PBS data (October 2019 to September 2020)</w:t>
      </w:r>
      <w:r w:rsidR="00B143EB" w:rsidRPr="00E209B2">
        <w:t>, a dose of 800 mg every 2 weeks</w:t>
      </w:r>
      <w:r w:rsidR="00ED70C4" w:rsidRPr="00E209B2">
        <w:t xml:space="preserve">, </w:t>
      </w:r>
      <w:r w:rsidR="00B143EB" w:rsidRPr="00E209B2">
        <w:t>100% compliance</w:t>
      </w:r>
      <w:r w:rsidR="00ED70C4" w:rsidRPr="00E209B2">
        <w:t xml:space="preserve"> with treatment</w:t>
      </w:r>
      <w:r w:rsidR="006F5B36" w:rsidRPr="00E209B2">
        <w:t xml:space="preserve"> and the treatment duration from the economic model </w:t>
      </w:r>
      <w:r w:rsidR="006F5B36" w:rsidRPr="00A4523B">
        <w:t>base case of 16.74 months</w:t>
      </w:r>
      <w:r w:rsidR="00B143EB" w:rsidRPr="00E209B2">
        <w:t>.</w:t>
      </w:r>
      <w:r w:rsidR="00243C43" w:rsidRPr="00E209B2">
        <w:t xml:space="preserve"> </w:t>
      </w:r>
      <w:r w:rsidR="00243C43" w:rsidRPr="00E209B2">
        <w:rPr>
          <w:iCs/>
        </w:rPr>
        <w:t>The approach to estimating the cost of avelumab was consistent across the economic analysis and financial estimates.</w:t>
      </w:r>
    </w:p>
    <w:p w:rsidR="00B60939" w:rsidRPr="00E209B2" w:rsidRDefault="00B60939" w:rsidP="002B05A1">
      <w:pPr>
        <w:pStyle w:val="3-SubsectionHeading"/>
      </w:pPr>
      <w:bookmarkStart w:id="26" w:name="_Toc22897647"/>
      <w:bookmarkStart w:id="27" w:name="_Toc62036128"/>
      <w:r w:rsidRPr="00E209B2">
        <w:t>Estimated PBS usage &amp; financial implications</w:t>
      </w:r>
      <w:bookmarkEnd w:id="26"/>
      <w:bookmarkEnd w:id="27"/>
    </w:p>
    <w:p w:rsidR="00F320D2" w:rsidRPr="00E209B2" w:rsidRDefault="00F320D2" w:rsidP="00F320D2">
      <w:pPr>
        <w:pStyle w:val="ExecSumBodyText"/>
        <w:numPr>
          <w:ilvl w:val="1"/>
          <w:numId w:val="1"/>
        </w:numPr>
        <w:rPr>
          <w:color w:val="0066FF"/>
        </w:rPr>
      </w:pPr>
      <w:bookmarkStart w:id="28" w:name="_Toc22897649"/>
      <w:bookmarkStart w:id="29" w:name="_Toc62036130"/>
      <w:r w:rsidRPr="00E209B2">
        <w:t xml:space="preserve">The submission was considered by DUSC. </w:t>
      </w:r>
    </w:p>
    <w:p w:rsidR="00F320D2" w:rsidRPr="00E209B2" w:rsidRDefault="00F320D2" w:rsidP="00F320D2">
      <w:pPr>
        <w:pStyle w:val="ExecSumBodyText"/>
        <w:numPr>
          <w:ilvl w:val="1"/>
          <w:numId w:val="1"/>
        </w:numPr>
        <w:rPr>
          <w:color w:val="0066FF"/>
        </w:rPr>
      </w:pPr>
      <w:r w:rsidRPr="00E209B2">
        <w:t xml:space="preserve">The submission used an epidemiological approach to estimate the utilisation and financial impacts associated with the PBS listing of avelumab for the </w:t>
      </w:r>
      <w:r w:rsidR="00B46F99" w:rsidRPr="00E209B2">
        <w:t>proposed indication</w:t>
      </w:r>
      <w:r w:rsidRPr="00E209B2">
        <w:t xml:space="preserve">. </w:t>
      </w:r>
    </w:p>
    <w:p w:rsidR="00F320D2" w:rsidRPr="00E209B2" w:rsidRDefault="00F320D2" w:rsidP="00F320D2">
      <w:pPr>
        <w:pStyle w:val="TableFigureCaption"/>
      </w:pPr>
      <w:r w:rsidRPr="00E209B2">
        <w:t>Table 15: Key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4802"/>
        <w:gridCol w:w="2501"/>
      </w:tblGrid>
      <w:tr w:rsidR="00F320D2" w:rsidRPr="00E209B2" w:rsidTr="00F320D2">
        <w:trPr>
          <w:tblHeader/>
        </w:trPr>
        <w:tc>
          <w:tcPr>
            <w:tcW w:w="950" w:type="pct"/>
            <w:shd w:val="clear" w:color="auto" w:fill="auto"/>
            <w:vAlign w:val="center"/>
          </w:tcPr>
          <w:p w:rsidR="00F320D2" w:rsidRPr="00E209B2" w:rsidRDefault="00F320D2" w:rsidP="00F320D2">
            <w:pPr>
              <w:pStyle w:val="Tableheadingrow"/>
              <w:keepNext w:val="0"/>
              <w:rPr>
                <w:lang w:val="en-AU"/>
              </w:rPr>
            </w:pPr>
            <w:r w:rsidRPr="00E209B2">
              <w:rPr>
                <w:lang w:val="en-AU"/>
              </w:rPr>
              <w:t>Parameter</w:t>
            </w:r>
          </w:p>
        </w:tc>
        <w:tc>
          <w:tcPr>
            <w:tcW w:w="2663" w:type="pct"/>
            <w:shd w:val="clear" w:color="auto" w:fill="auto"/>
            <w:vAlign w:val="center"/>
          </w:tcPr>
          <w:p w:rsidR="00F320D2" w:rsidRPr="00E209B2" w:rsidRDefault="00F320D2" w:rsidP="00F320D2">
            <w:pPr>
              <w:pStyle w:val="Tableheadingrow"/>
              <w:keepNext w:val="0"/>
              <w:jc w:val="center"/>
              <w:rPr>
                <w:lang w:val="en-AU"/>
              </w:rPr>
            </w:pPr>
            <w:r w:rsidRPr="00E209B2">
              <w:rPr>
                <w:lang w:val="en-AU"/>
              </w:rPr>
              <w:t>Value applied and source</w:t>
            </w:r>
          </w:p>
        </w:tc>
        <w:tc>
          <w:tcPr>
            <w:tcW w:w="1387" w:type="pct"/>
            <w:shd w:val="clear" w:color="auto" w:fill="auto"/>
            <w:vAlign w:val="center"/>
          </w:tcPr>
          <w:p w:rsidR="00F320D2" w:rsidRPr="00E209B2" w:rsidRDefault="00F320D2" w:rsidP="00F320D2">
            <w:pPr>
              <w:pStyle w:val="Tableheadingrow"/>
              <w:keepNext w:val="0"/>
              <w:jc w:val="center"/>
              <w:rPr>
                <w:lang w:val="en-AU"/>
              </w:rPr>
            </w:pPr>
            <w:r w:rsidRPr="00E209B2">
              <w:rPr>
                <w:lang w:val="en-AU"/>
              </w:rPr>
              <w:t>Comment</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Urinary tract cancer incidence per 100,000 (2021 to 2026)</w:t>
            </w:r>
          </w:p>
        </w:tc>
        <w:tc>
          <w:tcPr>
            <w:tcW w:w="2663" w:type="pct"/>
            <w:shd w:val="clear" w:color="auto" w:fill="auto"/>
            <w:vAlign w:val="center"/>
          </w:tcPr>
          <w:p w:rsidR="00F320D2" w:rsidRPr="00E209B2" w:rsidRDefault="00F320D2" w:rsidP="00F320D2">
            <w:pPr>
              <w:pStyle w:val="TableText"/>
              <w:keepNext w:val="0"/>
            </w:pPr>
            <w:r w:rsidRPr="00E209B2">
              <w:t xml:space="preserve">Bladder: 12.09 to 12.59; Renal pelvis: 1.14 to 1.01; Ureter: 0.50 to 0.40; Urethral: 0.25 to 0.27. The historical incidence rate per 100,000 was estimated for each year by dividing the number of cases reported by the AIHW (bladder cancer: Cancer Data in Australia, 2020; renal pelvis, ureter, urethral: 2016 Australian Cancer Database pivot table) by the Australian population estimate. A linear </w:t>
            </w:r>
            <w:r w:rsidR="001E5647" w:rsidRPr="00E209B2">
              <w:t>trend line</w:t>
            </w:r>
            <w:r w:rsidRPr="00E209B2">
              <w:t xml:space="preserve"> was fitted to the historical data to estimate the incidence rate of bladder cancer in each year over the period 2021 to 2026.</w:t>
            </w:r>
          </w:p>
        </w:tc>
        <w:tc>
          <w:tcPr>
            <w:tcW w:w="1387" w:type="pct"/>
            <w:shd w:val="clear" w:color="auto" w:fill="auto"/>
          </w:tcPr>
          <w:p w:rsidR="00F320D2" w:rsidRPr="00E209B2" w:rsidRDefault="00F320D2" w:rsidP="00F320D2">
            <w:pPr>
              <w:pStyle w:val="TableText"/>
              <w:keepNext w:val="0"/>
              <w:rPr>
                <w:iCs/>
              </w:rPr>
            </w:pPr>
            <w:r w:rsidRPr="00E209B2">
              <w:rPr>
                <w:iCs/>
              </w:rPr>
              <w:t>The evaluation considered the approach taken in the submission appeared reasonable.</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Proportion of bladder cancer that is urothelial carcinoma</w:t>
            </w:r>
          </w:p>
        </w:tc>
        <w:tc>
          <w:tcPr>
            <w:tcW w:w="2663" w:type="pct"/>
            <w:shd w:val="clear" w:color="auto" w:fill="auto"/>
            <w:vAlign w:val="center"/>
          </w:tcPr>
          <w:p w:rsidR="00F320D2" w:rsidRPr="00E209B2" w:rsidRDefault="00F320D2" w:rsidP="00F320D2">
            <w:pPr>
              <w:pStyle w:val="TableText"/>
              <w:keepNext w:val="0"/>
            </w:pPr>
            <w:r w:rsidRPr="00E209B2">
              <w:t>93.7%; weighted average proportion weighted by sample size across 6 studies (Martin et al., 2020; Deuker et al., 2020; Abdel-Rahman, 2017a); Abdel-Rahman, 2017b; Patel et al., 2015; Boustead et al., 2014).</w:t>
            </w:r>
          </w:p>
        </w:tc>
        <w:tc>
          <w:tcPr>
            <w:tcW w:w="1387" w:type="pct"/>
            <w:shd w:val="clear" w:color="auto" w:fill="auto"/>
            <w:vAlign w:val="center"/>
          </w:tcPr>
          <w:p w:rsidR="00F320D2" w:rsidRPr="00E209B2" w:rsidRDefault="00F320D2" w:rsidP="00F320D2">
            <w:pPr>
              <w:pStyle w:val="TableText"/>
              <w:keepNext w:val="0"/>
            </w:pPr>
            <w:r w:rsidRPr="00E209B2">
              <w:t>The evaluation considered the estimate appeared reasonable.</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Proportion of urethral cancer that is urothelial carcinoma</w:t>
            </w:r>
          </w:p>
        </w:tc>
        <w:tc>
          <w:tcPr>
            <w:tcW w:w="2663" w:type="pct"/>
            <w:shd w:val="clear" w:color="auto" w:fill="auto"/>
            <w:vAlign w:val="center"/>
          </w:tcPr>
          <w:p w:rsidR="00F320D2" w:rsidRPr="00E209B2" w:rsidRDefault="00F320D2" w:rsidP="00F320D2">
            <w:pPr>
              <w:pStyle w:val="TableText"/>
              <w:keepNext w:val="0"/>
            </w:pPr>
            <w:r w:rsidRPr="00E209B2">
              <w:t>42%; Surveillance, Epidemiology, and End Results (SEER) registry in the years between 2004 and 2010 (Aleksic et al., 2018).</w:t>
            </w:r>
          </w:p>
        </w:tc>
        <w:tc>
          <w:tcPr>
            <w:tcW w:w="1387" w:type="pct"/>
            <w:shd w:val="clear" w:color="auto" w:fill="auto"/>
            <w:vAlign w:val="center"/>
          </w:tcPr>
          <w:p w:rsidR="00F320D2" w:rsidRPr="00E209B2" w:rsidRDefault="00F320D2" w:rsidP="00F320D2">
            <w:pPr>
              <w:pStyle w:val="TableText"/>
              <w:keepNext w:val="0"/>
            </w:pPr>
            <w:r w:rsidRPr="00E209B2">
              <w:t>The evaluation considered the estimate appeared reasonable.</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Proportion of renal pelvis and ureter cancer that is urothelial carcinoma</w:t>
            </w:r>
          </w:p>
        </w:tc>
        <w:tc>
          <w:tcPr>
            <w:tcW w:w="2663" w:type="pct"/>
            <w:shd w:val="clear" w:color="auto" w:fill="auto"/>
            <w:vAlign w:val="center"/>
          </w:tcPr>
          <w:p w:rsidR="00F320D2" w:rsidRPr="00E209B2" w:rsidRDefault="00F320D2" w:rsidP="00F320D2">
            <w:pPr>
              <w:pStyle w:val="TableText"/>
              <w:keepNext w:val="0"/>
            </w:pPr>
            <w:r w:rsidRPr="00E209B2">
              <w:t>87%; Population-based cancer registry in Denmark (Wihlborg et al., 2010).</w:t>
            </w:r>
          </w:p>
        </w:tc>
        <w:tc>
          <w:tcPr>
            <w:tcW w:w="1387" w:type="pct"/>
            <w:shd w:val="clear" w:color="auto" w:fill="auto"/>
            <w:vAlign w:val="center"/>
          </w:tcPr>
          <w:p w:rsidR="00F320D2" w:rsidRPr="00E209B2" w:rsidRDefault="00F320D2" w:rsidP="00F320D2">
            <w:pPr>
              <w:pStyle w:val="TableText"/>
              <w:keepNext w:val="0"/>
            </w:pPr>
            <w:r w:rsidRPr="00E209B2">
              <w:t>The evaluation considered the estimate appeared reasonable.</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Bladder cancer TNM distribution at diagnosis</w:t>
            </w:r>
          </w:p>
        </w:tc>
        <w:tc>
          <w:tcPr>
            <w:tcW w:w="2663" w:type="pct"/>
            <w:shd w:val="clear" w:color="auto" w:fill="auto"/>
            <w:vAlign w:val="center"/>
          </w:tcPr>
          <w:p w:rsidR="00F320D2" w:rsidRPr="00E209B2" w:rsidRDefault="00F320D2" w:rsidP="00F320D2">
            <w:pPr>
              <w:pStyle w:val="TableText"/>
              <w:keepNext w:val="0"/>
            </w:pPr>
            <w:r w:rsidRPr="00E209B2">
              <w:t>Average proportion weighted by sample size across 5 studies (Boustead et al., 2013; Deuker et al., 2020; Danforth et al., 2020; Niu et al., 2012; and David et al., 2009).</w:t>
            </w:r>
          </w:p>
        </w:tc>
        <w:tc>
          <w:tcPr>
            <w:tcW w:w="1387" w:type="pct"/>
            <w:shd w:val="clear" w:color="auto" w:fill="auto"/>
            <w:vAlign w:val="center"/>
          </w:tcPr>
          <w:p w:rsidR="00F320D2" w:rsidRPr="00E209B2" w:rsidRDefault="00F320D2" w:rsidP="00F320D2">
            <w:pPr>
              <w:pStyle w:val="TableText"/>
              <w:keepNext w:val="0"/>
            </w:pPr>
            <w:r w:rsidRPr="00E209B2">
              <w:t>The evaluation considered the estimate appeared reasonable.</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Renal pelvis, ureter and urethra cancer TNM distribution at diagnosis</w:t>
            </w:r>
          </w:p>
        </w:tc>
        <w:tc>
          <w:tcPr>
            <w:tcW w:w="2663" w:type="pct"/>
            <w:shd w:val="clear" w:color="auto" w:fill="auto"/>
            <w:vAlign w:val="center"/>
          </w:tcPr>
          <w:p w:rsidR="00F320D2" w:rsidRPr="00E209B2" w:rsidRDefault="00F320D2" w:rsidP="00F320D2">
            <w:pPr>
              <w:pStyle w:val="TableText"/>
              <w:keepNext w:val="0"/>
            </w:pPr>
            <w:r w:rsidRPr="00E209B2">
              <w:t>Derived from a study of patients diagnosed between 1997 and 2000 in the US National Cancer Data Base (NCDB; David et al., 2009).</w:t>
            </w:r>
          </w:p>
        </w:tc>
        <w:tc>
          <w:tcPr>
            <w:tcW w:w="1387" w:type="pct"/>
            <w:shd w:val="clear" w:color="auto" w:fill="auto"/>
            <w:vAlign w:val="center"/>
          </w:tcPr>
          <w:p w:rsidR="00F320D2" w:rsidRPr="00E209B2" w:rsidRDefault="00F320D2" w:rsidP="00F320D2">
            <w:pPr>
              <w:pStyle w:val="TableText"/>
              <w:keepNext w:val="0"/>
            </w:pPr>
            <w:r w:rsidRPr="00E209B2">
              <w:t>The evaluation considered the estimate appeared reasonable.</w:t>
            </w:r>
          </w:p>
        </w:tc>
      </w:tr>
      <w:tr w:rsidR="00F320D2" w:rsidRPr="00E209B2" w:rsidTr="00F320D2">
        <w:tc>
          <w:tcPr>
            <w:tcW w:w="950" w:type="pct"/>
            <w:shd w:val="clear" w:color="auto" w:fill="auto"/>
          </w:tcPr>
          <w:p w:rsidR="00F320D2" w:rsidRPr="00E209B2" w:rsidRDefault="00F320D2" w:rsidP="00F320D2">
            <w:pPr>
              <w:pStyle w:val="TableText"/>
              <w:keepNext w:val="0"/>
            </w:pPr>
            <w:r w:rsidRPr="00E209B2">
              <w:t>Progression to LA &amp; mUC from Tis/Ta/T1 N0 M0 or T2 N0 M0</w:t>
            </w:r>
          </w:p>
        </w:tc>
        <w:tc>
          <w:tcPr>
            <w:tcW w:w="2663" w:type="pct"/>
            <w:shd w:val="clear" w:color="auto" w:fill="auto"/>
          </w:tcPr>
          <w:p w:rsidR="00F320D2" w:rsidRPr="00E209B2" w:rsidRDefault="00F320D2" w:rsidP="00F320D2">
            <w:pPr>
              <w:pStyle w:val="TableText"/>
              <w:keepNext w:val="0"/>
            </w:pPr>
            <w:r w:rsidRPr="00E209B2">
              <w:t>Yr1: 3%; Yr2: 5%; Yr3: 7%; Yr4: 9%; Yr5-6: 10%; Yr7: 11%; Yr8-9: 12%; Yr10: 13%. Average proportion weighted by sample size across 6 studies: Klatte et al. (2014); Pan et al. (2014); Bosset et al. (2015); Sylvester et al. (2006); Cambier et al. (2016); Fernandez-Gomez et al. (2009).</w:t>
            </w:r>
          </w:p>
        </w:tc>
        <w:tc>
          <w:tcPr>
            <w:tcW w:w="1387" w:type="pct"/>
            <w:shd w:val="clear" w:color="auto" w:fill="auto"/>
            <w:vAlign w:val="center"/>
          </w:tcPr>
          <w:p w:rsidR="00F320D2" w:rsidRPr="00E209B2" w:rsidRDefault="00F320D2" w:rsidP="00F320D2">
            <w:pPr>
              <w:pStyle w:val="TableText"/>
              <w:keepNext w:val="0"/>
            </w:pPr>
            <w:r w:rsidRPr="00E209B2">
              <w:t>The evaluation considered the approach taken in the submission appeared reasonable.</w:t>
            </w:r>
          </w:p>
        </w:tc>
      </w:tr>
      <w:tr w:rsidR="00F320D2" w:rsidRPr="00E209B2" w:rsidTr="00F320D2">
        <w:tc>
          <w:tcPr>
            <w:tcW w:w="950" w:type="pct"/>
            <w:shd w:val="clear" w:color="auto" w:fill="auto"/>
          </w:tcPr>
          <w:p w:rsidR="00F320D2" w:rsidRPr="00E209B2" w:rsidRDefault="00F320D2" w:rsidP="00F320D2">
            <w:pPr>
              <w:pStyle w:val="TableText"/>
              <w:keepNext w:val="0"/>
            </w:pPr>
            <w:r w:rsidRPr="00E209B2">
              <w:t>Proportion of patients receiving first-line platinum-containing chemotherapy</w:t>
            </w:r>
          </w:p>
        </w:tc>
        <w:tc>
          <w:tcPr>
            <w:tcW w:w="2663" w:type="pct"/>
            <w:shd w:val="clear" w:color="auto" w:fill="auto"/>
          </w:tcPr>
          <w:p w:rsidR="00F320D2" w:rsidRPr="00E209B2" w:rsidRDefault="00F320D2" w:rsidP="00F320D2">
            <w:pPr>
              <w:pStyle w:val="TableText"/>
              <w:keepNext w:val="0"/>
            </w:pPr>
            <w:r w:rsidRPr="00E209B2">
              <w:t>90%; clinician opinion. The submission also provided a literature-based estimate of 60% based on the weighted average of estimates from Barmias et al. (2018) and Sonpavde et al. (2012).</w:t>
            </w:r>
          </w:p>
        </w:tc>
        <w:tc>
          <w:tcPr>
            <w:tcW w:w="1387" w:type="pct"/>
            <w:shd w:val="clear" w:color="auto" w:fill="auto"/>
          </w:tcPr>
          <w:p w:rsidR="00F320D2" w:rsidRPr="00E209B2" w:rsidRDefault="00F320D2" w:rsidP="00F320D2">
            <w:pPr>
              <w:pStyle w:val="TableText"/>
              <w:keepNext w:val="0"/>
              <w:rPr>
                <w:iCs/>
              </w:rPr>
            </w:pPr>
            <w:r w:rsidRPr="00E209B2">
              <w:rPr>
                <w:iCs/>
              </w:rPr>
              <w:t xml:space="preserve">The </w:t>
            </w:r>
            <w:r w:rsidRPr="00E209B2">
              <w:t xml:space="preserve">evaluation considered the </w:t>
            </w:r>
            <w:r w:rsidRPr="00E209B2">
              <w:rPr>
                <w:iCs/>
              </w:rPr>
              <w:t>proportion of patients treated with first line platinum-containing chemotherapy was uncertain.</w:t>
            </w:r>
          </w:p>
        </w:tc>
      </w:tr>
      <w:tr w:rsidR="00F320D2" w:rsidRPr="00E209B2" w:rsidTr="00F320D2">
        <w:tc>
          <w:tcPr>
            <w:tcW w:w="950" w:type="pct"/>
            <w:shd w:val="clear" w:color="auto" w:fill="auto"/>
          </w:tcPr>
          <w:p w:rsidR="00F320D2" w:rsidRPr="00E209B2" w:rsidRDefault="00F320D2" w:rsidP="00F320D2">
            <w:pPr>
              <w:pStyle w:val="TableText"/>
              <w:keepNext w:val="0"/>
            </w:pPr>
            <w:r w:rsidRPr="00E209B2">
              <w:t>Proportion of patients free of disease progression post first-line platinum-containing chemotherapy</w:t>
            </w:r>
          </w:p>
        </w:tc>
        <w:tc>
          <w:tcPr>
            <w:tcW w:w="2663" w:type="pct"/>
            <w:shd w:val="clear" w:color="auto" w:fill="auto"/>
          </w:tcPr>
          <w:p w:rsidR="00F320D2" w:rsidRPr="00E209B2" w:rsidRDefault="00F320D2" w:rsidP="00F320D2">
            <w:pPr>
              <w:pStyle w:val="TableText"/>
              <w:keepNext w:val="0"/>
            </w:pPr>
            <w:r w:rsidRPr="00E209B2">
              <w:t>75%; clinician opinion. The submission also provided a literature-based estimate of 60% based on the weighted average of estimates from Barmias et al. (2013), Bellmont et al. (2012), Krege et al. (2014), Miller et al. (2016), Hussain et al. (2014) and Sternberg et al. (2013).</w:t>
            </w:r>
          </w:p>
        </w:tc>
        <w:tc>
          <w:tcPr>
            <w:tcW w:w="1387" w:type="pct"/>
            <w:shd w:val="clear" w:color="auto" w:fill="auto"/>
          </w:tcPr>
          <w:p w:rsidR="00F320D2" w:rsidRPr="00E209B2" w:rsidRDefault="00F320D2" w:rsidP="00F320D2">
            <w:pPr>
              <w:pStyle w:val="TableText"/>
              <w:keepNext w:val="0"/>
              <w:rPr>
                <w:iCs/>
              </w:rPr>
            </w:pPr>
            <w:r w:rsidRPr="00E209B2">
              <w:t xml:space="preserve">The evaluation considered </w:t>
            </w:r>
            <w:r w:rsidRPr="00E209B2">
              <w:rPr>
                <w:iCs/>
              </w:rPr>
              <w:t xml:space="preserve">the proportion uncertain given that no time parameters are specified in the proposed restriction. </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Uptake rate</w:t>
            </w:r>
          </w:p>
        </w:tc>
        <w:tc>
          <w:tcPr>
            <w:tcW w:w="2663" w:type="pct"/>
            <w:shd w:val="clear" w:color="auto" w:fill="auto"/>
            <w:vAlign w:val="center"/>
          </w:tcPr>
          <w:p w:rsidR="00F320D2" w:rsidRPr="00A4523B" w:rsidRDefault="00F320D2" w:rsidP="00F320D2">
            <w:pPr>
              <w:pStyle w:val="TableText"/>
              <w:keepNext w:val="0"/>
            </w:pPr>
            <w:r w:rsidRPr="00A4523B">
              <w:t>Yr 1: 65%; Yr 2: 90%; Yr 3: 95%; Yr 4: 95%; Yr 5: 95%; Yr 6: 95%. Based on sponsor assumption.</w:t>
            </w:r>
          </w:p>
        </w:tc>
        <w:tc>
          <w:tcPr>
            <w:tcW w:w="1387" w:type="pct"/>
            <w:shd w:val="clear" w:color="auto" w:fill="auto"/>
            <w:vAlign w:val="center"/>
          </w:tcPr>
          <w:p w:rsidR="00F320D2" w:rsidRPr="00E209B2" w:rsidRDefault="00F320D2" w:rsidP="00F320D2">
            <w:pPr>
              <w:pStyle w:val="TableText"/>
              <w:keepNext w:val="0"/>
            </w:pPr>
            <w:r w:rsidRPr="00E209B2">
              <w:t>The evaluation considered that uptake may be higher than estimated in Year 1 given that avelumab is recommended in treatment guidelines.</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lastRenderedPageBreak/>
              <w:t>Patients receiving subsequent treatments</w:t>
            </w:r>
          </w:p>
        </w:tc>
        <w:tc>
          <w:tcPr>
            <w:tcW w:w="2663" w:type="pct"/>
            <w:shd w:val="clear" w:color="auto" w:fill="auto"/>
            <w:vAlign w:val="center"/>
          </w:tcPr>
          <w:p w:rsidR="00F320D2" w:rsidRPr="00A4523B" w:rsidRDefault="00F320D2" w:rsidP="00F320D2">
            <w:pPr>
              <w:pStyle w:val="TableText"/>
              <w:keepNext w:val="0"/>
            </w:pPr>
            <w:r w:rsidRPr="00A4523B">
              <w:t>Avelumab listed: Yr 1: 69.9%; Yr 2: 8.3%; Yr 3: 5.6%; Yr 4: 3.5%; Yr 5: 2.4%; Yr 6: 1.8%.</w:t>
            </w:r>
          </w:p>
          <w:p w:rsidR="00F320D2" w:rsidRPr="00A4523B" w:rsidRDefault="00F320D2" w:rsidP="00F320D2">
            <w:pPr>
              <w:pStyle w:val="TableText"/>
              <w:keepNext w:val="0"/>
            </w:pPr>
            <w:r w:rsidRPr="00A4523B">
              <w:t>Avelumab not listed: Yr 1: 86.9%; Yr 2: 3.4%; Yr 3: 2.3%; Yr 4: 1.4%; Yr 5: 0.9%; Yr 6: 0.7%.</w:t>
            </w:r>
          </w:p>
          <w:p w:rsidR="00F320D2" w:rsidRPr="00A4523B" w:rsidRDefault="00F320D2" w:rsidP="00F320D2">
            <w:pPr>
              <w:pStyle w:val="TableText"/>
              <w:keepNext w:val="0"/>
            </w:pPr>
            <w:r w:rsidRPr="00A4523B">
              <w:t>Based outputs from the economic model</w:t>
            </w:r>
          </w:p>
        </w:tc>
        <w:tc>
          <w:tcPr>
            <w:tcW w:w="1387" w:type="pct"/>
            <w:shd w:val="clear" w:color="auto" w:fill="auto"/>
            <w:vAlign w:val="center"/>
          </w:tcPr>
          <w:p w:rsidR="00F320D2" w:rsidRPr="00E209B2" w:rsidRDefault="00F320D2" w:rsidP="00F320D2">
            <w:pPr>
              <w:pStyle w:val="TableText"/>
              <w:keepNext w:val="0"/>
            </w:pPr>
            <w:r w:rsidRPr="00E209B2">
              <w:t>The</w:t>
            </w:r>
            <w:r w:rsidR="00793485" w:rsidRPr="00E209B2">
              <w:t xml:space="preserve"> evaluation considered the</w:t>
            </w:r>
            <w:r w:rsidRPr="00E209B2">
              <w:t xml:space="preserve"> model outputs lacked applicability as they were based on the results of the JAVELIN Bladder 100 trial, which recruited patients with Stage IV disease only.</w:t>
            </w:r>
          </w:p>
        </w:tc>
      </w:tr>
      <w:tr w:rsidR="00F320D2" w:rsidRPr="00E209B2" w:rsidTr="00F320D2">
        <w:tc>
          <w:tcPr>
            <w:tcW w:w="950" w:type="pct"/>
            <w:shd w:val="clear" w:color="auto" w:fill="auto"/>
            <w:vAlign w:val="center"/>
          </w:tcPr>
          <w:p w:rsidR="00F320D2" w:rsidRPr="00E209B2" w:rsidRDefault="00F320D2" w:rsidP="00F320D2">
            <w:pPr>
              <w:pStyle w:val="TableText"/>
              <w:keepNext w:val="0"/>
            </w:pPr>
            <w:r w:rsidRPr="00E209B2">
              <w:t>Subsequent treatments</w:t>
            </w:r>
          </w:p>
        </w:tc>
        <w:tc>
          <w:tcPr>
            <w:tcW w:w="2663" w:type="pct"/>
            <w:shd w:val="clear" w:color="auto" w:fill="auto"/>
            <w:vAlign w:val="center"/>
          </w:tcPr>
          <w:p w:rsidR="00F320D2" w:rsidRPr="00A4523B" w:rsidRDefault="00F320D2" w:rsidP="00F320D2">
            <w:pPr>
              <w:pStyle w:val="TableText"/>
              <w:keepNext w:val="0"/>
            </w:pPr>
            <w:r w:rsidRPr="00A4523B">
              <w:t>Avelumab listed: pembrolizumab: 0%; paclitaxel: 60%; docetaxel: 15%</w:t>
            </w:r>
          </w:p>
          <w:p w:rsidR="00F320D2" w:rsidRPr="00A4523B" w:rsidRDefault="00F320D2" w:rsidP="00F320D2">
            <w:pPr>
              <w:pStyle w:val="TableText"/>
              <w:keepNext w:val="0"/>
            </w:pPr>
            <w:r w:rsidRPr="00A4523B">
              <w:t>Avelumab not listed: pembrolizumab: 80%; paclitaxel: 28%; docetaxel: 7%.</w:t>
            </w:r>
          </w:p>
          <w:p w:rsidR="00F320D2" w:rsidRPr="00A4523B" w:rsidRDefault="00F320D2" w:rsidP="00F320D2">
            <w:pPr>
              <w:pStyle w:val="TableText"/>
              <w:keepNext w:val="0"/>
            </w:pPr>
            <w:r w:rsidRPr="00A4523B">
              <w:t>Based on JAVELIN BLADDER 100 trial adapted to Australian setting based on clinician opinion and sponsor assumption.</w:t>
            </w:r>
          </w:p>
        </w:tc>
        <w:tc>
          <w:tcPr>
            <w:tcW w:w="1387" w:type="pct"/>
            <w:shd w:val="clear" w:color="auto" w:fill="auto"/>
            <w:vAlign w:val="center"/>
          </w:tcPr>
          <w:p w:rsidR="00F320D2" w:rsidRPr="00E209B2" w:rsidRDefault="00793485" w:rsidP="00F320D2">
            <w:pPr>
              <w:pStyle w:val="TableText"/>
              <w:keepNext w:val="0"/>
            </w:pPr>
            <w:r w:rsidRPr="00E209B2">
              <w:t>The evaluation considered it u</w:t>
            </w:r>
            <w:r w:rsidR="00F320D2" w:rsidRPr="00E209B2">
              <w:t>nclear if adequately reflects treatments in Australian clinical practice. Patients may also be retreated with platinum-based chemotherapy.</w:t>
            </w:r>
          </w:p>
        </w:tc>
      </w:tr>
    </w:tbl>
    <w:p w:rsidR="00F320D2" w:rsidRPr="00E209B2" w:rsidRDefault="00F320D2" w:rsidP="00F320D2">
      <w:pPr>
        <w:pStyle w:val="TableFooter"/>
      </w:pPr>
      <w:r w:rsidRPr="00E209B2">
        <w:t xml:space="preserve">Source: Table 4.1-1, pp167-169 of the submission. </w:t>
      </w:r>
    </w:p>
    <w:p w:rsidR="00F320D2" w:rsidRPr="00E209B2" w:rsidRDefault="00F320D2" w:rsidP="00F320D2">
      <w:pPr>
        <w:pStyle w:val="TableFooter"/>
      </w:pPr>
      <w:r w:rsidRPr="00E209B2">
        <w:t xml:space="preserve">Abbreviations: ABS, Australian Bureau of Statistics; DPMA, dispensed price for maximum quantity; TNM, tumour, node, metastasis; Yr, Year. </w:t>
      </w:r>
    </w:p>
    <w:p w:rsidR="00F320D2" w:rsidRPr="00E209B2" w:rsidRDefault="00F320D2" w:rsidP="00F320D2">
      <w:pPr>
        <w:pStyle w:val="ExecSumBodyText"/>
        <w:numPr>
          <w:ilvl w:val="1"/>
          <w:numId w:val="1"/>
        </w:numPr>
        <w:rPr>
          <w:rStyle w:val="ExecSumBodyTextChar"/>
          <w:snapToGrid w:val="0"/>
        </w:rPr>
      </w:pPr>
      <w:r w:rsidRPr="00E209B2">
        <w:rPr>
          <w:rStyle w:val="ExecSumBodyTextChar"/>
        </w:rPr>
        <w:t xml:space="preserve">Table 16 presents the estimated net cost to the PBS/RPBS of listing avelumab for </w:t>
      </w:r>
      <w:r w:rsidR="00AA7522" w:rsidRPr="00E209B2">
        <w:rPr>
          <w:rStyle w:val="ExecSumBodyTextChar"/>
        </w:rPr>
        <w:t>the proposed indication</w:t>
      </w:r>
      <w:r w:rsidRPr="00E209B2">
        <w:rPr>
          <w:rStyle w:val="ExecSumBodyTextChar"/>
        </w:rPr>
        <w:t>.</w:t>
      </w:r>
    </w:p>
    <w:p w:rsidR="00F320D2" w:rsidRPr="00E209B2" w:rsidRDefault="00F320D2" w:rsidP="00F320D2">
      <w:pPr>
        <w:jc w:val="left"/>
        <w:rPr>
          <w:rFonts w:ascii="Arial Narrow" w:hAnsi="Arial Narrow"/>
          <w:b/>
          <w:sz w:val="20"/>
          <w:szCs w:val="20"/>
        </w:rPr>
      </w:pPr>
      <w:r w:rsidRPr="00E209B2">
        <w:rPr>
          <w:rFonts w:ascii="Arial Narrow" w:hAnsi="Arial Narrow"/>
          <w:b/>
          <w:sz w:val="20"/>
          <w:szCs w:val="20"/>
        </w:rPr>
        <w:br w:type="page"/>
      </w:r>
    </w:p>
    <w:p w:rsidR="00F320D2" w:rsidRPr="00E209B2" w:rsidRDefault="00F320D2" w:rsidP="00F320D2">
      <w:pPr>
        <w:keepNext/>
        <w:rPr>
          <w:rFonts w:ascii="Arial Narrow" w:hAnsi="Arial Narrow"/>
          <w:b/>
          <w:sz w:val="20"/>
          <w:szCs w:val="20"/>
        </w:rPr>
      </w:pPr>
      <w:r w:rsidRPr="00E209B2">
        <w:rPr>
          <w:rFonts w:ascii="Arial Narrow" w:hAnsi="Arial Narrow"/>
          <w:b/>
          <w:sz w:val="20"/>
          <w:szCs w:val="20"/>
        </w:rPr>
        <w:lastRenderedPageBreak/>
        <w:t>Table 16: Estimated net cost to the PBS/RPBS</w:t>
      </w:r>
      <w:r w:rsidRPr="00E209B2">
        <w:rPr>
          <w:rFonts w:ascii="Arial Narrow" w:hAnsi="Arial Narrow"/>
          <w:sz w:val="20"/>
          <w:szCs w:val="20"/>
        </w:rPr>
        <w:t xml:space="preserve"> </w:t>
      </w:r>
      <w:r w:rsidRPr="00E209B2">
        <w:rPr>
          <w:rFonts w:ascii="Arial Narrow" w:hAnsi="Arial Narrow"/>
          <w:b/>
          <w:sz w:val="20"/>
          <w:szCs w:val="20"/>
        </w:rPr>
        <w:t>of listing of avelumab</w:t>
      </w:r>
    </w:p>
    <w:tbl>
      <w:tblPr>
        <w:tblStyle w:val="Summarybox3"/>
        <w:tblW w:w="0" w:type="auto"/>
        <w:tblLayout w:type="fixed"/>
        <w:tblCellMar>
          <w:left w:w="28" w:type="dxa"/>
          <w:right w:w="28" w:type="dxa"/>
        </w:tblCellMar>
        <w:tblLook w:val="04A0" w:firstRow="1" w:lastRow="0" w:firstColumn="1" w:lastColumn="0" w:noHBand="0" w:noVBand="1"/>
        <w:tblCaption w:val="Table 16: Estimated net cost to the PBS/RPBS of listing of avelumab"/>
      </w:tblPr>
      <w:tblGrid>
        <w:gridCol w:w="2547"/>
        <w:gridCol w:w="1078"/>
        <w:gridCol w:w="1078"/>
        <w:gridCol w:w="1078"/>
        <w:gridCol w:w="1078"/>
        <w:gridCol w:w="1078"/>
        <w:gridCol w:w="1079"/>
      </w:tblGrid>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p>
        </w:tc>
        <w:tc>
          <w:tcPr>
            <w:tcW w:w="1078" w:type="dxa"/>
            <w:vAlign w:val="center"/>
          </w:tcPr>
          <w:p w:rsidR="00F320D2" w:rsidRPr="00E209B2" w:rsidRDefault="00F320D2" w:rsidP="00F320D2">
            <w:pPr>
              <w:pStyle w:val="Tabletextcentred"/>
              <w:keepNext w:val="0"/>
              <w:rPr>
                <w:b/>
                <w:bCs/>
              </w:rPr>
            </w:pPr>
            <w:r w:rsidRPr="00E209B2">
              <w:rPr>
                <w:b/>
                <w:bCs/>
              </w:rPr>
              <w:t xml:space="preserve">Year 1 </w:t>
            </w:r>
          </w:p>
          <w:p w:rsidR="00F320D2" w:rsidRPr="00E209B2" w:rsidRDefault="00F320D2" w:rsidP="00F320D2">
            <w:pPr>
              <w:pStyle w:val="Tabletextcentred"/>
              <w:keepNext w:val="0"/>
              <w:rPr>
                <w:b/>
                <w:bCs/>
              </w:rPr>
            </w:pPr>
            <w:r w:rsidRPr="00E209B2">
              <w:rPr>
                <w:b/>
                <w:bCs/>
              </w:rPr>
              <w:t>(2021)</w:t>
            </w:r>
          </w:p>
        </w:tc>
        <w:tc>
          <w:tcPr>
            <w:tcW w:w="1078" w:type="dxa"/>
            <w:vAlign w:val="center"/>
          </w:tcPr>
          <w:p w:rsidR="00F320D2" w:rsidRPr="00E209B2" w:rsidRDefault="00F320D2" w:rsidP="00F320D2">
            <w:pPr>
              <w:pStyle w:val="TableText"/>
              <w:keepNext w:val="0"/>
              <w:jc w:val="center"/>
              <w:rPr>
                <w:b/>
                <w:bCs w:val="0"/>
                <w:szCs w:val="20"/>
              </w:rPr>
            </w:pPr>
            <w:r w:rsidRPr="00E209B2">
              <w:rPr>
                <w:b/>
                <w:bCs w:val="0"/>
                <w:szCs w:val="20"/>
              </w:rPr>
              <w:t>Year 2</w:t>
            </w:r>
          </w:p>
          <w:p w:rsidR="00F320D2" w:rsidRPr="00E209B2" w:rsidRDefault="00F320D2" w:rsidP="00F320D2">
            <w:pPr>
              <w:pStyle w:val="Tabletextcentred"/>
              <w:keepNext w:val="0"/>
              <w:rPr>
                <w:b/>
                <w:bCs/>
              </w:rPr>
            </w:pPr>
            <w:r w:rsidRPr="00E209B2">
              <w:rPr>
                <w:b/>
                <w:bCs/>
              </w:rPr>
              <w:t>(2022)</w:t>
            </w:r>
          </w:p>
        </w:tc>
        <w:tc>
          <w:tcPr>
            <w:tcW w:w="1078" w:type="dxa"/>
            <w:vAlign w:val="center"/>
          </w:tcPr>
          <w:p w:rsidR="00F320D2" w:rsidRPr="00E209B2" w:rsidRDefault="00F320D2" w:rsidP="00F320D2">
            <w:pPr>
              <w:pStyle w:val="TableText"/>
              <w:keepNext w:val="0"/>
              <w:jc w:val="center"/>
              <w:rPr>
                <w:b/>
                <w:bCs w:val="0"/>
                <w:szCs w:val="20"/>
              </w:rPr>
            </w:pPr>
            <w:r w:rsidRPr="00E209B2">
              <w:rPr>
                <w:b/>
                <w:bCs w:val="0"/>
                <w:szCs w:val="20"/>
              </w:rPr>
              <w:t>Year 3</w:t>
            </w:r>
          </w:p>
          <w:p w:rsidR="00F320D2" w:rsidRPr="00E209B2" w:rsidRDefault="00F320D2" w:rsidP="00F320D2">
            <w:pPr>
              <w:pStyle w:val="Tabletextcentred"/>
              <w:keepNext w:val="0"/>
              <w:rPr>
                <w:b/>
                <w:bCs/>
              </w:rPr>
            </w:pPr>
            <w:r w:rsidRPr="00E209B2">
              <w:rPr>
                <w:b/>
                <w:bCs/>
              </w:rPr>
              <w:t>(2023)</w:t>
            </w:r>
          </w:p>
        </w:tc>
        <w:tc>
          <w:tcPr>
            <w:tcW w:w="1078" w:type="dxa"/>
            <w:vAlign w:val="center"/>
          </w:tcPr>
          <w:p w:rsidR="00F320D2" w:rsidRPr="00E209B2" w:rsidRDefault="00F320D2" w:rsidP="00F320D2">
            <w:pPr>
              <w:pStyle w:val="TableText"/>
              <w:keepNext w:val="0"/>
              <w:jc w:val="center"/>
              <w:rPr>
                <w:b/>
                <w:bCs w:val="0"/>
                <w:szCs w:val="20"/>
              </w:rPr>
            </w:pPr>
            <w:r w:rsidRPr="00E209B2">
              <w:rPr>
                <w:b/>
                <w:bCs w:val="0"/>
                <w:szCs w:val="20"/>
              </w:rPr>
              <w:t>Year 4</w:t>
            </w:r>
          </w:p>
          <w:p w:rsidR="00F320D2" w:rsidRPr="00E209B2" w:rsidRDefault="00F320D2" w:rsidP="00F320D2">
            <w:pPr>
              <w:pStyle w:val="Tabletextcentred"/>
              <w:keepNext w:val="0"/>
              <w:rPr>
                <w:b/>
                <w:bCs/>
              </w:rPr>
            </w:pPr>
            <w:r w:rsidRPr="00E209B2">
              <w:rPr>
                <w:b/>
                <w:bCs/>
              </w:rPr>
              <w:t>(2024)</w:t>
            </w:r>
          </w:p>
        </w:tc>
        <w:tc>
          <w:tcPr>
            <w:tcW w:w="1078" w:type="dxa"/>
            <w:vAlign w:val="center"/>
          </w:tcPr>
          <w:p w:rsidR="00F320D2" w:rsidRPr="00E209B2" w:rsidRDefault="00F320D2" w:rsidP="00F320D2">
            <w:pPr>
              <w:pStyle w:val="TableText"/>
              <w:keepNext w:val="0"/>
              <w:jc w:val="center"/>
              <w:rPr>
                <w:b/>
                <w:bCs w:val="0"/>
                <w:szCs w:val="20"/>
              </w:rPr>
            </w:pPr>
            <w:r w:rsidRPr="00E209B2">
              <w:rPr>
                <w:b/>
                <w:bCs w:val="0"/>
                <w:szCs w:val="20"/>
              </w:rPr>
              <w:t>Year 5</w:t>
            </w:r>
          </w:p>
          <w:p w:rsidR="00F320D2" w:rsidRPr="00E209B2" w:rsidRDefault="00F320D2" w:rsidP="00F320D2">
            <w:pPr>
              <w:pStyle w:val="Tabletextcentred"/>
              <w:keepNext w:val="0"/>
              <w:rPr>
                <w:b/>
                <w:bCs/>
              </w:rPr>
            </w:pPr>
            <w:r w:rsidRPr="00E209B2">
              <w:rPr>
                <w:b/>
                <w:bCs/>
              </w:rPr>
              <w:t>(2025)</w:t>
            </w:r>
          </w:p>
        </w:tc>
        <w:tc>
          <w:tcPr>
            <w:tcW w:w="1079" w:type="dxa"/>
            <w:vAlign w:val="center"/>
          </w:tcPr>
          <w:p w:rsidR="00F320D2" w:rsidRPr="00E209B2" w:rsidRDefault="00F320D2" w:rsidP="00F320D2">
            <w:pPr>
              <w:pStyle w:val="TableText"/>
              <w:keepNext w:val="0"/>
              <w:jc w:val="center"/>
              <w:rPr>
                <w:b/>
                <w:bCs w:val="0"/>
                <w:szCs w:val="20"/>
              </w:rPr>
            </w:pPr>
            <w:r w:rsidRPr="00E209B2">
              <w:rPr>
                <w:b/>
                <w:bCs w:val="0"/>
                <w:szCs w:val="20"/>
              </w:rPr>
              <w:t>Year 6</w:t>
            </w:r>
          </w:p>
          <w:p w:rsidR="00F320D2" w:rsidRPr="00E209B2" w:rsidRDefault="00F320D2" w:rsidP="00F320D2">
            <w:pPr>
              <w:pStyle w:val="Tabletextcentred"/>
              <w:keepNext w:val="0"/>
              <w:rPr>
                <w:b/>
                <w:bCs/>
              </w:rPr>
            </w:pPr>
            <w:r w:rsidRPr="00E209B2">
              <w:rPr>
                <w:b/>
                <w:bCs/>
              </w:rPr>
              <w:t>(2026)</w:t>
            </w:r>
          </w:p>
        </w:tc>
      </w:tr>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r w:rsidRPr="00E209B2">
              <w:t>Total eligible patients</w:t>
            </w:r>
          </w:p>
        </w:tc>
        <w:tc>
          <w:tcPr>
            <w:tcW w:w="1078" w:type="dxa"/>
            <w:vAlign w:val="center"/>
          </w:tcPr>
          <w:p w:rsidR="00F320D2" w:rsidRPr="001529E4" w:rsidRDefault="001529E4" w:rsidP="00F320D2">
            <w:pPr>
              <w:pStyle w:val="Tabletextcentred"/>
              <w:keepNext w:val="0"/>
              <w:rPr>
                <w:b/>
                <w:bCs/>
              </w:rPr>
            </w:pPr>
            <w:r>
              <w:rPr>
                <w:noProof/>
                <w:color w:val="000000"/>
                <w:highlight w:val="black"/>
              </w:rPr>
              <w:t>'''''''''</w:t>
            </w:r>
            <w:r w:rsidR="00811868">
              <w:rPr>
                <w:sz w:val="18"/>
                <w:szCs w:val="18"/>
                <w:vertAlign w:val="superscript"/>
              </w:rPr>
              <w:t>3</w:t>
            </w:r>
          </w:p>
        </w:tc>
        <w:tc>
          <w:tcPr>
            <w:tcW w:w="1078" w:type="dxa"/>
            <w:vAlign w:val="center"/>
          </w:tcPr>
          <w:p w:rsidR="00F320D2" w:rsidRPr="001529E4" w:rsidRDefault="001529E4" w:rsidP="00F320D2">
            <w:pPr>
              <w:pStyle w:val="TableText"/>
              <w:keepNext w:val="0"/>
              <w:jc w:val="center"/>
              <w:rPr>
                <w:b/>
                <w:bCs w:val="0"/>
                <w:szCs w:val="20"/>
              </w:rPr>
            </w:pPr>
            <w:r>
              <w:rPr>
                <w:noProof/>
                <w:color w:val="000000"/>
                <w:highlight w:val="black"/>
              </w:rPr>
              <w:t>''''''''''</w:t>
            </w:r>
            <w:r w:rsidR="00811868">
              <w:rPr>
                <w:sz w:val="18"/>
                <w:szCs w:val="18"/>
                <w:vertAlign w:val="superscript"/>
              </w:rPr>
              <w:t>3</w:t>
            </w:r>
          </w:p>
        </w:tc>
        <w:tc>
          <w:tcPr>
            <w:tcW w:w="1078" w:type="dxa"/>
            <w:vAlign w:val="center"/>
          </w:tcPr>
          <w:p w:rsidR="00F320D2" w:rsidRPr="001529E4" w:rsidRDefault="001529E4" w:rsidP="00F320D2">
            <w:pPr>
              <w:pStyle w:val="TableText"/>
              <w:keepNext w:val="0"/>
              <w:jc w:val="center"/>
              <w:rPr>
                <w:b/>
                <w:bCs w:val="0"/>
                <w:szCs w:val="20"/>
              </w:rPr>
            </w:pPr>
            <w:r>
              <w:rPr>
                <w:noProof/>
                <w:color w:val="000000"/>
                <w:highlight w:val="black"/>
              </w:rPr>
              <w:t>''''''''''</w:t>
            </w:r>
            <w:r w:rsidR="00811868">
              <w:rPr>
                <w:sz w:val="18"/>
                <w:szCs w:val="18"/>
                <w:vertAlign w:val="superscript"/>
              </w:rPr>
              <w:t>3</w:t>
            </w:r>
          </w:p>
        </w:tc>
        <w:tc>
          <w:tcPr>
            <w:tcW w:w="1078" w:type="dxa"/>
            <w:vAlign w:val="center"/>
          </w:tcPr>
          <w:p w:rsidR="00F320D2" w:rsidRPr="001529E4" w:rsidRDefault="001529E4" w:rsidP="00F320D2">
            <w:pPr>
              <w:pStyle w:val="TableText"/>
              <w:keepNext w:val="0"/>
              <w:jc w:val="center"/>
              <w:rPr>
                <w:b/>
                <w:bCs w:val="0"/>
                <w:szCs w:val="20"/>
              </w:rPr>
            </w:pPr>
            <w:r>
              <w:rPr>
                <w:noProof/>
                <w:color w:val="000000"/>
                <w:highlight w:val="black"/>
              </w:rPr>
              <w:t>'''''''''</w:t>
            </w:r>
            <w:r w:rsidR="00811868">
              <w:rPr>
                <w:sz w:val="18"/>
                <w:szCs w:val="18"/>
                <w:vertAlign w:val="superscript"/>
              </w:rPr>
              <w:t>3</w:t>
            </w:r>
          </w:p>
        </w:tc>
        <w:tc>
          <w:tcPr>
            <w:tcW w:w="1078" w:type="dxa"/>
            <w:vAlign w:val="center"/>
          </w:tcPr>
          <w:p w:rsidR="00F320D2" w:rsidRPr="001529E4" w:rsidRDefault="001529E4" w:rsidP="00F320D2">
            <w:pPr>
              <w:pStyle w:val="TableText"/>
              <w:keepNext w:val="0"/>
              <w:jc w:val="center"/>
              <w:rPr>
                <w:b/>
                <w:bCs w:val="0"/>
                <w:szCs w:val="20"/>
              </w:rPr>
            </w:pPr>
            <w:r>
              <w:rPr>
                <w:noProof/>
                <w:color w:val="000000"/>
                <w:highlight w:val="black"/>
              </w:rPr>
              <w:t>''''''''''</w:t>
            </w:r>
            <w:r w:rsidR="00811868">
              <w:rPr>
                <w:sz w:val="18"/>
                <w:szCs w:val="18"/>
                <w:vertAlign w:val="superscript"/>
              </w:rPr>
              <w:t>3</w:t>
            </w:r>
          </w:p>
        </w:tc>
        <w:tc>
          <w:tcPr>
            <w:tcW w:w="1079" w:type="dxa"/>
            <w:vAlign w:val="center"/>
          </w:tcPr>
          <w:p w:rsidR="00F320D2" w:rsidRPr="001529E4" w:rsidRDefault="001529E4" w:rsidP="00F320D2">
            <w:pPr>
              <w:pStyle w:val="TableText"/>
              <w:keepNext w:val="0"/>
              <w:jc w:val="center"/>
              <w:rPr>
                <w:b/>
                <w:bCs w:val="0"/>
                <w:szCs w:val="20"/>
              </w:rPr>
            </w:pPr>
            <w:r>
              <w:rPr>
                <w:noProof/>
                <w:color w:val="000000"/>
                <w:highlight w:val="black"/>
              </w:rPr>
              <w:t>'''''''''</w:t>
            </w:r>
            <w:r w:rsidR="00811868">
              <w:rPr>
                <w:sz w:val="18"/>
                <w:szCs w:val="18"/>
                <w:vertAlign w:val="superscript"/>
              </w:rPr>
              <w:t>3</w:t>
            </w:r>
          </w:p>
        </w:tc>
      </w:tr>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r w:rsidRPr="00E209B2">
              <w:t>Uptake rate</w:t>
            </w:r>
          </w:p>
        </w:tc>
        <w:tc>
          <w:tcPr>
            <w:tcW w:w="1078" w:type="dxa"/>
          </w:tcPr>
          <w:p w:rsidR="00F320D2" w:rsidRPr="00E209B2" w:rsidRDefault="00F320D2" w:rsidP="00F320D2">
            <w:pPr>
              <w:pStyle w:val="Tabletextcentred"/>
              <w:keepNext w:val="0"/>
              <w:rPr>
                <w:b/>
                <w:bCs/>
              </w:rPr>
            </w:pPr>
            <w:r w:rsidRPr="00E209B2">
              <w:t>65%</w:t>
            </w:r>
          </w:p>
        </w:tc>
        <w:tc>
          <w:tcPr>
            <w:tcW w:w="1078" w:type="dxa"/>
          </w:tcPr>
          <w:p w:rsidR="00F320D2" w:rsidRPr="00E209B2" w:rsidRDefault="00F320D2" w:rsidP="00F320D2">
            <w:pPr>
              <w:pStyle w:val="TableText"/>
              <w:keepNext w:val="0"/>
              <w:jc w:val="center"/>
              <w:rPr>
                <w:b/>
                <w:bCs w:val="0"/>
                <w:szCs w:val="20"/>
              </w:rPr>
            </w:pPr>
            <w:r w:rsidRPr="00E209B2">
              <w:t>90%</w:t>
            </w:r>
          </w:p>
        </w:tc>
        <w:tc>
          <w:tcPr>
            <w:tcW w:w="1078" w:type="dxa"/>
          </w:tcPr>
          <w:p w:rsidR="00F320D2" w:rsidRPr="00E209B2" w:rsidRDefault="00F320D2" w:rsidP="00F320D2">
            <w:pPr>
              <w:pStyle w:val="TableText"/>
              <w:keepNext w:val="0"/>
              <w:jc w:val="center"/>
              <w:rPr>
                <w:b/>
                <w:bCs w:val="0"/>
                <w:szCs w:val="20"/>
              </w:rPr>
            </w:pPr>
            <w:r w:rsidRPr="00E209B2">
              <w:t>95%</w:t>
            </w:r>
          </w:p>
        </w:tc>
        <w:tc>
          <w:tcPr>
            <w:tcW w:w="1078" w:type="dxa"/>
          </w:tcPr>
          <w:p w:rsidR="00F320D2" w:rsidRPr="00E209B2" w:rsidRDefault="00F320D2" w:rsidP="00F320D2">
            <w:pPr>
              <w:pStyle w:val="TableText"/>
              <w:keepNext w:val="0"/>
              <w:jc w:val="center"/>
              <w:rPr>
                <w:b/>
                <w:bCs w:val="0"/>
                <w:szCs w:val="20"/>
              </w:rPr>
            </w:pPr>
            <w:r w:rsidRPr="00E209B2">
              <w:t>95%</w:t>
            </w:r>
          </w:p>
        </w:tc>
        <w:tc>
          <w:tcPr>
            <w:tcW w:w="1078" w:type="dxa"/>
          </w:tcPr>
          <w:p w:rsidR="00F320D2" w:rsidRPr="00E209B2" w:rsidRDefault="00F320D2" w:rsidP="00F320D2">
            <w:pPr>
              <w:pStyle w:val="TableText"/>
              <w:keepNext w:val="0"/>
              <w:jc w:val="center"/>
              <w:rPr>
                <w:b/>
                <w:bCs w:val="0"/>
                <w:szCs w:val="20"/>
              </w:rPr>
            </w:pPr>
            <w:r w:rsidRPr="00E209B2">
              <w:t>95%</w:t>
            </w:r>
          </w:p>
        </w:tc>
        <w:tc>
          <w:tcPr>
            <w:tcW w:w="1079" w:type="dxa"/>
          </w:tcPr>
          <w:p w:rsidR="00F320D2" w:rsidRPr="00E209B2" w:rsidRDefault="00F320D2" w:rsidP="00F320D2">
            <w:pPr>
              <w:pStyle w:val="TableText"/>
              <w:keepNext w:val="0"/>
              <w:jc w:val="center"/>
              <w:rPr>
                <w:b/>
                <w:bCs w:val="0"/>
                <w:szCs w:val="20"/>
              </w:rPr>
            </w:pPr>
            <w:r w:rsidRPr="00E209B2">
              <w:t>95%</w:t>
            </w:r>
          </w:p>
        </w:tc>
      </w:tr>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r w:rsidRPr="00E209B2">
              <w:t>Initiating patients</w:t>
            </w:r>
          </w:p>
        </w:tc>
        <w:tc>
          <w:tcPr>
            <w:tcW w:w="1078" w:type="dxa"/>
          </w:tcPr>
          <w:p w:rsidR="00F320D2" w:rsidRPr="001529E4" w:rsidRDefault="001529E4" w:rsidP="00F320D2">
            <w:pPr>
              <w:pStyle w:val="Tabletextcentred"/>
              <w:keepNext w:val="0"/>
              <w:rPr>
                <w:b/>
                <w:bCs/>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9"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r>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r w:rsidRPr="00E209B2">
              <w:t>Grandfathered patients</w:t>
            </w:r>
          </w:p>
        </w:tc>
        <w:tc>
          <w:tcPr>
            <w:tcW w:w="1078" w:type="dxa"/>
          </w:tcPr>
          <w:p w:rsidR="00F320D2" w:rsidRPr="001529E4" w:rsidRDefault="001529E4" w:rsidP="00F320D2">
            <w:pPr>
              <w:pStyle w:val="Tabletextcentred"/>
              <w:keepNext w:val="0"/>
              <w:rPr>
                <w:b/>
                <w:bCs/>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9"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r>
      <w:tr w:rsidR="00F320D2" w:rsidRPr="00E209B2" w:rsidTr="00F320D2">
        <w:trPr>
          <w:tblHeader/>
        </w:trPr>
        <w:tc>
          <w:tcPr>
            <w:tcW w:w="2547" w:type="dxa"/>
            <w:noWrap/>
          </w:tcPr>
          <w:p w:rsidR="00F320D2" w:rsidRPr="00E209B2" w:rsidRDefault="00F320D2" w:rsidP="00F320D2">
            <w:pPr>
              <w:pStyle w:val="Tabletextcentred"/>
              <w:keepNext w:val="0"/>
              <w:jc w:val="left"/>
              <w:rPr>
                <w:b/>
                <w:bCs/>
              </w:rPr>
            </w:pPr>
            <w:r w:rsidRPr="00E209B2">
              <w:t>Total initiating patients</w:t>
            </w:r>
          </w:p>
        </w:tc>
        <w:tc>
          <w:tcPr>
            <w:tcW w:w="1078" w:type="dxa"/>
          </w:tcPr>
          <w:p w:rsidR="00F320D2" w:rsidRPr="001529E4" w:rsidRDefault="001529E4" w:rsidP="00F320D2">
            <w:pPr>
              <w:pStyle w:val="Tabletextcentred"/>
              <w:keepNext w:val="0"/>
              <w:rPr>
                <w:b/>
                <w:bCs/>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8"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c>
          <w:tcPr>
            <w:tcW w:w="1079" w:type="dxa"/>
          </w:tcPr>
          <w:p w:rsidR="00F320D2" w:rsidRPr="001529E4" w:rsidRDefault="001529E4" w:rsidP="00F320D2">
            <w:pPr>
              <w:pStyle w:val="TableText"/>
              <w:keepNext w:val="0"/>
              <w:jc w:val="center"/>
              <w:rPr>
                <w:b/>
                <w:bCs w:val="0"/>
                <w:szCs w:val="20"/>
              </w:rPr>
            </w:pPr>
            <w:r>
              <w:rPr>
                <w:noProof/>
                <w:color w:val="000000"/>
                <w:highlight w:val="black"/>
              </w:rPr>
              <w:t>'''''''''</w:t>
            </w:r>
            <w:r w:rsidR="008C310E">
              <w:rPr>
                <w:sz w:val="18"/>
                <w:szCs w:val="18"/>
                <w:vertAlign w:val="superscript"/>
              </w:rPr>
              <w:t>3</w:t>
            </w:r>
          </w:p>
        </w:tc>
      </w:tr>
      <w:tr w:rsidR="00F320D2" w:rsidRPr="00E209B2" w:rsidTr="00F320D2">
        <w:trPr>
          <w:trHeight w:val="238"/>
        </w:trPr>
        <w:tc>
          <w:tcPr>
            <w:tcW w:w="9016" w:type="dxa"/>
            <w:gridSpan w:val="7"/>
            <w:noWrap/>
            <w:vAlign w:val="center"/>
          </w:tcPr>
          <w:p w:rsidR="00F320D2" w:rsidRPr="00E209B2" w:rsidRDefault="00F320D2" w:rsidP="00F320D2">
            <w:pPr>
              <w:pStyle w:val="Tabletextcentred"/>
              <w:keepNext w:val="0"/>
              <w:jc w:val="left"/>
            </w:pPr>
            <w:r w:rsidRPr="00E209B2">
              <w:rPr>
                <w:b/>
                <w:bCs/>
              </w:rPr>
              <w:t>Cost of avelumab</w:t>
            </w:r>
          </w:p>
        </w:tc>
      </w:tr>
      <w:tr w:rsidR="00F320D2" w:rsidRPr="00E209B2" w:rsidTr="00F320D2">
        <w:trPr>
          <w:trHeight w:val="238"/>
        </w:trPr>
        <w:tc>
          <w:tcPr>
            <w:tcW w:w="2547" w:type="dxa"/>
            <w:noWrap/>
          </w:tcPr>
          <w:p w:rsidR="00F320D2" w:rsidRPr="00E209B2" w:rsidRDefault="00F320D2" w:rsidP="00F320D2">
            <w:pPr>
              <w:pStyle w:val="Tabletextcentred"/>
              <w:keepNext w:val="0"/>
              <w:jc w:val="left"/>
              <w:rPr>
                <w:b/>
                <w:bCs/>
              </w:rPr>
            </w:pPr>
            <w:r w:rsidRPr="00E209B2">
              <w:t>Total avelumab prescriptions</w:t>
            </w:r>
          </w:p>
        </w:tc>
        <w:tc>
          <w:tcPr>
            <w:tcW w:w="1078"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1</w:t>
            </w:r>
          </w:p>
        </w:tc>
        <w:tc>
          <w:tcPr>
            <w:tcW w:w="1078"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1</w:t>
            </w:r>
          </w:p>
        </w:tc>
        <w:tc>
          <w:tcPr>
            <w:tcW w:w="1078"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2</w:t>
            </w:r>
          </w:p>
        </w:tc>
        <w:tc>
          <w:tcPr>
            <w:tcW w:w="1078"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2</w:t>
            </w:r>
          </w:p>
        </w:tc>
        <w:tc>
          <w:tcPr>
            <w:tcW w:w="1078"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2</w:t>
            </w:r>
          </w:p>
        </w:tc>
        <w:tc>
          <w:tcPr>
            <w:tcW w:w="1079" w:type="dxa"/>
            <w:vAlign w:val="center"/>
          </w:tcPr>
          <w:p w:rsidR="00F320D2" w:rsidRPr="001529E4" w:rsidRDefault="001529E4" w:rsidP="00F320D2">
            <w:pPr>
              <w:pStyle w:val="Tabletextcentred"/>
              <w:keepNext w:val="0"/>
              <w:ind w:left="-113" w:right="-113"/>
              <w:rPr>
                <w:b/>
                <w:bCs/>
              </w:rPr>
            </w:pPr>
            <w:r>
              <w:rPr>
                <w:noProof/>
                <w:color w:val="000000"/>
                <w:highlight w:val="black"/>
              </w:rPr>
              <w:t>''''''''''''''''</w:t>
            </w:r>
            <w:r w:rsidR="008C310E">
              <w:rPr>
                <w:sz w:val="18"/>
                <w:szCs w:val="18"/>
                <w:vertAlign w:val="superscript"/>
              </w:rPr>
              <w:t>2</w:t>
            </w:r>
          </w:p>
        </w:tc>
      </w:tr>
      <w:tr w:rsidR="00F320D2" w:rsidRPr="00E209B2" w:rsidTr="00F320D2">
        <w:trPr>
          <w:trHeight w:val="238"/>
        </w:trPr>
        <w:tc>
          <w:tcPr>
            <w:tcW w:w="2547" w:type="dxa"/>
            <w:noWrap/>
          </w:tcPr>
          <w:p w:rsidR="00F320D2" w:rsidRPr="00E209B2" w:rsidRDefault="00F320D2" w:rsidP="00F320D2">
            <w:pPr>
              <w:pStyle w:val="Tabletextcentred"/>
              <w:keepNext w:val="0"/>
              <w:jc w:val="left"/>
              <w:rPr>
                <w:b/>
                <w:bCs/>
              </w:rPr>
            </w:pPr>
            <w:r w:rsidRPr="00E209B2">
              <w:t>PBS/RPBS cost ($2,715.71 per script)</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98014A">
              <w:rPr>
                <w:sz w:val="18"/>
                <w:szCs w:val="18"/>
                <w:vertAlign w:val="superscript"/>
              </w:rPr>
              <w:t>5</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9"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r>
      <w:tr w:rsidR="00F320D2" w:rsidRPr="00E209B2" w:rsidTr="00F320D2">
        <w:trPr>
          <w:trHeight w:val="238"/>
        </w:trPr>
        <w:tc>
          <w:tcPr>
            <w:tcW w:w="2547" w:type="dxa"/>
            <w:noWrap/>
          </w:tcPr>
          <w:p w:rsidR="00F320D2" w:rsidRPr="00E209B2" w:rsidRDefault="00F320D2" w:rsidP="00F320D2">
            <w:pPr>
              <w:pStyle w:val="Tabletextcentred"/>
              <w:keepNext w:val="0"/>
              <w:jc w:val="left"/>
              <w:rPr>
                <w:b/>
                <w:bCs/>
              </w:rPr>
            </w:pPr>
            <w:r w:rsidRPr="00E209B2">
              <w:t xml:space="preserve">Patient </w:t>
            </w:r>
            <w:r w:rsidR="001E5647" w:rsidRPr="00E209B2">
              <w:t>co-payment</w:t>
            </w:r>
            <w:r w:rsidRPr="00E209B2">
              <w:t xml:space="preserve"> ($17.38 per original script)</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c>
          <w:tcPr>
            <w:tcW w:w="1079"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051666">
              <w:rPr>
                <w:sz w:val="18"/>
                <w:szCs w:val="18"/>
                <w:vertAlign w:val="superscript"/>
              </w:rPr>
              <w:t>8</w:t>
            </w:r>
          </w:p>
        </w:tc>
      </w:tr>
      <w:tr w:rsidR="00F320D2" w:rsidRPr="00E209B2" w:rsidTr="00F320D2">
        <w:trPr>
          <w:trHeight w:val="238"/>
        </w:trPr>
        <w:tc>
          <w:tcPr>
            <w:tcW w:w="2547" w:type="dxa"/>
            <w:noWrap/>
          </w:tcPr>
          <w:p w:rsidR="00F320D2" w:rsidRPr="00E209B2" w:rsidRDefault="00F320D2" w:rsidP="00F320D2">
            <w:pPr>
              <w:pStyle w:val="Tabletextcentred"/>
              <w:keepNext w:val="0"/>
              <w:jc w:val="left"/>
              <w:rPr>
                <w:b/>
                <w:bCs/>
              </w:rPr>
            </w:pPr>
            <w:r w:rsidRPr="00E209B2">
              <w:t>Net PBS/RPBS cost of avelumab</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98014A">
              <w:rPr>
                <w:sz w:val="18"/>
                <w:szCs w:val="18"/>
                <w:vertAlign w:val="superscript"/>
              </w:rPr>
              <w:t>5</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9"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r>
      <w:tr w:rsidR="00F320D2" w:rsidRPr="00E209B2" w:rsidTr="00F320D2">
        <w:trPr>
          <w:trHeight w:val="238"/>
        </w:trPr>
        <w:tc>
          <w:tcPr>
            <w:tcW w:w="2547" w:type="dxa"/>
            <w:noWrap/>
          </w:tcPr>
          <w:p w:rsidR="00F320D2" w:rsidRPr="00E209B2" w:rsidRDefault="00F320D2" w:rsidP="00F320D2">
            <w:pPr>
              <w:pStyle w:val="Tabletextcentred"/>
              <w:keepNext w:val="0"/>
              <w:jc w:val="left"/>
              <w:rPr>
                <w:b/>
                <w:bCs/>
              </w:rPr>
            </w:pPr>
            <w:r w:rsidRPr="00E209B2">
              <w:t>Cost to PBS/RPBS inclusive financial stopping rule</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98014A">
              <w:rPr>
                <w:sz w:val="18"/>
                <w:szCs w:val="18"/>
                <w:vertAlign w:val="superscript"/>
              </w:rPr>
              <w:t>5</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E50391">
              <w:rPr>
                <w:sz w:val="18"/>
                <w:szCs w:val="18"/>
                <w:vertAlign w:val="superscript"/>
              </w:rPr>
              <w:t>6</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8"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c>
          <w:tcPr>
            <w:tcW w:w="1079" w:type="dxa"/>
            <w:vAlign w:val="center"/>
          </w:tcPr>
          <w:p w:rsidR="00F320D2" w:rsidRPr="00E209B2" w:rsidRDefault="00F320D2" w:rsidP="00F320D2">
            <w:pPr>
              <w:pStyle w:val="Tabletextcentred"/>
              <w:keepNext w:val="0"/>
              <w:ind w:left="-113" w:right="-113"/>
              <w:rPr>
                <w:b/>
                <w:bCs/>
              </w:rPr>
            </w:pPr>
            <w:r w:rsidRPr="00E209B2">
              <w:t>$</w:t>
            </w:r>
            <w:r w:rsidR="001529E4">
              <w:rPr>
                <w:noProof/>
                <w:color w:val="000000"/>
                <w:highlight w:val="black"/>
              </w:rPr>
              <w:t>'''''''''''''''''''''''''''</w:t>
            </w:r>
            <w:r w:rsidR="00B650FD">
              <w:rPr>
                <w:sz w:val="18"/>
                <w:szCs w:val="18"/>
                <w:vertAlign w:val="superscript"/>
              </w:rPr>
              <w:t>7</w:t>
            </w:r>
          </w:p>
        </w:tc>
      </w:tr>
      <w:tr w:rsidR="00F320D2" w:rsidRPr="00E209B2" w:rsidTr="00F320D2">
        <w:tc>
          <w:tcPr>
            <w:tcW w:w="9016" w:type="dxa"/>
            <w:gridSpan w:val="7"/>
            <w:noWrap/>
          </w:tcPr>
          <w:p w:rsidR="00F320D2" w:rsidRPr="00E209B2" w:rsidRDefault="00F320D2" w:rsidP="00F320D2">
            <w:pPr>
              <w:pStyle w:val="Tabletextcentred"/>
              <w:keepNext w:val="0"/>
              <w:jc w:val="left"/>
              <w:rPr>
                <w:b/>
                <w:bCs/>
              </w:rPr>
            </w:pPr>
            <w:r w:rsidRPr="00E209B2">
              <w:rPr>
                <w:b/>
                <w:bCs/>
              </w:rPr>
              <w:t>Change in cost of pembrolizumab</w:t>
            </w:r>
          </w:p>
        </w:tc>
      </w:tr>
      <w:tr w:rsidR="00F320D2" w:rsidRPr="00E209B2" w:rsidTr="00F320D2">
        <w:tc>
          <w:tcPr>
            <w:tcW w:w="2547" w:type="dxa"/>
            <w:noWrap/>
          </w:tcPr>
          <w:p w:rsidR="00F320D2" w:rsidRPr="00E209B2" w:rsidRDefault="00F320D2" w:rsidP="00F320D2">
            <w:pPr>
              <w:pStyle w:val="TableText"/>
              <w:keepNext w:val="0"/>
            </w:pPr>
            <w:r w:rsidRPr="00E209B2">
              <w:rPr>
                <w:szCs w:val="20"/>
              </w:rPr>
              <w:t>Change in pembrolizumab scripts</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30C9B">
              <w:rPr>
                <w:sz w:val="18"/>
                <w:szCs w:val="18"/>
                <w:vertAlign w:val="superscript"/>
              </w:rPr>
              <w:t>4</w:t>
            </w:r>
          </w:p>
        </w:tc>
      </w:tr>
      <w:tr w:rsidR="00F320D2" w:rsidRPr="00E209B2" w:rsidTr="00F320D2">
        <w:tc>
          <w:tcPr>
            <w:tcW w:w="2547" w:type="dxa"/>
            <w:noWrap/>
          </w:tcPr>
          <w:p w:rsidR="00F320D2" w:rsidRPr="00E209B2" w:rsidRDefault="00F320D2" w:rsidP="00F320D2">
            <w:pPr>
              <w:pStyle w:val="TableText"/>
              <w:keepNext w:val="0"/>
              <w:rPr>
                <w:szCs w:val="20"/>
                <w:vertAlign w:val="superscript"/>
              </w:rPr>
            </w:pPr>
            <w:r w:rsidRPr="00E209B2">
              <w:rPr>
                <w:szCs w:val="20"/>
              </w:rPr>
              <w:t>PBS/RPBS cost ($7,823.81 per script)</w:t>
            </w:r>
            <w:r w:rsidRPr="00E209B2">
              <w:rPr>
                <w:szCs w:val="20"/>
                <w:vertAlign w:val="superscript"/>
              </w:rPr>
              <w:t>1</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r>
      <w:tr w:rsidR="00F320D2" w:rsidRPr="00E209B2" w:rsidTr="00F320D2">
        <w:tc>
          <w:tcPr>
            <w:tcW w:w="2547" w:type="dxa"/>
            <w:noWrap/>
          </w:tcPr>
          <w:p w:rsidR="00F320D2" w:rsidRPr="00E209B2" w:rsidRDefault="00F320D2" w:rsidP="00F320D2">
            <w:pPr>
              <w:pStyle w:val="TableText"/>
              <w:keepNext w:val="0"/>
            </w:pPr>
            <w:r w:rsidRPr="00E209B2">
              <w:rPr>
                <w:szCs w:val="20"/>
              </w:rPr>
              <w:t>Patient copayments ($17.38 per original script)</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2547" w:type="dxa"/>
            <w:noWrap/>
          </w:tcPr>
          <w:p w:rsidR="00F320D2" w:rsidRPr="00E209B2" w:rsidRDefault="00F320D2" w:rsidP="00F320D2">
            <w:pPr>
              <w:pStyle w:val="TableText"/>
              <w:keepNext w:val="0"/>
            </w:pPr>
            <w:r w:rsidRPr="00E209B2">
              <w:rPr>
                <w:szCs w:val="20"/>
              </w:rPr>
              <w:t>Total cost displaced pembrolizumab</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r>
      <w:tr w:rsidR="00F320D2" w:rsidRPr="00E209B2" w:rsidTr="00F320D2">
        <w:tc>
          <w:tcPr>
            <w:tcW w:w="9016" w:type="dxa"/>
            <w:gridSpan w:val="7"/>
            <w:noWrap/>
          </w:tcPr>
          <w:p w:rsidR="00F320D2" w:rsidRPr="00E209B2" w:rsidRDefault="00F320D2" w:rsidP="00F320D2">
            <w:pPr>
              <w:pStyle w:val="Tabletextcentred"/>
              <w:keepNext w:val="0"/>
              <w:jc w:val="left"/>
              <w:rPr>
                <w:b/>
                <w:bCs/>
              </w:rPr>
            </w:pPr>
            <w:r w:rsidRPr="00E209B2">
              <w:rPr>
                <w:b/>
                <w:bCs/>
              </w:rPr>
              <w:t>Change in cost of paclitaxel</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Change in paclitaxel scripts</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4</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4</w:t>
            </w:r>
          </w:p>
        </w:tc>
        <w:tc>
          <w:tcPr>
            <w:tcW w:w="1079"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4</w:t>
            </w:r>
          </w:p>
        </w:tc>
      </w:tr>
      <w:tr w:rsidR="00F320D2" w:rsidRPr="00E209B2" w:rsidTr="00F320D2">
        <w:tc>
          <w:tcPr>
            <w:tcW w:w="2547" w:type="dxa"/>
            <w:noWrap/>
          </w:tcPr>
          <w:p w:rsidR="00F320D2" w:rsidRPr="00E209B2" w:rsidRDefault="00F320D2" w:rsidP="00F320D2">
            <w:pPr>
              <w:pStyle w:val="TableText"/>
              <w:keepNext w:val="0"/>
            </w:pPr>
            <w:r w:rsidRPr="00E209B2">
              <w:t>PBS/RPBS cost ($171.70 per script)</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2547" w:type="dxa"/>
            <w:noWrap/>
          </w:tcPr>
          <w:p w:rsidR="00F320D2" w:rsidRPr="00E209B2" w:rsidRDefault="00F320D2" w:rsidP="00F320D2">
            <w:pPr>
              <w:pStyle w:val="TableText"/>
              <w:keepNext w:val="0"/>
            </w:pPr>
            <w:r w:rsidRPr="00E209B2">
              <w:t>Patient copayments ($17.38 per original script)</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2547" w:type="dxa"/>
            <w:noWrap/>
          </w:tcPr>
          <w:p w:rsidR="00F320D2" w:rsidRPr="00E209B2" w:rsidRDefault="00F320D2" w:rsidP="00F320D2">
            <w:pPr>
              <w:pStyle w:val="TableText"/>
              <w:keepNext w:val="0"/>
            </w:pPr>
            <w:r w:rsidRPr="00E209B2">
              <w:t>Total cost displaced pembrolizumab</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9016" w:type="dxa"/>
            <w:gridSpan w:val="7"/>
            <w:tcBorders>
              <w:left w:val="single" w:sz="4" w:space="0" w:color="auto"/>
              <w:bottom w:val="single" w:sz="4" w:space="0" w:color="auto"/>
            </w:tcBorders>
            <w:shd w:val="clear" w:color="auto" w:fill="auto"/>
            <w:noWrap/>
          </w:tcPr>
          <w:p w:rsidR="00F320D2" w:rsidRPr="00E209B2" w:rsidRDefault="00F320D2" w:rsidP="00F320D2">
            <w:pPr>
              <w:pStyle w:val="Tabletextcentred"/>
              <w:keepNext w:val="0"/>
              <w:jc w:val="left"/>
              <w:rPr>
                <w:b/>
              </w:rPr>
            </w:pPr>
            <w:r w:rsidRPr="00E209B2">
              <w:rPr>
                <w:b/>
              </w:rPr>
              <w:t>Change in cost of docetaxel</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Change in docetaxel scripts</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8"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c>
          <w:tcPr>
            <w:tcW w:w="1079" w:type="dxa"/>
            <w:noWrap/>
            <w:vAlign w:val="center"/>
          </w:tcPr>
          <w:p w:rsidR="00F320D2" w:rsidRPr="001529E4" w:rsidRDefault="001529E4" w:rsidP="00F320D2">
            <w:pPr>
              <w:pStyle w:val="Tabletextcentred"/>
              <w:keepNext w:val="0"/>
              <w:ind w:left="-113" w:right="-113"/>
            </w:pPr>
            <w:r>
              <w:rPr>
                <w:noProof/>
                <w:color w:val="000000"/>
                <w:highlight w:val="black"/>
              </w:rPr>
              <w:t>'''''''''</w:t>
            </w:r>
            <w:r w:rsidR="00930C9B">
              <w:rPr>
                <w:sz w:val="18"/>
                <w:szCs w:val="18"/>
                <w:vertAlign w:val="superscript"/>
              </w:rPr>
              <w:t>3</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PBS/RPBS cost ($165.24 per script)</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rPr>
          <w:trHeight w:val="66"/>
        </w:trPr>
        <w:tc>
          <w:tcPr>
            <w:tcW w:w="2547" w:type="dxa"/>
            <w:noWrap/>
          </w:tcPr>
          <w:p w:rsidR="00F320D2" w:rsidRPr="00E209B2" w:rsidRDefault="00F320D2" w:rsidP="00F320D2">
            <w:pPr>
              <w:pStyle w:val="TableText"/>
              <w:keepNext w:val="0"/>
              <w:rPr>
                <w:szCs w:val="20"/>
                <w:vertAlign w:val="superscript"/>
              </w:rPr>
            </w:pPr>
            <w:r w:rsidRPr="00E209B2">
              <w:rPr>
                <w:szCs w:val="20"/>
              </w:rPr>
              <w:t>Patient copayments ($17.38 per original script)</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Total cost displaced docetaxel</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9016" w:type="dxa"/>
            <w:gridSpan w:val="7"/>
            <w:noWrap/>
          </w:tcPr>
          <w:p w:rsidR="00F320D2" w:rsidRPr="00E209B2" w:rsidRDefault="00F320D2" w:rsidP="00F320D2">
            <w:pPr>
              <w:pStyle w:val="Tabletextcentred"/>
              <w:keepNext w:val="0"/>
              <w:jc w:val="left"/>
            </w:pPr>
            <w:r w:rsidRPr="00E209B2">
              <w:rPr>
                <w:b/>
                <w:bCs/>
              </w:rPr>
              <w:t>Net cost to the PBS/RPBS</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Net cost to PBS/RPBS of avelumab</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B650FD">
              <w:rPr>
                <w:sz w:val="18"/>
                <w:szCs w:val="18"/>
                <w:vertAlign w:val="superscript"/>
              </w:rPr>
              <w:t>7</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B650FD">
              <w:rPr>
                <w:sz w:val="18"/>
                <w:szCs w:val="18"/>
                <w:vertAlign w:val="superscript"/>
              </w:rPr>
              <w:t>7</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B650FD">
              <w:rPr>
                <w:sz w:val="18"/>
                <w:szCs w:val="18"/>
                <w:vertAlign w:val="superscript"/>
              </w:rPr>
              <w:t>7</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szCs w:val="20"/>
              </w:rPr>
              <w:t>Cost offsets for subsequent anticancer treatments</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E50391">
              <w:rPr>
                <w:sz w:val="18"/>
                <w:szCs w:val="18"/>
                <w:vertAlign w:val="superscript"/>
              </w:rPr>
              <w:t>6</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bCs w:val="0"/>
                <w:szCs w:val="20"/>
              </w:rPr>
              <w:t>Overall net cost to PBS/RPBS (exclusive of financial stopping rule rebate)</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98014A">
              <w:rPr>
                <w:sz w:val="18"/>
                <w:szCs w:val="18"/>
                <w:vertAlign w:val="superscript"/>
              </w:rPr>
              <w:t>5</w:t>
            </w:r>
          </w:p>
        </w:tc>
      </w:tr>
      <w:tr w:rsidR="00F320D2" w:rsidRPr="00E209B2" w:rsidTr="00F320D2">
        <w:tc>
          <w:tcPr>
            <w:tcW w:w="2547" w:type="dxa"/>
            <w:noWrap/>
          </w:tcPr>
          <w:p w:rsidR="00F320D2" w:rsidRPr="00E209B2" w:rsidRDefault="00F320D2" w:rsidP="00F320D2">
            <w:pPr>
              <w:pStyle w:val="TableText"/>
              <w:keepNext w:val="0"/>
              <w:rPr>
                <w:szCs w:val="20"/>
              </w:rPr>
            </w:pPr>
            <w:r w:rsidRPr="00E209B2">
              <w:rPr>
                <w:b/>
                <w:szCs w:val="20"/>
              </w:rPr>
              <w:t>Cost to PBS/RPBS (inclusive of financial stopping rule rebate)</w:t>
            </w:r>
          </w:p>
        </w:tc>
        <w:tc>
          <w:tcPr>
            <w:tcW w:w="1078"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98014A">
              <w:rPr>
                <w:sz w:val="18"/>
                <w:szCs w:val="18"/>
                <w:vertAlign w:val="superscript"/>
              </w:rPr>
              <w:t>5</w:t>
            </w:r>
          </w:p>
        </w:tc>
        <w:tc>
          <w:tcPr>
            <w:tcW w:w="1079" w:type="dxa"/>
            <w:noWrap/>
            <w:vAlign w:val="center"/>
          </w:tcPr>
          <w:p w:rsidR="00F320D2" w:rsidRPr="00E209B2" w:rsidRDefault="00F320D2" w:rsidP="00F320D2">
            <w:pPr>
              <w:pStyle w:val="Tabletextcentred"/>
              <w:keepNext w:val="0"/>
              <w:ind w:left="-113" w:right="-113"/>
            </w:pPr>
            <w:r w:rsidRPr="00E209B2">
              <w:rPr>
                <w:b/>
              </w:rPr>
              <w:t>$</w:t>
            </w:r>
            <w:r w:rsidR="001529E4">
              <w:rPr>
                <w:b/>
                <w:noProof/>
                <w:color w:val="000000"/>
                <w:highlight w:val="black"/>
              </w:rPr>
              <w:t>''''''''''''''''''''''</w:t>
            </w:r>
            <w:r w:rsidR="0098014A">
              <w:rPr>
                <w:sz w:val="18"/>
                <w:szCs w:val="18"/>
                <w:vertAlign w:val="superscript"/>
              </w:rPr>
              <w:t>5</w:t>
            </w:r>
          </w:p>
        </w:tc>
      </w:tr>
      <w:tr w:rsidR="00F320D2" w:rsidRPr="00E209B2" w:rsidTr="00F320D2">
        <w:tc>
          <w:tcPr>
            <w:tcW w:w="2547" w:type="dxa"/>
            <w:noWrap/>
          </w:tcPr>
          <w:p w:rsidR="00F320D2" w:rsidRPr="00E209B2" w:rsidRDefault="00F320D2" w:rsidP="00F320D2">
            <w:pPr>
              <w:pStyle w:val="TableText"/>
              <w:keepNext w:val="0"/>
              <w:rPr>
                <w:szCs w:val="20"/>
                <w:vertAlign w:val="superscript"/>
              </w:rPr>
            </w:pPr>
            <w:r w:rsidRPr="00E209B2">
              <w:rPr>
                <w:bCs w:val="0"/>
                <w:szCs w:val="20"/>
              </w:rPr>
              <w:t>Net cost the MBS</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c>
          <w:tcPr>
            <w:tcW w:w="1079" w:type="dxa"/>
            <w:noWrap/>
            <w:vAlign w:val="center"/>
          </w:tcPr>
          <w:p w:rsidR="00F320D2" w:rsidRPr="00E209B2" w:rsidRDefault="00F320D2" w:rsidP="00F320D2">
            <w:pPr>
              <w:pStyle w:val="Tabletextcentred"/>
              <w:keepNext w:val="0"/>
              <w:ind w:left="-113" w:right="-113"/>
            </w:pPr>
            <w:r w:rsidRPr="00E209B2">
              <w:t>$</w:t>
            </w:r>
            <w:r w:rsidR="001529E4">
              <w:rPr>
                <w:noProof/>
                <w:color w:val="000000"/>
                <w:highlight w:val="black"/>
              </w:rPr>
              <w:t>'''''''''''''''''''</w:t>
            </w:r>
            <w:r w:rsidR="00051666">
              <w:rPr>
                <w:sz w:val="18"/>
                <w:szCs w:val="18"/>
                <w:vertAlign w:val="superscript"/>
              </w:rPr>
              <w:t>8</w:t>
            </w:r>
          </w:p>
        </w:tc>
      </w:tr>
      <w:tr w:rsidR="00F320D2" w:rsidRPr="00E209B2" w:rsidTr="00F320D2">
        <w:tc>
          <w:tcPr>
            <w:tcW w:w="2547" w:type="dxa"/>
            <w:noWrap/>
          </w:tcPr>
          <w:p w:rsidR="00F320D2" w:rsidRPr="00E209B2" w:rsidRDefault="00F320D2" w:rsidP="00F320D2">
            <w:pPr>
              <w:pStyle w:val="TableText"/>
              <w:keepNext w:val="0"/>
              <w:rPr>
                <w:b/>
                <w:szCs w:val="20"/>
              </w:rPr>
            </w:pPr>
            <w:r w:rsidRPr="00E209B2">
              <w:rPr>
                <w:b/>
                <w:szCs w:val="20"/>
              </w:rPr>
              <w:t>Net cost to Government</w:t>
            </w:r>
          </w:p>
        </w:tc>
        <w:tc>
          <w:tcPr>
            <w:tcW w:w="1078"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051666">
              <w:rPr>
                <w:sz w:val="18"/>
                <w:szCs w:val="18"/>
                <w:vertAlign w:val="superscript"/>
              </w:rPr>
              <w:t>8</w:t>
            </w:r>
          </w:p>
        </w:tc>
        <w:tc>
          <w:tcPr>
            <w:tcW w:w="1078"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98014A">
              <w:rPr>
                <w:sz w:val="18"/>
                <w:szCs w:val="18"/>
                <w:vertAlign w:val="superscript"/>
              </w:rPr>
              <w:t>5</w:t>
            </w:r>
          </w:p>
        </w:tc>
        <w:tc>
          <w:tcPr>
            <w:tcW w:w="1078"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98014A">
              <w:rPr>
                <w:sz w:val="18"/>
                <w:szCs w:val="18"/>
                <w:vertAlign w:val="superscript"/>
              </w:rPr>
              <w:t>5</w:t>
            </w:r>
          </w:p>
        </w:tc>
        <w:tc>
          <w:tcPr>
            <w:tcW w:w="1079" w:type="dxa"/>
            <w:noWrap/>
            <w:vAlign w:val="center"/>
          </w:tcPr>
          <w:p w:rsidR="00F320D2" w:rsidRPr="00E209B2" w:rsidRDefault="00F320D2" w:rsidP="00F320D2">
            <w:pPr>
              <w:pStyle w:val="Tabletextcentred"/>
              <w:keepNext w:val="0"/>
              <w:ind w:left="-113" w:right="-113"/>
              <w:rPr>
                <w:b/>
                <w:bCs/>
              </w:rPr>
            </w:pPr>
            <w:r w:rsidRPr="00E209B2">
              <w:rPr>
                <w:b/>
                <w:bCs/>
              </w:rPr>
              <w:t>$</w:t>
            </w:r>
            <w:r w:rsidR="001529E4">
              <w:rPr>
                <w:b/>
                <w:bCs/>
                <w:noProof/>
                <w:color w:val="000000"/>
                <w:highlight w:val="black"/>
              </w:rPr>
              <w:t>'''''''''''''''''''''</w:t>
            </w:r>
            <w:r w:rsidR="0098014A">
              <w:rPr>
                <w:sz w:val="18"/>
                <w:szCs w:val="18"/>
                <w:vertAlign w:val="superscript"/>
              </w:rPr>
              <w:t>5</w:t>
            </w:r>
          </w:p>
        </w:tc>
      </w:tr>
    </w:tbl>
    <w:p w:rsidR="00F320D2" w:rsidRDefault="00F320D2" w:rsidP="00F320D2">
      <w:pPr>
        <w:pStyle w:val="TableFooter"/>
      </w:pPr>
      <w:r w:rsidRPr="00E209B2">
        <w:t>Source: Table 4.3-1, p206; Table 4.3-2, p207; Table 4.3-4, p208; Table 4.3-5, p209; Table 4.3-7, p210; Table 4.5-3, p212 of the submission; ‘Bavencio (avelumab) Utilisation and Cost’ Excel workbook.</w:t>
      </w:r>
    </w:p>
    <w:p w:rsidR="00FA132B" w:rsidRPr="00FA132B" w:rsidRDefault="00FA132B" w:rsidP="00FA132B">
      <w:pPr>
        <w:rPr>
          <w:rFonts w:ascii="Arial Narrow" w:hAnsi="Arial Narrow"/>
          <w:i/>
          <w:sz w:val="18"/>
          <w:szCs w:val="18"/>
        </w:rPr>
      </w:pPr>
      <w:r w:rsidRPr="00FA132B">
        <w:rPr>
          <w:rFonts w:ascii="Arial Narrow" w:hAnsi="Arial Narrow"/>
          <w:i/>
          <w:sz w:val="18"/>
          <w:szCs w:val="18"/>
        </w:rPr>
        <w:lastRenderedPageBreak/>
        <w:t xml:space="preserve">The redacted values correspond to the following ranges: </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1</w:t>
      </w:r>
      <w:r w:rsidRPr="00FA132B">
        <w:rPr>
          <w:rFonts w:ascii="Arial Narrow" w:hAnsi="Arial Narrow"/>
          <w:i/>
          <w:sz w:val="18"/>
          <w:szCs w:val="18"/>
        </w:rPr>
        <w:t xml:space="preserve"> 5,000 to &lt; 10,000</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2</w:t>
      </w:r>
      <w:r w:rsidRPr="00FA132B">
        <w:rPr>
          <w:rFonts w:ascii="Arial Narrow" w:hAnsi="Arial Narrow"/>
          <w:i/>
          <w:sz w:val="18"/>
          <w:szCs w:val="18"/>
        </w:rPr>
        <w:t xml:space="preserve"> 10,000 to &lt; 20,000</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3</w:t>
      </w:r>
      <w:r w:rsidRPr="00FA132B">
        <w:rPr>
          <w:rFonts w:ascii="Arial Narrow" w:hAnsi="Arial Narrow"/>
          <w:i/>
          <w:sz w:val="18"/>
          <w:szCs w:val="18"/>
        </w:rPr>
        <w:t xml:space="preserve"> &lt; 500</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4</w:t>
      </w:r>
      <w:r w:rsidRPr="00FA132B">
        <w:rPr>
          <w:rFonts w:ascii="Arial Narrow" w:hAnsi="Arial Narrow"/>
          <w:i/>
          <w:sz w:val="18"/>
          <w:szCs w:val="18"/>
        </w:rPr>
        <w:t xml:space="preserve"> 500 to &lt; 5,000</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5</w:t>
      </w:r>
      <w:r w:rsidRPr="00FA132B">
        <w:rPr>
          <w:rFonts w:ascii="Arial Narrow" w:hAnsi="Arial Narrow"/>
          <w:i/>
          <w:sz w:val="18"/>
          <w:szCs w:val="18"/>
        </w:rPr>
        <w:t xml:space="preserve"> $10 million to &lt; $20 million</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6</w:t>
      </w:r>
      <w:r w:rsidRPr="00FA132B">
        <w:rPr>
          <w:rFonts w:ascii="Arial Narrow" w:hAnsi="Arial Narrow"/>
          <w:i/>
          <w:sz w:val="18"/>
          <w:szCs w:val="18"/>
        </w:rPr>
        <w:t xml:space="preserve"> $20 million to &lt; $30 million</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7</w:t>
      </w:r>
      <w:r w:rsidRPr="00FA132B">
        <w:rPr>
          <w:rFonts w:ascii="Arial Narrow" w:hAnsi="Arial Narrow"/>
          <w:i/>
          <w:sz w:val="18"/>
          <w:szCs w:val="18"/>
        </w:rPr>
        <w:t xml:space="preserve"> $30 million to &lt; $40 million</w:t>
      </w:r>
    </w:p>
    <w:p w:rsidR="00FA132B" w:rsidRPr="00FA132B" w:rsidRDefault="00FA132B" w:rsidP="00FA132B">
      <w:pPr>
        <w:rPr>
          <w:rFonts w:ascii="Arial Narrow" w:hAnsi="Arial Narrow"/>
          <w:i/>
          <w:sz w:val="18"/>
          <w:szCs w:val="18"/>
        </w:rPr>
      </w:pPr>
      <w:r w:rsidRPr="00FA132B">
        <w:rPr>
          <w:rFonts w:ascii="Arial Narrow" w:hAnsi="Arial Narrow"/>
          <w:i/>
          <w:sz w:val="18"/>
          <w:szCs w:val="18"/>
          <w:vertAlign w:val="superscript"/>
        </w:rPr>
        <w:t xml:space="preserve">8 </w:t>
      </w:r>
      <w:r w:rsidRPr="00FA132B">
        <w:rPr>
          <w:rFonts w:ascii="Arial Narrow" w:hAnsi="Arial Narrow"/>
          <w:i/>
          <w:sz w:val="18"/>
          <w:szCs w:val="18"/>
        </w:rPr>
        <w:t>$0 to &lt; $10 million</w:t>
      </w:r>
    </w:p>
    <w:p w:rsidR="00FA132B" w:rsidRPr="00E209B2" w:rsidRDefault="00FA132B" w:rsidP="00F320D2">
      <w:pPr>
        <w:pStyle w:val="TableFooter"/>
      </w:pPr>
    </w:p>
    <w:p w:rsidR="00F320D2" w:rsidRPr="00E209B2" w:rsidRDefault="00F320D2" w:rsidP="0025249D">
      <w:pPr>
        <w:pStyle w:val="ExecSumBodyText"/>
        <w:rPr>
          <w:color w:val="3366FF"/>
        </w:rPr>
      </w:pPr>
      <w:r w:rsidRPr="00E209B2">
        <w:t>The listing of avelumab was estimated to result in a cost saving to the PBS/RPBS  in Year 1 of listing, increasing to a cost of $</w:t>
      </w:r>
      <w:r w:rsidR="00E54D74">
        <w:t>10 to &lt; $20</w:t>
      </w:r>
      <w:r w:rsidRPr="00E209B2">
        <w:t xml:space="preserve"> million in Year 6, a total of $</w:t>
      </w:r>
      <w:r w:rsidR="00E54D74">
        <w:t>40 to &lt; $50</w:t>
      </w:r>
      <w:r w:rsidRPr="00E209B2">
        <w:t xml:space="preserve"> million over the first six years of listing</w:t>
      </w:r>
      <w:r w:rsidR="00456BFD" w:rsidRPr="00E209B2">
        <w:t>.</w:t>
      </w:r>
      <w:r w:rsidR="006662A0" w:rsidRPr="00E209B2">
        <w:rPr>
          <w:iCs/>
        </w:rPr>
        <w:t xml:space="preserve"> </w:t>
      </w:r>
      <w:r w:rsidR="00DE7605" w:rsidRPr="00E209B2">
        <w:rPr>
          <w:iCs/>
        </w:rPr>
        <w:t>The PBAC noted these costs were based on the published price of pembrolizumab</w:t>
      </w:r>
      <w:r w:rsidR="006D2E5C" w:rsidRPr="00E209B2">
        <w:rPr>
          <w:iCs/>
        </w:rPr>
        <w:t xml:space="preserve"> and that incorporation of the effective price of this medicine will impact on the estimated net cost to the PBS</w:t>
      </w:r>
      <w:r w:rsidR="00DE7605" w:rsidRPr="00E209B2">
        <w:rPr>
          <w:iCs/>
        </w:rPr>
        <w:t xml:space="preserve">. </w:t>
      </w:r>
    </w:p>
    <w:p w:rsidR="00F320D2" w:rsidRPr="00E209B2" w:rsidRDefault="00F320D2" w:rsidP="00F320D2">
      <w:pPr>
        <w:pStyle w:val="ExecSumBodyText"/>
        <w:numPr>
          <w:ilvl w:val="1"/>
          <w:numId w:val="1"/>
        </w:numPr>
      </w:pPr>
      <w:r w:rsidRPr="00E209B2">
        <w:rPr>
          <w:iCs/>
        </w:rPr>
        <w:t xml:space="preserve">The </w:t>
      </w:r>
      <w:r w:rsidR="00F43C56" w:rsidRPr="00E209B2">
        <w:rPr>
          <w:iCs/>
        </w:rPr>
        <w:t xml:space="preserve">DUSC considered the </w:t>
      </w:r>
      <w:r w:rsidRPr="00E209B2">
        <w:rPr>
          <w:iCs/>
        </w:rPr>
        <w:t xml:space="preserve">financial estimates </w:t>
      </w:r>
      <w:r w:rsidR="00F43C56" w:rsidRPr="00E209B2">
        <w:rPr>
          <w:iCs/>
        </w:rPr>
        <w:t xml:space="preserve">to be uncertain and </w:t>
      </w:r>
      <w:r w:rsidR="00B44563" w:rsidRPr="00E209B2">
        <w:rPr>
          <w:iCs/>
        </w:rPr>
        <w:t xml:space="preserve">likely to be </w:t>
      </w:r>
      <w:r w:rsidR="00F43C56" w:rsidRPr="00E209B2">
        <w:rPr>
          <w:iCs/>
        </w:rPr>
        <w:t xml:space="preserve">overestimated. The main issues </w:t>
      </w:r>
      <w:r w:rsidR="00E66FC2" w:rsidRPr="00E209B2">
        <w:rPr>
          <w:iCs/>
        </w:rPr>
        <w:t>included</w:t>
      </w:r>
      <w:r w:rsidR="00F43C56" w:rsidRPr="00E209B2">
        <w:rPr>
          <w:iCs/>
        </w:rPr>
        <w:t>:</w:t>
      </w:r>
    </w:p>
    <w:p w:rsidR="00F320D2" w:rsidRPr="00E209B2" w:rsidRDefault="00F320D2" w:rsidP="0072219F">
      <w:pPr>
        <w:pStyle w:val="ExecSumBodyText"/>
        <w:numPr>
          <w:ilvl w:val="0"/>
          <w:numId w:val="33"/>
        </w:numPr>
        <w:spacing w:after="0"/>
        <w:ind w:left="993" w:hanging="284"/>
      </w:pPr>
      <w:r w:rsidRPr="00E209B2">
        <w:rPr>
          <w:iCs/>
        </w:rPr>
        <w:t xml:space="preserve">While the epidemiological approach employed to derive the eligible population appeared reasonable overall, it was relatively complex and relied upon multiple international estimates, some of which had unclear applicability to the Australian setting. </w:t>
      </w:r>
    </w:p>
    <w:p w:rsidR="00F320D2" w:rsidRPr="00E209B2" w:rsidRDefault="00B44563" w:rsidP="00557E0C">
      <w:pPr>
        <w:pStyle w:val="ListParagraph"/>
        <w:numPr>
          <w:ilvl w:val="0"/>
          <w:numId w:val="33"/>
        </w:numPr>
        <w:ind w:left="993" w:hanging="284"/>
        <w:contextualSpacing w:val="0"/>
        <w:rPr>
          <w:iCs/>
        </w:rPr>
      </w:pPr>
      <w:r w:rsidRPr="00E209B2">
        <w:rPr>
          <w:iCs/>
        </w:rPr>
        <w:t>The submission estimated that 90% of patients are treated with first line platinum based chemotherapy</w:t>
      </w:r>
      <w:r w:rsidR="00BD3C37" w:rsidRPr="00E209B2">
        <w:rPr>
          <w:iCs/>
        </w:rPr>
        <w:t xml:space="preserve"> which DUSC considered was an overestimate</w:t>
      </w:r>
      <w:r w:rsidRPr="00E209B2">
        <w:rPr>
          <w:iCs/>
        </w:rPr>
        <w:t xml:space="preserve">. DUSC considered a reasonable estimate would be that 70% of patients are treated with </w:t>
      </w:r>
      <w:r w:rsidR="007B7DE2" w:rsidRPr="00E209B2">
        <w:rPr>
          <w:iCs/>
        </w:rPr>
        <w:t>first-line</w:t>
      </w:r>
      <w:r w:rsidRPr="00E209B2">
        <w:rPr>
          <w:iCs/>
        </w:rPr>
        <w:t xml:space="preserve"> platinum based chemotherapy</w:t>
      </w:r>
      <w:r w:rsidR="007B7DE2" w:rsidRPr="00E209B2">
        <w:rPr>
          <w:iCs/>
        </w:rPr>
        <w:t xml:space="preserve"> given the renal impairment, age and comorbidities in this population</w:t>
      </w:r>
      <w:r w:rsidRPr="00E209B2">
        <w:rPr>
          <w:iCs/>
        </w:rPr>
        <w:t>.</w:t>
      </w:r>
      <w:r w:rsidR="007B7DE2" w:rsidRPr="00E209B2">
        <w:rPr>
          <w:iCs/>
        </w:rPr>
        <w:t xml:space="preserve"> </w:t>
      </w:r>
    </w:p>
    <w:p w:rsidR="00B44563" w:rsidRPr="00A4523B" w:rsidRDefault="00747BA1" w:rsidP="00557E0C">
      <w:pPr>
        <w:pStyle w:val="ListParagraph"/>
        <w:numPr>
          <w:ilvl w:val="0"/>
          <w:numId w:val="33"/>
        </w:numPr>
        <w:ind w:left="993" w:hanging="284"/>
        <w:contextualSpacing w:val="0"/>
        <w:rPr>
          <w:iCs/>
        </w:rPr>
      </w:pPr>
      <w:r w:rsidRPr="00E209B2">
        <w:rPr>
          <w:iCs/>
        </w:rPr>
        <w:t>U</w:t>
      </w:r>
      <w:r w:rsidR="001D2D0E" w:rsidRPr="00E209B2">
        <w:rPr>
          <w:iCs/>
        </w:rPr>
        <w:t xml:space="preserve">ncertainty </w:t>
      </w:r>
      <w:r w:rsidRPr="00E209B2">
        <w:rPr>
          <w:iCs/>
        </w:rPr>
        <w:t>regarding</w:t>
      </w:r>
      <w:r w:rsidR="001D2D0E" w:rsidRPr="00E209B2">
        <w:rPr>
          <w:iCs/>
        </w:rPr>
        <w:t xml:space="preserve"> the uptake of avelumab. </w:t>
      </w:r>
      <w:r w:rsidRPr="00E209B2">
        <w:t xml:space="preserve">DUSC considered that there is likely to be a population of patients who would prefer a ‘treatment holiday’ after undergoing rigorous platinum therapy. This population would likely then prefer waiting two months and opting for pembrolizumab as second-line therapy with a three-weekly dosing schedule. DUSC considered that the uptake rate </w:t>
      </w:r>
      <w:r w:rsidRPr="00A4523B">
        <w:t>of 65% in year one is likely to be underestimated and the plateau of 95% by year three is likely overestimated.</w:t>
      </w:r>
    </w:p>
    <w:p w:rsidR="00F320D2" w:rsidRPr="00E209B2" w:rsidRDefault="00F320D2" w:rsidP="00FD31A5">
      <w:pPr>
        <w:pStyle w:val="ListParagraph"/>
        <w:numPr>
          <w:ilvl w:val="0"/>
          <w:numId w:val="33"/>
        </w:numPr>
        <w:spacing w:after="120"/>
        <w:ind w:left="993" w:hanging="284"/>
        <w:contextualSpacing w:val="0"/>
        <w:rPr>
          <w:iCs/>
        </w:rPr>
      </w:pPr>
      <w:r w:rsidRPr="00A4523B">
        <w:rPr>
          <w:iCs/>
        </w:rPr>
        <w:t>The duration of avelumab treatment was based on data derived from the economic model. The model-based treatment duration estimates incorporated uncertainty associated with the economic model, including the extrapolation of the time to treatment discontinuation curve, and the use of avelumab beyond disease progres</w:t>
      </w:r>
      <w:r w:rsidRPr="00A4523B">
        <w:rPr>
          <w:iCs/>
        </w:rPr>
        <w:lastRenderedPageBreak/>
        <w:t xml:space="preserve">sion. </w:t>
      </w:r>
      <w:r w:rsidR="00B44563" w:rsidRPr="00A4523B">
        <w:rPr>
          <w:iCs/>
        </w:rPr>
        <w:t>DUSC noted that the median treatment duration for melanoma patients using nivolumab or pe</w:t>
      </w:r>
      <w:r w:rsidR="00D44626" w:rsidRPr="00A4523B">
        <w:rPr>
          <w:iCs/>
        </w:rPr>
        <w:t>m</w:t>
      </w:r>
      <w:r w:rsidR="00B44563" w:rsidRPr="00A4523B">
        <w:rPr>
          <w:iCs/>
        </w:rPr>
        <w:t xml:space="preserve">brolizumab first line was 8.3 months and 6.8 months respectively. DUSC noted that the response rate to </w:t>
      </w:r>
      <w:r w:rsidR="00FD31A5" w:rsidRPr="00A4523B">
        <w:rPr>
          <w:iCs/>
        </w:rPr>
        <w:t>immune checkpoint inhibitors</w:t>
      </w:r>
      <w:r w:rsidR="00FD31A5" w:rsidRPr="00A4523B">
        <w:rPr>
          <w:i/>
        </w:rPr>
        <w:t xml:space="preserve"> </w:t>
      </w:r>
      <w:r w:rsidR="00B44563" w:rsidRPr="00A4523B">
        <w:rPr>
          <w:iCs/>
        </w:rPr>
        <w:t xml:space="preserve">in melanomas is higher than in urothelial carcinomas and the proposed treatment duration </w:t>
      </w:r>
      <w:r w:rsidR="00FD31A5" w:rsidRPr="00A4523B">
        <w:rPr>
          <w:iCs/>
        </w:rPr>
        <w:t xml:space="preserve">for newly initiating patients </w:t>
      </w:r>
      <w:r w:rsidR="00B44563" w:rsidRPr="00A4523B">
        <w:rPr>
          <w:iCs/>
        </w:rPr>
        <w:t>of</w:t>
      </w:r>
      <w:r w:rsidR="00352851" w:rsidRPr="00A4523B">
        <w:rPr>
          <w:iCs/>
        </w:rPr>
        <w:t xml:space="preserve"> approximately 14.8 months</w:t>
      </w:r>
      <w:r w:rsidR="00352851" w:rsidRPr="00E209B2">
        <w:rPr>
          <w:iCs/>
        </w:rPr>
        <w:t xml:space="preserve"> (6 year restricted mean)</w:t>
      </w:r>
      <w:r w:rsidR="00B44563" w:rsidRPr="00E209B2">
        <w:rPr>
          <w:iCs/>
        </w:rPr>
        <w:t xml:space="preserve"> is unlikely. The pre-PBAC response argued that the comparison of melanoma and urothelial cancer was not relevant as the two conditions do not share any relevant characteristics.</w:t>
      </w:r>
      <w:r w:rsidR="003D2CD3" w:rsidRPr="00E209B2">
        <w:rPr>
          <w:iCs/>
        </w:rPr>
        <w:t xml:space="preserve"> </w:t>
      </w:r>
    </w:p>
    <w:p w:rsidR="00F320D2" w:rsidRPr="00E209B2" w:rsidRDefault="00F320D2" w:rsidP="00886D2E">
      <w:pPr>
        <w:pStyle w:val="ExecSumBodyText"/>
        <w:numPr>
          <w:ilvl w:val="1"/>
          <w:numId w:val="1"/>
        </w:numPr>
      </w:pPr>
      <w:r w:rsidRPr="00E209B2">
        <w:t xml:space="preserve">The submission estimated that </w:t>
      </w:r>
      <w:r w:rsidR="00704A8B">
        <w:t>&lt; 500</w:t>
      </w:r>
      <w:r w:rsidRPr="00E209B2">
        <w:t xml:space="preserve"> patients are likely to </w:t>
      </w:r>
      <w:r w:rsidR="00E209B2">
        <w:t xml:space="preserve">be eligible for </w:t>
      </w:r>
      <w:r w:rsidR="00F963FF">
        <w:t>treatment through the</w:t>
      </w:r>
      <w:r w:rsidRPr="00E209B2">
        <w:t xml:space="preserve"> grandfather</w:t>
      </w:r>
      <w:r w:rsidR="00E209B2">
        <w:t xml:space="preserve"> restriction</w:t>
      </w:r>
      <w:r w:rsidRPr="00E209B2">
        <w:t>.</w:t>
      </w:r>
      <w:r w:rsidR="00C96213" w:rsidRPr="00E209B2">
        <w:t xml:space="preserve"> The pre-PBAC response noted that given the TGA registration was expedited, it was likely that the number of grandfathered patients will exceed </w:t>
      </w:r>
      <w:r w:rsidR="00FA2E1B" w:rsidRPr="00E209B2">
        <w:t xml:space="preserve">the </w:t>
      </w:r>
      <w:r w:rsidR="00704A8B">
        <w:t>&lt; 500</w:t>
      </w:r>
      <w:r w:rsidR="00C96213" w:rsidRPr="00E209B2">
        <w:t xml:space="preserve"> patients </w:t>
      </w:r>
      <w:r w:rsidR="00FA2E1B" w:rsidRPr="00E209B2">
        <w:t xml:space="preserve">accounted for </w:t>
      </w:r>
      <w:r w:rsidR="00C96213" w:rsidRPr="00E209B2">
        <w:t>in the financial estimates.</w:t>
      </w:r>
    </w:p>
    <w:p w:rsidR="00964787" w:rsidRPr="00E209B2" w:rsidRDefault="00964787" w:rsidP="001A5C32">
      <w:pPr>
        <w:pStyle w:val="3-SubsectionHeading"/>
      </w:pPr>
      <w:r w:rsidRPr="00E209B2">
        <w:t xml:space="preserve">Quality Use of Medicines </w:t>
      </w:r>
    </w:p>
    <w:p w:rsidR="00964787" w:rsidRPr="00E209B2" w:rsidRDefault="00964787" w:rsidP="00964787">
      <w:pPr>
        <w:pStyle w:val="ExecSumBodyText"/>
        <w:numPr>
          <w:ilvl w:val="1"/>
          <w:numId w:val="1"/>
        </w:numPr>
      </w:pPr>
      <w:r w:rsidRPr="00E209B2">
        <w:t xml:space="preserve">No quality use of medicines issues were identified in the submission, and no activities to support the quality use of medicines were proposed. </w:t>
      </w:r>
      <w:r w:rsidR="00DB24AA" w:rsidRPr="00E209B2">
        <w:t>DUSC noted that a flat dosing of 800 mg every two weeks was proposed. DUSC considered it was unclear whether this dosing schedule was applicable to patients with a higher body weight.</w:t>
      </w:r>
    </w:p>
    <w:p w:rsidR="00576972" w:rsidRPr="00E209B2" w:rsidRDefault="00576972" w:rsidP="00606FBA">
      <w:pPr>
        <w:pStyle w:val="3-SubsectionHeading"/>
      </w:pPr>
      <w:r w:rsidRPr="00E209B2">
        <w:t>Financial Management – Risk Sharing Arrangements</w:t>
      </w:r>
      <w:bookmarkEnd w:id="28"/>
      <w:bookmarkEnd w:id="29"/>
    </w:p>
    <w:p w:rsidR="003D1CA3" w:rsidRPr="00E209B2" w:rsidRDefault="0050721B" w:rsidP="003D1CA3">
      <w:pPr>
        <w:pStyle w:val="ExecSumBodyText"/>
      </w:pPr>
      <w:r w:rsidRPr="00E209B2">
        <w:t>The submission proposed a financial stopping rule where the cost of avelumab incurred after the fourth year of treatment would be provided as a rebate to government.</w:t>
      </w:r>
      <w:r w:rsidR="0027352B" w:rsidRPr="00E209B2">
        <w:t xml:space="preserve"> </w:t>
      </w:r>
      <w:r w:rsidR="003D1CA3" w:rsidRPr="00E209B2">
        <w:rPr>
          <w:iCs/>
        </w:rPr>
        <w:t xml:space="preserve">The </w:t>
      </w:r>
      <w:r w:rsidR="0017541E" w:rsidRPr="00E209B2">
        <w:rPr>
          <w:iCs/>
        </w:rPr>
        <w:t xml:space="preserve">DUSC and </w:t>
      </w:r>
      <w:r w:rsidR="003D1CA3" w:rsidRPr="00E209B2">
        <w:rPr>
          <w:iCs/>
        </w:rPr>
        <w:t>ESC considered the proposal of a four year treatment duration was inappropriate given urothelial cancer is an aggressive disease and it would be unlikely that patients would use avelumab for this</w:t>
      </w:r>
      <w:r w:rsidR="00592B67" w:rsidRPr="00E209B2">
        <w:rPr>
          <w:iCs/>
        </w:rPr>
        <w:t xml:space="preserve"> </w:t>
      </w:r>
      <w:r w:rsidR="003D1CA3" w:rsidRPr="00E209B2">
        <w:rPr>
          <w:iCs/>
        </w:rPr>
        <w:t>long.</w:t>
      </w:r>
      <w:r w:rsidR="00751B80" w:rsidRPr="00E209B2">
        <w:rPr>
          <w:iCs/>
        </w:rPr>
        <w:t xml:space="preserve"> The PBAC further noted that this only impacted on the financial estimated from year 5 onwards, and hence the impact, if any, would unlikely to be observed during the period covered by a RSA. </w:t>
      </w:r>
    </w:p>
    <w:p w:rsidR="00576972" w:rsidRPr="00E209B2" w:rsidRDefault="00137291" w:rsidP="003D1CA3">
      <w:pPr>
        <w:pStyle w:val="ExecSumBodyText"/>
      </w:pPr>
      <w:r w:rsidRPr="00E209B2">
        <w:rPr>
          <w:iCs/>
        </w:rPr>
        <w:t xml:space="preserve">In </w:t>
      </w:r>
      <w:r w:rsidR="008461BA" w:rsidRPr="00E209B2">
        <w:rPr>
          <w:iCs/>
        </w:rPr>
        <w:t>the July 2018 consideration of pembrolizumab, the PBAC considered that a</w:t>
      </w:r>
      <w:r w:rsidR="00ED7470" w:rsidRPr="00E209B2">
        <w:rPr>
          <w:iCs/>
        </w:rPr>
        <w:t xml:space="preserve"> risk sharing arrangement</w:t>
      </w:r>
      <w:r w:rsidR="008461BA" w:rsidRPr="00E209B2">
        <w:rPr>
          <w:iCs/>
        </w:rPr>
        <w:t xml:space="preserve"> was required to address potential use outside the proposed restriction and the uncertain treatment duration</w:t>
      </w:r>
      <w:r w:rsidR="002119C6" w:rsidRPr="00E209B2">
        <w:rPr>
          <w:iCs/>
        </w:rPr>
        <w:t xml:space="preserve"> (paragraph 6.43, pembrolizumab public summary document, </w:t>
      </w:r>
      <w:r w:rsidR="008E18F6" w:rsidRPr="00E209B2">
        <w:rPr>
          <w:iCs/>
        </w:rPr>
        <w:t>July</w:t>
      </w:r>
      <w:r w:rsidR="002119C6" w:rsidRPr="00E209B2">
        <w:rPr>
          <w:iCs/>
        </w:rPr>
        <w:t xml:space="preserve"> 2018 PBAC meeting)</w:t>
      </w:r>
      <w:r w:rsidR="008461BA" w:rsidRPr="00E209B2">
        <w:rPr>
          <w:iCs/>
        </w:rPr>
        <w:t>.</w:t>
      </w:r>
      <w:r w:rsidR="00967F45" w:rsidRPr="00E209B2">
        <w:rPr>
          <w:iCs/>
        </w:rPr>
        <w:t xml:space="preserve"> The PSCR proposed that any other risks in the use of avelumab for </w:t>
      </w:r>
      <w:r w:rsidR="003151D5" w:rsidRPr="00E209B2">
        <w:rPr>
          <w:iCs/>
        </w:rPr>
        <w:t xml:space="preserve">locally advanced or metastatic urothelial carcinoma </w:t>
      </w:r>
      <w:r w:rsidR="00967F45" w:rsidRPr="00E209B2">
        <w:rPr>
          <w:iCs/>
        </w:rPr>
        <w:t>that may result in additional costs to the PBS could be managed with a risk sharing arrangement.</w:t>
      </w:r>
      <w:r w:rsidR="003D1CA3" w:rsidRPr="00E209B2">
        <w:rPr>
          <w:iCs/>
        </w:rPr>
        <w:t xml:space="preserve"> </w:t>
      </w:r>
    </w:p>
    <w:p w:rsidR="00F24BE0" w:rsidRPr="00E209B2" w:rsidRDefault="00F24BE0" w:rsidP="00F24BE0">
      <w:pPr>
        <w:pStyle w:val="ExecSumBodyText"/>
        <w:rPr>
          <w:iCs/>
        </w:rPr>
      </w:pPr>
      <w:r w:rsidRPr="00E209B2">
        <w:rPr>
          <w:iCs/>
        </w:rPr>
        <w:t xml:space="preserve">The </w:t>
      </w:r>
      <w:r w:rsidR="00693C72" w:rsidRPr="00E209B2">
        <w:rPr>
          <w:iCs/>
        </w:rPr>
        <w:t xml:space="preserve">PBAC </w:t>
      </w:r>
      <w:r w:rsidRPr="00E209B2">
        <w:rPr>
          <w:iCs/>
        </w:rPr>
        <w:t xml:space="preserve">noted that the current listing of pembrolizumab </w:t>
      </w:r>
      <w:r w:rsidR="00F616F7" w:rsidRPr="00E209B2">
        <w:rPr>
          <w:iCs/>
        </w:rPr>
        <w:t xml:space="preserve">for </w:t>
      </w:r>
      <w:r w:rsidR="00693C72" w:rsidRPr="00E209B2">
        <w:rPr>
          <w:iCs/>
        </w:rPr>
        <w:t>locally advanced or metastatic urothelial cancer allows use in patients who have progressed on or after prior platinum based chemotherapy. The submission</w:t>
      </w:r>
      <w:r w:rsidRPr="00E209B2">
        <w:rPr>
          <w:iCs/>
        </w:rPr>
        <w:t xml:space="preserve"> stated </w:t>
      </w:r>
      <w:r w:rsidRPr="00E209B2">
        <w:rPr>
          <w:iCs/>
        </w:rPr>
        <w:lastRenderedPageBreak/>
        <w:t xml:space="preserve">that the </w:t>
      </w:r>
      <w:r w:rsidR="00693C72" w:rsidRPr="00E209B2">
        <w:rPr>
          <w:iCs/>
        </w:rPr>
        <w:t>view of 11 Australian oncologists</w:t>
      </w:r>
      <w:r w:rsidRPr="00E209B2">
        <w:rPr>
          <w:iCs/>
        </w:rPr>
        <w:t xml:space="preserve"> experienced in the treatment of patients with locally advanced or metastatic urothelial carcinoma was that 75% of patients do not progress after 4 to 6 cycles of platinum-based chemotherapy. This is in between the weighted average of approximately 78% at 16 weeks and 58% at 28 weeks estimated from the published literature. As such, the PBAC considered it likely that 25% of patients do progress on platinum-based chemotherapy</w:t>
      </w:r>
      <w:r w:rsidR="00A218EC" w:rsidRPr="00E209B2">
        <w:rPr>
          <w:iCs/>
        </w:rPr>
        <w:t xml:space="preserve"> and hence would not be eligible for treatment with avelumab. The PBAC noted that, assuming they remain fit enough for second line treatment, these patients would </w:t>
      </w:r>
      <w:r w:rsidRPr="00E209B2">
        <w:rPr>
          <w:iCs/>
        </w:rPr>
        <w:t xml:space="preserve">receive pembrolizumab in sequence without a treatment break. </w:t>
      </w:r>
      <w:r w:rsidR="006C62B8" w:rsidRPr="00E209B2">
        <w:rPr>
          <w:iCs/>
        </w:rPr>
        <w:t xml:space="preserve">In addition, the PBAC noted the DUSC advice that some patients may prefer a </w:t>
      </w:r>
      <w:r w:rsidR="006C62B8" w:rsidRPr="00E209B2">
        <w:t>‘treatment holiday’ after undergoing rigorous platinum therapy and hence</w:t>
      </w:r>
      <w:r w:rsidR="00E41DA1" w:rsidRPr="00E209B2">
        <w:t xml:space="preserve"> may</w:t>
      </w:r>
      <w:r w:rsidR="006C62B8" w:rsidRPr="00E209B2">
        <w:t xml:space="preserve"> choose pembrolizumab on progression over avelumab maintenance therapy.</w:t>
      </w:r>
    </w:p>
    <w:p w:rsidR="005866E6" w:rsidRPr="00E209B2" w:rsidRDefault="005866E6" w:rsidP="005866E6">
      <w:pPr>
        <w:pStyle w:val="ExecSumBodyText"/>
        <w:numPr>
          <w:ilvl w:val="0"/>
          <w:numId w:val="0"/>
        </w:numPr>
        <w:ind w:left="720"/>
        <w:rPr>
          <w:i/>
        </w:rPr>
      </w:pPr>
      <w:r w:rsidRPr="00E209B2">
        <w:rPr>
          <w:i/>
        </w:rPr>
        <w:t>For more detail on PBAC’s view, see section 7 PBAC outcome.</w:t>
      </w:r>
    </w:p>
    <w:p w:rsidR="00F320D2" w:rsidRPr="00E209B2" w:rsidRDefault="00F320D2" w:rsidP="00F320D2">
      <w:pPr>
        <w:keepNext/>
        <w:widowControl w:val="0"/>
        <w:numPr>
          <w:ilvl w:val="0"/>
          <w:numId w:val="1"/>
        </w:numPr>
        <w:spacing w:before="240" w:after="120"/>
        <w:jc w:val="left"/>
        <w:outlineLvl w:val="0"/>
        <w:rPr>
          <w:rFonts w:asciiTheme="minorHAnsi" w:hAnsiTheme="minorHAnsi"/>
          <w:b/>
          <w:snapToGrid w:val="0"/>
          <w:sz w:val="32"/>
          <w:szCs w:val="32"/>
        </w:rPr>
      </w:pPr>
      <w:r w:rsidRPr="00E209B2">
        <w:rPr>
          <w:rFonts w:asciiTheme="minorHAnsi" w:hAnsiTheme="minorHAnsi"/>
          <w:b/>
          <w:snapToGrid w:val="0"/>
          <w:sz w:val="32"/>
          <w:szCs w:val="32"/>
        </w:rPr>
        <w:t>PBAC Outcome</w:t>
      </w:r>
    </w:p>
    <w:p w:rsidR="00073AF1" w:rsidRPr="00E209B2" w:rsidRDefault="00F320D2" w:rsidP="00080D01">
      <w:pPr>
        <w:pStyle w:val="ExecSumBodyText"/>
      </w:pPr>
      <w:r w:rsidRPr="00E209B2">
        <w:t xml:space="preserve">The PBAC recommended the listing of </w:t>
      </w:r>
      <w:r w:rsidR="00EC5409" w:rsidRPr="00E209B2">
        <w:t>avelumab</w:t>
      </w:r>
      <w:r w:rsidR="00885F8C" w:rsidRPr="00E209B2">
        <w:t>,</w:t>
      </w:r>
      <w:r w:rsidR="00774BCE" w:rsidRPr="00E209B2">
        <w:rPr>
          <w:bCs/>
        </w:rPr>
        <w:t xml:space="preserve"> for the maintenance treatment of locally advanced (Stage III) or metastatic (Stage IV) urothelial carcinoma in patients whose disease has not progressed following first-line platinum-based chemotherapy</w:t>
      </w:r>
      <w:r w:rsidR="00885F8C" w:rsidRPr="00E209B2">
        <w:t>, on the basis that it should be available only under special arrangements under Section 100 –</w:t>
      </w:r>
      <w:r w:rsidR="00885F8C" w:rsidRPr="00E209B2">
        <w:rPr>
          <w:bCs/>
        </w:rPr>
        <w:t xml:space="preserve"> Efficient Funding of Chemotherapy.</w:t>
      </w:r>
      <w:r w:rsidR="00774BCE" w:rsidRPr="00E209B2">
        <w:t xml:space="preserve"> </w:t>
      </w:r>
    </w:p>
    <w:p w:rsidR="009214CC" w:rsidRPr="00E209B2" w:rsidRDefault="002E4F6F" w:rsidP="00080D01">
      <w:pPr>
        <w:pStyle w:val="ExecSumBodyText"/>
      </w:pPr>
      <w:r w:rsidRPr="00E209B2">
        <w:t xml:space="preserve">The PBAC </w:t>
      </w:r>
      <w:r w:rsidR="00080D01" w:rsidRPr="00E209B2">
        <w:t>wa</w:t>
      </w:r>
      <w:r w:rsidRPr="00E209B2">
        <w:t xml:space="preserve">s satisfied that avelumab provides for some patients, a significant improvement in </w:t>
      </w:r>
      <w:r w:rsidR="00080D01" w:rsidRPr="00E209B2">
        <w:t>overall survival</w:t>
      </w:r>
      <w:r w:rsidRPr="00E209B2">
        <w:t xml:space="preserve"> over best supportive care (BSC). </w:t>
      </w:r>
      <w:r w:rsidR="00080D01" w:rsidRPr="00E209B2">
        <w:rPr>
          <w:rFonts w:cstheme="minorHAnsi"/>
        </w:rPr>
        <w:t xml:space="preserve">The PBAC considered that, while the magnitude of the incremental benefit of the use of maintenance avelumab </w:t>
      </w:r>
      <w:r w:rsidR="00073AF1" w:rsidRPr="00E209B2">
        <w:rPr>
          <w:rFonts w:cstheme="minorHAnsi"/>
        </w:rPr>
        <w:t xml:space="preserve">+ BSC </w:t>
      </w:r>
      <w:r w:rsidR="00080D01" w:rsidRPr="00E209B2">
        <w:rPr>
          <w:rFonts w:cstheme="minorHAnsi"/>
        </w:rPr>
        <w:t xml:space="preserve">versus </w:t>
      </w:r>
      <w:r w:rsidR="00073AF1" w:rsidRPr="00E209B2">
        <w:rPr>
          <w:rFonts w:cstheme="minorHAnsi"/>
        </w:rPr>
        <w:t xml:space="preserve">BSC + </w:t>
      </w:r>
      <w:r w:rsidR="00080D01" w:rsidRPr="00E209B2">
        <w:rPr>
          <w:rFonts w:cstheme="minorHAnsi"/>
        </w:rPr>
        <w:t xml:space="preserve">initiation of pembrolizumab on disease progression was uncertain, it was likely avelumab in this context would offer benefit to some patients. </w:t>
      </w:r>
      <w:r w:rsidRPr="00E209B2">
        <w:t>The PBAC’s recommendation for listing was based on, among other matters, its assessment that the cost-effectiveness of avelumab could be brought into an acceptable range with a price</w:t>
      </w:r>
      <w:r w:rsidR="00073AF1" w:rsidRPr="00E209B2">
        <w:t xml:space="preserve"> reduction</w:t>
      </w:r>
      <w:r w:rsidR="001D0C74" w:rsidRPr="00E209B2">
        <w:t xml:space="preserve"> </w:t>
      </w:r>
      <w:r w:rsidR="0089648D" w:rsidRPr="00E209B2">
        <w:t xml:space="preserve">along </w:t>
      </w:r>
      <w:r w:rsidR="001D0C74" w:rsidRPr="00E209B2">
        <w:t>with a Risk Sharing Arrangement</w:t>
      </w:r>
      <w:r w:rsidR="008C58DA" w:rsidRPr="00E209B2">
        <w:t xml:space="preserve"> (RSA)</w:t>
      </w:r>
      <w:r w:rsidR="001D0C74" w:rsidRPr="00E209B2">
        <w:t xml:space="preserve"> to reduce any residual uncertainties with the financial estimates. </w:t>
      </w:r>
    </w:p>
    <w:p w:rsidR="00651A9A" w:rsidRPr="00E209B2" w:rsidRDefault="00965182" w:rsidP="00AA66A9">
      <w:pPr>
        <w:pStyle w:val="ExecSumBodyText"/>
      </w:pPr>
      <w:r w:rsidRPr="00E209B2">
        <w:t xml:space="preserve">The PBAC </w:t>
      </w:r>
      <w:r w:rsidR="005F609B" w:rsidRPr="00E209B2">
        <w:t xml:space="preserve">noted </w:t>
      </w:r>
      <w:r w:rsidR="0085418A" w:rsidRPr="00E209B2">
        <w:t xml:space="preserve">the </w:t>
      </w:r>
      <w:r w:rsidR="00836CDE" w:rsidRPr="00E209B2">
        <w:t xml:space="preserve">consumer comments </w:t>
      </w:r>
      <w:r w:rsidRPr="00E209B2">
        <w:t>from BEAT Bladder Cancer Australia and Rare Cancers Australia which highlighted the negative impact on quality of life associated</w:t>
      </w:r>
      <w:r w:rsidR="000866C7" w:rsidRPr="00E209B2">
        <w:t xml:space="preserve"> with this condition</w:t>
      </w:r>
      <w:r w:rsidRPr="00E209B2">
        <w:t>.</w:t>
      </w:r>
      <w:r w:rsidR="00CB7842" w:rsidRPr="00E209B2">
        <w:t xml:space="preserve"> In addition, the PBAC noted the Medical Oncology Group of Australia</w:t>
      </w:r>
      <w:r w:rsidR="00504066" w:rsidRPr="00E209B2">
        <w:t>’s</w:t>
      </w:r>
      <w:r w:rsidR="00CB7842" w:rsidRPr="00E209B2">
        <w:t xml:space="preserve"> strong support</w:t>
      </w:r>
      <w:r w:rsidR="00DC6B15" w:rsidRPr="00E209B2">
        <w:t xml:space="preserve"> </w:t>
      </w:r>
      <w:r w:rsidR="00CB7842" w:rsidRPr="00E209B2">
        <w:t xml:space="preserve">for the submission. </w:t>
      </w:r>
    </w:p>
    <w:p w:rsidR="00836CDE" w:rsidRPr="00E209B2" w:rsidRDefault="00094AFE" w:rsidP="00836CDE">
      <w:pPr>
        <w:pStyle w:val="ExecSumBodyText"/>
      </w:pPr>
      <w:r w:rsidRPr="00E209B2">
        <w:t xml:space="preserve">The PBAC </w:t>
      </w:r>
      <w:r w:rsidR="00504066" w:rsidRPr="00E209B2">
        <w:t>noted</w:t>
      </w:r>
      <w:r w:rsidRPr="00E209B2">
        <w:t xml:space="preserve"> the submission’s nominated comparator of </w:t>
      </w:r>
      <w:r w:rsidR="00CB7842" w:rsidRPr="00E209B2">
        <w:t>B</w:t>
      </w:r>
      <w:r w:rsidR="00504066" w:rsidRPr="00E209B2">
        <w:t>SC</w:t>
      </w:r>
      <w:r w:rsidR="00E209B2">
        <w:t xml:space="preserve">. </w:t>
      </w:r>
      <w:r w:rsidR="00504066" w:rsidRPr="00E209B2">
        <w:t xml:space="preserve"> However, t</w:t>
      </w:r>
      <w:r w:rsidR="00257D38" w:rsidRPr="00E209B2">
        <w:t xml:space="preserve">he </w:t>
      </w:r>
      <w:r w:rsidR="00774BCE" w:rsidRPr="00E209B2">
        <w:t xml:space="preserve">PBAC </w:t>
      </w:r>
      <w:r w:rsidRPr="00E209B2">
        <w:t xml:space="preserve">considered </w:t>
      </w:r>
      <w:r w:rsidR="00774BCE" w:rsidRPr="00E209B2">
        <w:t>that BSC</w:t>
      </w:r>
      <w:r w:rsidR="00257D38" w:rsidRPr="00E209B2">
        <w:t xml:space="preserve"> </w:t>
      </w:r>
      <w:r w:rsidR="00751B80" w:rsidRPr="00E209B2">
        <w:t>followed by</w:t>
      </w:r>
      <w:r w:rsidR="00774BCE" w:rsidRPr="00E209B2">
        <w:t xml:space="preserve"> subsequent therapy wit</w:t>
      </w:r>
      <w:r w:rsidR="00257D38" w:rsidRPr="00E209B2">
        <w:t xml:space="preserve">h pembrolizumab on progression </w:t>
      </w:r>
      <w:r w:rsidR="00504066" w:rsidRPr="00E209B2">
        <w:t xml:space="preserve">for patients who respond to </w:t>
      </w:r>
      <w:r w:rsidR="00504066" w:rsidRPr="00E209B2">
        <w:rPr>
          <w:rFonts w:cstheme="minorHAnsi"/>
        </w:rPr>
        <w:t>first-line platinum-based chemotherapy</w:t>
      </w:r>
      <w:r w:rsidR="00536F30" w:rsidRPr="00E209B2">
        <w:t xml:space="preserve"> was an appropriate comparator</w:t>
      </w:r>
      <w:r w:rsidR="00504066" w:rsidRPr="00E209B2">
        <w:t xml:space="preserve"> </w:t>
      </w:r>
      <w:r w:rsidR="00257D38" w:rsidRPr="00E209B2">
        <w:t xml:space="preserve">as this would reflect Australian clinical practice. </w:t>
      </w:r>
    </w:p>
    <w:p w:rsidR="000D70E4" w:rsidRPr="00E209B2" w:rsidRDefault="005F6B1B" w:rsidP="00EB5595">
      <w:pPr>
        <w:pStyle w:val="ExecSumBodyText"/>
      </w:pPr>
      <w:r w:rsidRPr="00E209B2">
        <w:lastRenderedPageBreak/>
        <w:t>The PBAC noted that</w:t>
      </w:r>
      <w:r w:rsidR="004B35A5" w:rsidRPr="00E209B2">
        <w:t xml:space="preserve"> </w:t>
      </w:r>
      <w:r w:rsidR="00EB5595" w:rsidRPr="00E209B2">
        <w:t xml:space="preserve">overall survival </w:t>
      </w:r>
      <w:r w:rsidRPr="00E209B2">
        <w:t xml:space="preserve">in the JAVELIN Bladder 100 trial </w:t>
      </w:r>
      <w:r w:rsidR="00EB5595" w:rsidRPr="00E209B2">
        <w:t xml:space="preserve">was statistically significantly longer in the avelumab + BSC arm compared to the BSC arm (median overall survival 21.4 months </w:t>
      </w:r>
      <w:r w:rsidRPr="00E209B2">
        <w:t xml:space="preserve">and </w:t>
      </w:r>
      <w:r w:rsidR="00EB5595" w:rsidRPr="00E209B2">
        <w:t xml:space="preserve">14.3 months </w:t>
      </w:r>
      <w:r w:rsidRPr="00E209B2">
        <w:t>respectively</w:t>
      </w:r>
      <w:r w:rsidR="00EB5595" w:rsidRPr="00E209B2">
        <w:t xml:space="preserve">; hazard ratio = 0.69 [95% CI: 0.56, 0.86]). </w:t>
      </w:r>
      <w:r w:rsidR="001730F9" w:rsidRPr="00E209B2">
        <w:t>The PBAC considered that, although statistically significant, t</w:t>
      </w:r>
      <w:r w:rsidR="000D70E4" w:rsidRPr="00E209B2">
        <w:t>he</w:t>
      </w:r>
      <w:r w:rsidR="001730F9" w:rsidRPr="00E209B2">
        <w:t xml:space="preserve"> benefit evident for progression-free survival (PFS) was small with independent review committee-assessed median PFS </w:t>
      </w:r>
      <w:r w:rsidR="000D70E4" w:rsidRPr="00E209B2">
        <w:t xml:space="preserve">reported as </w:t>
      </w:r>
      <w:r w:rsidR="001730F9" w:rsidRPr="00E209B2">
        <w:t xml:space="preserve">3.7 months for avelumab + BSC versus 2.0 months for BSC (Hazard ratio = 0.62 [95% CI: 0.52, 0.75]). </w:t>
      </w:r>
      <w:r w:rsidR="000D70E4" w:rsidRPr="00E209B2">
        <w:t>The PBAC considered that, although the overall survival data presented supported the claim of superior comparative effectiveness</w:t>
      </w:r>
      <w:r w:rsidR="00570FE3" w:rsidRPr="00E209B2">
        <w:t xml:space="preserve"> versus BSC</w:t>
      </w:r>
      <w:r w:rsidR="000D70E4" w:rsidRPr="00E209B2">
        <w:t xml:space="preserve">, the small median PFS benefit reported highlighted the importance of subsequent anticancer therapies. </w:t>
      </w:r>
    </w:p>
    <w:p w:rsidR="009767A8" w:rsidRPr="00E209B2" w:rsidRDefault="00570FE3" w:rsidP="0094188B">
      <w:pPr>
        <w:pStyle w:val="ExecSumBodyText"/>
      </w:pPr>
      <w:r w:rsidRPr="00E209B2">
        <w:t xml:space="preserve">The PBAC noted that pembrolizumab is PBS-listed for the treatment of urothelial carcinoma in patients who have experienced disease progression following treatment with platinum-based chemotherapy. As such, the PBAC considered BSC + subsequent pembrolizumab </w:t>
      </w:r>
      <w:r w:rsidR="0094188B" w:rsidRPr="00E209B2">
        <w:t>reflects current Australian clinical practice</w:t>
      </w:r>
      <w:r w:rsidR="001B2C98" w:rsidRPr="00E209B2">
        <w:t xml:space="preserve"> (see paragraph 7.4)</w:t>
      </w:r>
      <w:r w:rsidRPr="00E209B2">
        <w:t>. The PBAC noted that in the BSC arm of JAVELIN Bladder 100, 43.7% (153/350) of patients received subsequent treatment with a PD-1/PD-L1 inhibitor. This equates to 61% (153/251) of patients who experienced disease progression in the BSC arm.</w:t>
      </w:r>
      <w:r w:rsidR="001B2C98" w:rsidRPr="00E209B2">
        <w:t xml:space="preserve"> The PBAC agreed with the </w:t>
      </w:r>
      <w:r w:rsidR="00E91E83" w:rsidRPr="00E209B2">
        <w:rPr>
          <w:iCs/>
        </w:rPr>
        <w:t xml:space="preserve">Pre-Sub-Committee Response (PSCR) </w:t>
      </w:r>
      <w:r w:rsidR="001B2C98" w:rsidRPr="00E209B2">
        <w:t xml:space="preserve">that in Australian clinical practice a greater proportion of patients (80%) treated with BSC alone receive second-line treatment with a PD-1/PD-L1 inhibitor than that observed in the JAVELIN Bladder 100 trial. </w:t>
      </w:r>
      <w:r w:rsidR="009B4C4E" w:rsidRPr="00E209B2">
        <w:t xml:space="preserve">The PBAC considered the overall survival results in the key trial were impacted by differences in the pattern of use of subsequent anticancer therapies between treatment arms, with the results likely to have favoured avelumab. </w:t>
      </w:r>
      <w:r w:rsidR="00C7651C" w:rsidRPr="00E209B2">
        <w:t>Despite this</w:t>
      </w:r>
      <w:r w:rsidR="009B4C4E" w:rsidRPr="00E209B2">
        <w:t xml:space="preserve"> the PBAC considered</w:t>
      </w:r>
      <w:r w:rsidR="0079362A" w:rsidRPr="00E209B2">
        <w:t xml:space="preserve"> </w:t>
      </w:r>
      <w:r w:rsidR="006D7E5B" w:rsidRPr="00E209B2">
        <w:t>it reasonable to anticipate</w:t>
      </w:r>
      <w:r w:rsidR="0094188B" w:rsidRPr="00E209B2">
        <w:t xml:space="preserve"> that maintenance avelumab would</w:t>
      </w:r>
      <w:r w:rsidR="0079362A" w:rsidRPr="00E209B2">
        <w:t xml:space="preserve"> offer benefit to some patients versus waiting for disease progression to initiate second-line pembrolizumab, </w:t>
      </w:r>
      <w:r w:rsidR="009B4C4E" w:rsidRPr="00E209B2">
        <w:t xml:space="preserve">although </w:t>
      </w:r>
      <w:r w:rsidR="004F744A" w:rsidRPr="00E209B2">
        <w:t>the magnitude of the</w:t>
      </w:r>
      <w:r w:rsidR="009B4C4E" w:rsidRPr="00E209B2">
        <w:t xml:space="preserve"> incremental benefit is </w:t>
      </w:r>
      <w:r w:rsidR="004F744A" w:rsidRPr="00E209B2">
        <w:t>uncertain</w:t>
      </w:r>
      <w:r w:rsidR="009B4C4E" w:rsidRPr="00E209B2">
        <w:t xml:space="preserve">. </w:t>
      </w:r>
    </w:p>
    <w:p w:rsidR="00257D38" w:rsidRPr="00E209B2" w:rsidRDefault="00D757F8" w:rsidP="005B428C">
      <w:pPr>
        <w:pStyle w:val="ExecSumBodyText"/>
      </w:pPr>
      <w:r w:rsidRPr="00E209B2">
        <w:t xml:space="preserve">The PBAC </w:t>
      </w:r>
      <w:r w:rsidR="00C7651C" w:rsidRPr="00E209B2">
        <w:t xml:space="preserve">agreed with the ESC that </w:t>
      </w:r>
      <w:r w:rsidRPr="00E209B2">
        <w:t>the benefit of avelumab on overall survival in PD-L1 negative patients was unc</w:t>
      </w:r>
      <w:r w:rsidR="00C7651C" w:rsidRPr="00E209B2">
        <w:t>ertain (see paragraphs 6.30 and 6.39)</w:t>
      </w:r>
      <w:r w:rsidR="00E209B2">
        <w:t xml:space="preserve">. </w:t>
      </w:r>
      <w:r w:rsidR="00EB5595" w:rsidRPr="00E209B2">
        <w:t xml:space="preserve">The PBAC </w:t>
      </w:r>
      <w:r w:rsidR="005B428C" w:rsidRPr="00E209B2">
        <w:t xml:space="preserve">noted the JAVELIN Bladder 100 trial was not powered to show a statistical response in the PD-L1 negative subgroup analysis, however, like the KEYNOTE-045 study of pembrolizumab, a numerical advantage was seen in PD-L1 negative patients but the </w:t>
      </w:r>
      <w:r w:rsidR="00456BFD" w:rsidRPr="00E209B2">
        <w:t>difference was not statistically significant</w:t>
      </w:r>
      <w:r w:rsidR="008C58DA" w:rsidRPr="00E209B2">
        <w:t>.</w:t>
      </w:r>
      <w:r w:rsidR="00EC5D96" w:rsidRPr="00E209B2">
        <w:t xml:space="preserve"> The PBAC considered that there was insufficient evidence of clinically important treatment effect modification by PD-L1 expression to justify restricting avelumab to a specific subgroup defined using this variable. The PBAC noted this was consistent with the current second</w:t>
      </w:r>
      <w:r w:rsidR="00D50D36" w:rsidRPr="00E209B2">
        <w:t>-</w:t>
      </w:r>
      <w:r w:rsidR="00EC5D96" w:rsidRPr="00E209B2">
        <w:t xml:space="preserve">line listing of pembrolizumab for this condition. </w:t>
      </w:r>
    </w:p>
    <w:p w:rsidR="00836CDE" w:rsidRPr="00E209B2" w:rsidRDefault="00836CDE" w:rsidP="00836CDE">
      <w:pPr>
        <w:pStyle w:val="ExecSumBodyText"/>
      </w:pPr>
      <w:r w:rsidRPr="00E209B2">
        <w:lastRenderedPageBreak/>
        <w:t xml:space="preserve">The PBAC considered the claim of inferior safety </w:t>
      </w:r>
      <w:r w:rsidR="00D50D36" w:rsidRPr="00E209B2">
        <w:t xml:space="preserve">compared </w:t>
      </w:r>
      <w:r w:rsidRPr="00E209B2">
        <w:t xml:space="preserve">to </w:t>
      </w:r>
      <w:r w:rsidR="00D50D36" w:rsidRPr="00E209B2">
        <w:t xml:space="preserve">BSC to </w:t>
      </w:r>
      <w:r w:rsidR="004B35A5" w:rsidRPr="00E209B2">
        <w:t>be reasonable</w:t>
      </w:r>
      <w:r w:rsidR="00D50D36" w:rsidRPr="00E209B2">
        <w:t>.</w:t>
      </w:r>
      <w:r w:rsidR="004B35A5" w:rsidRPr="00E209B2">
        <w:t xml:space="preserve"> </w:t>
      </w:r>
      <w:r w:rsidR="00D50D36" w:rsidRPr="00E209B2">
        <w:t xml:space="preserve">The PBAC advised that avelumab would be expected to have a similar safety profile to second-line pembrolizumab with </w:t>
      </w:r>
      <w:r w:rsidR="004B35A5" w:rsidRPr="00E209B2">
        <w:t>known and manageable</w:t>
      </w:r>
      <w:r w:rsidR="00D50D36" w:rsidRPr="00E209B2">
        <w:t xml:space="preserve"> adverse events</w:t>
      </w:r>
      <w:r w:rsidR="004B35A5" w:rsidRPr="00E209B2">
        <w:t>.</w:t>
      </w:r>
    </w:p>
    <w:p w:rsidR="009D12BB" w:rsidRPr="00E209B2" w:rsidRDefault="004B35A5" w:rsidP="009D12BB">
      <w:pPr>
        <w:pStyle w:val="ExecSumBodyText"/>
      </w:pPr>
      <w:r w:rsidRPr="00E209B2">
        <w:t>The PBAC noted the submission presented a cost-utility analysis to estimate the cost-effectiveness of avelumab with a base case incremental cost-effectiveness ratio (ICER) of $</w:t>
      </w:r>
      <w:r w:rsidR="00E54D74">
        <w:t>55,000 to &lt; $75,000</w:t>
      </w:r>
      <w:r w:rsidRPr="00E209B2">
        <w:t xml:space="preserve">/QALY. </w:t>
      </w:r>
      <w:r w:rsidR="009D12BB" w:rsidRPr="00E209B2">
        <w:t>The PBAC noted</w:t>
      </w:r>
      <w:r w:rsidR="00F06F88" w:rsidRPr="00E209B2">
        <w:t xml:space="preserve"> a</w:t>
      </w:r>
      <w:r w:rsidR="009D12BB" w:rsidRPr="00E209B2">
        <w:t xml:space="preserve"> </w:t>
      </w:r>
      <w:r w:rsidR="00DE7050" w:rsidRPr="00E209B2">
        <w:t xml:space="preserve">difference in the proportion patients with </w:t>
      </w:r>
      <w:r w:rsidR="009D12BB" w:rsidRPr="00E209B2">
        <w:t xml:space="preserve">disease progression in the BSC arm </w:t>
      </w:r>
      <w:r w:rsidR="00DE7050" w:rsidRPr="00E209B2">
        <w:t>who would commence a subsequent</w:t>
      </w:r>
      <w:r w:rsidR="009D12BB" w:rsidRPr="00E209B2">
        <w:t xml:space="preserve"> PD-1/PD-L1 inhibitor </w:t>
      </w:r>
      <w:r w:rsidR="00DE7050" w:rsidRPr="00E209B2">
        <w:t xml:space="preserve">between the model (80%) and </w:t>
      </w:r>
      <w:r w:rsidR="009D12BB" w:rsidRPr="00E209B2">
        <w:t>the JAVE</w:t>
      </w:r>
      <w:r w:rsidR="00DE7050" w:rsidRPr="00E209B2">
        <w:t>LIN Bladder 100 trial (</w:t>
      </w:r>
      <w:r w:rsidR="009D12BB" w:rsidRPr="00E209B2">
        <w:t>61%</w:t>
      </w:r>
      <w:r w:rsidR="00DE7050" w:rsidRPr="00E209B2">
        <w:t xml:space="preserve">). The PBAC agreed with the ESC that as a result there were higher costs associated with PD-1/PD-L1 inhibitor therapy in the BSC arm of the model without corresponding adjustments to efficacy outcomes which favoured avelumab. </w:t>
      </w:r>
    </w:p>
    <w:p w:rsidR="00FB41B7" w:rsidRPr="00E209B2" w:rsidRDefault="00F13712" w:rsidP="00AE5968">
      <w:pPr>
        <w:pStyle w:val="ExecSumBodyText"/>
      </w:pPr>
      <w:r w:rsidRPr="00E209B2">
        <w:t xml:space="preserve">The PBAC agreed with ESC that a 7.5 year time horizon was more appropriate </w:t>
      </w:r>
      <w:r w:rsidR="009D12BB" w:rsidRPr="00E209B2">
        <w:t>than the 10 year tim</w:t>
      </w:r>
      <w:r w:rsidR="0091017D" w:rsidRPr="00E209B2">
        <w:t xml:space="preserve">e horizon used in the base case, increasing the ICER </w:t>
      </w:r>
      <w:r w:rsidR="006C62B8" w:rsidRPr="00E209B2">
        <w:t>from $</w:t>
      </w:r>
      <w:r w:rsidR="00E54D74">
        <w:t>55,000 to &lt; $75,000/</w:t>
      </w:r>
      <w:r w:rsidR="006C62B8" w:rsidRPr="00E209B2">
        <w:t xml:space="preserve">QALY </w:t>
      </w:r>
      <w:r w:rsidR="0091017D" w:rsidRPr="00E209B2">
        <w:t>to $</w:t>
      </w:r>
      <w:r w:rsidR="00E54D74">
        <w:t>55,000 to &lt; $75,000</w:t>
      </w:r>
      <w:r w:rsidR="0091017D" w:rsidRPr="00E209B2">
        <w:t>/QALY when applied</w:t>
      </w:r>
      <w:r w:rsidRPr="00E209B2">
        <w:t xml:space="preserve">. </w:t>
      </w:r>
      <w:r w:rsidR="0091017D" w:rsidRPr="00E209B2">
        <w:t>In addition, the PBAC agreed with the DUSC and ESC that the proposed financial stopping rule was inappropriate given urothelial cancer is an aggressive disease</w:t>
      </w:r>
      <w:r w:rsidR="00F06F88" w:rsidRPr="00E209B2">
        <w:t xml:space="preserve"> and hence its impact was likely to be minimal, especially over the time frame of a RSA</w:t>
      </w:r>
      <w:r w:rsidR="0091017D" w:rsidRPr="00E209B2">
        <w:t>. The PBAC noted that the ICER increased t</w:t>
      </w:r>
      <w:r w:rsidR="00B9633C" w:rsidRPr="00E209B2">
        <w:t>o $</w:t>
      </w:r>
      <w:r w:rsidR="00E54D74">
        <w:t>95,000 to &lt; $115,000</w:t>
      </w:r>
      <w:r w:rsidR="00B9633C" w:rsidRPr="00E209B2">
        <w:t>/QALY when the financial stopping rule</w:t>
      </w:r>
      <w:r w:rsidR="0091017D" w:rsidRPr="00E209B2">
        <w:t xml:space="preserve"> was removed</w:t>
      </w:r>
      <w:r w:rsidR="00F06F88" w:rsidRPr="00E209B2">
        <w:t>, with the large increase in the ICER reflecting that a small proportion of patients were modelled to continued treatment for a long duration (with 3% still on treatment at 10 years)</w:t>
      </w:r>
      <w:r w:rsidR="0091017D" w:rsidRPr="00E209B2">
        <w:t>.</w:t>
      </w:r>
      <w:r w:rsidR="008C58DA" w:rsidRPr="00E209B2">
        <w:t xml:space="preserve"> </w:t>
      </w:r>
      <w:r w:rsidR="005F5396" w:rsidRPr="00E209B2">
        <w:t>T</w:t>
      </w:r>
      <w:r w:rsidR="0091017D" w:rsidRPr="00E209B2">
        <w:t xml:space="preserve">he PBAC noted that the </w:t>
      </w:r>
      <w:r w:rsidR="0091017D" w:rsidRPr="00E209B2">
        <w:rPr>
          <w:iCs/>
        </w:rPr>
        <w:t xml:space="preserve">BSC costs differed to those presented in Table 14 when the effective price of pembrolizumab was applied. </w:t>
      </w:r>
      <w:r w:rsidR="00AE5968" w:rsidRPr="00E209B2">
        <w:rPr>
          <w:iCs/>
        </w:rPr>
        <w:t>Overall, t</w:t>
      </w:r>
      <w:r w:rsidR="0091017D" w:rsidRPr="00E209B2">
        <w:rPr>
          <w:iCs/>
        </w:rPr>
        <w:t>he PBAC considered that an ICER of $</w:t>
      </w:r>
      <w:r w:rsidR="00E54D74">
        <w:rPr>
          <w:iCs/>
        </w:rPr>
        <w:t>55,000 to &lt; $75,000</w:t>
      </w:r>
      <w:r w:rsidR="00AE5968" w:rsidRPr="00E209B2">
        <w:rPr>
          <w:iCs/>
        </w:rPr>
        <w:t xml:space="preserve">/QALY was </w:t>
      </w:r>
      <w:r w:rsidR="006766A5">
        <w:rPr>
          <w:iCs/>
        </w:rPr>
        <w:t xml:space="preserve">high but accepted it in this circumstance. </w:t>
      </w:r>
      <w:r w:rsidR="00AE5968" w:rsidRPr="00E209B2">
        <w:rPr>
          <w:iCs/>
        </w:rPr>
        <w:t xml:space="preserve">However, </w:t>
      </w:r>
      <w:r w:rsidR="00AE5968" w:rsidRPr="00E209B2">
        <w:t>t</w:t>
      </w:r>
      <w:r w:rsidR="00774BCE" w:rsidRPr="00E209B2">
        <w:t xml:space="preserve">he PBAC considered that the </w:t>
      </w:r>
      <w:r w:rsidR="00AE5968" w:rsidRPr="00E209B2">
        <w:t xml:space="preserve">base case </w:t>
      </w:r>
      <w:r w:rsidR="004B35A5" w:rsidRPr="00E209B2">
        <w:t xml:space="preserve">ICER </w:t>
      </w:r>
      <w:r w:rsidR="00774BCE" w:rsidRPr="00E209B2">
        <w:t>was underestimated due to reliance on optimistic assumptions and inputs in the economic model.</w:t>
      </w:r>
      <w:r w:rsidR="004B35A5" w:rsidRPr="00E209B2">
        <w:t xml:space="preserve"> The PBAC considered that appropriate model inputs </w:t>
      </w:r>
      <w:r w:rsidR="00B9633C" w:rsidRPr="00E209B2">
        <w:t>should</w:t>
      </w:r>
      <w:r w:rsidR="00FB41B7" w:rsidRPr="00E209B2">
        <w:t xml:space="preserve"> include:</w:t>
      </w:r>
    </w:p>
    <w:p w:rsidR="00FB41B7" w:rsidRDefault="00FB41B7" w:rsidP="00913C04">
      <w:pPr>
        <w:pStyle w:val="ExecSumBodyText"/>
        <w:numPr>
          <w:ilvl w:val="1"/>
          <w:numId w:val="23"/>
        </w:numPr>
        <w:ind w:left="993" w:hanging="284"/>
      </w:pPr>
      <w:r w:rsidRPr="00E209B2">
        <w:t>a 7.5-year time horizon</w:t>
      </w:r>
      <w:r w:rsidR="003860C3">
        <w:t>;</w:t>
      </w:r>
      <w:r w:rsidR="00FB7AD2" w:rsidRPr="00E209B2">
        <w:t xml:space="preserve"> </w:t>
      </w:r>
    </w:p>
    <w:p w:rsidR="004B40EC" w:rsidRPr="00A4523B" w:rsidRDefault="00F53F5D" w:rsidP="00913C04">
      <w:pPr>
        <w:pStyle w:val="ExecSumBodyText"/>
        <w:numPr>
          <w:ilvl w:val="1"/>
          <w:numId w:val="23"/>
        </w:numPr>
        <w:ind w:left="993" w:hanging="284"/>
      </w:pPr>
      <w:r>
        <w:t>use of the</w:t>
      </w:r>
      <w:r w:rsidR="003860C3">
        <w:t xml:space="preserve"> exponential function to extrapolate time to treatment discontinuation for the avelumab + BSC arm (</w:t>
      </w:r>
      <w:r w:rsidR="003860C3" w:rsidRPr="00A4523B">
        <w:t>mean treatment 12.64 months);</w:t>
      </w:r>
    </w:p>
    <w:p w:rsidR="0017541E" w:rsidRPr="00A4523B" w:rsidRDefault="00913C04" w:rsidP="0017541E">
      <w:pPr>
        <w:pStyle w:val="ExecSumBodyText"/>
        <w:numPr>
          <w:ilvl w:val="1"/>
          <w:numId w:val="23"/>
        </w:numPr>
        <w:ind w:left="993" w:hanging="284"/>
      </w:pPr>
      <w:r w:rsidRPr="00A4523B">
        <w:t>no financial stopping rule</w:t>
      </w:r>
      <w:r w:rsidR="005F5396" w:rsidRPr="00A4523B">
        <w:t>; and</w:t>
      </w:r>
      <w:r w:rsidRPr="00A4523B">
        <w:t xml:space="preserve"> </w:t>
      </w:r>
    </w:p>
    <w:p w:rsidR="00AE5968" w:rsidRPr="00A4523B" w:rsidRDefault="00AE5968" w:rsidP="00AE5968">
      <w:pPr>
        <w:pStyle w:val="ExecSumBodyText"/>
        <w:numPr>
          <w:ilvl w:val="1"/>
          <w:numId w:val="23"/>
        </w:numPr>
        <w:ind w:left="993" w:hanging="284"/>
      </w:pPr>
      <w:r w:rsidRPr="00A4523B">
        <w:t xml:space="preserve">the effective price of pembrolizumab. </w:t>
      </w:r>
    </w:p>
    <w:p w:rsidR="0017541E" w:rsidRPr="00A4523B" w:rsidRDefault="00764964" w:rsidP="00AE5968">
      <w:pPr>
        <w:pStyle w:val="ExecSumBodyText"/>
        <w:numPr>
          <w:ilvl w:val="0"/>
          <w:numId w:val="0"/>
        </w:numPr>
        <w:ind w:left="709"/>
      </w:pPr>
      <w:r w:rsidRPr="00A4523B">
        <w:t xml:space="preserve">The </w:t>
      </w:r>
      <w:r w:rsidR="002E4F6F" w:rsidRPr="00A4523B">
        <w:t xml:space="preserve">PBAC </w:t>
      </w:r>
      <w:r w:rsidRPr="00A4523B">
        <w:t xml:space="preserve">advised that </w:t>
      </w:r>
      <w:r w:rsidR="00AE5968" w:rsidRPr="00A4523B">
        <w:t xml:space="preserve">with the above </w:t>
      </w:r>
      <w:r w:rsidR="00F963FF" w:rsidRPr="00A4523B">
        <w:t>respecified model inputs, a price reduction would be required to achieve the cost-effective ICER of $</w:t>
      </w:r>
      <w:r w:rsidR="00E54D74" w:rsidRPr="00A4523B">
        <w:t>55,000 to &lt; $75,000</w:t>
      </w:r>
      <w:r w:rsidR="00F963FF" w:rsidRPr="00A4523B">
        <w:t>/QALY</w:t>
      </w:r>
      <w:r w:rsidR="0089448B" w:rsidRPr="00A4523B">
        <w:t>.</w:t>
      </w:r>
      <w:r w:rsidR="00A4572E" w:rsidRPr="00A4523B">
        <w:t xml:space="preserve"> </w:t>
      </w:r>
    </w:p>
    <w:p w:rsidR="00AC4607" w:rsidRPr="00210905" w:rsidRDefault="0017541E" w:rsidP="00037719">
      <w:pPr>
        <w:pStyle w:val="ExecSumBodyText"/>
      </w:pPr>
      <w:r w:rsidRPr="00A4523B">
        <w:lastRenderedPageBreak/>
        <w:t xml:space="preserve">The PBAC </w:t>
      </w:r>
      <w:r w:rsidR="00725B78" w:rsidRPr="00A4523B">
        <w:t xml:space="preserve">noted DUSC </w:t>
      </w:r>
      <w:r w:rsidRPr="00A4523B">
        <w:t>considered the financial estimates to be overestimated</w:t>
      </w:r>
      <w:r w:rsidR="00725B78" w:rsidRPr="00A4523B">
        <w:t xml:space="preserve"> with the</w:t>
      </w:r>
      <w:r w:rsidRPr="00A4523B">
        <w:t xml:space="preserve"> key areas of uncertainty the proportion of patients receiving first line platinum based chemotherapy</w:t>
      </w:r>
      <w:r w:rsidR="00725B78" w:rsidRPr="00A4523B">
        <w:t>,</w:t>
      </w:r>
      <w:r w:rsidRPr="00A4523B">
        <w:t xml:space="preserve"> the uptake of avelumab</w:t>
      </w:r>
      <w:r w:rsidR="00725B78" w:rsidRPr="00A4523B">
        <w:t xml:space="preserve"> and</w:t>
      </w:r>
      <w:r w:rsidRPr="00A4523B">
        <w:t xml:space="preserve"> the duration of treatment.</w:t>
      </w:r>
      <w:r w:rsidR="00037719" w:rsidRPr="00A4523B">
        <w:rPr>
          <w:lang w:val="en-GB"/>
        </w:rPr>
        <w:t xml:space="preserve"> </w:t>
      </w:r>
      <w:r w:rsidR="0074530E" w:rsidRPr="00A4523B">
        <w:rPr>
          <w:iCs/>
        </w:rPr>
        <w:t>The PBAC agreed with DUSC that the proposed avelumab duration of treatment was likely overestimated. The PBAC considered that a revised mean duration of avelumab treatment of 12.64 months, based on</w:t>
      </w:r>
      <w:r w:rsidR="0074530E">
        <w:rPr>
          <w:iCs/>
        </w:rPr>
        <w:t xml:space="preserve"> the respecified model inputs (see paragraph 7.10), was appropriate</w:t>
      </w:r>
      <w:r w:rsidR="0074530E" w:rsidRPr="00E209B2">
        <w:rPr>
          <w:iCs/>
        </w:rPr>
        <w:t>.</w:t>
      </w:r>
      <w:r w:rsidR="0074530E">
        <w:rPr>
          <w:iCs/>
        </w:rPr>
        <w:t xml:space="preserve">  </w:t>
      </w:r>
      <w:r w:rsidR="00037719">
        <w:rPr>
          <w:lang w:val="en-GB"/>
        </w:rPr>
        <w:t>The PBAC considered the</w:t>
      </w:r>
      <w:r w:rsidR="00037719">
        <w:rPr>
          <w:iCs/>
        </w:rPr>
        <w:t xml:space="preserve"> proportion</w:t>
      </w:r>
      <w:r w:rsidR="00037719" w:rsidRPr="00B44563">
        <w:rPr>
          <w:iCs/>
        </w:rPr>
        <w:t xml:space="preserve"> of patients treated with </w:t>
      </w:r>
      <w:r w:rsidR="00037719">
        <w:rPr>
          <w:iCs/>
        </w:rPr>
        <w:t>first line</w:t>
      </w:r>
      <w:r w:rsidR="00037719" w:rsidRPr="00B44563">
        <w:rPr>
          <w:iCs/>
        </w:rPr>
        <w:t xml:space="preserve"> platinum based chemotherapy</w:t>
      </w:r>
      <w:r w:rsidR="00037719">
        <w:rPr>
          <w:iCs/>
        </w:rPr>
        <w:t xml:space="preserve"> (90%) and the uptake rates as proposed in the submission to be uncertain and to reflect the upper end of the range of likely use. Acknowledging these uncertainties, the PBAC considered the financial estimates presented in the submission represent the likely maximum cost</w:t>
      </w:r>
      <w:r w:rsidR="00037719">
        <w:t xml:space="preserve">. The PBAC </w:t>
      </w:r>
      <w:r w:rsidR="00037719" w:rsidRPr="0025249D">
        <w:rPr>
          <w:iCs/>
        </w:rPr>
        <w:t>noted that the financial estimates would need to be recalculated to take into account the outcome of its considerations regarding</w:t>
      </w:r>
      <w:r w:rsidR="00037719">
        <w:rPr>
          <w:iCs/>
        </w:rPr>
        <w:t xml:space="preserve"> </w:t>
      </w:r>
      <w:r w:rsidR="008275D8">
        <w:rPr>
          <w:iCs/>
        </w:rPr>
        <w:t xml:space="preserve">the revised mean treatment duration and </w:t>
      </w:r>
      <w:r w:rsidR="00037719">
        <w:rPr>
          <w:iCs/>
        </w:rPr>
        <w:t>the avelumab price reduction required to achieve cost-effectiveness (see paragraph 7.10).</w:t>
      </w:r>
    </w:p>
    <w:p w:rsidR="00210905" w:rsidRPr="00E209B2" w:rsidRDefault="00210905" w:rsidP="0017541E">
      <w:pPr>
        <w:pStyle w:val="ExecSumBodyText"/>
      </w:pPr>
      <w:r>
        <w:rPr>
          <w:iCs/>
        </w:rPr>
        <w:t xml:space="preserve">The PBAC did not consider it was appropriate to include the additional </w:t>
      </w:r>
      <w:r w:rsidR="00A368E7">
        <w:rPr>
          <w:iCs/>
        </w:rPr>
        <w:t>&lt; 500</w:t>
      </w:r>
      <w:r>
        <w:rPr>
          <w:iCs/>
        </w:rPr>
        <w:t xml:space="preserve"> patients for the purposes of estimating a grandfathered population in year 1 of listing. Based on the information provided by the sponsor it was not clear that these patients were not already captured in the uptake proposed within the financial estimates. It was also apparent from the information provided by the sponsor that the early access program had not yet commenced at the time of PBAC consideration, and so </w:t>
      </w:r>
      <w:r w:rsidR="00132D3D">
        <w:rPr>
          <w:iCs/>
        </w:rPr>
        <w:t xml:space="preserve">the PBAC considered </w:t>
      </w:r>
      <w:r>
        <w:rPr>
          <w:iCs/>
        </w:rPr>
        <w:t>it was reasonable to conclude that these patients should be captured within the existing patient pool.</w:t>
      </w:r>
    </w:p>
    <w:p w:rsidR="00E42A2B" w:rsidRPr="00E209B2" w:rsidRDefault="00764964" w:rsidP="0017541E">
      <w:pPr>
        <w:pStyle w:val="ExecSumBodyText"/>
      </w:pPr>
      <w:r w:rsidRPr="00E209B2">
        <w:t xml:space="preserve">The PBAC recommended that avelumab </w:t>
      </w:r>
      <w:r w:rsidR="0025249D" w:rsidRPr="00E209B2">
        <w:t>be included within</w:t>
      </w:r>
      <w:r w:rsidRPr="00E209B2">
        <w:t xml:space="preserve"> the current </w:t>
      </w:r>
      <w:r w:rsidR="00EF19B3">
        <w:t>RSA</w:t>
      </w:r>
      <w:r w:rsidR="0025249D" w:rsidRPr="00E209B2">
        <w:t xml:space="preserve"> for</w:t>
      </w:r>
      <w:r w:rsidRPr="00E209B2">
        <w:t xml:space="preserve"> second</w:t>
      </w:r>
      <w:r w:rsidR="00156CED" w:rsidRPr="00E209B2">
        <w:t>-</w:t>
      </w:r>
      <w:r w:rsidRPr="00E209B2">
        <w:t>line pembrolizumab to address</w:t>
      </w:r>
      <w:r w:rsidR="00B9633C" w:rsidRPr="00E209B2">
        <w:t xml:space="preserve"> any residual</w:t>
      </w:r>
      <w:r w:rsidRPr="00E209B2">
        <w:t xml:space="preserve"> uncertain</w:t>
      </w:r>
      <w:r w:rsidR="00B9633C" w:rsidRPr="00E209B2">
        <w:t>ty regarding the</w:t>
      </w:r>
      <w:r w:rsidRPr="00E209B2">
        <w:t xml:space="preserve"> </w:t>
      </w:r>
      <w:r w:rsidR="0017541E" w:rsidRPr="00E209B2">
        <w:t xml:space="preserve">uptake rate and </w:t>
      </w:r>
      <w:r w:rsidR="00B9633C" w:rsidRPr="00E209B2">
        <w:t xml:space="preserve">the </w:t>
      </w:r>
      <w:r w:rsidR="0052440E" w:rsidRPr="00E209B2">
        <w:t xml:space="preserve">costs associated with the different </w:t>
      </w:r>
      <w:r w:rsidRPr="00E209B2">
        <w:t>treatment duration</w:t>
      </w:r>
      <w:r w:rsidR="0025249D" w:rsidRPr="00E209B2">
        <w:t>s of these two therapies.</w:t>
      </w:r>
      <w:r w:rsidR="00F53F5D">
        <w:t xml:space="preserve"> </w:t>
      </w:r>
      <w:r w:rsidR="0025249D" w:rsidRPr="00E209B2">
        <w:t xml:space="preserve">The PBAC considered that </w:t>
      </w:r>
      <w:r w:rsidR="003874C7" w:rsidRPr="00E209B2">
        <w:t xml:space="preserve">the current </w:t>
      </w:r>
      <w:r w:rsidR="001A628E">
        <w:t xml:space="preserve">financial </w:t>
      </w:r>
      <w:r w:rsidR="003874C7" w:rsidRPr="00E209B2">
        <w:t xml:space="preserve">caps </w:t>
      </w:r>
      <w:r w:rsidR="009A5620" w:rsidRPr="00E209B2">
        <w:t xml:space="preserve">should be revised to take into account: (i) </w:t>
      </w:r>
      <w:r w:rsidR="004B045D" w:rsidRPr="00E209B2">
        <w:t xml:space="preserve">the </w:t>
      </w:r>
      <w:r w:rsidR="004B045D" w:rsidRPr="00A4523B">
        <w:t xml:space="preserve">assumption that </w:t>
      </w:r>
      <w:r w:rsidR="00E42A2B" w:rsidRPr="00A4523B">
        <w:t>25% of patients currently covered by the caps will not be eligible to receive avelumab as they</w:t>
      </w:r>
      <w:r w:rsidR="00E42A2B" w:rsidRPr="00E209B2">
        <w:t xml:space="preserve"> will have progressed on </w:t>
      </w:r>
      <w:r w:rsidR="004B045D" w:rsidRPr="00E209B2">
        <w:rPr>
          <w:iCs/>
        </w:rPr>
        <w:t xml:space="preserve">platinum-based chemotherapy (see paragraph </w:t>
      </w:r>
      <w:r w:rsidR="00E42A2B" w:rsidRPr="00E209B2">
        <w:rPr>
          <w:iCs/>
        </w:rPr>
        <w:t>6.7</w:t>
      </w:r>
      <w:r w:rsidR="00F3111C">
        <w:rPr>
          <w:iCs/>
        </w:rPr>
        <w:t>2</w:t>
      </w:r>
      <w:r w:rsidR="00E42A2B" w:rsidRPr="00E209B2">
        <w:rPr>
          <w:iCs/>
        </w:rPr>
        <w:t>)</w:t>
      </w:r>
      <w:r w:rsidR="009A5620" w:rsidRPr="00E209B2">
        <w:rPr>
          <w:iCs/>
        </w:rPr>
        <w:t xml:space="preserve">, (ii) the avelumab uptake as presented in the submission, (iii) the difference in the </w:t>
      </w:r>
      <w:r w:rsidR="00467736" w:rsidRPr="00E209B2">
        <w:rPr>
          <w:iCs/>
        </w:rPr>
        <w:t>treatment duration and the cost</w:t>
      </w:r>
      <w:r w:rsidR="009A5620" w:rsidRPr="00E209B2">
        <w:rPr>
          <w:iCs/>
        </w:rPr>
        <w:t xml:space="preserve"> </w:t>
      </w:r>
      <w:r w:rsidR="00467736" w:rsidRPr="00E209B2">
        <w:rPr>
          <w:iCs/>
        </w:rPr>
        <w:t xml:space="preserve">per administration </w:t>
      </w:r>
      <w:r w:rsidR="009A5620" w:rsidRPr="00E209B2">
        <w:rPr>
          <w:iCs/>
        </w:rPr>
        <w:t>for avelumab versus pembrolizumab</w:t>
      </w:r>
      <w:r w:rsidR="00C62C3C">
        <w:rPr>
          <w:iCs/>
        </w:rPr>
        <w:t>, taking into account the impact of paragraph 7.10</w:t>
      </w:r>
      <w:r w:rsidR="00E42A2B" w:rsidRPr="00E209B2">
        <w:rPr>
          <w:iCs/>
        </w:rPr>
        <w:t>.</w:t>
      </w:r>
      <w:r w:rsidR="007F51D1">
        <w:rPr>
          <w:iCs/>
        </w:rPr>
        <w:t xml:space="preserve"> The PBAC </w:t>
      </w:r>
      <w:r w:rsidR="00861E46">
        <w:rPr>
          <w:iCs/>
        </w:rPr>
        <w:t>consider</w:t>
      </w:r>
      <w:r w:rsidR="007F51D1">
        <w:rPr>
          <w:iCs/>
        </w:rPr>
        <w:t>ed</w:t>
      </w:r>
      <w:r w:rsidR="00861E46">
        <w:rPr>
          <w:iCs/>
        </w:rPr>
        <w:t xml:space="preserve"> an increase in the patient numbers </w:t>
      </w:r>
      <w:r w:rsidR="0071389D">
        <w:rPr>
          <w:iCs/>
        </w:rPr>
        <w:t xml:space="preserve">informing the </w:t>
      </w:r>
      <w:r w:rsidR="007F51D1">
        <w:rPr>
          <w:iCs/>
        </w:rPr>
        <w:t xml:space="preserve">current financial caps </w:t>
      </w:r>
      <w:r w:rsidR="00861E46">
        <w:rPr>
          <w:iCs/>
        </w:rPr>
        <w:t xml:space="preserve">was </w:t>
      </w:r>
      <w:r w:rsidR="007F51D1">
        <w:rPr>
          <w:iCs/>
        </w:rPr>
        <w:t xml:space="preserve">not </w:t>
      </w:r>
      <w:r w:rsidR="00861E46">
        <w:rPr>
          <w:iCs/>
        </w:rPr>
        <w:t>required as this was adequately accounted for with the assumed uptake</w:t>
      </w:r>
      <w:r w:rsidR="006C45EC">
        <w:rPr>
          <w:iCs/>
        </w:rPr>
        <w:t xml:space="preserve"> rate for </w:t>
      </w:r>
      <w:r w:rsidR="0071389D">
        <w:rPr>
          <w:iCs/>
        </w:rPr>
        <w:t>second-line pembrolizumab.</w:t>
      </w:r>
    </w:p>
    <w:p w:rsidR="00C56519" w:rsidRPr="00E209B2" w:rsidRDefault="002604A4" w:rsidP="0017541E">
      <w:pPr>
        <w:pStyle w:val="ExecSumBodyText"/>
      </w:pPr>
      <w:r w:rsidRPr="00E209B2">
        <w:t xml:space="preserve">The PBAC noted the following flow-on restriction changes to the current listing for pembrolizumab </w:t>
      </w:r>
      <w:r w:rsidR="00C56519" w:rsidRPr="00E209B2">
        <w:t xml:space="preserve">for </w:t>
      </w:r>
      <w:r w:rsidR="00C56519" w:rsidRPr="00E209B2">
        <w:rPr>
          <w:bCs/>
        </w:rPr>
        <w:t>locally advanced (Stage III) or metastatic (Stage IV) urothelial carcinoma</w:t>
      </w:r>
      <w:r w:rsidR="00C56519" w:rsidRPr="00E209B2">
        <w:t xml:space="preserve"> </w:t>
      </w:r>
      <w:r w:rsidRPr="00E209B2">
        <w:t>[</w:t>
      </w:r>
      <w:r w:rsidR="00C56519" w:rsidRPr="00E209B2">
        <w:t>11632F, 11646Y]</w:t>
      </w:r>
      <w:r w:rsidR="005B4EA2" w:rsidRPr="00E209B2">
        <w:t>:</w:t>
      </w:r>
    </w:p>
    <w:p w:rsidR="00C44E68" w:rsidRPr="00E209B2" w:rsidRDefault="00C56519" w:rsidP="00C56519">
      <w:pPr>
        <w:pStyle w:val="ExecSumBodyText"/>
        <w:numPr>
          <w:ilvl w:val="1"/>
          <w:numId w:val="23"/>
        </w:numPr>
        <w:ind w:left="993" w:hanging="284"/>
      </w:pPr>
      <w:r w:rsidRPr="00E209B2">
        <w:lastRenderedPageBreak/>
        <w:t xml:space="preserve">Addition of clinical criterion </w:t>
      </w:r>
      <w:r w:rsidR="00C44E68" w:rsidRPr="00E209B2">
        <w:t xml:space="preserve">to initial treatment restriction </w:t>
      </w:r>
      <w:r w:rsidR="00996E7B">
        <w:t>‘</w:t>
      </w:r>
      <w:r w:rsidR="002604A4" w:rsidRPr="00E209B2">
        <w:t>Patient must not have received prior treatment with a programmed cell death-1 (PD-1) inhibitor or a programmed cell death ligand-1 (PD-L1</w:t>
      </w:r>
      <w:r w:rsidR="00996E7B">
        <w:t>) inhibitor for this condition’</w:t>
      </w:r>
      <w:r w:rsidR="00C44E68" w:rsidRPr="00E209B2">
        <w:t>;</w:t>
      </w:r>
    </w:p>
    <w:p w:rsidR="004B35A5" w:rsidRPr="00E209B2" w:rsidRDefault="00037719" w:rsidP="00C56519">
      <w:pPr>
        <w:pStyle w:val="ExecSumBodyText"/>
        <w:numPr>
          <w:ilvl w:val="1"/>
          <w:numId w:val="23"/>
        </w:numPr>
        <w:ind w:left="993" w:hanging="284"/>
      </w:pPr>
      <w:r>
        <w:t xml:space="preserve">Removal of the clinical criterion in the continuing treatment restriction stating </w:t>
      </w:r>
      <w:r w:rsidR="00996E7B">
        <w:t>‘</w:t>
      </w:r>
      <w:r>
        <w:t>Patient must have stable or responding disease’ and a</w:t>
      </w:r>
      <w:r w:rsidR="00C44E68" w:rsidRPr="00E209B2">
        <w:t xml:space="preserve">ddition of clinical criterion </w:t>
      </w:r>
      <w:r w:rsidR="00996E7B">
        <w:t>‘</w:t>
      </w:r>
      <w:r w:rsidR="00C44E68" w:rsidRPr="00E209B2">
        <w:t>Patient must not have developed disease progression while being treated with this drug for this condition.</w:t>
      </w:r>
      <w:r w:rsidR="00996E7B">
        <w:t>’</w:t>
      </w:r>
    </w:p>
    <w:p w:rsidR="00F320D2" w:rsidRPr="00E209B2" w:rsidRDefault="00F320D2" w:rsidP="00477D96">
      <w:pPr>
        <w:widowControl w:val="0"/>
        <w:numPr>
          <w:ilvl w:val="1"/>
          <w:numId w:val="1"/>
        </w:numPr>
        <w:contextualSpacing/>
        <w:rPr>
          <w:rFonts w:asciiTheme="minorHAnsi" w:hAnsiTheme="minorHAnsi" w:cstheme="minorHAnsi"/>
        </w:rPr>
      </w:pPr>
      <w:r w:rsidRPr="00E209B2">
        <w:rPr>
          <w:rFonts w:asciiTheme="minorHAnsi" w:hAnsiTheme="minorHAnsi"/>
          <w:bCs/>
          <w:snapToGrid w:val="0"/>
          <w:lang w:eastAsia="en-US"/>
        </w:rPr>
        <w:t xml:space="preserve">The PBAC found that the criteria prescribed by the </w:t>
      </w:r>
      <w:r w:rsidRPr="00E209B2">
        <w:rPr>
          <w:rFonts w:asciiTheme="minorHAnsi" w:hAnsiTheme="minorHAnsi"/>
          <w:bCs/>
          <w:i/>
          <w:snapToGrid w:val="0"/>
          <w:lang w:eastAsia="en-US"/>
        </w:rPr>
        <w:t>National Health (Pharmaceuticals and Vaccines – Cost Recovery) Regulations 2009</w:t>
      </w:r>
      <w:r w:rsidRPr="00E209B2">
        <w:rPr>
          <w:rFonts w:asciiTheme="minorHAnsi" w:hAnsiTheme="minorHAnsi"/>
          <w:bCs/>
          <w:snapToGrid w:val="0"/>
          <w:lang w:eastAsia="en-US"/>
        </w:rPr>
        <w:t xml:space="preserve"> for Pricing Pathway A were not met. Specifically the PBAC found that in the circumstances of its recommendation for </w:t>
      </w:r>
      <w:r w:rsidR="00E906D3" w:rsidRPr="00E209B2">
        <w:rPr>
          <w:rFonts w:asciiTheme="minorHAnsi" w:hAnsiTheme="minorHAnsi"/>
          <w:bCs/>
          <w:snapToGrid w:val="0"/>
          <w:lang w:eastAsia="en-US"/>
        </w:rPr>
        <w:t>avelumab</w:t>
      </w:r>
      <w:r w:rsidRPr="00E209B2">
        <w:rPr>
          <w:rFonts w:asciiTheme="minorHAnsi" w:hAnsiTheme="minorHAnsi"/>
          <w:bCs/>
          <w:snapToGrid w:val="0"/>
          <w:lang w:eastAsia="en-US"/>
        </w:rPr>
        <w:t>:</w:t>
      </w:r>
    </w:p>
    <w:p w:rsidR="00F320D2" w:rsidRPr="00E209B2" w:rsidRDefault="00E906D3" w:rsidP="00477D96">
      <w:pPr>
        <w:ind w:left="1440" w:hanging="720"/>
        <w:rPr>
          <w:rFonts w:asciiTheme="minorHAnsi" w:hAnsiTheme="minorHAnsi"/>
          <w:bCs/>
          <w:snapToGrid w:val="0"/>
          <w:lang w:eastAsia="en-US"/>
        </w:rPr>
      </w:pPr>
      <w:r w:rsidRPr="00E209B2">
        <w:rPr>
          <w:rFonts w:asciiTheme="minorHAnsi" w:hAnsiTheme="minorHAnsi"/>
          <w:bCs/>
          <w:snapToGrid w:val="0"/>
          <w:lang w:eastAsia="en-US"/>
        </w:rPr>
        <w:t>a)</w:t>
      </w:r>
      <w:r w:rsidRPr="00E209B2">
        <w:rPr>
          <w:rFonts w:asciiTheme="minorHAnsi" w:hAnsiTheme="minorHAnsi"/>
          <w:bCs/>
          <w:snapToGrid w:val="0"/>
          <w:lang w:eastAsia="en-US"/>
        </w:rPr>
        <w:tab/>
        <w:t>The treatment is</w:t>
      </w:r>
      <w:r w:rsidR="00AB741E" w:rsidRPr="00E209B2">
        <w:rPr>
          <w:rFonts w:asciiTheme="minorHAnsi" w:hAnsiTheme="minorHAnsi"/>
          <w:bCs/>
          <w:snapToGrid w:val="0"/>
          <w:lang w:eastAsia="en-US"/>
        </w:rPr>
        <w:t xml:space="preserve"> not</w:t>
      </w:r>
      <w:r w:rsidRPr="00E209B2">
        <w:rPr>
          <w:rFonts w:asciiTheme="minorHAnsi" w:hAnsiTheme="minorHAnsi"/>
          <w:bCs/>
          <w:snapToGrid w:val="0"/>
          <w:lang w:eastAsia="en-US"/>
        </w:rPr>
        <w:t xml:space="preserve"> </w:t>
      </w:r>
      <w:r w:rsidR="00F320D2" w:rsidRPr="00E209B2">
        <w:rPr>
          <w:rFonts w:asciiTheme="minorHAnsi" w:hAnsiTheme="minorHAnsi"/>
          <w:bCs/>
          <w:snapToGrid w:val="0"/>
          <w:lang w:eastAsia="en-US"/>
        </w:rPr>
        <w:t xml:space="preserve">expected to provide a substantial and clinically relevant improvement in efficacy over </w:t>
      </w:r>
      <w:r w:rsidR="00AB741E" w:rsidRPr="00E209B2">
        <w:rPr>
          <w:rFonts w:asciiTheme="minorHAnsi" w:hAnsiTheme="minorHAnsi"/>
          <w:bCs/>
          <w:snapToGrid w:val="0"/>
          <w:lang w:eastAsia="en-US"/>
        </w:rPr>
        <w:t xml:space="preserve">BSC with subsequent pembrolizumab as </w:t>
      </w:r>
      <w:r w:rsidR="00AB741E" w:rsidRPr="00E209B2">
        <w:t>the magnitude of the incremental benefit is uncertain</w:t>
      </w:r>
      <w:r w:rsidR="00AB741E" w:rsidRPr="00E209B2">
        <w:rPr>
          <w:rFonts w:asciiTheme="minorHAnsi" w:hAnsiTheme="minorHAnsi"/>
          <w:bCs/>
          <w:snapToGrid w:val="0"/>
          <w:lang w:eastAsia="en-US"/>
        </w:rPr>
        <w:t>;</w:t>
      </w:r>
      <w:r w:rsidR="00F320D2" w:rsidRPr="00E209B2">
        <w:rPr>
          <w:rFonts w:asciiTheme="minorHAnsi" w:hAnsiTheme="minorHAnsi"/>
          <w:bCs/>
          <w:snapToGrid w:val="0"/>
          <w:lang w:eastAsia="en-US"/>
        </w:rPr>
        <w:t xml:space="preserve"> </w:t>
      </w:r>
    </w:p>
    <w:p w:rsidR="00F320D2" w:rsidRPr="00E209B2" w:rsidRDefault="00C7241D" w:rsidP="00477D96">
      <w:pPr>
        <w:ind w:left="1440" w:hanging="720"/>
        <w:rPr>
          <w:rFonts w:asciiTheme="minorHAnsi" w:hAnsiTheme="minorHAnsi"/>
          <w:bCs/>
          <w:snapToGrid w:val="0"/>
          <w:lang w:eastAsia="en-US"/>
        </w:rPr>
      </w:pPr>
      <w:r w:rsidRPr="00E209B2">
        <w:rPr>
          <w:rFonts w:asciiTheme="minorHAnsi" w:hAnsiTheme="minorHAnsi"/>
          <w:bCs/>
          <w:snapToGrid w:val="0"/>
          <w:lang w:eastAsia="en-US"/>
        </w:rPr>
        <w:t>b)</w:t>
      </w:r>
      <w:r w:rsidRPr="00E209B2">
        <w:rPr>
          <w:rFonts w:asciiTheme="minorHAnsi" w:hAnsiTheme="minorHAnsi"/>
          <w:bCs/>
          <w:snapToGrid w:val="0"/>
          <w:lang w:eastAsia="en-US"/>
        </w:rPr>
        <w:tab/>
        <w:t xml:space="preserve">The treatment </w:t>
      </w:r>
      <w:r w:rsidR="00F320D2" w:rsidRPr="00E209B2">
        <w:rPr>
          <w:rFonts w:asciiTheme="minorHAnsi" w:hAnsiTheme="minorHAnsi"/>
          <w:bCs/>
          <w:snapToGrid w:val="0"/>
          <w:lang w:eastAsia="en-US"/>
        </w:rPr>
        <w:t xml:space="preserve">is </w:t>
      </w:r>
      <w:r w:rsidRPr="00E209B2">
        <w:rPr>
          <w:rFonts w:asciiTheme="minorHAnsi" w:hAnsiTheme="minorHAnsi"/>
          <w:bCs/>
          <w:snapToGrid w:val="0"/>
          <w:lang w:eastAsia="en-US"/>
        </w:rPr>
        <w:t xml:space="preserve">not </w:t>
      </w:r>
      <w:r w:rsidR="00F320D2" w:rsidRPr="00E209B2">
        <w:rPr>
          <w:rFonts w:asciiTheme="minorHAnsi" w:hAnsiTheme="minorHAnsi"/>
          <w:bCs/>
          <w:snapToGrid w:val="0"/>
          <w:lang w:eastAsia="en-US"/>
        </w:rPr>
        <w:t>expected to address a high and urgent unmet clinical need</w:t>
      </w:r>
      <w:r w:rsidRPr="00E209B2">
        <w:rPr>
          <w:rFonts w:asciiTheme="minorHAnsi" w:hAnsiTheme="minorHAnsi"/>
          <w:bCs/>
          <w:snapToGrid w:val="0"/>
          <w:lang w:eastAsia="en-US"/>
        </w:rPr>
        <w:t xml:space="preserve"> because other subsidised therapies are available;</w:t>
      </w:r>
    </w:p>
    <w:p w:rsidR="00F320D2" w:rsidRPr="00E209B2" w:rsidRDefault="00F320D2" w:rsidP="00477D96">
      <w:pPr>
        <w:ind w:left="1440" w:hanging="720"/>
        <w:rPr>
          <w:rFonts w:asciiTheme="minorHAnsi" w:hAnsiTheme="minorHAnsi"/>
          <w:bCs/>
          <w:snapToGrid w:val="0"/>
          <w:lang w:eastAsia="en-US"/>
        </w:rPr>
      </w:pPr>
      <w:r w:rsidRPr="00E209B2">
        <w:rPr>
          <w:rFonts w:asciiTheme="minorHAnsi" w:hAnsiTheme="minorHAnsi"/>
          <w:bCs/>
          <w:snapToGrid w:val="0"/>
          <w:lang w:eastAsia="en-US"/>
        </w:rPr>
        <w:t>c)</w:t>
      </w:r>
      <w:r w:rsidRPr="00E209B2">
        <w:rPr>
          <w:rFonts w:asciiTheme="minorHAnsi" w:hAnsiTheme="minorHAnsi"/>
          <w:bCs/>
          <w:snapToGrid w:val="0"/>
          <w:lang w:eastAsia="en-US"/>
        </w:rPr>
        <w:tab/>
        <w:t>It was not necessary to make a finding in relation to whether it would be in the public interest for the subsequent pricing application to be progressed under Pricing Pathway A because one or more of the preceding tests had failed.</w:t>
      </w:r>
    </w:p>
    <w:p w:rsidR="00F320D2" w:rsidRPr="00E209B2" w:rsidRDefault="00F320D2" w:rsidP="001E5647">
      <w:pPr>
        <w:widowControl w:val="0"/>
        <w:numPr>
          <w:ilvl w:val="1"/>
          <w:numId w:val="1"/>
        </w:numPr>
        <w:spacing w:before="120" w:after="120"/>
        <w:rPr>
          <w:rFonts w:asciiTheme="minorHAnsi" w:hAnsiTheme="minorHAnsi"/>
          <w:bCs/>
          <w:i/>
          <w:snapToGrid w:val="0"/>
        </w:rPr>
      </w:pPr>
      <w:r w:rsidRPr="00E209B2">
        <w:rPr>
          <w:rFonts w:asciiTheme="minorHAnsi" w:hAnsiTheme="minorHAnsi"/>
          <w:bCs/>
          <w:snapToGrid w:val="0"/>
        </w:rPr>
        <w:t>The PBAC noted that this submission is not eligible for an Independent Review</w:t>
      </w:r>
      <w:r w:rsidR="00C7241D" w:rsidRPr="00E209B2">
        <w:rPr>
          <w:rFonts w:asciiTheme="minorHAnsi" w:hAnsiTheme="minorHAnsi"/>
          <w:bCs/>
          <w:snapToGrid w:val="0"/>
        </w:rPr>
        <w:t xml:space="preserve"> as it received a positive recommendation</w:t>
      </w:r>
      <w:r w:rsidRPr="00E209B2">
        <w:rPr>
          <w:rFonts w:asciiTheme="minorHAnsi" w:hAnsiTheme="minorHAnsi"/>
          <w:bCs/>
          <w:snapToGrid w:val="0"/>
        </w:rPr>
        <w:t>.</w:t>
      </w:r>
    </w:p>
    <w:p w:rsidR="00F320D2" w:rsidRPr="00E209B2" w:rsidRDefault="00F320D2" w:rsidP="00F320D2">
      <w:pPr>
        <w:spacing w:before="240"/>
        <w:rPr>
          <w:rFonts w:asciiTheme="minorHAnsi" w:hAnsiTheme="minorHAnsi"/>
          <w:b/>
          <w:bCs/>
          <w:snapToGrid w:val="0"/>
        </w:rPr>
      </w:pPr>
      <w:r w:rsidRPr="00E209B2">
        <w:rPr>
          <w:rFonts w:asciiTheme="minorHAnsi" w:hAnsiTheme="minorHAnsi"/>
          <w:b/>
          <w:bCs/>
          <w:snapToGrid w:val="0"/>
        </w:rPr>
        <w:t>Outcome:</w:t>
      </w:r>
    </w:p>
    <w:p w:rsidR="00F320D2" w:rsidRPr="00E209B2" w:rsidRDefault="00C7241D" w:rsidP="00F320D2">
      <w:pPr>
        <w:rPr>
          <w:rFonts w:asciiTheme="minorHAnsi" w:hAnsiTheme="minorHAnsi"/>
          <w:bCs/>
          <w:snapToGrid w:val="0"/>
        </w:rPr>
      </w:pPr>
      <w:r w:rsidRPr="00E209B2">
        <w:rPr>
          <w:rFonts w:asciiTheme="minorHAnsi" w:hAnsiTheme="minorHAnsi"/>
          <w:bCs/>
          <w:snapToGrid w:val="0"/>
        </w:rPr>
        <w:t>Recommended</w:t>
      </w:r>
    </w:p>
    <w:p w:rsidR="00C3371F" w:rsidRDefault="00C3371F">
      <w:pPr>
        <w:jc w:val="left"/>
        <w:rPr>
          <w:rFonts w:asciiTheme="minorHAnsi" w:hAnsiTheme="minorHAnsi"/>
          <w:b/>
          <w:bCs/>
          <w:snapToGrid w:val="0"/>
        </w:rPr>
      </w:pPr>
      <w:r>
        <w:rPr>
          <w:rFonts w:asciiTheme="minorHAnsi" w:hAnsiTheme="minorHAnsi"/>
          <w:b/>
          <w:bCs/>
          <w:snapToGrid w:val="0"/>
        </w:rPr>
        <w:br w:type="page"/>
      </w:r>
    </w:p>
    <w:p w:rsidR="00F320D2" w:rsidRPr="00E209B2" w:rsidRDefault="00F320D2" w:rsidP="0089648D">
      <w:pPr>
        <w:keepNext/>
        <w:widowControl w:val="0"/>
        <w:numPr>
          <w:ilvl w:val="0"/>
          <w:numId w:val="1"/>
        </w:numPr>
        <w:spacing w:before="240" w:after="120"/>
        <w:jc w:val="left"/>
        <w:outlineLvl w:val="0"/>
        <w:rPr>
          <w:rFonts w:asciiTheme="minorHAnsi" w:hAnsiTheme="minorHAnsi"/>
          <w:b/>
          <w:snapToGrid w:val="0"/>
          <w:sz w:val="32"/>
          <w:szCs w:val="32"/>
        </w:rPr>
      </w:pPr>
      <w:r w:rsidRPr="00E209B2">
        <w:rPr>
          <w:rFonts w:asciiTheme="minorHAnsi" w:hAnsiTheme="minorHAnsi"/>
          <w:b/>
          <w:snapToGrid w:val="0"/>
          <w:sz w:val="32"/>
          <w:szCs w:val="32"/>
        </w:rPr>
        <w:t>Recommended listing</w:t>
      </w:r>
    </w:p>
    <w:p w:rsidR="0006747A" w:rsidRPr="00E209B2" w:rsidRDefault="00756A26" w:rsidP="00756A26">
      <w:pPr>
        <w:pStyle w:val="ExecSumBodyText"/>
        <w:rPr>
          <w:bCs/>
        </w:rPr>
      </w:pPr>
      <w:r w:rsidRPr="00E209B2">
        <w:rPr>
          <w:bCs/>
        </w:rPr>
        <w:t>Amend existing/recommended listing</w:t>
      </w:r>
      <w:r w:rsidR="0006747A" w:rsidRPr="00E209B2">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06747A" w:rsidRPr="00E209B2" w:rsidTr="0006747A">
        <w:trPr>
          <w:cantSplit/>
          <w:trHeight w:val="471"/>
        </w:trPr>
        <w:tc>
          <w:tcPr>
            <w:tcW w:w="2141" w:type="pct"/>
          </w:tcPr>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Name, Restriction,</w:t>
            </w:r>
          </w:p>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Manner of administration and form</w:t>
            </w:r>
          </w:p>
        </w:tc>
        <w:tc>
          <w:tcPr>
            <w:tcW w:w="635" w:type="pct"/>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PBS item code</w:t>
            </w:r>
          </w:p>
        </w:tc>
        <w:tc>
          <w:tcPr>
            <w:tcW w:w="55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Max.</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Amount</w:t>
            </w:r>
          </w:p>
        </w:tc>
        <w:tc>
          <w:tcPr>
            <w:tcW w:w="47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№.of</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Rpts</w:t>
            </w:r>
          </w:p>
        </w:tc>
        <w:tc>
          <w:tcPr>
            <w:tcW w:w="1192" w:type="pct"/>
            <w:vAlign w:val="center"/>
          </w:tcPr>
          <w:p w:rsidR="0006747A" w:rsidRPr="00E209B2" w:rsidRDefault="0006747A" w:rsidP="00886D2E">
            <w:pPr>
              <w:keepNext/>
              <w:jc w:val="center"/>
              <w:rPr>
                <w:rFonts w:ascii="Arial Narrow" w:hAnsi="Arial Narrow"/>
                <w:b/>
                <w:sz w:val="18"/>
                <w:szCs w:val="18"/>
              </w:rPr>
            </w:pPr>
            <w:r w:rsidRPr="00E209B2">
              <w:rPr>
                <w:rFonts w:ascii="Arial Narrow" w:hAnsi="Arial Narrow"/>
                <w:b/>
                <w:sz w:val="18"/>
                <w:szCs w:val="18"/>
              </w:rPr>
              <w:t>Manufacturer</w:t>
            </w:r>
          </w:p>
        </w:tc>
      </w:tr>
      <w:tr w:rsidR="0006747A" w:rsidRPr="00E209B2" w:rsidTr="0006747A">
        <w:trPr>
          <w:cantSplit/>
          <w:trHeight w:val="577"/>
        </w:trPr>
        <w:tc>
          <w:tcPr>
            <w:tcW w:w="2141" w:type="pct"/>
          </w:tcPr>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 xml:space="preserve">AVELUMAB, </w:t>
            </w:r>
          </w:p>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200 mg/10 mL injection, 10 mL vial</w:t>
            </w:r>
          </w:p>
        </w:tc>
        <w:tc>
          <w:tcPr>
            <w:tcW w:w="635" w:type="pct"/>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(Public)</w:t>
            </w:r>
          </w:p>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(Private)</w:t>
            </w:r>
          </w:p>
        </w:tc>
        <w:tc>
          <w:tcPr>
            <w:tcW w:w="556" w:type="pct"/>
            <w:vAlign w:val="center"/>
          </w:tcPr>
          <w:p w:rsidR="0006747A" w:rsidRPr="00E209B2" w:rsidRDefault="0006747A" w:rsidP="00886D2E">
            <w:pPr>
              <w:keepNext/>
              <w:ind w:left="-108"/>
              <w:jc w:val="center"/>
              <w:rPr>
                <w:rFonts w:ascii="Arial Narrow" w:hAnsi="Arial Narrow"/>
                <w:i/>
                <w:sz w:val="18"/>
                <w:szCs w:val="18"/>
              </w:rPr>
            </w:pPr>
            <w:r w:rsidRPr="00E209B2">
              <w:rPr>
                <w:rFonts w:ascii="Arial Narrow" w:hAnsi="Arial Narrow"/>
                <w:sz w:val="18"/>
                <w:szCs w:val="18"/>
              </w:rPr>
              <w:t>800</w:t>
            </w:r>
            <w:r w:rsidR="00756A26" w:rsidRPr="00E209B2">
              <w:rPr>
                <w:rFonts w:ascii="Arial Narrow" w:hAnsi="Arial Narrow"/>
                <w:sz w:val="18"/>
                <w:szCs w:val="18"/>
              </w:rPr>
              <w:t xml:space="preserve"> mg</w:t>
            </w:r>
          </w:p>
        </w:tc>
        <w:tc>
          <w:tcPr>
            <w:tcW w:w="476" w:type="pct"/>
            <w:vAlign w:val="center"/>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7</w:t>
            </w:r>
          </w:p>
        </w:tc>
        <w:tc>
          <w:tcPr>
            <w:tcW w:w="1192" w:type="pct"/>
            <w:vAlign w:val="center"/>
          </w:tcPr>
          <w:p w:rsidR="0006747A" w:rsidRPr="00E209B2" w:rsidRDefault="0006747A" w:rsidP="00886D2E">
            <w:pPr>
              <w:keepNext/>
              <w:jc w:val="center"/>
              <w:rPr>
                <w:rFonts w:ascii="Arial Narrow" w:hAnsi="Arial Narrow"/>
                <w:sz w:val="18"/>
                <w:szCs w:val="18"/>
              </w:rPr>
            </w:pPr>
            <w:r w:rsidRPr="00E209B2">
              <w:rPr>
                <w:rFonts w:ascii="Arial Narrow" w:hAnsi="Arial Narrow"/>
                <w:sz w:val="18"/>
                <w:szCs w:val="18"/>
              </w:rPr>
              <w:t>Merck Healthcare Pty Ltd</w:t>
            </w:r>
          </w:p>
        </w:tc>
      </w:tr>
      <w:tr w:rsidR="0006747A" w:rsidRPr="00E209B2" w:rsidTr="00886D2E">
        <w:trPr>
          <w:cantSplit/>
          <w:trHeight w:val="225"/>
        </w:trPr>
        <w:tc>
          <w:tcPr>
            <w:tcW w:w="5000" w:type="pct"/>
            <w:gridSpan w:val="5"/>
          </w:tcPr>
          <w:p w:rsidR="0006747A" w:rsidRPr="00E209B2" w:rsidRDefault="0006747A" w:rsidP="00886D2E">
            <w:pPr>
              <w:keepNext/>
              <w:rPr>
                <w:rFonts w:ascii="Arial Narrow" w:hAnsi="Arial Narrow"/>
                <w:b/>
                <w:sz w:val="18"/>
                <w:szCs w:val="18"/>
              </w:rPr>
            </w:pPr>
            <w:r w:rsidRPr="00E209B2">
              <w:rPr>
                <w:rFonts w:ascii="Arial Narrow" w:hAnsi="Arial Narrow"/>
                <w:b/>
                <w:sz w:val="18"/>
                <w:szCs w:val="18"/>
              </w:rPr>
              <w:t>Available brands</w:t>
            </w:r>
          </w:p>
        </w:tc>
      </w:tr>
      <w:tr w:rsidR="0006747A" w:rsidRPr="00E209B2" w:rsidTr="00886D2E">
        <w:trPr>
          <w:cantSplit/>
          <w:trHeight w:val="360"/>
        </w:trPr>
        <w:tc>
          <w:tcPr>
            <w:tcW w:w="5000" w:type="pct"/>
            <w:gridSpan w:val="5"/>
          </w:tcPr>
          <w:p w:rsidR="0006747A" w:rsidRPr="00E209B2" w:rsidRDefault="0006747A" w:rsidP="00886D2E">
            <w:pPr>
              <w:rPr>
                <w:rFonts w:ascii="Arial Narrow" w:hAnsi="Arial Narrow"/>
                <w:sz w:val="18"/>
                <w:szCs w:val="18"/>
              </w:rPr>
            </w:pPr>
            <w:r w:rsidRPr="00E209B2">
              <w:rPr>
                <w:rFonts w:ascii="Arial Narrow" w:hAnsi="Arial Narrow"/>
                <w:sz w:val="18"/>
                <w:szCs w:val="18"/>
              </w:rPr>
              <w:t>Bavencio</w:t>
            </w:r>
          </w:p>
          <w:p w:rsidR="0006747A" w:rsidRPr="00E209B2" w:rsidRDefault="0006747A" w:rsidP="00886D2E">
            <w:pPr>
              <w:rPr>
                <w:rFonts w:ascii="Arial Narrow" w:hAnsi="Arial Narrow"/>
                <w:sz w:val="18"/>
                <w:szCs w:val="18"/>
              </w:rPr>
            </w:pPr>
            <w:r w:rsidRPr="00E209B2">
              <w:rPr>
                <w:rFonts w:ascii="Arial Narrow" w:hAnsi="Arial Narrow"/>
                <w:sz w:val="18"/>
                <w:szCs w:val="18"/>
              </w:rPr>
              <w:t>(avelumab 200 mg/10 mL injection, 10 mL vial)</w:t>
            </w:r>
          </w:p>
        </w:tc>
      </w:tr>
    </w:tbl>
    <w:p w:rsidR="0006747A" w:rsidRPr="00E209B2" w:rsidRDefault="0006747A" w:rsidP="0006747A">
      <w:pPr>
        <w:jc w:val="left"/>
        <w:rPr>
          <w:rFonts w:ascii="Arial Narrow" w:hAnsi="Arial Narrow"/>
          <w:b/>
          <w:sz w:val="18"/>
          <w:szCs w:val="18"/>
        </w:rPr>
      </w:pPr>
    </w:p>
    <w:p w:rsidR="0006747A" w:rsidRPr="00E209B2" w:rsidRDefault="0006747A" w:rsidP="0006747A">
      <w:pPr>
        <w:keepNext/>
        <w:rPr>
          <w:rFonts w:ascii="Arial Narrow" w:hAnsi="Arial Narrow"/>
          <w:b/>
          <w:sz w:val="18"/>
          <w:szCs w:val="18"/>
        </w:rPr>
      </w:pPr>
      <w:r w:rsidRPr="00E209B2">
        <w:rPr>
          <w:rFonts w:ascii="Arial Narrow" w:hAnsi="Arial Narrow"/>
          <w:b/>
          <w:sz w:val="18"/>
          <w:szCs w:val="18"/>
        </w:rPr>
        <w:lastRenderedPageBreak/>
        <w:t>Initial treatment Restriction Summary [NEW] / Treatment of Concept (ToC): [NEW]</w:t>
      </w:r>
    </w:p>
    <w:tbl>
      <w:tblPr>
        <w:tblW w:w="5000" w:type="pct"/>
        <w:tblLook w:val="0000" w:firstRow="0" w:lastRow="0" w:firstColumn="0" w:lastColumn="0" w:noHBand="0" w:noVBand="0"/>
      </w:tblPr>
      <w:tblGrid>
        <w:gridCol w:w="1414"/>
        <w:gridCol w:w="1984"/>
        <w:gridCol w:w="5619"/>
      </w:tblGrid>
      <w:tr w:rsidR="0006747A" w:rsidRPr="00E209B2" w:rsidTr="00886D2E">
        <w:trPr>
          <w:trHeight w:val="63"/>
        </w:trPr>
        <w:tc>
          <w:tcPr>
            <w:tcW w:w="784" w:type="pct"/>
            <w:vMerge w:val="restart"/>
            <w:tcBorders>
              <w:top w:val="single" w:sz="4" w:space="0" w:color="auto"/>
              <w:left w:val="single" w:sz="4" w:space="0" w:color="auto"/>
              <w:right w:val="single" w:sz="4" w:space="0" w:color="auto"/>
            </w:tcBorders>
          </w:tcPr>
          <w:p w:rsidR="0006747A" w:rsidRPr="00E209B2" w:rsidRDefault="0006747A" w:rsidP="00886D2E">
            <w:pPr>
              <w:jc w:val="center"/>
              <w:rPr>
                <w:rFonts w:ascii="Arial Narrow" w:hAnsi="Arial Narrow"/>
                <w:b/>
                <w:color w:val="000000" w:themeColor="text1"/>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Category / Program:</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06747A" w:rsidRPr="00E209B2" w:rsidTr="00886D2E">
        <w:trPr>
          <w:trHeight w:val="68"/>
        </w:trPr>
        <w:tc>
          <w:tcPr>
            <w:tcW w:w="784" w:type="pct"/>
            <w:vMerge/>
            <w:tcBorders>
              <w:left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Prescriber type:</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sz w:val="18"/>
                <w:szCs w:val="18"/>
              </w:rPr>
            </w:pPr>
            <w:r w:rsidRPr="00E209B2">
              <w:rPr>
                <w:rFonts w:ascii="Arial Narrow" w:hAnsi="Arial Narrow"/>
                <w:sz w:val="18"/>
                <w:szCs w:val="18"/>
              </w:rPr>
              <w:t xml:space="preserve">Medical Practitioners  </w:t>
            </w:r>
          </w:p>
        </w:tc>
      </w:tr>
      <w:tr w:rsidR="0006747A" w:rsidRPr="00E209B2" w:rsidTr="00886D2E">
        <w:trPr>
          <w:trHeight w:val="63"/>
        </w:trPr>
        <w:tc>
          <w:tcPr>
            <w:tcW w:w="784" w:type="pct"/>
            <w:vMerge/>
            <w:tcBorders>
              <w:left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Severity:</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06747A" w:rsidRPr="00E209B2" w:rsidTr="00886D2E">
        <w:trPr>
          <w:trHeight w:val="63"/>
        </w:trPr>
        <w:tc>
          <w:tcPr>
            <w:tcW w:w="784" w:type="pct"/>
            <w:vMerge/>
            <w:tcBorders>
              <w:left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Condition:</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Urothelial  cancer</w:t>
            </w:r>
          </w:p>
        </w:tc>
      </w:tr>
      <w:tr w:rsidR="0006747A" w:rsidRPr="00E209B2" w:rsidTr="00886D2E">
        <w:trPr>
          <w:trHeight w:val="63"/>
        </w:trPr>
        <w:tc>
          <w:tcPr>
            <w:tcW w:w="784" w:type="pct"/>
            <w:vMerge/>
            <w:tcBorders>
              <w:left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PBS Indication:</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 [21171]</w:t>
            </w:r>
          </w:p>
        </w:tc>
      </w:tr>
      <w:tr w:rsidR="0006747A" w:rsidRPr="00E209B2" w:rsidTr="00886D2E">
        <w:trPr>
          <w:trHeight w:val="63"/>
        </w:trPr>
        <w:tc>
          <w:tcPr>
            <w:tcW w:w="784" w:type="pct"/>
            <w:vMerge/>
            <w:tcBorders>
              <w:left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Treatment phase:</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Maintenance therapy - Initial treatment</w:t>
            </w:r>
          </w:p>
        </w:tc>
      </w:tr>
      <w:tr w:rsidR="0006747A" w:rsidRPr="00E209B2" w:rsidTr="00886D2E">
        <w:trPr>
          <w:trHeight w:val="63"/>
        </w:trPr>
        <w:tc>
          <w:tcPr>
            <w:tcW w:w="784" w:type="pct"/>
            <w:vMerge/>
            <w:tcBorders>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p>
        </w:tc>
        <w:tc>
          <w:tcPr>
            <w:tcW w:w="1100" w:type="pct"/>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Restriction Level:</w:t>
            </w:r>
          </w:p>
        </w:tc>
        <w:tc>
          <w:tcPr>
            <w:tcW w:w="3116" w:type="pct"/>
            <w:tcBorders>
              <w:top w:val="single" w:sz="4" w:space="0" w:color="auto"/>
              <w:left w:val="single" w:sz="4" w:space="0" w:color="auto"/>
              <w:bottom w:val="single" w:sz="4" w:space="0" w:color="auto"/>
              <w:right w:val="single" w:sz="4" w:space="0" w:color="auto"/>
            </w:tcBorders>
          </w:tcPr>
          <w:p w:rsidR="0006747A" w:rsidRPr="00E209B2" w:rsidRDefault="0006747A" w:rsidP="0006747A">
            <w:pPr>
              <w:keepNext/>
              <w:rPr>
                <w:rFonts w:ascii="Arial Narrow" w:hAnsi="Arial Narrow"/>
                <w:sz w:val="18"/>
                <w:szCs w:val="18"/>
              </w:rPr>
            </w:pPr>
            <w:r w:rsidRPr="00E209B2">
              <w:rPr>
                <w:rFonts w:ascii="Arial Narrow" w:hAnsi="Arial Narrow"/>
                <w:sz w:val="18"/>
                <w:szCs w:val="18"/>
              </w:rPr>
              <w:fldChar w:fldCharType="begin">
                <w:ffData>
                  <w:name w:val="Check3"/>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Authority Required – immediate/real time assessment by Services Australia (Telephone/electronic)</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b/>
                <w:bCs/>
                <w:sz w:val="18"/>
                <w:szCs w:val="18"/>
              </w:rPr>
              <w:t>Clinical criteria:</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06747A">
            <w:pPr>
              <w:keepNext/>
              <w:rPr>
                <w:rFonts w:ascii="Arial Narrow" w:hAnsi="Arial Narrow" w:cstheme="minorHAnsi"/>
                <w:sz w:val="18"/>
                <w:szCs w:val="18"/>
              </w:rPr>
            </w:pPr>
            <w:r w:rsidRPr="00E209B2">
              <w:rPr>
                <w:rFonts w:ascii="Arial Narrow" w:hAnsi="Arial Narrow" w:cstheme="minorHAnsi"/>
                <w:sz w:val="18"/>
                <w:szCs w:val="18"/>
              </w:rPr>
              <w:t>Patient must have received first-line platinum-based chemotherapy,</w:t>
            </w:r>
          </w:p>
        </w:tc>
      </w:tr>
      <w:tr w:rsidR="0006747A" w:rsidRPr="00E209B2" w:rsidTr="00886D2E">
        <w:trPr>
          <w:trHeight w:val="69"/>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trHeight w:val="14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i/>
                <w:sz w:val="18"/>
                <w:szCs w:val="18"/>
              </w:rPr>
            </w:pPr>
            <w:r w:rsidRPr="00E209B2">
              <w:rPr>
                <w:rFonts w:ascii="Arial Narrow" w:hAnsi="Arial Narrow"/>
                <w:b/>
                <w:bCs/>
                <w:sz w:val="18"/>
                <w:szCs w:val="18"/>
              </w:rPr>
              <w:t>Clinical criteria:</w:t>
            </w:r>
          </w:p>
        </w:tc>
      </w:tr>
      <w:tr w:rsidR="0006747A" w:rsidRPr="00E209B2" w:rsidTr="00886D2E">
        <w:trPr>
          <w:trHeight w:val="14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 xml:space="preserve">Patient must not have progressive disease following first-line platinum-based chemotherapy </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b/>
                <w:bCs/>
                <w:sz w:val="18"/>
                <w:szCs w:val="18"/>
              </w:rPr>
              <w:t>Clinical criteria:</w:t>
            </w:r>
          </w:p>
        </w:tc>
      </w:tr>
      <w:tr w:rsidR="0006747A" w:rsidRPr="00E209B2" w:rsidTr="00886D2E">
        <w:trPr>
          <w:trHeight w:val="192"/>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Patient must have a WHO performance status of 0 or 1,</w:t>
            </w:r>
          </w:p>
        </w:tc>
      </w:tr>
      <w:tr w:rsidR="0006747A" w:rsidRPr="00E209B2" w:rsidTr="00886D2E">
        <w:trPr>
          <w:trHeight w:val="109"/>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b/>
                <w:bCs/>
                <w:sz w:val="18"/>
                <w:szCs w:val="18"/>
              </w:rPr>
              <w:t>Clinical criteria:</w:t>
            </w:r>
          </w:p>
        </w:tc>
      </w:tr>
      <w:tr w:rsidR="0006747A" w:rsidRPr="00E209B2" w:rsidTr="00886D2E">
        <w:trPr>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p>
        </w:tc>
      </w:tr>
      <w:tr w:rsidR="0006747A" w:rsidRPr="00E209B2" w:rsidTr="00886D2E">
        <w:trPr>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6747A" w:rsidRPr="00E209B2" w:rsidTr="00886D2E">
        <w:trPr>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No increase in the maximum quantity or number of units may be authorised.</w:t>
            </w:r>
          </w:p>
        </w:tc>
      </w:tr>
      <w:tr w:rsidR="0006747A" w:rsidRPr="00E209B2" w:rsidTr="00886D2E">
        <w:trPr>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No increase in the maximum number of repeats may be authorised.</w:t>
            </w:r>
          </w:p>
        </w:tc>
      </w:tr>
      <w:tr w:rsidR="0006747A" w:rsidRPr="00E209B2" w:rsidTr="00886D2E">
        <w:trPr>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Special Pricing Arrangements apply</w:t>
            </w:r>
          </w:p>
        </w:tc>
      </w:tr>
    </w:tbl>
    <w:p w:rsidR="0006747A" w:rsidRPr="00E209B2" w:rsidRDefault="0006747A" w:rsidP="0006747A">
      <w:pPr>
        <w:rPr>
          <w:rFonts w:ascii="Arial Narrow" w:hAnsi="Arial Narrow"/>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06747A" w:rsidRPr="00E209B2" w:rsidTr="00886D2E">
        <w:trPr>
          <w:cantSplit/>
          <w:trHeight w:val="471"/>
        </w:trPr>
        <w:tc>
          <w:tcPr>
            <w:tcW w:w="2141" w:type="pct"/>
          </w:tcPr>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Name, Restriction,</w:t>
            </w:r>
          </w:p>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Manner of administration and form</w:t>
            </w:r>
          </w:p>
        </w:tc>
        <w:tc>
          <w:tcPr>
            <w:tcW w:w="635" w:type="pct"/>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PBS item code</w:t>
            </w:r>
          </w:p>
        </w:tc>
        <w:tc>
          <w:tcPr>
            <w:tcW w:w="55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Max.</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Amount</w:t>
            </w:r>
          </w:p>
        </w:tc>
        <w:tc>
          <w:tcPr>
            <w:tcW w:w="47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№.of</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Rpts</w:t>
            </w:r>
          </w:p>
        </w:tc>
        <w:tc>
          <w:tcPr>
            <w:tcW w:w="1192" w:type="pct"/>
            <w:vAlign w:val="center"/>
          </w:tcPr>
          <w:p w:rsidR="0006747A" w:rsidRPr="00E209B2" w:rsidRDefault="0006747A" w:rsidP="00886D2E">
            <w:pPr>
              <w:keepNext/>
              <w:jc w:val="center"/>
              <w:rPr>
                <w:rFonts w:ascii="Arial Narrow" w:hAnsi="Arial Narrow"/>
                <w:b/>
                <w:sz w:val="18"/>
                <w:szCs w:val="18"/>
              </w:rPr>
            </w:pPr>
            <w:r w:rsidRPr="00E209B2">
              <w:rPr>
                <w:rFonts w:ascii="Arial Narrow" w:hAnsi="Arial Narrow"/>
                <w:b/>
                <w:sz w:val="18"/>
                <w:szCs w:val="18"/>
              </w:rPr>
              <w:t>Manufacturer</w:t>
            </w:r>
          </w:p>
        </w:tc>
      </w:tr>
      <w:tr w:rsidR="0006747A" w:rsidRPr="00E209B2" w:rsidTr="00886D2E">
        <w:trPr>
          <w:cantSplit/>
          <w:trHeight w:val="577"/>
        </w:trPr>
        <w:tc>
          <w:tcPr>
            <w:tcW w:w="2141" w:type="pct"/>
          </w:tcPr>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 xml:space="preserve">AVELUMAB, </w:t>
            </w:r>
          </w:p>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200 mg/10 mL injection, 10 mL vial</w:t>
            </w:r>
          </w:p>
        </w:tc>
        <w:tc>
          <w:tcPr>
            <w:tcW w:w="635" w:type="pct"/>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(Public)</w:t>
            </w:r>
          </w:p>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(Private)</w:t>
            </w:r>
          </w:p>
        </w:tc>
        <w:tc>
          <w:tcPr>
            <w:tcW w:w="556" w:type="pct"/>
            <w:vAlign w:val="center"/>
          </w:tcPr>
          <w:p w:rsidR="0006747A" w:rsidRPr="00E209B2" w:rsidRDefault="0006747A" w:rsidP="00886D2E">
            <w:pPr>
              <w:keepNext/>
              <w:ind w:left="-108"/>
              <w:jc w:val="center"/>
              <w:rPr>
                <w:rFonts w:ascii="Arial Narrow" w:hAnsi="Arial Narrow"/>
                <w:i/>
                <w:sz w:val="18"/>
                <w:szCs w:val="18"/>
              </w:rPr>
            </w:pPr>
            <w:r w:rsidRPr="00E209B2">
              <w:rPr>
                <w:rFonts w:ascii="Arial Narrow" w:hAnsi="Arial Narrow"/>
                <w:sz w:val="18"/>
                <w:szCs w:val="18"/>
              </w:rPr>
              <w:t>800</w:t>
            </w:r>
            <w:r w:rsidR="00756A26" w:rsidRPr="00E209B2">
              <w:rPr>
                <w:rFonts w:ascii="Arial Narrow" w:hAnsi="Arial Narrow"/>
                <w:sz w:val="18"/>
                <w:szCs w:val="18"/>
              </w:rPr>
              <w:t xml:space="preserve"> mg</w:t>
            </w:r>
          </w:p>
        </w:tc>
        <w:tc>
          <w:tcPr>
            <w:tcW w:w="476" w:type="pct"/>
            <w:vAlign w:val="center"/>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11</w:t>
            </w:r>
          </w:p>
        </w:tc>
        <w:tc>
          <w:tcPr>
            <w:tcW w:w="1192" w:type="pct"/>
            <w:vAlign w:val="center"/>
          </w:tcPr>
          <w:p w:rsidR="0006747A" w:rsidRPr="00E209B2" w:rsidRDefault="0006747A" w:rsidP="00886D2E">
            <w:pPr>
              <w:keepNext/>
              <w:jc w:val="center"/>
              <w:rPr>
                <w:rFonts w:ascii="Arial Narrow" w:hAnsi="Arial Narrow"/>
                <w:sz w:val="18"/>
                <w:szCs w:val="18"/>
              </w:rPr>
            </w:pPr>
            <w:r w:rsidRPr="00E209B2">
              <w:rPr>
                <w:rFonts w:ascii="Arial Narrow" w:hAnsi="Arial Narrow"/>
                <w:sz w:val="18"/>
                <w:szCs w:val="18"/>
              </w:rPr>
              <w:t>Merck Healthcare Pty Ltd</w:t>
            </w:r>
          </w:p>
        </w:tc>
      </w:tr>
      <w:tr w:rsidR="0006747A" w:rsidRPr="00E209B2" w:rsidTr="00886D2E">
        <w:trPr>
          <w:cantSplit/>
          <w:trHeight w:val="225"/>
        </w:trPr>
        <w:tc>
          <w:tcPr>
            <w:tcW w:w="5000" w:type="pct"/>
            <w:gridSpan w:val="5"/>
          </w:tcPr>
          <w:p w:rsidR="0006747A" w:rsidRPr="00E209B2" w:rsidRDefault="0006747A" w:rsidP="00886D2E">
            <w:pPr>
              <w:keepNext/>
              <w:rPr>
                <w:rFonts w:ascii="Arial Narrow" w:hAnsi="Arial Narrow"/>
                <w:b/>
                <w:sz w:val="18"/>
                <w:szCs w:val="18"/>
              </w:rPr>
            </w:pPr>
            <w:r w:rsidRPr="00E209B2">
              <w:rPr>
                <w:rFonts w:ascii="Arial Narrow" w:hAnsi="Arial Narrow"/>
                <w:b/>
                <w:sz w:val="18"/>
                <w:szCs w:val="18"/>
              </w:rPr>
              <w:t>Available brands</w:t>
            </w:r>
          </w:p>
        </w:tc>
      </w:tr>
      <w:tr w:rsidR="0006747A" w:rsidRPr="00E209B2" w:rsidTr="00886D2E">
        <w:trPr>
          <w:cantSplit/>
          <w:trHeight w:val="360"/>
        </w:trPr>
        <w:tc>
          <w:tcPr>
            <w:tcW w:w="5000" w:type="pct"/>
            <w:gridSpan w:val="5"/>
          </w:tcPr>
          <w:p w:rsidR="0006747A" w:rsidRPr="00E209B2" w:rsidRDefault="0006747A" w:rsidP="00886D2E">
            <w:pPr>
              <w:rPr>
                <w:rFonts w:ascii="Arial Narrow" w:hAnsi="Arial Narrow"/>
                <w:sz w:val="18"/>
                <w:szCs w:val="18"/>
              </w:rPr>
            </w:pPr>
            <w:r w:rsidRPr="00E209B2">
              <w:rPr>
                <w:rFonts w:ascii="Arial Narrow" w:hAnsi="Arial Narrow"/>
                <w:sz w:val="18"/>
                <w:szCs w:val="18"/>
              </w:rPr>
              <w:t>Bavencio</w:t>
            </w:r>
          </w:p>
          <w:p w:rsidR="0006747A" w:rsidRPr="00E209B2" w:rsidRDefault="0006747A" w:rsidP="00886D2E">
            <w:pPr>
              <w:rPr>
                <w:rFonts w:ascii="Arial Narrow" w:hAnsi="Arial Narrow"/>
                <w:sz w:val="18"/>
                <w:szCs w:val="18"/>
              </w:rPr>
            </w:pPr>
            <w:r w:rsidRPr="00E209B2">
              <w:rPr>
                <w:rFonts w:ascii="Arial Narrow" w:hAnsi="Arial Narrow"/>
                <w:sz w:val="18"/>
                <w:szCs w:val="18"/>
              </w:rPr>
              <w:t>(avelumab 200 mg/10 mL injection, 10 mL vial)</w:t>
            </w:r>
          </w:p>
        </w:tc>
      </w:tr>
    </w:tbl>
    <w:p w:rsidR="0006747A" w:rsidRPr="00E209B2" w:rsidRDefault="0006747A" w:rsidP="0006747A">
      <w:pPr>
        <w:keepNext/>
        <w:rPr>
          <w:rFonts w:ascii="Arial Narrow" w:hAnsi="Arial Narrow"/>
          <w:b/>
          <w:sz w:val="18"/>
          <w:szCs w:val="18"/>
        </w:rPr>
      </w:pPr>
    </w:p>
    <w:p w:rsidR="0006747A" w:rsidRPr="00E209B2" w:rsidRDefault="0006747A" w:rsidP="00CC08FA">
      <w:pPr>
        <w:keepNext/>
      </w:pPr>
      <w:r w:rsidRPr="00E209B2">
        <w:rPr>
          <w:rFonts w:ascii="Arial Narrow" w:hAnsi="Arial Narrow"/>
          <w:b/>
          <w:sz w:val="18"/>
          <w:szCs w:val="18"/>
        </w:rPr>
        <w:t>Continuing treatment Restriction Summary [NEW] / Treatment of Concept (ToC): [NEW]</w:t>
      </w:r>
    </w:p>
    <w:tbl>
      <w:tblPr>
        <w:tblW w:w="5000" w:type="pct"/>
        <w:tblLook w:val="0000" w:firstRow="0" w:lastRow="0" w:firstColumn="0" w:lastColumn="0" w:noHBand="0" w:noVBand="0"/>
      </w:tblPr>
      <w:tblGrid>
        <w:gridCol w:w="1413"/>
        <w:gridCol w:w="1701"/>
        <w:gridCol w:w="5903"/>
      </w:tblGrid>
      <w:tr w:rsidR="0006747A" w:rsidRPr="00E209B2" w:rsidTr="00886D2E">
        <w:trPr>
          <w:cantSplit/>
          <w:trHeight w:val="63"/>
        </w:trPr>
        <w:tc>
          <w:tcPr>
            <w:tcW w:w="784" w:type="pct"/>
            <w:vMerge w:val="restart"/>
            <w:tcBorders>
              <w:top w:val="single" w:sz="4" w:space="0" w:color="auto"/>
              <w:left w:val="single" w:sz="4" w:space="0" w:color="auto"/>
              <w:right w:val="single" w:sz="4" w:space="0" w:color="auto"/>
            </w:tcBorders>
          </w:tcPr>
          <w:p w:rsidR="0006747A" w:rsidRPr="00E209B2" w:rsidRDefault="0006747A" w:rsidP="00CC08FA">
            <w:pPr>
              <w:keepNext/>
              <w:jc w:val="center"/>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Category / Program:</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06747A" w:rsidRPr="00E209B2" w:rsidTr="00886D2E">
        <w:trPr>
          <w:cantSplit/>
          <w:trHeight w:val="63"/>
        </w:trPr>
        <w:tc>
          <w:tcPr>
            <w:tcW w:w="784" w:type="pct"/>
            <w:vMerge/>
            <w:tcBorders>
              <w:left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Prescriber type:</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 xml:space="preserve">Medical Practitioners  </w:t>
            </w:r>
          </w:p>
        </w:tc>
      </w:tr>
      <w:tr w:rsidR="0006747A" w:rsidRPr="00E209B2" w:rsidTr="00886D2E">
        <w:trPr>
          <w:cantSplit/>
          <w:trHeight w:val="63"/>
        </w:trPr>
        <w:tc>
          <w:tcPr>
            <w:tcW w:w="784" w:type="pct"/>
            <w:vMerge/>
            <w:tcBorders>
              <w:left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Severity:</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06747A" w:rsidRPr="00E209B2" w:rsidTr="00886D2E">
        <w:trPr>
          <w:cantSplit/>
          <w:trHeight w:val="63"/>
        </w:trPr>
        <w:tc>
          <w:tcPr>
            <w:tcW w:w="784" w:type="pct"/>
            <w:vMerge/>
            <w:tcBorders>
              <w:left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Condition:</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Urothelial cancer</w:t>
            </w:r>
          </w:p>
        </w:tc>
      </w:tr>
      <w:tr w:rsidR="0006747A" w:rsidRPr="00E209B2" w:rsidTr="00886D2E">
        <w:trPr>
          <w:cantSplit/>
          <w:trHeight w:val="63"/>
        </w:trPr>
        <w:tc>
          <w:tcPr>
            <w:tcW w:w="784" w:type="pct"/>
            <w:vMerge/>
            <w:tcBorders>
              <w:left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PBS Indication:</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 [21171]</w:t>
            </w:r>
          </w:p>
        </w:tc>
      </w:tr>
      <w:tr w:rsidR="0006747A" w:rsidRPr="00E209B2" w:rsidTr="00886D2E">
        <w:trPr>
          <w:cantSplit/>
          <w:trHeight w:val="63"/>
        </w:trPr>
        <w:tc>
          <w:tcPr>
            <w:tcW w:w="784" w:type="pct"/>
            <w:vMerge/>
            <w:tcBorders>
              <w:left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Treatment phase:</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sz w:val="18"/>
                <w:szCs w:val="18"/>
              </w:rPr>
            </w:pPr>
            <w:r w:rsidRPr="00E209B2">
              <w:rPr>
                <w:rFonts w:ascii="Arial Narrow" w:hAnsi="Arial Narrow" w:cstheme="minorHAnsi"/>
                <w:sz w:val="18"/>
                <w:szCs w:val="18"/>
              </w:rPr>
              <w:t>Maintenance therapy – Continuing treatment</w:t>
            </w:r>
          </w:p>
        </w:tc>
      </w:tr>
      <w:tr w:rsidR="0006747A" w:rsidRPr="00E209B2" w:rsidTr="00886D2E">
        <w:trPr>
          <w:cantSplit/>
          <w:trHeight w:val="63"/>
        </w:trPr>
        <w:tc>
          <w:tcPr>
            <w:tcW w:w="784" w:type="pct"/>
            <w:vMerge/>
            <w:tcBorders>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p>
        </w:tc>
        <w:tc>
          <w:tcPr>
            <w:tcW w:w="94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cstheme="minorHAnsi"/>
                <w:b/>
                <w:sz w:val="18"/>
                <w:szCs w:val="18"/>
              </w:rPr>
            </w:pPr>
            <w:r w:rsidRPr="00E209B2">
              <w:rPr>
                <w:rFonts w:ascii="Arial Narrow" w:hAnsi="Arial Narrow" w:cstheme="minorHAnsi"/>
                <w:b/>
                <w:sz w:val="18"/>
                <w:szCs w:val="18"/>
              </w:rPr>
              <w:t>Restriction Level:</w:t>
            </w:r>
          </w:p>
        </w:tc>
        <w:tc>
          <w:tcPr>
            <w:tcW w:w="3273"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keepNext/>
              <w:rPr>
                <w:rFonts w:ascii="Arial Narrow" w:hAnsi="Arial Narrow"/>
                <w:sz w:val="18"/>
                <w:szCs w:val="18"/>
                <w:highlight w:val="yellow"/>
              </w:rPr>
            </w:pPr>
            <w:r w:rsidRPr="00E209B2">
              <w:rPr>
                <w:rFonts w:ascii="Arial Narrow" w:hAnsi="Arial Narrow"/>
                <w:sz w:val="18"/>
                <w:szCs w:val="18"/>
              </w:rPr>
              <w:fldChar w:fldCharType="begin">
                <w:ffData>
                  <w:name w:val=""/>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Authority Required – immediate/real time assessment by Services Australia (Telephone/electronic)</w:t>
            </w:r>
          </w:p>
        </w:tc>
      </w:tr>
      <w:tr w:rsidR="0006747A" w:rsidRPr="00E209B2" w:rsidTr="00886D2E">
        <w:trPr>
          <w:cantSplit/>
          <w:trHeight w:val="65"/>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Patient must have previously received PBS-subsidised treatment with this drug for this condition,</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Patient must not have developed disease progression</w:t>
            </w:r>
            <w:r w:rsidRPr="00E209B2">
              <w:t xml:space="preserve"> </w:t>
            </w:r>
            <w:r w:rsidRPr="00E209B2">
              <w:rPr>
                <w:rFonts w:ascii="Arial Narrow" w:hAnsi="Arial Narrow" w:cstheme="minorHAnsi"/>
                <w:sz w:val="18"/>
                <w:szCs w:val="18"/>
              </w:rPr>
              <w:t>while being treated with this drug for this condition</w:t>
            </w:r>
            <w:r w:rsidR="00C44E68" w:rsidRPr="00E209B2">
              <w:rPr>
                <w:rFonts w:ascii="Arial Narrow" w:hAnsi="Arial Narrow" w:cstheme="minorHAnsi"/>
                <w:sz w:val="18"/>
                <w:szCs w:val="18"/>
              </w:rPr>
              <w:t>,</w:t>
            </w:r>
          </w:p>
        </w:tc>
      </w:tr>
      <w:tr w:rsidR="0006747A" w:rsidRPr="00E209B2" w:rsidTr="00886D2E">
        <w:trPr>
          <w:cantSplit/>
          <w:trHeight w:val="12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886D2E">
            <w:pPr>
              <w:keepNext/>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06747A" w:rsidRPr="00E209B2" w:rsidRDefault="0006747A" w:rsidP="00886D2E">
            <w:pPr>
              <w:keepNext/>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sz w:val="18"/>
                <w:szCs w:val="18"/>
              </w:rPr>
              <w:t>No increase in the maximum quantity or number of units may be authorised.</w:t>
            </w:r>
          </w:p>
        </w:tc>
      </w:tr>
      <w:tr w:rsidR="0006747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06747A" w:rsidRPr="00E209B2" w:rsidRDefault="0006747A" w:rsidP="00886D2E">
            <w:pPr>
              <w:keepNext/>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sz w:val="18"/>
                <w:szCs w:val="18"/>
              </w:rPr>
              <w:t>No increase in the maximum number of repeats may be authorised.</w:t>
            </w:r>
          </w:p>
        </w:tc>
      </w:tr>
      <w:tr w:rsidR="0006747A" w:rsidRPr="00E209B2" w:rsidTr="00886D2E">
        <w:trPr>
          <w:cantSplit/>
          <w:trHeight w:val="360"/>
        </w:trPr>
        <w:tc>
          <w:tcPr>
            <w:tcW w:w="784" w:type="pct"/>
            <w:tcBorders>
              <w:top w:val="single" w:sz="4" w:space="0" w:color="auto"/>
              <w:left w:val="single" w:sz="4" w:space="0" w:color="auto"/>
              <w:bottom w:val="single" w:sz="4" w:space="0" w:color="auto"/>
            </w:tcBorders>
            <w:vAlign w:val="center"/>
          </w:tcPr>
          <w:p w:rsidR="0006747A" w:rsidRPr="00E209B2" w:rsidRDefault="0006747A" w:rsidP="00886D2E">
            <w:pPr>
              <w:keepNext/>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886D2E">
            <w:pPr>
              <w:keepNext/>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886D2E">
            <w:pPr>
              <w:keepNext/>
              <w:rPr>
                <w:rFonts w:ascii="Arial Narrow" w:hAnsi="Arial Narrow" w:cstheme="minorHAnsi"/>
                <w:sz w:val="18"/>
                <w:szCs w:val="18"/>
              </w:rPr>
            </w:pPr>
            <w:r w:rsidRPr="00E209B2">
              <w:rPr>
                <w:rFonts w:ascii="Arial Narrow" w:hAnsi="Arial Narrow"/>
                <w:sz w:val="18"/>
                <w:szCs w:val="18"/>
              </w:rPr>
              <w:t>Special Pricing Arrangements apply</w:t>
            </w:r>
          </w:p>
        </w:tc>
      </w:tr>
    </w:tbl>
    <w:p w:rsidR="0006747A" w:rsidRPr="00E209B2" w:rsidRDefault="0006747A" w:rsidP="0006747A">
      <w:pPr>
        <w:rPr>
          <w:rFonts w:ascii="Arial Narrow" w:hAnsi="Arial Narrow" w:cstheme="minorHAnsi"/>
          <w:cap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1145"/>
        <w:gridCol w:w="1003"/>
        <w:gridCol w:w="858"/>
        <w:gridCol w:w="2150"/>
      </w:tblGrid>
      <w:tr w:rsidR="0006747A" w:rsidRPr="00E209B2" w:rsidTr="00886D2E">
        <w:trPr>
          <w:cantSplit/>
          <w:trHeight w:val="471"/>
        </w:trPr>
        <w:tc>
          <w:tcPr>
            <w:tcW w:w="2141" w:type="pct"/>
          </w:tcPr>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Name, Restriction,</w:t>
            </w:r>
          </w:p>
          <w:p w:rsidR="0006747A" w:rsidRPr="00E209B2" w:rsidRDefault="0006747A" w:rsidP="00886D2E">
            <w:pPr>
              <w:keepNext/>
              <w:ind w:left="-108"/>
              <w:rPr>
                <w:rFonts w:ascii="Arial Narrow" w:hAnsi="Arial Narrow"/>
                <w:b/>
                <w:sz w:val="18"/>
                <w:szCs w:val="18"/>
              </w:rPr>
            </w:pPr>
            <w:r w:rsidRPr="00E209B2">
              <w:rPr>
                <w:rFonts w:ascii="Arial Narrow" w:hAnsi="Arial Narrow"/>
                <w:b/>
                <w:sz w:val="18"/>
                <w:szCs w:val="18"/>
              </w:rPr>
              <w:t>Manner of administration and form</w:t>
            </w:r>
          </w:p>
        </w:tc>
        <w:tc>
          <w:tcPr>
            <w:tcW w:w="635" w:type="pct"/>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PBS item code</w:t>
            </w:r>
          </w:p>
        </w:tc>
        <w:tc>
          <w:tcPr>
            <w:tcW w:w="55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Max.</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Amount</w:t>
            </w:r>
          </w:p>
        </w:tc>
        <w:tc>
          <w:tcPr>
            <w:tcW w:w="476" w:type="pct"/>
            <w:vAlign w:val="center"/>
          </w:tcPr>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№.of</w:t>
            </w:r>
          </w:p>
          <w:p w:rsidR="0006747A" w:rsidRPr="00E209B2" w:rsidRDefault="0006747A" w:rsidP="00886D2E">
            <w:pPr>
              <w:keepNext/>
              <w:ind w:left="-108"/>
              <w:jc w:val="center"/>
              <w:rPr>
                <w:rFonts w:ascii="Arial Narrow" w:hAnsi="Arial Narrow"/>
                <w:b/>
                <w:sz w:val="18"/>
                <w:szCs w:val="18"/>
              </w:rPr>
            </w:pPr>
            <w:r w:rsidRPr="00E209B2">
              <w:rPr>
                <w:rFonts w:ascii="Arial Narrow" w:hAnsi="Arial Narrow"/>
                <w:b/>
                <w:sz w:val="18"/>
                <w:szCs w:val="18"/>
              </w:rPr>
              <w:t>Rpts</w:t>
            </w:r>
          </w:p>
        </w:tc>
        <w:tc>
          <w:tcPr>
            <w:tcW w:w="1191" w:type="pct"/>
            <w:vAlign w:val="center"/>
          </w:tcPr>
          <w:p w:rsidR="0006747A" w:rsidRPr="00E209B2" w:rsidRDefault="0006747A" w:rsidP="00886D2E">
            <w:pPr>
              <w:keepNext/>
              <w:jc w:val="center"/>
              <w:rPr>
                <w:rFonts w:ascii="Arial Narrow" w:hAnsi="Arial Narrow"/>
                <w:b/>
                <w:sz w:val="18"/>
                <w:szCs w:val="18"/>
              </w:rPr>
            </w:pPr>
            <w:r w:rsidRPr="00E209B2">
              <w:rPr>
                <w:rFonts w:ascii="Arial Narrow" w:hAnsi="Arial Narrow"/>
                <w:b/>
                <w:sz w:val="18"/>
                <w:szCs w:val="18"/>
              </w:rPr>
              <w:t>Manufacturer</w:t>
            </w:r>
          </w:p>
        </w:tc>
      </w:tr>
      <w:tr w:rsidR="0006747A" w:rsidRPr="00E209B2" w:rsidTr="00886D2E">
        <w:trPr>
          <w:cantSplit/>
          <w:trHeight w:val="577"/>
        </w:trPr>
        <w:tc>
          <w:tcPr>
            <w:tcW w:w="2141" w:type="pct"/>
          </w:tcPr>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 xml:space="preserve">AVELUMAB, </w:t>
            </w:r>
          </w:p>
          <w:p w:rsidR="0006747A" w:rsidRPr="00E209B2" w:rsidRDefault="0006747A" w:rsidP="00886D2E">
            <w:pPr>
              <w:keepNext/>
              <w:ind w:left="-108"/>
              <w:rPr>
                <w:rFonts w:ascii="Arial Narrow" w:hAnsi="Arial Narrow"/>
                <w:sz w:val="18"/>
                <w:szCs w:val="18"/>
              </w:rPr>
            </w:pPr>
            <w:r w:rsidRPr="00E209B2">
              <w:rPr>
                <w:rFonts w:ascii="Arial Narrow" w:hAnsi="Arial Narrow"/>
                <w:sz w:val="18"/>
                <w:szCs w:val="18"/>
              </w:rPr>
              <w:t>200 mg/10 mL injection, 10 mL vial</w:t>
            </w:r>
          </w:p>
        </w:tc>
        <w:tc>
          <w:tcPr>
            <w:tcW w:w="635" w:type="pct"/>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(Public)</w:t>
            </w:r>
          </w:p>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NEW (Private)</w:t>
            </w:r>
          </w:p>
        </w:tc>
        <w:tc>
          <w:tcPr>
            <w:tcW w:w="556" w:type="pct"/>
            <w:vAlign w:val="center"/>
          </w:tcPr>
          <w:p w:rsidR="0006747A" w:rsidRPr="00E209B2" w:rsidRDefault="0006747A" w:rsidP="00886D2E">
            <w:pPr>
              <w:keepNext/>
              <w:ind w:left="-108"/>
              <w:jc w:val="center"/>
              <w:rPr>
                <w:rFonts w:ascii="Arial Narrow" w:hAnsi="Arial Narrow"/>
                <w:i/>
                <w:sz w:val="18"/>
                <w:szCs w:val="18"/>
              </w:rPr>
            </w:pPr>
            <w:r w:rsidRPr="00E209B2">
              <w:rPr>
                <w:rFonts w:ascii="Arial Narrow" w:hAnsi="Arial Narrow"/>
                <w:sz w:val="18"/>
                <w:szCs w:val="18"/>
              </w:rPr>
              <w:t>800</w:t>
            </w:r>
            <w:r w:rsidR="00756A26" w:rsidRPr="00E209B2">
              <w:rPr>
                <w:rFonts w:ascii="Arial Narrow" w:hAnsi="Arial Narrow"/>
                <w:sz w:val="18"/>
                <w:szCs w:val="18"/>
              </w:rPr>
              <w:t xml:space="preserve"> mg</w:t>
            </w:r>
          </w:p>
        </w:tc>
        <w:tc>
          <w:tcPr>
            <w:tcW w:w="476" w:type="pct"/>
            <w:vAlign w:val="center"/>
          </w:tcPr>
          <w:p w:rsidR="0006747A" w:rsidRPr="00E209B2" w:rsidRDefault="0006747A" w:rsidP="00886D2E">
            <w:pPr>
              <w:keepNext/>
              <w:ind w:left="-108"/>
              <w:jc w:val="center"/>
              <w:rPr>
                <w:rFonts w:ascii="Arial Narrow" w:hAnsi="Arial Narrow"/>
                <w:sz w:val="18"/>
                <w:szCs w:val="18"/>
              </w:rPr>
            </w:pPr>
            <w:r w:rsidRPr="00E209B2">
              <w:rPr>
                <w:rFonts w:ascii="Arial Narrow" w:hAnsi="Arial Narrow"/>
                <w:sz w:val="18"/>
                <w:szCs w:val="18"/>
              </w:rPr>
              <w:t>7</w:t>
            </w:r>
          </w:p>
        </w:tc>
        <w:tc>
          <w:tcPr>
            <w:tcW w:w="1191" w:type="pct"/>
            <w:vAlign w:val="center"/>
          </w:tcPr>
          <w:p w:rsidR="0006747A" w:rsidRPr="00E209B2" w:rsidRDefault="0006747A" w:rsidP="00886D2E">
            <w:pPr>
              <w:keepNext/>
              <w:jc w:val="center"/>
              <w:rPr>
                <w:rFonts w:ascii="Arial Narrow" w:hAnsi="Arial Narrow"/>
                <w:sz w:val="18"/>
                <w:szCs w:val="18"/>
              </w:rPr>
            </w:pPr>
            <w:r w:rsidRPr="00E209B2">
              <w:rPr>
                <w:rFonts w:ascii="Arial Narrow" w:hAnsi="Arial Narrow"/>
                <w:sz w:val="18"/>
                <w:szCs w:val="18"/>
              </w:rPr>
              <w:t>Merck Healthcare Pty Ltd</w:t>
            </w:r>
          </w:p>
        </w:tc>
      </w:tr>
      <w:tr w:rsidR="0006747A" w:rsidRPr="00E209B2" w:rsidTr="00886D2E">
        <w:trPr>
          <w:cantSplit/>
          <w:trHeight w:val="225"/>
        </w:trPr>
        <w:tc>
          <w:tcPr>
            <w:tcW w:w="5000" w:type="pct"/>
            <w:gridSpan w:val="5"/>
          </w:tcPr>
          <w:p w:rsidR="0006747A" w:rsidRPr="00E209B2" w:rsidRDefault="0006747A" w:rsidP="00886D2E">
            <w:pPr>
              <w:keepNext/>
              <w:rPr>
                <w:rFonts w:ascii="Arial Narrow" w:hAnsi="Arial Narrow"/>
                <w:b/>
                <w:sz w:val="18"/>
                <w:szCs w:val="18"/>
              </w:rPr>
            </w:pPr>
            <w:r w:rsidRPr="00E209B2">
              <w:rPr>
                <w:rFonts w:ascii="Arial Narrow" w:hAnsi="Arial Narrow"/>
                <w:b/>
                <w:sz w:val="18"/>
                <w:szCs w:val="18"/>
              </w:rPr>
              <w:t>Available brands</w:t>
            </w:r>
          </w:p>
        </w:tc>
      </w:tr>
      <w:tr w:rsidR="0006747A" w:rsidRPr="00E209B2" w:rsidTr="00886D2E">
        <w:trPr>
          <w:cantSplit/>
          <w:trHeight w:val="360"/>
        </w:trPr>
        <w:tc>
          <w:tcPr>
            <w:tcW w:w="5000" w:type="pct"/>
            <w:gridSpan w:val="5"/>
          </w:tcPr>
          <w:p w:rsidR="0006747A" w:rsidRPr="00E209B2" w:rsidRDefault="0006747A" w:rsidP="00886D2E">
            <w:pPr>
              <w:rPr>
                <w:rFonts w:ascii="Arial Narrow" w:hAnsi="Arial Narrow"/>
                <w:sz w:val="18"/>
                <w:szCs w:val="18"/>
              </w:rPr>
            </w:pPr>
            <w:r w:rsidRPr="00E209B2">
              <w:rPr>
                <w:rFonts w:ascii="Arial Narrow" w:hAnsi="Arial Narrow"/>
                <w:sz w:val="18"/>
                <w:szCs w:val="18"/>
              </w:rPr>
              <w:t>Bavencio</w:t>
            </w:r>
          </w:p>
          <w:p w:rsidR="0006747A" w:rsidRPr="00E209B2" w:rsidRDefault="0006747A" w:rsidP="00886D2E">
            <w:pPr>
              <w:rPr>
                <w:rFonts w:ascii="Arial Narrow" w:hAnsi="Arial Narrow"/>
                <w:sz w:val="18"/>
                <w:szCs w:val="18"/>
              </w:rPr>
            </w:pPr>
            <w:r w:rsidRPr="00E209B2">
              <w:rPr>
                <w:rFonts w:ascii="Arial Narrow" w:hAnsi="Arial Narrow"/>
                <w:sz w:val="18"/>
                <w:szCs w:val="18"/>
              </w:rPr>
              <w:t>(avelumab 200 mg/10 mL injection, 10 mL vial)</w:t>
            </w:r>
          </w:p>
        </w:tc>
      </w:tr>
    </w:tbl>
    <w:p w:rsidR="0006747A" w:rsidRPr="00E209B2" w:rsidRDefault="0006747A" w:rsidP="0006747A">
      <w:pPr>
        <w:keepNext/>
        <w:rPr>
          <w:rFonts w:ascii="Arial Narrow" w:hAnsi="Arial Narrow"/>
          <w:b/>
          <w:sz w:val="18"/>
          <w:szCs w:val="18"/>
        </w:rPr>
      </w:pPr>
    </w:p>
    <w:p w:rsidR="0006747A" w:rsidRPr="00E209B2" w:rsidRDefault="0006747A" w:rsidP="00CC08FA">
      <w:pPr>
        <w:widowControl w:val="0"/>
      </w:pPr>
      <w:r w:rsidRPr="00E209B2">
        <w:rPr>
          <w:rFonts w:ascii="Arial Narrow" w:hAnsi="Arial Narrow"/>
          <w:b/>
          <w:sz w:val="18"/>
          <w:szCs w:val="18"/>
        </w:rPr>
        <w:t>Grandfathering treatment Restriction Summary [NEW] / Treatment of Concept (ToC): [NEW]</w:t>
      </w:r>
    </w:p>
    <w:tbl>
      <w:tblPr>
        <w:tblW w:w="5000" w:type="pct"/>
        <w:tblLook w:val="0000" w:firstRow="0" w:lastRow="0" w:firstColumn="0" w:lastColumn="0" w:noHBand="0" w:noVBand="0"/>
      </w:tblPr>
      <w:tblGrid>
        <w:gridCol w:w="1414"/>
        <w:gridCol w:w="2238"/>
        <w:gridCol w:w="5365"/>
      </w:tblGrid>
      <w:tr w:rsidR="0006747A" w:rsidRPr="00E209B2" w:rsidTr="000566C1">
        <w:trPr>
          <w:cantSplit/>
          <w:trHeight w:val="63"/>
        </w:trPr>
        <w:tc>
          <w:tcPr>
            <w:tcW w:w="784" w:type="pct"/>
            <w:vMerge w:val="restart"/>
            <w:tcBorders>
              <w:top w:val="single" w:sz="4" w:space="0" w:color="auto"/>
              <w:left w:val="single" w:sz="4" w:space="0" w:color="auto"/>
              <w:right w:val="single" w:sz="4" w:space="0" w:color="auto"/>
            </w:tcBorders>
          </w:tcPr>
          <w:p w:rsidR="0006747A" w:rsidRPr="00E209B2" w:rsidRDefault="0006747A" w:rsidP="00CC08FA">
            <w:pPr>
              <w:widowControl w:val="0"/>
              <w:jc w:val="center"/>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Category / Program:</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Section 100 – Efficient Funding of Chemotherapy</w:t>
            </w:r>
          </w:p>
        </w:tc>
      </w:tr>
      <w:tr w:rsidR="0006747A" w:rsidRPr="00E209B2" w:rsidTr="000566C1">
        <w:trPr>
          <w:cantSplit/>
          <w:trHeight w:val="63"/>
        </w:trPr>
        <w:tc>
          <w:tcPr>
            <w:tcW w:w="784" w:type="pct"/>
            <w:vMerge/>
            <w:tcBorders>
              <w:left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Prescriber type:</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 xml:space="preserve">Medical Practitioners  </w:t>
            </w:r>
          </w:p>
        </w:tc>
      </w:tr>
      <w:tr w:rsidR="0006747A" w:rsidRPr="00E209B2" w:rsidTr="000566C1">
        <w:trPr>
          <w:cantSplit/>
          <w:trHeight w:val="63"/>
        </w:trPr>
        <w:tc>
          <w:tcPr>
            <w:tcW w:w="784" w:type="pct"/>
            <w:vMerge/>
            <w:tcBorders>
              <w:left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Severity:</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 xml:space="preserve">Locally advanced (Stage III) or metastatic (Stage IV) </w:t>
            </w:r>
          </w:p>
        </w:tc>
      </w:tr>
      <w:tr w:rsidR="0006747A" w:rsidRPr="00E209B2" w:rsidTr="000566C1">
        <w:trPr>
          <w:cantSplit/>
          <w:trHeight w:val="63"/>
        </w:trPr>
        <w:tc>
          <w:tcPr>
            <w:tcW w:w="784" w:type="pct"/>
            <w:vMerge/>
            <w:tcBorders>
              <w:left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Condition:</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 xml:space="preserve">Urothelial cancer </w:t>
            </w:r>
          </w:p>
        </w:tc>
      </w:tr>
      <w:tr w:rsidR="0006747A" w:rsidRPr="00E209B2" w:rsidTr="000566C1">
        <w:trPr>
          <w:cantSplit/>
          <w:trHeight w:val="63"/>
        </w:trPr>
        <w:tc>
          <w:tcPr>
            <w:tcW w:w="784" w:type="pct"/>
            <w:vMerge/>
            <w:tcBorders>
              <w:left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PBS Indication:</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Locally advanced (Stage III) or metastatic (Stage IV) urothelial cancer</w:t>
            </w:r>
          </w:p>
        </w:tc>
      </w:tr>
      <w:tr w:rsidR="0006747A" w:rsidRPr="00E209B2" w:rsidTr="000566C1">
        <w:trPr>
          <w:cantSplit/>
          <w:trHeight w:val="63"/>
        </w:trPr>
        <w:tc>
          <w:tcPr>
            <w:tcW w:w="784" w:type="pct"/>
            <w:vMerge/>
            <w:tcBorders>
              <w:left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Treatment phase:</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Maintenance therapy – Grandfathering treatment</w:t>
            </w:r>
          </w:p>
        </w:tc>
      </w:tr>
      <w:tr w:rsidR="0006747A" w:rsidRPr="00E209B2" w:rsidTr="000566C1">
        <w:trPr>
          <w:cantSplit/>
          <w:trHeight w:val="63"/>
        </w:trPr>
        <w:tc>
          <w:tcPr>
            <w:tcW w:w="784" w:type="pct"/>
            <w:vMerge/>
            <w:tcBorders>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p>
        </w:tc>
        <w:tc>
          <w:tcPr>
            <w:tcW w:w="1241"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Restriction Level:</w:t>
            </w:r>
          </w:p>
        </w:tc>
        <w:tc>
          <w:tcPr>
            <w:tcW w:w="2975" w:type="pct"/>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sz w:val="18"/>
                <w:szCs w:val="18"/>
                <w:highlight w:val="yellow"/>
              </w:rPr>
            </w:pPr>
            <w:r w:rsidRPr="00E209B2">
              <w:rPr>
                <w:rFonts w:ascii="Arial Narrow" w:hAnsi="Arial Narrow"/>
                <w:sz w:val="18"/>
                <w:szCs w:val="18"/>
              </w:rPr>
              <w:fldChar w:fldCharType="begin">
                <w:ffData>
                  <w:name w:val=""/>
                  <w:enabled/>
                  <w:calcOnExit w:val="0"/>
                  <w:checkBox>
                    <w:sizeAuto/>
                    <w:default w:val="1"/>
                  </w:checkBox>
                </w:ffData>
              </w:fldChar>
            </w:r>
            <w:r w:rsidRPr="00E209B2">
              <w:rPr>
                <w:rFonts w:ascii="Arial Narrow" w:hAnsi="Arial Narrow"/>
                <w:sz w:val="18"/>
                <w:szCs w:val="18"/>
              </w:rPr>
              <w:instrText xml:space="preserve"> FORMCHECKBOX </w:instrText>
            </w:r>
            <w:r w:rsidR="001B22DA">
              <w:rPr>
                <w:rFonts w:ascii="Arial Narrow" w:hAnsi="Arial Narrow"/>
                <w:sz w:val="18"/>
                <w:szCs w:val="18"/>
              </w:rPr>
            </w:r>
            <w:r w:rsidR="001B22DA">
              <w:rPr>
                <w:rFonts w:ascii="Arial Narrow" w:hAnsi="Arial Narrow"/>
                <w:sz w:val="18"/>
                <w:szCs w:val="18"/>
              </w:rPr>
              <w:fldChar w:fldCharType="separate"/>
            </w:r>
            <w:r w:rsidRPr="00E209B2">
              <w:rPr>
                <w:rFonts w:ascii="Arial Narrow" w:hAnsi="Arial Narrow"/>
                <w:sz w:val="18"/>
                <w:szCs w:val="18"/>
              </w:rPr>
              <w:fldChar w:fldCharType="end"/>
            </w:r>
            <w:r w:rsidRPr="00E209B2">
              <w:rPr>
                <w:rFonts w:ascii="Arial Narrow" w:hAnsi="Arial Narrow"/>
                <w:sz w:val="18"/>
                <w:szCs w:val="18"/>
              </w:rPr>
              <w:t>Authority Required – immediate/real time assessment by Services Australia (Telephone/electronic)</w:t>
            </w:r>
          </w:p>
        </w:tc>
      </w:tr>
      <w:tr w:rsidR="0006747A" w:rsidRPr="00E209B2" w:rsidTr="00886D2E">
        <w:trPr>
          <w:cantSplit/>
          <w:trHeight w:val="108"/>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Patient must have received non-PBS-subsidised treatment with this drug for this indication prior to [date of PBS listing],</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Patient must have received first-line platinum-based chemotherapy prior to initiation of non-PBS-subsidised treatment with this drug for this condition,</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Patient must not have progressive disease following first-line platinum-based chemotherapy</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Patient must have had a WHO performance status of 0 or 1 prior to initiation of non-PBS-subsidised treatment with this drug for this condition,</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Patient must not have developed disease progression while being treated with this drug for this condition,</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AND</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Clinical criteria:</w:t>
            </w:r>
          </w:p>
        </w:tc>
      </w:tr>
      <w:tr w:rsidR="0006747A" w:rsidRPr="00E209B2" w:rsidTr="00886D2E">
        <w:trPr>
          <w:cantSplit/>
          <w:trHeight w:val="63"/>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sz w:val="18"/>
                <w:szCs w:val="18"/>
              </w:rPr>
            </w:pPr>
            <w:r w:rsidRPr="00E209B2">
              <w:rPr>
                <w:rFonts w:ascii="Arial Narrow" w:hAnsi="Arial Narrow" w:cstheme="minorHAnsi"/>
                <w:sz w:val="18"/>
                <w:szCs w:val="18"/>
              </w:rPr>
              <w:t>The treatment must be the sole PBS-subsidised therapy for this condition</w:t>
            </w:r>
            <w:r w:rsidR="00C44E68" w:rsidRPr="00E209B2">
              <w:rPr>
                <w:rFonts w:ascii="Arial Narrow" w:hAnsi="Arial Narrow" w:cstheme="minorHAnsi"/>
                <w:sz w:val="18"/>
                <w:szCs w:val="18"/>
              </w:rPr>
              <w:t>,</w:t>
            </w:r>
          </w:p>
        </w:tc>
      </w:tr>
      <w:tr w:rsidR="0006747A" w:rsidRPr="00E209B2" w:rsidTr="00886D2E">
        <w:trPr>
          <w:cantSplit/>
          <w:trHeight w:val="525"/>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No increase in the maximum quantity or number of units may be authorised.</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No increase in the maximum number of repeats may be authorised.</w:t>
            </w:r>
          </w:p>
        </w:tc>
      </w:tr>
      <w:tr w:rsidR="0006747A" w:rsidRPr="00E209B2" w:rsidTr="00886D2E">
        <w:trPr>
          <w:cantSplit/>
          <w:trHeight w:val="360"/>
        </w:trPr>
        <w:tc>
          <w:tcPr>
            <w:tcW w:w="784" w:type="pct"/>
            <w:tcBorders>
              <w:top w:val="single" w:sz="4" w:space="0" w:color="auto"/>
              <w:left w:val="single" w:sz="4" w:space="0" w:color="auto"/>
              <w:bottom w:val="single" w:sz="4" w:space="0" w:color="auto"/>
              <w:right w:val="single" w:sz="4" w:space="0" w:color="auto"/>
            </w:tcBorders>
            <w:vAlign w:val="center"/>
          </w:tcPr>
          <w:p w:rsidR="0006747A" w:rsidRPr="00E209B2" w:rsidRDefault="0006747A" w:rsidP="00CC08FA">
            <w:pPr>
              <w:widowControl w:val="0"/>
              <w:jc w:val="center"/>
              <w:rPr>
                <w:rFonts w:ascii="Arial Narrow" w:hAnsi="Arial Narrow" w:cstheme="minorHAnsi"/>
                <w:b/>
                <w:sz w:val="18"/>
                <w:szCs w:val="18"/>
              </w:rPr>
            </w:pPr>
          </w:p>
        </w:tc>
        <w:tc>
          <w:tcPr>
            <w:tcW w:w="4216" w:type="pct"/>
            <w:gridSpan w:val="2"/>
            <w:tcBorders>
              <w:top w:val="single" w:sz="4" w:space="0" w:color="auto"/>
              <w:left w:val="single" w:sz="4" w:space="0" w:color="auto"/>
              <w:bottom w:val="single" w:sz="4" w:space="0" w:color="auto"/>
              <w:right w:val="single" w:sz="4" w:space="0" w:color="auto"/>
            </w:tcBorders>
          </w:tcPr>
          <w:p w:rsidR="0006747A" w:rsidRPr="00E209B2" w:rsidRDefault="0006747A" w:rsidP="00CC08FA">
            <w:pPr>
              <w:widowControl w:val="0"/>
              <w:rPr>
                <w:rFonts w:ascii="Arial Narrow" w:hAnsi="Arial Narrow" w:cstheme="minorHAnsi"/>
                <w:b/>
                <w:sz w:val="18"/>
                <w:szCs w:val="18"/>
              </w:rPr>
            </w:pPr>
            <w:r w:rsidRPr="00E209B2">
              <w:rPr>
                <w:rFonts w:ascii="Arial Narrow" w:hAnsi="Arial Narrow" w:cstheme="minorHAnsi"/>
                <w:b/>
                <w:sz w:val="18"/>
                <w:szCs w:val="18"/>
              </w:rPr>
              <w:t>Administrative advice:</w:t>
            </w:r>
          </w:p>
          <w:p w:rsidR="0006747A" w:rsidRPr="00E209B2" w:rsidRDefault="0006747A" w:rsidP="00CC08FA">
            <w:pPr>
              <w:widowControl w:val="0"/>
              <w:rPr>
                <w:rFonts w:ascii="Arial Narrow" w:hAnsi="Arial Narrow"/>
                <w:sz w:val="18"/>
                <w:szCs w:val="18"/>
              </w:rPr>
            </w:pPr>
            <w:r w:rsidRPr="00E209B2">
              <w:rPr>
                <w:rFonts w:ascii="Arial Narrow" w:hAnsi="Arial Narrow"/>
                <w:sz w:val="18"/>
                <w:szCs w:val="18"/>
              </w:rPr>
              <w:t>Special Pricing Arrangements apply</w:t>
            </w:r>
          </w:p>
        </w:tc>
      </w:tr>
    </w:tbl>
    <w:p w:rsidR="0006747A" w:rsidRPr="00E209B2" w:rsidRDefault="0006747A" w:rsidP="00F320D2">
      <w:pPr>
        <w:widowControl w:val="0"/>
        <w:rPr>
          <w:rFonts w:asciiTheme="minorHAnsi" w:hAnsiTheme="minorHAnsi"/>
          <w:bCs/>
          <w:snapToGrid w:val="0"/>
        </w:rPr>
      </w:pPr>
    </w:p>
    <w:p w:rsidR="00886D2E" w:rsidRPr="00E209B2" w:rsidRDefault="00886D2E" w:rsidP="00886D2E">
      <w:pPr>
        <w:pStyle w:val="ExecSumBodyText"/>
        <w:rPr>
          <w:sz w:val="23"/>
          <w:szCs w:val="23"/>
        </w:rPr>
      </w:pPr>
      <w:r w:rsidRPr="00E209B2">
        <w:rPr>
          <w:sz w:val="23"/>
          <w:szCs w:val="23"/>
        </w:rPr>
        <w:t xml:space="preserve">Flow-on changes to existing listing for pembrolizumab in indication are as follows: </w:t>
      </w:r>
    </w:p>
    <w:p w:rsidR="0091734E" w:rsidRPr="00E209B2" w:rsidRDefault="00886D2E" w:rsidP="0091734E">
      <w:pPr>
        <w:spacing w:after="120"/>
        <w:rPr>
          <w:rFonts w:asciiTheme="minorHAnsi" w:hAnsiTheme="minorHAnsi"/>
          <w:snapToGrid w:val="0"/>
          <w:sz w:val="23"/>
          <w:szCs w:val="23"/>
        </w:rPr>
      </w:pPr>
      <w:r w:rsidRPr="00E209B2">
        <w:rPr>
          <w:rFonts w:asciiTheme="minorHAnsi" w:hAnsiTheme="minorHAnsi"/>
          <w:snapToGrid w:val="0"/>
          <w:sz w:val="23"/>
          <w:szCs w:val="23"/>
        </w:rPr>
        <w:t>Add</w:t>
      </w:r>
      <w:r w:rsidR="0091734E" w:rsidRPr="00E209B2">
        <w:rPr>
          <w:rFonts w:asciiTheme="minorHAnsi" w:hAnsiTheme="minorHAnsi"/>
          <w:snapToGrid w:val="0"/>
          <w:sz w:val="23"/>
          <w:szCs w:val="23"/>
        </w:rPr>
        <w:t xml:space="preserve"> the following to Initial treatment restriction:</w:t>
      </w:r>
      <w:r w:rsidRPr="00E209B2">
        <w:rPr>
          <w:rFonts w:asciiTheme="minorHAnsi" w:hAnsiTheme="minorHAnsi"/>
          <w:snapToGrid w:val="0"/>
          <w:sz w:val="23"/>
          <w:szCs w:val="23"/>
        </w:rPr>
        <w:t xml:space="preserve"> </w:t>
      </w:r>
    </w:p>
    <w:p w:rsidR="00F320D2" w:rsidRPr="00E209B2" w:rsidRDefault="00886D2E" w:rsidP="00F320D2">
      <w:pPr>
        <w:rPr>
          <w:rFonts w:ascii="Arial Narrow" w:hAnsi="Arial Narrow"/>
          <w:b/>
          <w:snapToGrid w:val="0"/>
          <w:sz w:val="18"/>
          <w:szCs w:val="18"/>
        </w:rPr>
      </w:pPr>
      <w:r w:rsidRPr="00E209B2">
        <w:rPr>
          <w:rFonts w:ascii="Arial Narrow" w:hAnsi="Arial Narrow"/>
          <w:b/>
          <w:snapToGrid w:val="0"/>
          <w:sz w:val="18"/>
          <w:szCs w:val="18"/>
        </w:rPr>
        <w:t>Restriction Summary 9896 / ToC: 9921: Authority Required: Streamlined</w:t>
      </w:r>
    </w:p>
    <w:tbl>
      <w:tblPr>
        <w:tblW w:w="5000" w:type="pct"/>
        <w:tblLook w:val="0000" w:firstRow="0" w:lastRow="0" w:firstColumn="0" w:lastColumn="0" w:noHBand="0" w:noVBand="0"/>
      </w:tblPr>
      <w:tblGrid>
        <w:gridCol w:w="703"/>
        <w:gridCol w:w="8314"/>
      </w:tblGrid>
      <w:tr w:rsidR="0091734E" w:rsidRPr="00E209B2" w:rsidTr="0091734E">
        <w:trPr>
          <w:trHeight w:val="63"/>
        </w:trPr>
        <w:tc>
          <w:tcPr>
            <w:tcW w:w="390" w:type="pct"/>
            <w:tcBorders>
              <w:top w:val="single" w:sz="4" w:space="0" w:color="auto"/>
              <w:left w:val="single" w:sz="4" w:space="0" w:color="auto"/>
              <w:bottom w:val="single" w:sz="4" w:space="0" w:color="auto"/>
              <w:right w:val="single" w:sz="4" w:space="0" w:color="auto"/>
            </w:tcBorders>
            <w:vAlign w:val="center"/>
          </w:tcPr>
          <w:p w:rsidR="0091734E" w:rsidRPr="00E209B2" w:rsidRDefault="0091734E" w:rsidP="00557E0C">
            <w:pPr>
              <w:keepNext/>
              <w:jc w:val="center"/>
              <w:rPr>
                <w:rFonts w:ascii="Arial Narrow" w:hAnsi="Arial Narrow" w:cstheme="minorHAnsi"/>
                <w:i/>
                <w:sz w:val="18"/>
                <w:szCs w:val="18"/>
              </w:rPr>
            </w:pPr>
          </w:p>
        </w:tc>
        <w:tc>
          <w:tcPr>
            <w:tcW w:w="4610" w:type="pct"/>
            <w:tcBorders>
              <w:top w:val="single" w:sz="4" w:space="0" w:color="auto"/>
              <w:left w:val="single" w:sz="4" w:space="0" w:color="auto"/>
              <w:bottom w:val="single" w:sz="4" w:space="0" w:color="auto"/>
              <w:right w:val="single" w:sz="4" w:space="0" w:color="auto"/>
            </w:tcBorders>
          </w:tcPr>
          <w:p w:rsidR="0091734E" w:rsidRPr="00E209B2" w:rsidRDefault="0091734E" w:rsidP="00557E0C">
            <w:pPr>
              <w:keepNext/>
              <w:rPr>
                <w:rFonts w:ascii="Arial Narrow" w:hAnsi="Arial Narrow" w:cstheme="minorHAnsi"/>
                <w:i/>
                <w:sz w:val="18"/>
                <w:szCs w:val="18"/>
              </w:rPr>
            </w:pPr>
            <w:r w:rsidRPr="00E209B2">
              <w:rPr>
                <w:rFonts w:ascii="Arial Narrow" w:hAnsi="Arial Narrow"/>
                <w:b/>
                <w:bCs/>
                <w:i/>
                <w:sz w:val="18"/>
                <w:szCs w:val="18"/>
              </w:rPr>
              <w:t>Clinical criteria:</w:t>
            </w:r>
          </w:p>
        </w:tc>
      </w:tr>
      <w:tr w:rsidR="0091734E" w:rsidRPr="00E209B2" w:rsidTr="0091734E">
        <w:trPr>
          <w:trHeight w:val="63"/>
        </w:trPr>
        <w:tc>
          <w:tcPr>
            <w:tcW w:w="390" w:type="pct"/>
            <w:tcBorders>
              <w:top w:val="single" w:sz="4" w:space="0" w:color="auto"/>
              <w:left w:val="single" w:sz="4" w:space="0" w:color="auto"/>
              <w:bottom w:val="single" w:sz="4" w:space="0" w:color="auto"/>
              <w:right w:val="single" w:sz="4" w:space="0" w:color="auto"/>
            </w:tcBorders>
            <w:vAlign w:val="center"/>
          </w:tcPr>
          <w:p w:rsidR="0091734E" w:rsidRPr="00E209B2" w:rsidRDefault="0091734E" w:rsidP="00557E0C">
            <w:pPr>
              <w:keepNext/>
              <w:jc w:val="center"/>
              <w:rPr>
                <w:rFonts w:ascii="Arial Narrow" w:hAnsi="Arial Narrow" w:cstheme="minorHAnsi"/>
                <w:i/>
                <w:sz w:val="18"/>
                <w:szCs w:val="18"/>
              </w:rPr>
            </w:pPr>
          </w:p>
        </w:tc>
        <w:tc>
          <w:tcPr>
            <w:tcW w:w="4610" w:type="pct"/>
            <w:tcBorders>
              <w:top w:val="single" w:sz="4" w:space="0" w:color="auto"/>
              <w:left w:val="single" w:sz="4" w:space="0" w:color="auto"/>
              <w:bottom w:val="single" w:sz="4" w:space="0" w:color="auto"/>
              <w:right w:val="single" w:sz="4" w:space="0" w:color="auto"/>
            </w:tcBorders>
          </w:tcPr>
          <w:p w:rsidR="0091734E" w:rsidRPr="00E209B2" w:rsidRDefault="0091734E" w:rsidP="00557E0C">
            <w:pPr>
              <w:keepNext/>
              <w:rPr>
                <w:rFonts w:ascii="Arial Narrow" w:hAnsi="Arial Narrow" w:cstheme="minorHAnsi"/>
                <w:i/>
                <w:sz w:val="18"/>
                <w:szCs w:val="18"/>
              </w:rPr>
            </w:pPr>
            <w:r w:rsidRPr="00E209B2">
              <w:rPr>
                <w:rFonts w:ascii="Arial Narrow" w:hAnsi="Arial Narrow" w:cstheme="minorHAnsi"/>
                <w:i/>
                <w:sz w:val="18"/>
                <w:szCs w:val="18"/>
              </w:rPr>
              <w:t>Patient must not have received prior treatment with a programmed cell death-1 (PD-1) inhibitor or a programmed cell death ligand-1 (PD-L1) inhibitor for this condition</w:t>
            </w:r>
          </w:p>
        </w:tc>
      </w:tr>
    </w:tbl>
    <w:p w:rsidR="00886D2E" w:rsidRPr="00E209B2" w:rsidRDefault="00886D2E" w:rsidP="00F320D2">
      <w:pPr>
        <w:rPr>
          <w:rFonts w:ascii="Arial" w:hAnsi="Arial" w:cs="Times New Roman"/>
          <w:sz w:val="22"/>
          <w:szCs w:val="22"/>
        </w:rPr>
      </w:pPr>
    </w:p>
    <w:p w:rsidR="00886D2E" w:rsidRPr="00E209B2" w:rsidRDefault="0091734E" w:rsidP="0091734E">
      <w:pPr>
        <w:spacing w:after="120"/>
        <w:rPr>
          <w:rFonts w:asciiTheme="minorHAnsi" w:hAnsiTheme="minorHAnsi"/>
          <w:snapToGrid w:val="0"/>
          <w:sz w:val="23"/>
          <w:szCs w:val="23"/>
        </w:rPr>
      </w:pPr>
      <w:r w:rsidRPr="00E209B2">
        <w:rPr>
          <w:rFonts w:asciiTheme="minorHAnsi" w:hAnsiTheme="minorHAnsi"/>
          <w:snapToGrid w:val="0"/>
          <w:sz w:val="23"/>
          <w:szCs w:val="23"/>
        </w:rPr>
        <w:t xml:space="preserve">Make the following changes to the Continuing treatment: </w:t>
      </w:r>
    </w:p>
    <w:p w:rsidR="0091734E" w:rsidRPr="00E209B2" w:rsidRDefault="0091734E" w:rsidP="00F320D2">
      <w:pPr>
        <w:rPr>
          <w:rFonts w:ascii="Arial Narrow" w:hAnsi="Arial Narrow" w:cs="Times New Roman"/>
          <w:b/>
          <w:sz w:val="22"/>
          <w:szCs w:val="22"/>
        </w:rPr>
      </w:pPr>
      <w:r w:rsidRPr="00E209B2">
        <w:rPr>
          <w:rFonts w:ascii="Arial Narrow" w:hAnsi="Arial Narrow" w:cs="Times New Roman"/>
          <w:b/>
          <w:sz w:val="18"/>
          <w:szCs w:val="22"/>
        </w:rPr>
        <w:t>Restriction Summary 9967 / ToC: 9894: Authority Required: Streamlined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
        <w:gridCol w:w="8267"/>
      </w:tblGrid>
      <w:tr w:rsidR="0091734E" w:rsidRPr="00E209B2" w:rsidTr="00D22C4A">
        <w:tc>
          <w:tcPr>
            <w:tcW w:w="416" w:type="pct"/>
            <w:vAlign w:val="center"/>
          </w:tcPr>
          <w:p w:rsidR="0091734E" w:rsidRPr="00E209B2" w:rsidRDefault="0091734E" w:rsidP="0091734E">
            <w:pPr>
              <w:spacing w:before="100" w:beforeAutospacing="1" w:after="100" w:afterAutospacing="1"/>
              <w:jc w:val="left"/>
              <w:rPr>
                <w:rFonts w:ascii="Arial Narrow" w:hAnsi="Arial Narrow" w:cs="Times New Roman"/>
                <w:strike/>
                <w:color w:val="333333"/>
                <w:sz w:val="18"/>
                <w:szCs w:val="18"/>
              </w:rPr>
            </w:pPr>
          </w:p>
        </w:tc>
        <w:tc>
          <w:tcPr>
            <w:tcW w:w="4584" w:type="pct"/>
            <w:vAlign w:val="center"/>
            <w:hideMark/>
          </w:tcPr>
          <w:p w:rsidR="0091734E" w:rsidRPr="00E209B2" w:rsidRDefault="0091734E" w:rsidP="0091734E">
            <w:pPr>
              <w:spacing w:before="100" w:beforeAutospacing="1" w:after="100" w:afterAutospacing="1"/>
              <w:jc w:val="left"/>
              <w:rPr>
                <w:rFonts w:ascii="Arial Narrow" w:hAnsi="Arial Narrow" w:cs="Times New Roman"/>
                <w:strike/>
                <w:color w:val="333333"/>
                <w:sz w:val="18"/>
                <w:szCs w:val="18"/>
              </w:rPr>
            </w:pPr>
            <w:r w:rsidRPr="00E209B2">
              <w:rPr>
                <w:rFonts w:ascii="Arial Narrow" w:hAnsi="Arial Narrow" w:cs="Times New Roman"/>
                <w:b/>
                <w:bCs/>
                <w:strike/>
                <w:color w:val="333333"/>
                <w:sz w:val="18"/>
                <w:szCs w:val="18"/>
              </w:rPr>
              <w:t>Clinical criteria:</w:t>
            </w:r>
          </w:p>
        </w:tc>
      </w:tr>
      <w:tr w:rsidR="0091734E" w:rsidRPr="00E209B2" w:rsidTr="00D22C4A">
        <w:tc>
          <w:tcPr>
            <w:tcW w:w="416" w:type="pct"/>
            <w:vAlign w:val="center"/>
          </w:tcPr>
          <w:p w:rsidR="0091734E" w:rsidRPr="00E209B2" w:rsidRDefault="0091734E" w:rsidP="0091734E">
            <w:pPr>
              <w:spacing w:before="100" w:beforeAutospacing="1" w:after="100" w:afterAutospacing="1"/>
              <w:jc w:val="left"/>
              <w:rPr>
                <w:rFonts w:ascii="Arial Narrow" w:hAnsi="Arial Narrow" w:cs="Times New Roman"/>
                <w:strike/>
                <w:color w:val="333333"/>
                <w:sz w:val="18"/>
                <w:szCs w:val="18"/>
              </w:rPr>
            </w:pPr>
          </w:p>
        </w:tc>
        <w:tc>
          <w:tcPr>
            <w:tcW w:w="4584" w:type="pct"/>
            <w:vAlign w:val="center"/>
            <w:hideMark/>
          </w:tcPr>
          <w:p w:rsidR="0091734E" w:rsidRPr="00E209B2" w:rsidRDefault="0091734E" w:rsidP="0091734E">
            <w:pPr>
              <w:jc w:val="left"/>
              <w:rPr>
                <w:rFonts w:ascii="Arial Narrow" w:hAnsi="Arial Narrow" w:cs="Times New Roman"/>
                <w:strike/>
                <w:color w:val="333333"/>
                <w:sz w:val="18"/>
                <w:szCs w:val="18"/>
              </w:rPr>
            </w:pPr>
            <w:r w:rsidRPr="00E209B2">
              <w:rPr>
                <w:rFonts w:ascii="Arial Narrow" w:hAnsi="Arial Narrow" w:cs="Times New Roman"/>
                <w:strike/>
                <w:color w:val="333333"/>
                <w:sz w:val="18"/>
                <w:szCs w:val="18"/>
              </w:rPr>
              <w:t>Patient must have stable or responding disease</w:t>
            </w:r>
          </w:p>
        </w:tc>
      </w:tr>
      <w:tr w:rsidR="0091734E" w:rsidRPr="00E209B2" w:rsidTr="0091734E">
        <w:tc>
          <w:tcPr>
            <w:tcW w:w="416" w:type="pct"/>
            <w:vAlign w:val="center"/>
          </w:tcPr>
          <w:p w:rsidR="0091734E" w:rsidRPr="00E209B2" w:rsidRDefault="0091734E" w:rsidP="0091734E">
            <w:pPr>
              <w:spacing w:before="100" w:beforeAutospacing="1" w:after="100" w:afterAutospacing="1"/>
              <w:jc w:val="left"/>
              <w:rPr>
                <w:rFonts w:ascii="Arial Narrow" w:hAnsi="Arial Narrow" w:cs="Times New Roman"/>
                <w:i/>
                <w:color w:val="333333"/>
                <w:sz w:val="18"/>
                <w:szCs w:val="18"/>
              </w:rPr>
            </w:pPr>
          </w:p>
        </w:tc>
        <w:tc>
          <w:tcPr>
            <w:tcW w:w="4584" w:type="pct"/>
          </w:tcPr>
          <w:p w:rsidR="0091734E" w:rsidRPr="00E209B2" w:rsidRDefault="0091734E" w:rsidP="0091734E">
            <w:pPr>
              <w:jc w:val="left"/>
              <w:rPr>
                <w:rFonts w:ascii="Arial Narrow" w:hAnsi="Arial Narrow" w:cs="Times New Roman"/>
                <w:i/>
                <w:color w:val="333333"/>
                <w:sz w:val="18"/>
                <w:szCs w:val="18"/>
              </w:rPr>
            </w:pPr>
            <w:r w:rsidRPr="00E209B2">
              <w:rPr>
                <w:rFonts w:ascii="Arial Narrow" w:hAnsi="Arial Narrow" w:cstheme="minorHAnsi"/>
                <w:b/>
                <w:i/>
                <w:sz w:val="18"/>
                <w:szCs w:val="18"/>
              </w:rPr>
              <w:t>Clinical criteria:</w:t>
            </w:r>
          </w:p>
        </w:tc>
      </w:tr>
      <w:tr w:rsidR="0091734E" w:rsidRPr="00E209B2" w:rsidTr="0091734E">
        <w:tc>
          <w:tcPr>
            <w:tcW w:w="416" w:type="pct"/>
            <w:vAlign w:val="center"/>
          </w:tcPr>
          <w:p w:rsidR="0091734E" w:rsidRPr="00E209B2" w:rsidRDefault="0091734E" w:rsidP="0091734E">
            <w:pPr>
              <w:spacing w:before="100" w:beforeAutospacing="1" w:after="100" w:afterAutospacing="1"/>
              <w:jc w:val="left"/>
              <w:rPr>
                <w:rFonts w:ascii="Arial Narrow" w:hAnsi="Arial Narrow" w:cs="Times New Roman"/>
                <w:i/>
                <w:color w:val="333333"/>
                <w:sz w:val="18"/>
                <w:szCs w:val="18"/>
              </w:rPr>
            </w:pPr>
          </w:p>
        </w:tc>
        <w:tc>
          <w:tcPr>
            <w:tcW w:w="4584" w:type="pct"/>
          </w:tcPr>
          <w:p w:rsidR="0091734E" w:rsidRPr="00E209B2" w:rsidRDefault="0091734E" w:rsidP="0091734E">
            <w:pPr>
              <w:jc w:val="left"/>
              <w:rPr>
                <w:rFonts w:ascii="Arial Narrow" w:hAnsi="Arial Narrow" w:cs="Times New Roman"/>
                <w:i/>
                <w:color w:val="333333"/>
                <w:sz w:val="18"/>
                <w:szCs w:val="18"/>
              </w:rPr>
            </w:pPr>
            <w:r w:rsidRPr="00E209B2">
              <w:rPr>
                <w:rFonts w:ascii="Arial Narrow" w:hAnsi="Arial Narrow" w:cstheme="minorHAnsi"/>
                <w:i/>
                <w:sz w:val="18"/>
                <w:szCs w:val="18"/>
              </w:rPr>
              <w:t>Patient must not have developed disease progression</w:t>
            </w:r>
            <w:r w:rsidRPr="00E209B2">
              <w:rPr>
                <w:i/>
                <w:sz w:val="18"/>
                <w:szCs w:val="18"/>
              </w:rPr>
              <w:t xml:space="preserve"> </w:t>
            </w:r>
            <w:r w:rsidRPr="00E209B2">
              <w:rPr>
                <w:rFonts w:ascii="Arial Narrow" w:hAnsi="Arial Narrow" w:cstheme="minorHAnsi"/>
                <w:i/>
                <w:sz w:val="18"/>
                <w:szCs w:val="18"/>
              </w:rPr>
              <w:t>while being treated with this drug for this condition</w:t>
            </w:r>
          </w:p>
        </w:tc>
      </w:tr>
    </w:tbl>
    <w:p w:rsidR="00F320D2" w:rsidRPr="00E209B2" w:rsidRDefault="00F320D2" w:rsidP="00F320D2">
      <w:pPr>
        <w:ind w:left="720" w:hanging="720"/>
        <w:jc w:val="left"/>
        <w:rPr>
          <w:i/>
          <w:snapToGrid w:val="0"/>
          <w:szCs w:val="22"/>
          <w:lang w:eastAsia="en-US"/>
        </w:rPr>
      </w:pPr>
    </w:p>
    <w:p w:rsidR="001556EA" w:rsidRPr="00E209B2" w:rsidRDefault="001556EA" w:rsidP="00A00FBE">
      <w:pPr>
        <w:ind w:left="11" w:hanging="11"/>
        <w:jc w:val="left"/>
        <w:rPr>
          <w:b/>
          <w:bCs/>
          <w:i/>
          <w:iCs/>
          <w:sz w:val="23"/>
          <w:szCs w:val="23"/>
        </w:rPr>
      </w:pPr>
      <w:r w:rsidRPr="00E209B2">
        <w:rPr>
          <w:b/>
          <w:bCs/>
          <w:i/>
          <w:iCs/>
          <w:sz w:val="23"/>
          <w:szCs w:val="23"/>
        </w:rPr>
        <w:t>This restriction may be subject to further review. Should t</w:t>
      </w:r>
      <w:r w:rsidR="00A00FBE" w:rsidRPr="00E209B2">
        <w:rPr>
          <w:b/>
          <w:bCs/>
          <w:i/>
          <w:iCs/>
          <w:sz w:val="23"/>
          <w:szCs w:val="23"/>
        </w:rPr>
        <w:t xml:space="preserve">here be any changes made to the </w:t>
      </w:r>
      <w:r w:rsidRPr="00E209B2">
        <w:rPr>
          <w:b/>
          <w:bCs/>
          <w:i/>
          <w:iCs/>
          <w:sz w:val="23"/>
          <w:szCs w:val="23"/>
        </w:rPr>
        <w:t>restriction the Sponsor will be informed.</w:t>
      </w:r>
    </w:p>
    <w:p w:rsidR="00A00FBE" w:rsidRPr="00E209B2" w:rsidRDefault="00A00FBE" w:rsidP="00A00FBE">
      <w:pPr>
        <w:ind w:left="11" w:hanging="11"/>
        <w:jc w:val="left"/>
        <w:rPr>
          <w:i/>
          <w:snapToGrid w:val="0"/>
          <w:szCs w:val="22"/>
          <w:lang w:eastAsia="en-US"/>
        </w:rPr>
      </w:pPr>
    </w:p>
    <w:p w:rsidR="00917CD3" w:rsidRPr="00917CD3" w:rsidRDefault="00917CD3" w:rsidP="00917CD3">
      <w:pPr>
        <w:keepNext/>
        <w:widowControl w:val="0"/>
        <w:numPr>
          <w:ilvl w:val="0"/>
          <w:numId w:val="1"/>
        </w:numPr>
        <w:spacing w:before="240" w:after="120"/>
        <w:jc w:val="left"/>
        <w:outlineLvl w:val="0"/>
        <w:rPr>
          <w:rFonts w:asciiTheme="minorHAnsi" w:hAnsiTheme="minorHAnsi"/>
          <w:b/>
          <w:snapToGrid w:val="0"/>
          <w:sz w:val="32"/>
          <w:szCs w:val="32"/>
        </w:rPr>
      </w:pPr>
      <w:r w:rsidRPr="00917CD3">
        <w:rPr>
          <w:rFonts w:asciiTheme="minorHAnsi" w:hAnsiTheme="minorHAnsi"/>
          <w:b/>
          <w:snapToGrid w:val="0"/>
          <w:sz w:val="32"/>
          <w:szCs w:val="32"/>
        </w:rPr>
        <w:t>Context for Decision</w:t>
      </w:r>
    </w:p>
    <w:p w:rsidR="00917CD3" w:rsidRPr="007129F2" w:rsidRDefault="00917CD3" w:rsidP="00917CD3">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17CD3" w:rsidRPr="00917CD3" w:rsidRDefault="00917CD3" w:rsidP="00917CD3">
      <w:pPr>
        <w:keepNext/>
        <w:widowControl w:val="0"/>
        <w:numPr>
          <w:ilvl w:val="0"/>
          <w:numId w:val="1"/>
        </w:numPr>
        <w:spacing w:before="240" w:after="120"/>
        <w:jc w:val="left"/>
        <w:outlineLvl w:val="0"/>
        <w:rPr>
          <w:rFonts w:asciiTheme="minorHAnsi" w:hAnsiTheme="minorHAnsi"/>
          <w:b/>
          <w:snapToGrid w:val="0"/>
          <w:sz w:val="32"/>
          <w:szCs w:val="32"/>
        </w:rPr>
      </w:pPr>
      <w:r w:rsidRPr="00917CD3">
        <w:rPr>
          <w:rFonts w:asciiTheme="minorHAnsi" w:hAnsiTheme="minorHAnsi"/>
          <w:b/>
          <w:snapToGrid w:val="0"/>
          <w:sz w:val="32"/>
          <w:szCs w:val="32"/>
        </w:rPr>
        <w:t>Sponsor’s Comment</w:t>
      </w:r>
    </w:p>
    <w:p w:rsidR="00E86CDA" w:rsidRPr="00E86CDA" w:rsidRDefault="00E86CDA" w:rsidP="00E86CDA">
      <w:pPr>
        <w:pStyle w:val="2-SectionHeading"/>
        <w:numPr>
          <w:ilvl w:val="0"/>
          <w:numId w:val="0"/>
        </w:numPr>
        <w:ind w:left="720"/>
        <w:rPr>
          <w:b w:val="0"/>
          <w:sz w:val="24"/>
          <w:szCs w:val="24"/>
        </w:rPr>
      </w:pPr>
      <w:r w:rsidRPr="00E86CDA">
        <w:rPr>
          <w:b w:val="0"/>
          <w:sz w:val="24"/>
          <w:szCs w:val="24"/>
        </w:rPr>
        <w:t>Merck Healthcare welcomes the PBAC’s decision to recommend avelumab for the treatment of patients with locally advanced or metastatic urothelial carcinoma, an aggressive cancer with high clinical need for additional treatment options.</w:t>
      </w:r>
    </w:p>
    <w:p w:rsidR="00F320D2" w:rsidRPr="00E209B2" w:rsidRDefault="00F320D2" w:rsidP="00E86CDA">
      <w:pPr>
        <w:spacing w:after="120"/>
        <w:ind w:left="426" w:firstLine="294"/>
        <w:rPr>
          <w:i/>
        </w:rPr>
      </w:pPr>
    </w:p>
    <w:sectPr w:rsidR="00F320D2" w:rsidRPr="00E209B2" w:rsidSect="000F6260">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E6C7" w16cex:dateUtc="2021-03-30T07:34:00Z"/>
  <w16cex:commentExtensible w16cex:durableId="240DF2A1" w16cex:dateUtc="2021-03-30T08:25:00Z"/>
  <w16cex:commentExtensible w16cex:durableId="240DE939" w16cex:dateUtc="2021-03-30T07:45:00Z"/>
  <w16cex:commentExtensible w16cex:durableId="240DEB6A" w16cex:dateUtc="2021-03-30T07:54:00Z"/>
  <w16cex:commentExtensible w16cex:durableId="240DEC47" w16cex:dateUtc="2021-03-30T07:58:00Z"/>
  <w16cex:commentExtensible w16cex:durableId="240DF108" w16cex:dateUtc="2021-03-3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6B413D" w16cid:durableId="240DE695"/>
  <w16cid:commentId w16cid:paraId="6C697916" w16cid:durableId="240DE6C7"/>
  <w16cid:commentId w16cid:paraId="47BDC15A" w16cid:durableId="240DE696"/>
  <w16cid:commentId w16cid:paraId="5099760B" w16cid:durableId="240DF2A1"/>
  <w16cid:commentId w16cid:paraId="590A1550" w16cid:durableId="240DE697"/>
  <w16cid:commentId w16cid:paraId="3FAB512D" w16cid:durableId="240DE939"/>
  <w16cid:commentId w16cid:paraId="505876AE" w16cid:durableId="240DE698"/>
  <w16cid:commentId w16cid:paraId="071FF6E4" w16cid:durableId="240DEB6A"/>
  <w16cid:commentId w16cid:paraId="0BBBD694" w16cid:durableId="240DE699"/>
  <w16cid:commentId w16cid:paraId="768017AC" w16cid:durableId="240DE69A"/>
  <w16cid:commentId w16cid:paraId="20C3AE4F" w16cid:durableId="240DEC47"/>
  <w16cid:commentId w16cid:paraId="36876D72" w16cid:durableId="240DE69B"/>
  <w16cid:commentId w16cid:paraId="0BFE8293" w16cid:durableId="240DE69C"/>
  <w16cid:commentId w16cid:paraId="33E3D2B5" w16cid:durableId="240DF1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2DA" w:rsidRDefault="001B22DA" w:rsidP="00124A51">
      <w:r>
        <w:separator/>
      </w:r>
    </w:p>
    <w:p w:rsidR="001B22DA" w:rsidRDefault="001B22DA"/>
  </w:endnote>
  <w:endnote w:type="continuationSeparator" w:id="0">
    <w:p w:rsidR="001B22DA" w:rsidRDefault="001B22DA" w:rsidP="00124A51">
      <w:r>
        <w:continuationSeparator/>
      </w:r>
    </w:p>
    <w:p w:rsidR="001B22DA" w:rsidRDefault="001B2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4E" w:rsidRDefault="009C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2DA" w:rsidRDefault="001B22DA">
    <w:pPr>
      <w:pStyle w:val="Footer"/>
      <w:jc w:val="center"/>
    </w:pPr>
  </w:p>
  <w:p w:rsidR="001B22DA" w:rsidRPr="001741AC" w:rsidRDefault="001B22DA" w:rsidP="001741AC">
    <w:pPr>
      <w:pStyle w:val="Footer"/>
      <w:jc w:val="center"/>
      <w:rPr>
        <w:b/>
      </w:rPr>
    </w:pPr>
    <w:sdt>
      <w:sdtPr>
        <w:id w:val="1927231231"/>
        <w:docPartObj>
          <w:docPartGallery w:val="Page Numbers (Bottom of Page)"/>
          <w:docPartUnique/>
        </w:docPartObj>
      </w:sdtPr>
      <w:sdtEndPr>
        <w:rPr>
          <w:b/>
          <w:noProof/>
        </w:rPr>
      </w:sdtEndPr>
      <w:sdtContent>
        <w:r w:rsidRPr="001741AC">
          <w:rPr>
            <w:b/>
          </w:rPr>
          <w:fldChar w:fldCharType="begin"/>
        </w:r>
        <w:r w:rsidRPr="001741AC">
          <w:rPr>
            <w:b/>
          </w:rPr>
          <w:instrText xml:space="preserve"> PAGE   \* MERGEFORMAT </w:instrText>
        </w:r>
        <w:r w:rsidRPr="001741AC">
          <w:rPr>
            <w:b/>
          </w:rPr>
          <w:fldChar w:fldCharType="separate"/>
        </w:r>
        <w:r w:rsidR="009262C3">
          <w:rPr>
            <w:b/>
            <w:noProof/>
          </w:rPr>
          <w:t>32</w:t>
        </w:r>
        <w:r w:rsidRPr="001741A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4E" w:rsidRDefault="009C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2DA" w:rsidRDefault="001B22DA" w:rsidP="00124A51">
      <w:r>
        <w:separator/>
      </w:r>
    </w:p>
    <w:p w:rsidR="001B22DA" w:rsidRDefault="001B22DA"/>
  </w:footnote>
  <w:footnote w:type="continuationSeparator" w:id="0">
    <w:p w:rsidR="001B22DA" w:rsidRDefault="001B22DA" w:rsidP="00124A51">
      <w:r>
        <w:continuationSeparator/>
      </w:r>
    </w:p>
    <w:p w:rsidR="001B22DA" w:rsidRDefault="001B22DA"/>
  </w:footnote>
  <w:footnote w:id="1">
    <w:p w:rsidR="001B22DA" w:rsidRDefault="001B22DA">
      <w:pPr>
        <w:pStyle w:val="FootnoteText"/>
      </w:pPr>
      <w:r>
        <w:rPr>
          <w:rStyle w:val="FootnoteReference"/>
        </w:rPr>
        <w:footnoteRef/>
      </w:r>
      <w:r>
        <w:t xml:space="preserve"> </w:t>
      </w:r>
      <w:r w:rsidRPr="007E53DB">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4E" w:rsidRDefault="009C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2DA" w:rsidRPr="003D5557" w:rsidRDefault="001B22DA" w:rsidP="001741AC">
    <w:pPr>
      <w:tabs>
        <w:tab w:val="center" w:pos="4153"/>
        <w:tab w:val="right" w:pos="8306"/>
      </w:tabs>
      <w:autoSpaceDE w:val="0"/>
      <w:autoSpaceDN w:val="0"/>
      <w:adjustRightInd w:val="0"/>
      <w:jc w:val="center"/>
      <w:rPr>
        <w:rFonts w:asciiTheme="minorHAnsi" w:hAnsiTheme="minorHAnsi" w:cstheme="minorHAnsi"/>
        <w:i/>
        <w:iCs/>
      </w:rPr>
    </w:pPr>
    <w:r>
      <w:rPr>
        <w:rFonts w:asciiTheme="minorHAnsi" w:hAnsiTheme="minorHAnsi" w:cstheme="minorHAnsi"/>
        <w:i/>
        <w:iCs/>
      </w:rPr>
      <w:t>Public Summary Document</w:t>
    </w:r>
    <w:r w:rsidRPr="003D5557">
      <w:rPr>
        <w:rFonts w:asciiTheme="minorHAnsi" w:hAnsiTheme="minorHAnsi" w:cstheme="minorHAnsi"/>
        <w:i/>
        <w:iCs/>
      </w:rPr>
      <w:t>– March 2021 PBAC Meeting</w:t>
    </w:r>
  </w:p>
  <w:p w:rsidR="001B22DA" w:rsidRPr="008C7ECB" w:rsidRDefault="001B22DA" w:rsidP="001741A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4E" w:rsidRDefault="009C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34FFB"/>
    <w:multiLevelType w:val="hybridMultilevel"/>
    <w:tmpl w:val="289438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3C0BB6"/>
    <w:multiLevelType w:val="hybridMultilevel"/>
    <w:tmpl w:val="0B368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C15DA"/>
    <w:multiLevelType w:val="hybridMultilevel"/>
    <w:tmpl w:val="FAEA8062"/>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A7A78"/>
    <w:multiLevelType w:val="hybridMultilevel"/>
    <w:tmpl w:val="352C48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8F3340"/>
    <w:multiLevelType w:val="hybridMultilevel"/>
    <w:tmpl w:val="DCB6BCBC"/>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7847DF"/>
    <w:multiLevelType w:val="hybridMultilevel"/>
    <w:tmpl w:val="0FDE0B44"/>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D1210"/>
    <w:multiLevelType w:val="multilevel"/>
    <w:tmpl w:val="3356D3D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65805"/>
    <w:multiLevelType w:val="hybridMultilevel"/>
    <w:tmpl w:val="686A43D4"/>
    <w:lvl w:ilvl="0" w:tplc="BA307C2E">
      <w:start w:val="10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C43414"/>
    <w:multiLevelType w:val="multilevel"/>
    <w:tmpl w:val="3356D3D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CD63A1"/>
    <w:multiLevelType w:val="hybridMultilevel"/>
    <w:tmpl w:val="A79A5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4A4A785A"/>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8" w15:restartNumberingAfterBreak="0">
    <w:nsid w:val="52D167E9"/>
    <w:multiLevelType w:val="hybridMultilevel"/>
    <w:tmpl w:val="5D8E65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C7C59"/>
    <w:multiLevelType w:val="hybridMultilevel"/>
    <w:tmpl w:val="6180CA7C"/>
    <w:lvl w:ilvl="0" w:tplc="E1B6BF4A">
      <w:start w:val="1"/>
      <w:numFmt w:val="decimal"/>
      <w:lvlText w:val="%1."/>
      <w:lvlJc w:val="left"/>
      <w:pPr>
        <w:ind w:left="1778"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DB6A26"/>
    <w:multiLevelType w:val="hybridMultilevel"/>
    <w:tmpl w:val="0F9AEF62"/>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8B0DC5"/>
    <w:multiLevelType w:val="hybridMultilevel"/>
    <w:tmpl w:val="FEC20704"/>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832E5"/>
    <w:multiLevelType w:val="hybridMultilevel"/>
    <w:tmpl w:val="24C2A584"/>
    <w:lvl w:ilvl="0" w:tplc="BC1E4674">
      <w:start w:val="1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2B5C8B"/>
    <w:multiLevelType w:val="hybridMultilevel"/>
    <w:tmpl w:val="1A3CD3B4"/>
    <w:lvl w:ilvl="0" w:tplc="BC1E4674">
      <w:start w:val="10"/>
      <w:numFmt w:val="bullet"/>
      <w:lvlText w:val="-"/>
      <w:lvlJc w:val="left"/>
      <w:pPr>
        <w:ind w:left="1077" w:hanging="360"/>
      </w:pPr>
      <w:rPr>
        <w:rFonts w:ascii="Calibri" w:eastAsia="Times New Roman" w:hAnsi="Calibri" w:cs="Calibr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784D033C"/>
    <w:multiLevelType w:val="multilevel"/>
    <w:tmpl w:val="6D2EEBFA"/>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346AE0"/>
    <w:multiLevelType w:val="hybridMultilevel"/>
    <w:tmpl w:val="C4A8E5C4"/>
    <w:lvl w:ilvl="0" w:tplc="BC1E4674">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874808"/>
    <w:multiLevelType w:val="hybridMultilevel"/>
    <w:tmpl w:val="78CEE3CC"/>
    <w:lvl w:ilvl="0" w:tplc="BC1E4674">
      <w:start w:val="10"/>
      <w:numFmt w:val="bullet"/>
      <w:lvlText w:val="-"/>
      <w:lvlJc w:val="left"/>
      <w:pPr>
        <w:ind w:left="720" w:hanging="360"/>
      </w:pPr>
      <w:rPr>
        <w:rFonts w:ascii="Calibri" w:eastAsia="Times New Roman" w:hAnsi="Calibri" w:cs="Calibri"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0"/>
  </w:num>
  <w:num w:numId="4">
    <w:abstractNumId w:val="25"/>
  </w:num>
  <w:num w:numId="5">
    <w:abstractNumId w:val="23"/>
  </w:num>
  <w:num w:numId="6">
    <w:abstractNumId w:val="17"/>
  </w:num>
  <w:num w:numId="7">
    <w:abstractNumId w:val="27"/>
  </w:num>
  <w:num w:numId="8">
    <w:abstractNumId w:val="24"/>
  </w:num>
  <w:num w:numId="9">
    <w:abstractNumId w:val="21"/>
  </w:num>
  <w:num w:numId="10">
    <w:abstractNumId w:val="22"/>
  </w:num>
  <w:num w:numId="11">
    <w:abstractNumId w:val="4"/>
  </w:num>
  <w:num w:numId="12">
    <w:abstractNumId w:val="9"/>
  </w:num>
  <w:num w:numId="13">
    <w:abstractNumId w:val="10"/>
  </w:num>
  <w:num w:numId="14">
    <w:abstractNumId w:val="26"/>
  </w:num>
  <w:num w:numId="15">
    <w:abstractNumId w:val="5"/>
  </w:num>
  <w:num w:numId="16">
    <w:abstractNumId w:val="12"/>
  </w:num>
  <w:num w:numId="17">
    <w:abstractNumId w:val="18"/>
  </w:num>
  <w:num w:numId="18">
    <w:abstractNumId w:val="20"/>
  </w:num>
  <w:num w:numId="19">
    <w:abstractNumId w:val="6"/>
  </w:num>
  <w:num w:numId="20">
    <w:abstractNumId w:val="19"/>
  </w:num>
  <w:num w:numId="21">
    <w:abstractNumId w:val="8"/>
  </w:num>
  <w:num w:numId="22">
    <w:abstractNumId w:val="7"/>
  </w:num>
  <w:num w:numId="23">
    <w:abstractNumId w:val="11"/>
  </w:num>
  <w:num w:numId="24">
    <w:abstractNumId w:val="25"/>
  </w:num>
  <w:num w:numId="25">
    <w:abstractNumId w:val="25"/>
  </w:num>
  <w:num w:numId="26">
    <w:abstractNumId w:val="25"/>
  </w:num>
  <w:num w:numId="27">
    <w:abstractNumId w:val="13"/>
  </w:num>
  <w:num w:numId="28">
    <w:abstractNumId w:val="25"/>
  </w:num>
  <w:num w:numId="29">
    <w:abstractNumId w:val="25"/>
  </w:num>
  <w:num w:numId="30">
    <w:abstractNumId w:val="25"/>
  </w:num>
  <w:num w:numId="31">
    <w:abstractNumId w:val="25"/>
  </w:num>
  <w:num w:numId="32">
    <w:abstractNumId w:val="25"/>
  </w:num>
  <w:num w:numId="33">
    <w:abstractNumId w:val="3"/>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14"/>
  </w:num>
  <w:num w:numId="41">
    <w:abstractNumId w:val="2"/>
  </w:num>
  <w:num w:numId="42">
    <w:abstractNumId w:val="1"/>
  </w:num>
  <w:num w:numId="43">
    <w:abstractNumId w:val="16"/>
  </w:num>
  <w:num w:numId="44">
    <w:abstractNumId w:val="25"/>
    <w:lvlOverride w:ilvl="0">
      <w:startOverride w:val="6"/>
    </w:lvlOverride>
    <w:lvlOverride w:ilvl="1">
      <w:startOverride w:val="5"/>
    </w:lvlOverride>
    <w:lvlOverride w:ilvl="2">
      <w:startOverride w:val="1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235"/>
    <w:rsid w:val="00000790"/>
    <w:rsid w:val="00000963"/>
    <w:rsid w:val="00000B13"/>
    <w:rsid w:val="00000EE2"/>
    <w:rsid w:val="0000110B"/>
    <w:rsid w:val="00001340"/>
    <w:rsid w:val="00001E7B"/>
    <w:rsid w:val="000033FB"/>
    <w:rsid w:val="00003499"/>
    <w:rsid w:val="000039B7"/>
    <w:rsid w:val="00003B4A"/>
    <w:rsid w:val="00003D72"/>
    <w:rsid w:val="000045C3"/>
    <w:rsid w:val="00004C2B"/>
    <w:rsid w:val="0000502E"/>
    <w:rsid w:val="00005ABE"/>
    <w:rsid w:val="00005AE0"/>
    <w:rsid w:val="0000639A"/>
    <w:rsid w:val="00007E92"/>
    <w:rsid w:val="000100A8"/>
    <w:rsid w:val="0001012C"/>
    <w:rsid w:val="00010A1F"/>
    <w:rsid w:val="00011460"/>
    <w:rsid w:val="00011827"/>
    <w:rsid w:val="00011937"/>
    <w:rsid w:val="00011CE6"/>
    <w:rsid w:val="000124BB"/>
    <w:rsid w:val="0001270E"/>
    <w:rsid w:val="00013247"/>
    <w:rsid w:val="00013AAF"/>
    <w:rsid w:val="00013B70"/>
    <w:rsid w:val="00013C1E"/>
    <w:rsid w:val="000140AF"/>
    <w:rsid w:val="000142D7"/>
    <w:rsid w:val="000147C2"/>
    <w:rsid w:val="00014C7C"/>
    <w:rsid w:val="00015886"/>
    <w:rsid w:val="000162EF"/>
    <w:rsid w:val="00016AB0"/>
    <w:rsid w:val="00016B46"/>
    <w:rsid w:val="000171DC"/>
    <w:rsid w:val="000207C9"/>
    <w:rsid w:val="0002225F"/>
    <w:rsid w:val="00022544"/>
    <w:rsid w:val="00022579"/>
    <w:rsid w:val="000226B6"/>
    <w:rsid w:val="00022ABB"/>
    <w:rsid w:val="00022DA8"/>
    <w:rsid w:val="00022DD2"/>
    <w:rsid w:val="00022EA3"/>
    <w:rsid w:val="0002321A"/>
    <w:rsid w:val="00023763"/>
    <w:rsid w:val="000237FB"/>
    <w:rsid w:val="00023EB4"/>
    <w:rsid w:val="00024F59"/>
    <w:rsid w:val="00025398"/>
    <w:rsid w:val="0002572D"/>
    <w:rsid w:val="0002589A"/>
    <w:rsid w:val="000259C6"/>
    <w:rsid w:val="00026E23"/>
    <w:rsid w:val="0002722F"/>
    <w:rsid w:val="000274B8"/>
    <w:rsid w:val="00027AFD"/>
    <w:rsid w:val="00030D68"/>
    <w:rsid w:val="00032552"/>
    <w:rsid w:val="000329F2"/>
    <w:rsid w:val="00032D62"/>
    <w:rsid w:val="00033863"/>
    <w:rsid w:val="000339E5"/>
    <w:rsid w:val="00034A9D"/>
    <w:rsid w:val="0003553C"/>
    <w:rsid w:val="00035813"/>
    <w:rsid w:val="00035C36"/>
    <w:rsid w:val="00035DB5"/>
    <w:rsid w:val="00035DC0"/>
    <w:rsid w:val="00036829"/>
    <w:rsid w:val="000369D0"/>
    <w:rsid w:val="00036B1B"/>
    <w:rsid w:val="00036D2F"/>
    <w:rsid w:val="00036E91"/>
    <w:rsid w:val="00037207"/>
    <w:rsid w:val="00037719"/>
    <w:rsid w:val="000400A9"/>
    <w:rsid w:val="00040587"/>
    <w:rsid w:val="00040895"/>
    <w:rsid w:val="00040940"/>
    <w:rsid w:val="00041495"/>
    <w:rsid w:val="00042B7E"/>
    <w:rsid w:val="00042CB3"/>
    <w:rsid w:val="000435EE"/>
    <w:rsid w:val="0004398A"/>
    <w:rsid w:val="00043C37"/>
    <w:rsid w:val="00043CAF"/>
    <w:rsid w:val="00043E58"/>
    <w:rsid w:val="00045017"/>
    <w:rsid w:val="0004555B"/>
    <w:rsid w:val="00045603"/>
    <w:rsid w:val="00045A2B"/>
    <w:rsid w:val="00045C6E"/>
    <w:rsid w:val="00046336"/>
    <w:rsid w:val="0004698F"/>
    <w:rsid w:val="0004713A"/>
    <w:rsid w:val="00047C3B"/>
    <w:rsid w:val="00047D84"/>
    <w:rsid w:val="0005084C"/>
    <w:rsid w:val="00051666"/>
    <w:rsid w:val="00052457"/>
    <w:rsid w:val="00052E2F"/>
    <w:rsid w:val="0005313F"/>
    <w:rsid w:val="000531EE"/>
    <w:rsid w:val="00053643"/>
    <w:rsid w:val="000539D0"/>
    <w:rsid w:val="00053F98"/>
    <w:rsid w:val="00054621"/>
    <w:rsid w:val="000546D7"/>
    <w:rsid w:val="000548EC"/>
    <w:rsid w:val="00054FFF"/>
    <w:rsid w:val="000551B7"/>
    <w:rsid w:val="0005590D"/>
    <w:rsid w:val="00055B2E"/>
    <w:rsid w:val="00055B30"/>
    <w:rsid w:val="000566C1"/>
    <w:rsid w:val="00056778"/>
    <w:rsid w:val="00056ECF"/>
    <w:rsid w:val="000604DF"/>
    <w:rsid w:val="000608D8"/>
    <w:rsid w:val="00060D88"/>
    <w:rsid w:val="00060F6D"/>
    <w:rsid w:val="00061B12"/>
    <w:rsid w:val="00061CB0"/>
    <w:rsid w:val="00062105"/>
    <w:rsid w:val="00062CC6"/>
    <w:rsid w:val="000634F8"/>
    <w:rsid w:val="0006366D"/>
    <w:rsid w:val="0006422F"/>
    <w:rsid w:val="000646E5"/>
    <w:rsid w:val="00064E7F"/>
    <w:rsid w:val="000653B5"/>
    <w:rsid w:val="00066297"/>
    <w:rsid w:val="000662B7"/>
    <w:rsid w:val="00066360"/>
    <w:rsid w:val="00066981"/>
    <w:rsid w:val="00066A87"/>
    <w:rsid w:val="00066AF8"/>
    <w:rsid w:val="00067425"/>
    <w:rsid w:val="0006747A"/>
    <w:rsid w:val="00070459"/>
    <w:rsid w:val="00071248"/>
    <w:rsid w:val="00071D61"/>
    <w:rsid w:val="000720B9"/>
    <w:rsid w:val="00072110"/>
    <w:rsid w:val="000729C8"/>
    <w:rsid w:val="00072F53"/>
    <w:rsid w:val="00073206"/>
    <w:rsid w:val="0007363C"/>
    <w:rsid w:val="000737F7"/>
    <w:rsid w:val="00073AF1"/>
    <w:rsid w:val="00073E62"/>
    <w:rsid w:val="00073E95"/>
    <w:rsid w:val="00074990"/>
    <w:rsid w:val="000757DD"/>
    <w:rsid w:val="0007672F"/>
    <w:rsid w:val="00076B24"/>
    <w:rsid w:val="00076B54"/>
    <w:rsid w:val="000774F0"/>
    <w:rsid w:val="00077A04"/>
    <w:rsid w:val="00080909"/>
    <w:rsid w:val="00080A8E"/>
    <w:rsid w:val="00080D01"/>
    <w:rsid w:val="00081150"/>
    <w:rsid w:val="000811CF"/>
    <w:rsid w:val="000812CA"/>
    <w:rsid w:val="00081E63"/>
    <w:rsid w:val="0008258D"/>
    <w:rsid w:val="00082726"/>
    <w:rsid w:val="00082D6B"/>
    <w:rsid w:val="00082E82"/>
    <w:rsid w:val="000831AA"/>
    <w:rsid w:val="00083C26"/>
    <w:rsid w:val="00083E99"/>
    <w:rsid w:val="000843EB"/>
    <w:rsid w:val="0008458F"/>
    <w:rsid w:val="00084FA8"/>
    <w:rsid w:val="000852B9"/>
    <w:rsid w:val="000856C5"/>
    <w:rsid w:val="00085C31"/>
    <w:rsid w:val="000866C7"/>
    <w:rsid w:val="0008700C"/>
    <w:rsid w:val="00087175"/>
    <w:rsid w:val="00087224"/>
    <w:rsid w:val="000902D9"/>
    <w:rsid w:val="00090A89"/>
    <w:rsid w:val="00090C7E"/>
    <w:rsid w:val="000918D7"/>
    <w:rsid w:val="00091C4E"/>
    <w:rsid w:val="00092278"/>
    <w:rsid w:val="00092401"/>
    <w:rsid w:val="00092600"/>
    <w:rsid w:val="0009262B"/>
    <w:rsid w:val="00093310"/>
    <w:rsid w:val="00093D32"/>
    <w:rsid w:val="0009445C"/>
    <w:rsid w:val="000947E6"/>
    <w:rsid w:val="00094AFE"/>
    <w:rsid w:val="000951A5"/>
    <w:rsid w:val="00095200"/>
    <w:rsid w:val="000953A8"/>
    <w:rsid w:val="000956C1"/>
    <w:rsid w:val="00095A4F"/>
    <w:rsid w:val="00095BC2"/>
    <w:rsid w:val="00095FE5"/>
    <w:rsid w:val="00096284"/>
    <w:rsid w:val="00096A2E"/>
    <w:rsid w:val="00097A78"/>
    <w:rsid w:val="00097B79"/>
    <w:rsid w:val="000A061E"/>
    <w:rsid w:val="000A06A8"/>
    <w:rsid w:val="000A0C9D"/>
    <w:rsid w:val="000A137D"/>
    <w:rsid w:val="000A1BC0"/>
    <w:rsid w:val="000A1DB0"/>
    <w:rsid w:val="000A1DCE"/>
    <w:rsid w:val="000A2638"/>
    <w:rsid w:val="000A297A"/>
    <w:rsid w:val="000A2ACB"/>
    <w:rsid w:val="000A30B7"/>
    <w:rsid w:val="000A3160"/>
    <w:rsid w:val="000A32D3"/>
    <w:rsid w:val="000A4005"/>
    <w:rsid w:val="000A4B65"/>
    <w:rsid w:val="000A6039"/>
    <w:rsid w:val="000A6993"/>
    <w:rsid w:val="000A7434"/>
    <w:rsid w:val="000A7453"/>
    <w:rsid w:val="000A7BE7"/>
    <w:rsid w:val="000A7D08"/>
    <w:rsid w:val="000B0121"/>
    <w:rsid w:val="000B0670"/>
    <w:rsid w:val="000B0741"/>
    <w:rsid w:val="000B094B"/>
    <w:rsid w:val="000B0E75"/>
    <w:rsid w:val="000B0EF0"/>
    <w:rsid w:val="000B13C1"/>
    <w:rsid w:val="000B1AFA"/>
    <w:rsid w:val="000B2DCB"/>
    <w:rsid w:val="000B306B"/>
    <w:rsid w:val="000B3C4B"/>
    <w:rsid w:val="000B572A"/>
    <w:rsid w:val="000B5CE0"/>
    <w:rsid w:val="000B6CAC"/>
    <w:rsid w:val="000B7166"/>
    <w:rsid w:val="000B7612"/>
    <w:rsid w:val="000B78AE"/>
    <w:rsid w:val="000B7B93"/>
    <w:rsid w:val="000C00F5"/>
    <w:rsid w:val="000C10CE"/>
    <w:rsid w:val="000C17F0"/>
    <w:rsid w:val="000C1D3E"/>
    <w:rsid w:val="000C238D"/>
    <w:rsid w:val="000C241E"/>
    <w:rsid w:val="000C263A"/>
    <w:rsid w:val="000C26CB"/>
    <w:rsid w:val="000C2AC1"/>
    <w:rsid w:val="000C34AA"/>
    <w:rsid w:val="000C3DF9"/>
    <w:rsid w:val="000C47BF"/>
    <w:rsid w:val="000C4F9F"/>
    <w:rsid w:val="000C501C"/>
    <w:rsid w:val="000C52D6"/>
    <w:rsid w:val="000C5421"/>
    <w:rsid w:val="000C584B"/>
    <w:rsid w:val="000C58EA"/>
    <w:rsid w:val="000C58F4"/>
    <w:rsid w:val="000C593B"/>
    <w:rsid w:val="000C6713"/>
    <w:rsid w:val="000C7201"/>
    <w:rsid w:val="000C790C"/>
    <w:rsid w:val="000C7A4F"/>
    <w:rsid w:val="000D03C9"/>
    <w:rsid w:val="000D0610"/>
    <w:rsid w:val="000D115F"/>
    <w:rsid w:val="000D1BFC"/>
    <w:rsid w:val="000D1D5D"/>
    <w:rsid w:val="000D1E4E"/>
    <w:rsid w:val="000D207D"/>
    <w:rsid w:val="000D225B"/>
    <w:rsid w:val="000D281A"/>
    <w:rsid w:val="000D2848"/>
    <w:rsid w:val="000D326A"/>
    <w:rsid w:val="000D36B7"/>
    <w:rsid w:val="000D4867"/>
    <w:rsid w:val="000D51FB"/>
    <w:rsid w:val="000D5BF9"/>
    <w:rsid w:val="000D6549"/>
    <w:rsid w:val="000D67C9"/>
    <w:rsid w:val="000D6C54"/>
    <w:rsid w:val="000D70E4"/>
    <w:rsid w:val="000D7E3C"/>
    <w:rsid w:val="000D7FB4"/>
    <w:rsid w:val="000E0640"/>
    <w:rsid w:val="000E0D78"/>
    <w:rsid w:val="000E0EE7"/>
    <w:rsid w:val="000E10A3"/>
    <w:rsid w:val="000E132D"/>
    <w:rsid w:val="000E135D"/>
    <w:rsid w:val="000E1ED5"/>
    <w:rsid w:val="000E2198"/>
    <w:rsid w:val="000E2207"/>
    <w:rsid w:val="000E2A4A"/>
    <w:rsid w:val="000E2E17"/>
    <w:rsid w:val="000E4973"/>
    <w:rsid w:val="000E5437"/>
    <w:rsid w:val="000E5533"/>
    <w:rsid w:val="000E5B1B"/>
    <w:rsid w:val="000E61FA"/>
    <w:rsid w:val="000E7374"/>
    <w:rsid w:val="000F00BA"/>
    <w:rsid w:val="000F0311"/>
    <w:rsid w:val="000F04B7"/>
    <w:rsid w:val="000F0B41"/>
    <w:rsid w:val="000F0DE7"/>
    <w:rsid w:val="000F1234"/>
    <w:rsid w:val="000F17AD"/>
    <w:rsid w:val="000F1EAD"/>
    <w:rsid w:val="000F21AE"/>
    <w:rsid w:val="000F2CEC"/>
    <w:rsid w:val="000F2E42"/>
    <w:rsid w:val="000F316A"/>
    <w:rsid w:val="000F3C74"/>
    <w:rsid w:val="000F3D63"/>
    <w:rsid w:val="000F4593"/>
    <w:rsid w:val="000F4A73"/>
    <w:rsid w:val="000F4BB8"/>
    <w:rsid w:val="000F4FA9"/>
    <w:rsid w:val="000F53FB"/>
    <w:rsid w:val="000F5D4F"/>
    <w:rsid w:val="000F6260"/>
    <w:rsid w:val="000F6767"/>
    <w:rsid w:val="000F7127"/>
    <w:rsid w:val="000F7602"/>
    <w:rsid w:val="000F7B54"/>
    <w:rsid w:val="001002F4"/>
    <w:rsid w:val="00100365"/>
    <w:rsid w:val="0010084D"/>
    <w:rsid w:val="00100D16"/>
    <w:rsid w:val="00100F8A"/>
    <w:rsid w:val="0010145A"/>
    <w:rsid w:val="0010160D"/>
    <w:rsid w:val="00102984"/>
    <w:rsid w:val="00102F09"/>
    <w:rsid w:val="00103183"/>
    <w:rsid w:val="00103439"/>
    <w:rsid w:val="00103F90"/>
    <w:rsid w:val="0010452E"/>
    <w:rsid w:val="00104F21"/>
    <w:rsid w:val="00105AE2"/>
    <w:rsid w:val="00105F4D"/>
    <w:rsid w:val="001060C6"/>
    <w:rsid w:val="001067EA"/>
    <w:rsid w:val="00106B80"/>
    <w:rsid w:val="00107645"/>
    <w:rsid w:val="00107B1C"/>
    <w:rsid w:val="00107EFF"/>
    <w:rsid w:val="0011032E"/>
    <w:rsid w:val="0011134C"/>
    <w:rsid w:val="00111CD2"/>
    <w:rsid w:val="0011272D"/>
    <w:rsid w:val="0011306E"/>
    <w:rsid w:val="00113324"/>
    <w:rsid w:val="0011348B"/>
    <w:rsid w:val="00113633"/>
    <w:rsid w:val="00113716"/>
    <w:rsid w:val="00113D9E"/>
    <w:rsid w:val="00114930"/>
    <w:rsid w:val="00114BA3"/>
    <w:rsid w:val="00114F35"/>
    <w:rsid w:val="0011536F"/>
    <w:rsid w:val="00115982"/>
    <w:rsid w:val="001159FD"/>
    <w:rsid w:val="00115AA3"/>
    <w:rsid w:val="00116625"/>
    <w:rsid w:val="001167EA"/>
    <w:rsid w:val="00116C53"/>
    <w:rsid w:val="00117BA0"/>
    <w:rsid w:val="00117E1B"/>
    <w:rsid w:val="001209C6"/>
    <w:rsid w:val="00121722"/>
    <w:rsid w:val="00121799"/>
    <w:rsid w:val="00121EBB"/>
    <w:rsid w:val="00122253"/>
    <w:rsid w:val="001222FC"/>
    <w:rsid w:val="001229AC"/>
    <w:rsid w:val="00122A14"/>
    <w:rsid w:val="00122B57"/>
    <w:rsid w:val="00122FA3"/>
    <w:rsid w:val="001238C5"/>
    <w:rsid w:val="00123902"/>
    <w:rsid w:val="00124701"/>
    <w:rsid w:val="00124719"/>
    <w:rsid w:val="001249EC"/>
    <w:rsid w:val="00124A51"/>
    <w:rsid w:val="00124FB4"/>
    <w:rsid w:val="00125025"/>
    <w:rsid w:val="00125133"/>
    <w:rsid w:val="0012573C"/>
    <w:rsid w:val="00125BAE"/>
    <w:rsid w:val="00126535"/>
    <w:rsid w:val="00126587"/>
    <w:rsid w:val="00126621"/>
    <w:rsid w:val="00126B1D"/>
    <w:rsid w:val="00127686"/>
    <w:rsid w:val="00127F1B"/>
    <w:rsid w:val="001301E9"/>
    <w:rsid w:val="00130588"/>
    <w:rsid w:val="0013131B"/>
    <w:rsid w:val="00131D82"/>
    <w:rsid w:val="0013257C"/>
    <w:rsid w:val="00132B22"/>
    <w:rsid w:val="00132D3D"/>
    <w:rsid w:val="0013384A"/>
    <w:rsid w:val="00133D36"/>
    <w:rsid w:val="00136122"/>
    <w:rsid w:val="00137291"/>
    <w:rsid w:val="00137645"/>
    <w:rsid w:val="00137A97"/>
    <w:rsid w:val="00137D60"/>
    <w:rsid w:val="0014015A"/>
    <w:rsid w:val="00140E99"/>
    <w:rsid w:val="001410D7"/>
    <w:rsid w:val="00142048"/>
    <w:rsid w:val="0014224F"/>
    <w:rsid w:val="001429E9"/>
    <w:rsid w:val="0014367F"/>
    <w:rsid w:val="00143878"/>
    <w:rsid w:val="00143CA2"/>
    <w:rsid w:val="00143E22"/>
    <w:rsid w:val="00143F67"/>
    <w:rsid w:val="001448D2"/>
    <w:rsid w:val="00145402"/>
    <w:rsid w:val="00145540"/>
    <w:rsid w:val="001456B0"/>
    <w:rsid w:val="00145B77"/>
    <w:rsid w:val="00146477"/>
    <w:rsid w:val="00146FA8"/>
    <w:rsid w:val="0014762F"/>
    <w:rsid w:val="001476DA"/>
    <w:rsid w:val="00147E04"/>
    <w:rsid w:val="001503A2"/>
    <w:rsid w:val="00150AB8"/>
    <w:rsid w:val="00150CA8"/>
    <w:rsid w:val="00150CBC"/>
    <w:rsid w:val="00151CB7"/>
    <w:rsid w:val="001529E4"/>
    <w:rsid w:val="00152A24"/>
    <w:rsid w:val="001556EA"/>
    <w:rsid w:val="001557E6"/>
    <w:rsid w:val="001566B8"/>
    <w:rsid w:val="00156CD7"/>
    <w:rsid w:val="00156CED"/>
    <w:rsid w:val="00156F8F"/>
    <w:rsid w:val="00157130"/>
    <w:rsid w:val="001576B1"/>
    <w:rsid w:val="0016047B"/>
    <w:rsid w:val="00160A4C"/>
    <w:rsid w:val="00160B9F"/>
    <w:rsid w:val="00160C2B"/>
    <w:rsid w:val="0016162F"/>
    <w:rsid w:val="0016246C"/>
    <w:rsid w:val="0016249D"/>
    <w:rsid w:val="00162913"/>
    <w:rsid w:val="00162D83"/>
    <w:rsid w:val="00162DFC"/>
    <w:rsid w:val="001636E8"/>
    <w:rsid w:val="001636FA"/>
    <w:rsid w:val="00163EFF"/>
    <w:rsid w:val="00163F66"/>
    <w:rsid w:val="00164726"/>
    <w:rsid w:val="00164E37"/>
    <w:rsid w:val="0016536A"/>
    <w:rsid w:val="00165DB5"/>
    <w:rsid w:val="00166089"/>
    <w:rsid w:val="001661FB"/>
    <w:rsid w:val="00166958"/>
    <w:rsid w:val="00166FCC"/>
    <w:rsid w:val="001671A0"/>
    <w:rsid w:val="0016749A"/>
    <w:rsid w:val="0016767F"/>
    <w:rsid w:val="00170799"/>
    <w:rsid w:val="00171BA4"/>
    <w:rsid w:val="0017208C"/>
    <w:rsid w:val="00172372"/>
    <w:rsid w:val="001724D5"/>
    <w:rsid w:val="0017299D"/>
    <w:rsid w:val="001730F9"/>
    <w:rsid w:val="001731E4"/>
    <w:rsid w:val="00173565"/>
    <w:rsid w:val="0017360A"/>
    <w:rsid w:val="0017383C"/>
    <w:rsid w:val="00173B07"/>
    <w:rsid w:val="00173DC4"/>
    <w:rsid w:val="00173EE1"/>
    <w:rsid w:val="001741AC"/>
    <w:rsid w:val="001745CD"/>
    <w:rsid w:val="001746C6"/>
    <w:rsid w:val="00174817"/>
    <w:rsid w:val="001751FA"/>
    <w:rsid w:val="0017541E"/>
    <w:rsid w:val="001766CC"/>
    <w:rsid w:val="00176AC5"/>
    <w:rsid w:val="00177661"/>
    <w:rsid w:val="00180096"/>
    <w:rsid w:val="00180561"/>
    <w:rsid w:val="001811FB"/>
    <w:rsid w:val="00181D3D"/>
    <w:rsid w:val="00181D9C"/>
    <w:rsid w:val="001834EE"/>
    <w:rsid w:val="001838C6"/>
    <w:rsid w:val="001842B1"/>
    <w:rsid w:val="0018439E"/>
    <w:rsid w:val="00184435"/>
    <w:rsid w:val="00184831"/>
    <w:rsid w:val="00184A07"/>
    <w:rsid w:val="00184B0E"/>
    <w:rsid w:val="00184BCF"/>
    <w:rsid w:val="00185555"/>
    <w:rsid w:val="001855CF"/>
    <w:rsid w:val="00185F4C"/>
    <w:rsid w:val="0018689F"/>
    <w:rsid w:val="001871E6"/>
    <w:rsid w:val="0018752F"/>
    <w:rsid w:val="001908E4"/>
    <w:rsid w:val="00192D16"/>
    <w:rsid w:val="001932EA"/>
    <w:rsid w:val="00193838"/>
    <w:rsid w:val="00194AD8"/>
    <w:rsid w:val="00195222"/>
    <w:rsid w:val="00195E02"/>
    <w:rsid w:val="00195E8B"/>
    <w:rsid w:val="00196271"/>
    <w:rsid w:val="0019645E"/>
    <w:rsid w:val="00196AA8"/>
    <w:rsid w:val="0019743D"/>
    <w:rsid w:val="001975D8"/>
    <w:rsid w:val="00197844"/>
    <w:rsid w:val="00197910"/>
    <w:rsid w:val="00197DE0"/>
    <w:rsid w:val="001A0B3A"/>
    <w:rsid w:val="001A178E"/>
    <w:rsid w:val="001A3397"/>
    <w:rsid w:val="001A3645"/>
    <w:rsid w:val="001A43FA"/>
    <w:rsid w:val="001A47C5"/>
    <w:rsid w:val="001A48EC"/>
    <w:rsid w:val="001A59FB"/>
    <w:rsid w:val="001A5C32"/>
    <w:rsid w:val="001A5CBA"/>
    <w:rsid w:val="001A5E9E"/>
    <w:rsid w:val="001A628E"/>
    <w:rsid w:val="001A6354"/>
    <w:rsid w:val="001A6366"/>
    <w:rsid w:val="001A7291"/>
    <w:rsid w:val="001A7A15"/>
    <w:rsid w:val="001A7AE8"/>
    <w:rsid w:val="001A7DC8"/>
    <w:rsid w:val="001A7FAA"/>
    <w:rsid w:val="001B0BEF"/>
    <w:rsid w:val="001B1275"/>
    <w:rsid w:val="001B1E2E"/>
    <w:rsid w:val="001B1FDB"/>
    <w:rsid w:val="001B204E"/>
    <w:rsid w:val="001B22DA"/>
    <w:rsid w:val="001B2372"/>
    <w:rsid w:val="001B2C98"/>
    <w:rsid w:val="001B2F1E"/>
    <w:rsid w:val="001B3443"/>
    <w:rsid w:val="001B361A"/>
    <w:rsid w:val="001B3A92"/>
    <w:rsid w:val="001B3ADE"/>
    <w:rsid w:val="001B41C3"/>
    <w:rsid w:val="001B4D20"/>
    <w:rsid w:val="001B4EA7"/>
    <w:rsid w:val="001B51BE"/>
    <w:rsid w:val="001B53BA"/>
    <w:rsid w:val="001B53DD"/>
    <w:rsid w:val="001B67B1"/>
    <w:rsid w:val="001B74FD"/>
    <w:rsid w:val="001B796E"/>
    <w:rsid w:val="001B7DA3"/>
    <w:rsid w:val="001C12C2"/>
    <w:rsid w:val="001C1566"/>
    <w:rsid w:val="001C250D"/>
    <w:rsid w:val="001C266B"/>
    <w:rsid w:val="001C26C0"/>
    <w:rsid w:val="001C2A9B"/>
    <w:rsid w:val="001C2AD0"/>
    <w:rsid w:val="001C2CD1"/>
    <w:rsid w:val="001C405C"/>
    <w:rsid w:val="001C4299"/>
    <w:rsid w:val="001C4570"/>
    <w:rsid w:val="001C4874"/>
    <w:rsid w:val="001C4E63"/>
    <w:rsid w:val="001C4E9B"/>
    <w:rsid w:val="001C55A4"/>
    <w:rsid w:val="001C5F94"/>
    <w:rsid w:val="001C6399"/>
    <w:rsid w:val="001C6A80"/>
    <w:rsid w:val="001C6CD2"/>
    <w:rsid w:val="001C6E66"/>
    <w:rsid w:val="001C7111"/>
    <w:rsid w:val="001C72B5"/>
    <w:rsid w:val="001D0C74"/>
    <w:rsid w:val="001D10DB"/>
    <w:rsid w:val="001D1100"/>
    <w:rsid w:val="001D1391"/>
    <w:rsid w:val="001D1DA4"/>
    <w:rsid w:val="001D25D7"/>
    <w:rsid w:val="001D287F"/>
    <w:rsid w:val="001D2C24"/>
    <w:rsid w:val="001D2D0E"/>
    <w:rsid w:val="001D3215"/>
    <w:rsid w:val="001D50B2"/>
    <w:rsid w:val="001D5B64"/>
    <w:rsid w:val="001D71F3"/>
    <w:rsid w:val="001D72AA"/>
    <w:rsid w:val="001D7645"/>
    <w:rsid w:val="001D76AC"/>
    <w:rsid w:val="001E10E4"/>
    <w:rsid w:val="001E137A"/>
    <w:rsid w:val="001E1E86"/>
    <w:rsid w:val="001E238E"/>
    <w:rsid w:val="001E2483"/>
    <w:rsid w:val="001E2498"/>
    <w:rsid w:val="001E2B1E"/>
    <w:rsid w:val="001E2CA9"/>
    <w:rsid w:val="001E2CFF"/>
    <w:rsid w:val="001E2D72"/>
    <w:rsid w:val="001E2F24"/>
    <w:rsid w:val="001E30D4"/>
    <w:rsid w:val="001E31B5"/>
    <w:rsid w:val="001E34DF"/>
    <w:rsid w:val="001E362A"/>
    <w:rsid w:val="001E3B88"/>
    <w:rsid w:val="001E52EB"/>
    <w:rsid w:val="001E5647"/>
    <w:rsid w:val="001E58EC"/>
    <w:rsid w:val="001E61D2"/>
    <w:rsid w:val="001E6B7D"/>
    <w:rsid w:val="001E740C"/>
    <w:rsid w:val="001E7BC1"/>
    <w:rsid w:val="001E7F45"/>
    <w:rsid w:val="001F0E0D"/>
    <w:rsid w:val="001F107A"/>
    <w:rsid w:val="001F1235"/>
    <w:rsid w:val="001F1CB3"/>
    <w:rsid w:val="001F1ED2"/>
    <w:rsid w:val="001F226B"/>
    <w:rsid w:val="001F2A7E"/>
    <w:rsid w:val="001F2CC8"/>
    <w:rsid w:val="001F30D3"/>
    <w:rsid w:val="001F38B5"/>
    <w:rsid w:val="001F3AD3"/>
    <w:rsid w:val="001F3C06"/>
    <w:rsid w:val="001F4081"/>
    <w:rsid w:val="001F4E2C"/>
    <w:rsid w:val="001F51A8"/>
    <w:rsid w:val="001F6021"/>
    <w:rsid w:val="001F7361"/>
    <w:rsid w:val="001F7BC8"/>
    <w:rsid w:val="001F7F81"/>
    <w:rsid w:val="00200569"/>
    <w:rsid w:val="00200EF8"/>
    <w:rsid w:val="002011B0"/>
    <w:rsid w:val="00201857"/>
    <w:rsid w:val="00201D2A"/>
    <w:rsid w:val="00202128"/>
    <w:rsid w:val="0020228D"/>
    <w:rsid w:val="00203181"/>
    <w:rsid w:val="00203783"/>
    <w:rsid w:val="0020385F"/>
    <w:rsid w:val="00203D8D"/>
    <w:rsid w:val="002040D2"/>
    <w:rsid w:val="00204DB6"/>
    <w:rsid w:val="002057B0"/>
    <w:rsid w:val="002068A0"/>
    <w:rsid w:val="002068B5"/>
    <w:rsid w:val="00206E0C"/>
    <w:rsid w:val="00207021"/>
    <w:rsid w:val="0020732F"/>
    <w:rsid w:val="002078CA"/>
    <w:rsid w:val="00207996"/>
    <w:rsid w:val="00207D00"/>
    <w:rsid w:val="00207FEB"/>
    <w:rsid w:val="002105C1"/>
    <w:rsid w:val="00210905"/>
    <w:rsid w:val="002109CF"/>
    <w:rsid w:val="002110F6"/>
    <w:rsid w:val="00211902"/>
    <w:rsid w:val="002119C6"/>
    <w:rsid w:val="00212055"/>
    <w:rsid w:val="0021278B"/>
    <w:rsid w:val="00212B34"/>
    <w:rsid w:val="0021358C"/>
    <w:rsid w:val="00213AC3"/>
    <w:rsid w:val="00213EF5"/>
    <w:rsid w:val="00215926"/>
    <w:rsid w:val="00215C6E"/>
    <w:rsid w:val="0021604A"/>
    <w:rsid w:val="00216371"/>
    <w:rsid w:val="00216BF5"/>
    <w:rsid w:val="00217A26"/>
    <w:rsid w:val="00217CD9"/>
    <w:rsid w:val="00220B6E"/>
    <w:rsid w:val="00220CD2"/>
    <w:rsid w:val="002212B2"/>
    <w:rsid w:val="00221DE2"/>
    <w:rsid w:val="00222690"/>
    <w:rsid w:val="00222725"/>
    <w:rsid w:val="00223B49"/>
    <w:rsid w:val="00223C39"/>
    <w:rsid w:val="00223D5A"/>
    <w:rsid w:val="00224578"/>
    <w:rsid w:val="00224671"/>
    <w:rsid w:val="00224DD4"/>
    <w:rsid w:val="002268EE"/>
    <w:rsid w:val="00226CD3"/>
    <w:rsid w:val="002278A0"/>
    <w:rsid w:val="0022796E"/>
    <w:rsid w:val="002309CC"/>
    <w:rsid w:val="00230DB1"/>
    <w:rsid w:val="00231642"/>
    <w:rsid w:val="0023209F"/>
    <w:rsid w:val="00232BA3"/>
    <w:rsid w:val="00232FA1"/>
    <w:rsid w:val="00233C01"/>
    <w:rsid w:val="00233C21"/>
    <w:rsid w:val="0023413C"/>
    <w:rsid w:val="002346F0"/>
    <w:rsid w:val="00234874"/>
    <w:rsid w:val="00234BFE"/>
    <w:rsid w:val="00235019"/>
    <w:rsid w:val="0023550A"/>
    <w:rsid w:val="00235624"/>
    <w:rsid w:val="00235726"/>
    <w:rsid w:val="0023629D"/>
    <w:rsid w:val="0023715F"/>
    <w:rsid w:val="00237255"/>
    <w:rsid w:val="00237574"/>
    <w:rsid w:val="00237710"/>
    <w:rsid w:val="0023782D"/>
    <w:rsid w:val="00237C17"/>
    <w:rsid w:val="00237D35"/>
    <w:rsid w:val="00240086"/>
    <w:rsid w:val="00240124"/>
    <w:rsid w:val="00240D8B"/>
    <w:rsid w:val="00241A83"/>
    <w:rsid w:val="00241ED8"/>
    <w:rsid w:val="002424AF"/>
    <w:rsid w:val="00242BF9"/>
    <w:rsid w:val="0024346A"/>
    <w:rsid w:val="002439DC"/>
    <w:rsid w:val="00243A2F"/>
    <w:rsid w:val="00243C43"/>
    <w:rsid w:val="002441D2"/>
    <w:rsid w:val="002444F9"/>
    <w:rsid w:val="0024486B"/>
    <w:rsid w:val="00244BED"/>
    <w:rsid w:val="00244DB4"/>
    <w:rsid w:val="00244DC8"/>
    <w:rsid w:val="00244EF1"/>
    <w:rsid w:val="002458BA"/>
    <w:rsid w:val="00245CE9"/>
    <w:rsid w:val="002461EF"/>
    <w:rsid w:val="00246308"/>
    <w:rsid w:val="0024636C"/>
    <w:rsid w:val="0024715C"/>
    <w:rsid w:val="002472AB"/>
    <w:rsid w:val="002472C6"/>
    <w:rsid w:val="00247391"/>
    <w:rsid w:val="0024763A"/>
    <w:rsid w:val="00247925"/>
    <w:rsid w:val="00251006"/>
    <w:rsid w:val="00251D1F"/>
    <w:rsid w:val="0025249D"/>
    <w:rsid w:val="002524D5"/>
    <w:rsid w:val="00252782"/>
    <w:rsid w:val="00253074"/>
    <w:rsid w:val="00253B1D"/>
    <w:rsid w:val="00254DCF"/>
    <w:rsid w:val="0025534B"/>
    <w:rsid w:val="0025560D"/>
    <w:rsid w:val="00255BB7"/>
    <w:rsid w:val="002561F3"/>
    <w:rsid w:val="00256223"/>
    <w:rsid w:val="002562CD"/>
    <w:rsid w:val="002562DC"/>
    <w:rsid w:val="0025658A"/>
    <w:rsid w:val="00257222"/>
    <w:rsid w:val="002574A6"/>
    <w:rsid w:val="00257541"/>
    <w:rsid w:val="00257790"/>
    <w:rsid w:val="00257A39"/>
    <w:rsid w:val="00257AC4"/>
    <w:rsid w:val="00257D38"/>
    <w:rsid w:val="002604A4"/>
    <w:rsid w:val="00260D26"/>
    <w:rsid w:val="00260DF5"/>
    <w:rsid w:val="00261EEF"/>
    <w:rsid w:val="00262A1A"/>
    <w:rsid w:val="00262A87"/>
    <w:rsid w:val="00262ABD"/>
    <w:rsid w:val="00262C9A"/>
    <w:rsid w:val="0026459B"/>
    <w:rsid w:val="002646C2"/>
    <w:rsid w:val="00264B2C"/>
    <w:rsid w:val="00264BAD"/>
    <w:rsid w:val="00264D26"/>
    <w:rsid w:val="00264DD4"/>
    <w:rsid w:val="00266159"/>
    <w:rsid w:val="002666C3"/>
    <w:rsid w:val="002675AD"/>
    <w:rsid w:val="00267642"/>
    <w:rsid w:val="00267AEA"/>
    <w:rsid w:val="002700E6"/>
    <w:rsid w:val="002702EB"/>
    <w:rsid w:val="00270528"/>
    <w:rsid w:val="00270779"/>
    <w:rsid w:val="002725AE"/>
    <w:rsid w:val="0027294B"/>
    <w:rsid w:val="00273160"/>
    <w:rsid w:val="0027339A"/>
    <w:rsid w:val="0027352B"/>
    <w:rsid w:val="00273E82"/>
    <w:rsid w:val="00273EB4"/>
    <w:rsid w:val="00274573"/>
    <w:rsid w:val="00274682"/>
    <w:rsid w:val="00275C5A"/>
    <w:rsid w:val="0027617A"/>
    <w:rsid w:val="002766AF"/>
    <w:rsid w:val="00277079"/>
    <w:rsid w:val="00277D1A"/>
    <w:rsid w:val="002805AC"/>
    <w:rsid w:val="00281014"/>
    <w:rsid w:val="00281370"/>
    <w:rsid w:val="00281788"/>
    <w:rsid w:val="0028379C"/>
    <w:rsid w:val="00283B9C"/>
    <w:rsid w:val="00283D06"/>
    <w:rsid w:val="00283D1F"/>
    <w:rsid w:val="00284487"/>
    <w:rsid w:val="00284F1C"/>
    <w:rsid w:val="002851A6"/>
    <w:rsid w:val="0028541E"/>
    <w:rsid w:val="002855E6"/>
    <w:rsid w:val="00285F2B"/>
    <w:rsid w:val="0028611C"/>
    <w:rsid w:val="0028612C"/>
    <w:rsid w:val="0028665D"/>
    <w:rsid w:val="00287704"/>
    <w:rsid w:val="002907BB"/>
    <w:rsid w:val="00290BBE"/>
    <w:rsid w:val="00290FBA"/>
    <w:rsid w:val="002916DB"/>
    <w:rsid w:val="002918E3"/>
    <w:rsid w:val="00291941"/>
    <w:rsid w:val="00295C31"/>
    <w:rsid w:val="00295C8B"/>
    <w:rsid w:val="00295DCF"/>
    <w:rsid w:val="00295F28"/>
    <w:rsid w:val="00297515"/>
    <w:rsid w:val="002A11B0"/>
    <w:rsid w:val="002A14AB"/>
    <w:rsid w:val="002A1BB6"/>
    <w:rsid w:val="002A2ADE"/>
    <w:rsid w:val="002A2F16"/>
    <w:rsid w:val="002A2F50"/>
    <w:rsid w:val="002A3D7B"/>
    <w:rsid w:val="002A46F5"/>
    <w:rsid w:val="002A4B8B"/>
    <w:rsid w:val="002A5544"/>
    <w:rsid w:val="002A5E74"/>
    <w:rsid w:val="002A6B00"/>
    <w:rsid w:val="002A717A"/>
    <w:rsid w:val="002A76B1"/>
    <w:rsid w:val="002B0186"/>
    <w:rsid w:val="002B020B"/>
    <w:rsid w:val="002B039F"/>
    <w:rsid w:val="002B05A1"/>
    <w:rsid w:val="002B09A4"/>
    <w:rsid w:val="002B113B"/>
    <w:rsid w:val="002B1C1F"/>
    <w:rsid w:val="002B38FA"/>
    <w:rsid w:val="002B3AA8"/>
    <w:rsid w:val="002B3BE5"/>
    <w:rsid w:val="002B432F"/>
    <w:rsid w:val="002B484C"/>
    <w:rsid w:val="002B502F"/>
    <w:rsid w:val="002B550B"/>
    <w:rsid w:val="002B5A63"/>
    <w:rsid w:val="002B5B49"/>
    <w:rsid w:val="002B5C01"/>
    <w:rsid w:val="002B62B3"/>
    <w:rsid w:val="002B6334"/>
    <w:rsid w:val="002B6587"/>
    <w:rsid w:val="002B6754"/>
    <w:rsid w:val="002B6CCE"/>
    <w:rsid w:val="002B7AE7"/>
    <w:rsid w:val="002C0882"/>
    <w:rsid w:val="002C0A91"/>
    <w:rsid w:val="002C12DE"/>
    <w:rsid w:val="002C162E"/>
    <w:rsid w:val="002C2510"/>
    <w:rsid w:val="002C2775"/>
    <w:rsid w:val="002C27C1"/>
    <w:rsid w:val="002C2C55"/>
    <w:rsid w:val="002C2F2F"/>
    <w:rsid w:val="002C3065"/>
    <w:rsid w:val="002C3AB3"/>
    <w:rsid w:val="002C3D63"/>
    <w:rsid w:val="002C4004"/>
    <w:rsid w:val="002C4754"/>
    <w:rsid w:val="002C487D"/>
    <w:rsid w:val="002C4AC0"/>
    <w:rsid w:val="002C5099"/>
    <w:rsid w:val="002C5889"/>
    <w:rsid w:val="002C5D39"/>
    <w:rsid w:val="002C628B"/>
    <w:rsid w:val="002C6996"/>
    <w:rsid w:val="002C6D09"/>
    <w:rsid w:val="002C71CE"/>
    <w:rsid w:val="002C7350"/>
    <w:rsid w:val="002C761D"/>
    <w:rsid w:val="002C7BB9"/>
    <w:rsid w:val="002D08F8"/>
    <w:rsid w:val="002D1C2D"/>
    <w:rsid w:val="002D1C7B"/>
    <w:rsid w:val="002D22FD"/>
    <w:rsid w:val="002D261D"/>
    <w:rsid w:val="002D3617"/>
    <w:rsid w:val="002D366A"/>
    <w:rsid w:val="002D44DE"/>
    <w:rsid w:val="002D577C"/>
    <w:rsid w:val="002D6713"/>
    <w:rsid w:val="002D7A97"/>
    <w:rsid w:val="002D7B9F"/>
    <w:rsid w:val="002D7D75"/>
    <w:rsid w:val="002E0787"/>
    <w:rsid w:val="002E1071"/>
    <w:rsid w:val="002E10C0"/>
    <w:rsid w:val="002E15B9"/>
    <w:rsid w:val="002E1C23"/>
    <w:rsid w:val="002E2158"/>
    <w:rsid w:val="002E263F"/>
    <w:rsid w:val="002E2A31"/>
    <w:rsid w:val="002E4F02"/>
    <w:rsid w:val="002E4F6F"/>
    <w:rsid w:val="002E53F3"/>
    <w:rsid w:val="002E55C4"/>
    <w:rsid w:val="002E5743"/>
    <w:rsid w:val="002E5A05"/>
    <w:rsid w:val="002E633A"/>
    <w:rsid w:val="002E666D"/>
    <w:rsid w:val="002E6DEA"/>
    <w:rsid w:val="002E7235"/>
    <w:rsid w:val="002E7722"/>
    <w:rsid w:val="002F07BA"/>
    <w:rsid w:val="002F0830"/>
    <w:rsid w:val="002F0DA9"/>
    <w:rsid w:val="002F1014"/>
    <w:rsid w:val="002F1099"/>
    <w:rsid w:val="002F22D8"/>
    <w:rsid w:val="002F2C5B"/>
    <w:rsid w:val="002F30A6"/>
    <w:rsid w:val="002F643C"/>
    <w:rsid w:val="002F685F"/>
    <w:rsid w:val="002F71C0"/>
    <w:rsid w:val="002F74F1"/>
    <w:rsid w:val="002F7B0A"/>
    <w:rsid w:val="00300E6C"/>
    <w:rsid w:val="00301017"/>
    <w:rsid w:val="00301390"/>
    <w:rsid w:val="0030155F"/>
    <w:rsid w:val="00301867"/>
    <w:rsid w:val="003039C7"/>
    <w:rsid w:val="00303A82"/>
    <w:rsid w:val="00303D27"/>
    <w:rsid w:val="003045B1"/>
    <w:rsid w:val="00304D67"/>
    <w:rsid w:val="003050D4"/>
    <w:rsid w:val="00305322"/>
    <w:rsid w:val="003053AA"/>
    <w:rsid w:val="0030587B"/>
    <w:rsid w:val="00306078"/>
    <w:rsid w:val="00306B12"/>
    <w:rsid w:val="00306CD1"/>
    <w:rsid w:val="00306D98"/>
    <w:rsid w:val="00307144"/>
    <w:rsid w:val="0030772F"/>
    <w:rsid w:val="0030786C"/>
    <w:rsid w:val="0030797D"/>
    <w:rsid w:val="00307B95"/>
    <w:rsid w:val="0031031A"/>
    <w:rsid w:val="00310981"/>
    <w:rsid w:val="0031140A"/>
    <w:rsid w:val="00311D56"/>
    <w:rsid w:val="003123B2"/>
    <w:rsid w:val="003124D9"/>
    <w:rsid w:val="00312594"/>
    <w:rsid w:val="003136F8"/>
    <w:rsid w:val="00313B0D"/>
    <w:rsid w:val="00313B82"/>
    <w:rsid w:val="00314198"/>
    <w:rsid w:val="003151D5"/>
    <w:rsid w:val="003153FC"/>
    <w:rsid w:val="00315498"/>
    <w:rsid w:val="00315728"/>
    <w:rsid w:val="0031591F"/>
    <w:rsid w:val="00315A68"/>
    <w:rsid w:val="00316356"/>
    <w:rsid w:val="00316474"/>
    <w:rsid w:val="00316826"/>
    <w:rsid w:val="00317388"/>
    <w:rsid w:val="00317AB4"/>
    <w:rsid w:val="00320803"/>
    <w:rsid w:val="003208D1"/>
    <w:rsid w:val="00320EA0"/>
    <w:rsid w:val="003214C0"/>
    <w:rsid w:val="003215C0"/>
    <w:rsid w:val="00321C95"/>
    <w:rsid w:val="00321F2C"/>
    <w:rsid w:val="00322107"/>
    <w:rsid w:val="00322355"/>
    <w:rsid w:val="00322374"/>
    <w:rsid w:val="0032250B"/>
    <w:rsid w:val="003227DB"/>
    <w:rsid w:val="00322846"/>
    <w:rsid w:val="00322C1E"/>
    <w:rsid w:val="0032314C"/>
    <w:rsid w:val="003239FA"/>
    <w:rsid w:val="00323B13"/>
    <w:rsid w:val="00323D64"/>
    <w:rsid w:val="00325D8E"/>
    <w:rsid w:val="00325FDB"/>
    <w:rsid w:val="003268DC"/>
    <w:rsid w:val="00326DA7"/>
    <w:rsid w:val="003270E4"/>
    <w:rsid w:val="00330391"/>
    <w:rsid w:val="00330A25"/>
    <w:rsid w:val="00330D71"/>
    <w:rsid w:val="00330DAA"/>
    <w:rsid w:val="00330E3B"/>
    <w:rsid w:val="00330F5C"/>
    <w:rsid w:val="00331132"/>
    <w:rsid w:val="00331A93"/>
    <w:rsid w:val="00333443"/>
    <w:rsid w:val="003338B6"/>
    <w:rsid w:val="00333BD8"/>
    <w:rsid w:val="00334281"/>
    <w:rsid w:val="00334394"/>
    <w:rsid w:val="00334C83"/>
    <w:rsid w:val="00334CAA"/>
    <w:rsid w:val="003366C9"/>
    <w:rsid w:val="00336E24"/>
    <w:rsid w:val="003371B0"/>
    <w:rsid w:val="00337292"/>
    <w:rsid w:val="0033779B"/>
    <w:rsid w:val="00337AC5"/>
    <w:rsid w:val="00337D9C"/>
    <w:rsid w:val="00340280"/>
    <w:rsid w:val="00340D69"/>
    <w:rsid w:val="00340DF1"/>
    <w:rsid w:val="0034100E"/>
    <w:rsid w:val="0034196A"/>
    <w:rsid w:val="003423B2"/>
    <w:rsid w:val="0034311D"/>
    <w:rsid w:val="003434DA"/>
    <w:rsid w:val="00343513"/>
    <w:rsid w:val="00343649"/>
    <w:rsid w:val="00343A30"/>
    <w:rsid w:val="00343CE4"/>
    <w:rsid w:val="00344D3B"/>
    <w:rsid w:val="00350219"/>
    <w:rsid w:val="003506BD"/>
    <w:rsid w:val="003517F9"/>
    <w:rsid w:val="00351BA9"/>
    <w:rsid w:val="00351C1C"/>
    <w:rsid w:val="003522E3"/>
    <w:rsid w:val="00352366"/>
    <w:rsid w:val="00352851"/>
    <w:rsid w:val="00352971"/>
    <w:rsid w:val="00352CC4"/>
    <w:rsid w:val="003531F0"/>
    <w:rsid w:val="003535F3"/>
    <w:rsid w:val="00353ACE"/>
    <w:rsid w:val="003540B8"/>
    <w:rsid w:val="003546B5"/>
    <w:rsid w:val="00354F64"/>
    <w:rsid w:val="00355104"/>
    <w:rsid w:val="003552D6"/>
    <w:rsid w:val="00355496"/>
    <w:rsid w:val="0035620E"/>
    <w:rsid w:val="0035662D"/>
    <w:rsid w:val="00357E94"/>
    <w:rsid w:val="00360345"/>
    <w:rsid w:val="0036082B"/>
    <w:rsid w:val="00360D69"/>
    <w:rsid w:val="00361A05"/>
    <w:rsid w:val="00361B77"/>
    <w:rsid w:val="003624C4"/>
    <w:rsid w:val="00362B3E"/>
    <w:rsid w:val="00362BEB"/>
    <w:rsid w:val="00362E54"/>
    <w:rsid w:val="0036314B"/>
    <w:rsid w:val="00363B00"/>
    <w:rsid w:val="00364248"/>
    <w:rsid w:val="003654AC"/>
    <w:rsid w:val="00365A5B"/>
    <w:rsid w:val="00365A71"/>
    <w:rsid w:val="0036716E"/>
    <w:rsid w:val="00367260"/>
    <w:rsid w:val="00370549"/>
    <w:rsid w:val="003705C6"/>
    <w:rsid w:val="003710CF"/>
    <w:rsid w:val="003727DD"/>
    <w:rsid w:val="00372BAE"/>
    <w:rsid w:val="0037358A"/>
    <w:rsid w:val="00373870"/>
    <w:rsid w:val="00373A76"/>
    <w:rsid w:val="00374359"/>
    <w:rsid w:val="003744A6"/>
    <w:rsid w:val="003748FE"/>
    <w:rsid w:val="00374AAA"/>
    <w:rsid w:val="003750F6"/>
    <w:rsid w:val="003752EF"/>
    <w:rsid w:val="00375BEC"/>
    <w:rsid w:val="003760FC"/>
    <w:rsid w:val="00376BB9"/>
    <w:rsid w:val="003773A7"/>
    <w:rsid w:val="00377683"/>
    <w:rsid w:val="0037773D"/>
    <w:rsid w:val="00381AD8"/>
    <w:rsid w:val="0038211B"/>
    <w:rsid w:val="003822E0"/>
    <w:rsid w:val="0038236C"/>
    <w:rsid w:val="00382862"/>
    <w:rsid w:val="003831D2"/>
    <w:rsid w:val="00383335"/>
    <w:rsid w:val="0038340E"/>
    <w:rsid w:val="0038365C"/>
    <w:rsid w:val="0038369B"/>
    <w:rsid w:val="00383B78"/>
    <w:rsid w:val="00383CE3"/>
    <w:rsid w:val="0038421D"/>
    <w:rsid w:val="0038436E"/>
    <w:rsid w:val="00384891"/>
    <w:rsid w:val="00384C5F"/>
    <w:rsid w:val="003855CA"/>
    <w:rsid w:val="0038597A"/>
    <w:rsid w:val="00385A9D"/>
    <w:rsid w:val="00385ABF"/>
    <w:rsid w:val="003860C3"/>
    <w:rsid w:val="003871EB"/>
    <w:rsid w:val="0038744C"/>
    <w:rsid w:val="00387491"/>
    <w:rsid w:val="003874C7"/>
    <w:rsid w:val="00387AC4"/>
    <w:rsid w:val="00387C30"/>
    <w:rsid w:val="0039025A"/>
    <w:rsid w:val="003902B1"/>
    <w:rsid w:val="00391190"/>
    <w:rsid w:val="0039179C"/>
    <w:rsid w:val="0039203D"/>
    <w:rsid w:val="0039225D"/>
    <w:rsid w:val="003930BF"/>
    <w:rsid w:val="00393312"/>
    <w:rsid w:val="00393DC6"/>
    <w:rsid w:val="00393F8A"/>
    <w:rsid w:val="00395B09"/>
    <w:rsid w:val="00395EF5"/>
    <w:rsid w:val="00396700"/>
    <w:rsid w:val="00396896"/>
    <w:rsid w:val="00396FD0"/>
    <w:rsid w:val="003970B6"/>
    <w:rsid w:val="003978CA"/>
    <w:rsid w:val="003A01EF"/>
    <w:rsid w:val="003A03FB"/>
    <w:rsid w:val="003A102E"/>
    <w:rsid w:val="003A15C6"/>
    <w:rsid w:val="003A18DE"/>
    <w:rsid w:val="003A1A7A"/>
    <w:rsid w:val="003A2392"/>
    <w:rsid w:val="003A2831"/>
    <w:rsid w:val="003A2C3F"/>
    <w:rsid w:val="003A3CB6"/>
    <w:rsid w:val="003A3ED1"/>
    <w:rsid w:val="003A44DB"/>
    <w:rsid w:val="003A5926"/>
    <w:rsid w:val="003A651D"/>
    <w:rsid w:val="003A7067"/>
    <w:rsid w:val="003A79DF"/>
    <w:rsid w:val="003A7BEB"/>
    <w:rsid w:val="003A7F9A"/>
    <w:rsid w:val="003B22F8"/>
    <w:rsid w:val="003B27DD"/>
    <w:rsid w:val="003B3971"/>
    <w:rsid w:val="003B4D1E"/>
    <w:rsid w:val="003B55D1"/>
    <w:rsid w:val="003B5B61"/>
    <w:rsid w:val="003B6526"/>
    <w:rsid w:val="003B74B6"/>
    <w:rsid w:val="003B7BC5"/>
    <w:rsid w:val="003B7E5B"/>
    <w:rsid w:val="003C132F"/>
    <w:rsid w:val="003C1395"/>
    <w:rsid w:val="003C1654"/>
    <w:rsid w:val="003C191A"/>
    <w:rsid w:val="003C19BB"/>
    <w:rsid w:val="003C1E77"/>
    <w:rsid w:val="003C1FB2"/>
    <w:rsid w:val="003C2812"/>
    <w:rsid w:val="003C380D"/>
    <w:rsid w:val="003C3DEF"/>
    <w:rsid w:val="003C3FE5"/>
    <w:rsid w:val="003C48A4"/>
    <w:rsid w:val="003C48F2"/>
    <w:rsid w:val="003C4D11"/>
    <w:rsid w:val="003C5542"/>
    <w:rsid w:val="003C5709"/>
    <w:rsid w:val="003C5849"/>
    <w:rsid w:val="003C5931"/>
    <w:rsid w:val="003C619E"/>
    <w:rsid w:val="003C6D5A"/>
    <w:rsid w:val="003C727B"/>
    <w:rsid w:val="003C778A"/>
    <w:rsid w:val="003C78E8"/>
    <w:rsid w:val="003C7D19"/>
    <w:rsid w:val="003C7D2F"/>
    <w:rsid w:val="003C7DD1"/>
    <w:rsid w:val="003C7ECA"/>
    <w:rsid w:val="003D0168"/>
    <w:rsid w:val="003D01C9"/>
    <w:rsid w:val="003D1542"/>
    <w:rsid w:val="003D180E"/>
    <w:rsid w:val="003D1828"/>
    <w:rsid w:val="003D1CA3"/>
    <w:rsid w:val="003D1DE4"/>
    <w:rsid w:val="003D1DFE"/>
    <w:rsid w:val="003D1E7B"/>
    <w:rsid w:val="003D1E9A"/>
    <w:rsid w:val="003D2422"/>
    <w:rsid w:val="003D2478"/>
    <w:rsid w:val="003D2CD3"/>
    <w:rsid w:val="003D2FFD"/>
    <w:rsid w:val="003D39A1"/>
    <w:rsid w:val="003D39DA"/>
    <w:rsid w:val="003D3FBF"/>
    <w:rsid w:val="003D4A30"/>
    <w:rsid w:val="003D564E"/>
    <w:rsid w:val="003D7452"/>
    <w:rsid w:val="003D76D1"/>
    <w:rsid w:val="003D79BB"/>
    <w:rsid w:val="003D7B3C"/>
    <w:rsid w:val="003D7C98"/>
    <w:rsid w:val="003D7D9D"/>
    <w:rsid w:val="003E0543"/>
    <w:rsid w:val="003E207E"/>
    <w:rsid w:val="003E2157"/>
    <w:rsid w:val="003E3065"/>
    <w:rsid w:val="003E339F"/>
    <w:rsid w:val="003E3F7C"/>
    <w:rsid w:val="003E49F4"/>
    <w:rsid w:val="003E4E18"/>
    <w:rsid w:val="003E6D43"/>
    <w:rsid w:val="003E6D47"/>
    <w:rsid w:val="003E6DDB"/>
    <w:rsid w:val="003E702E"/>
    <w:rsid w:val="003E731A"/>
    <w:rsid w:val="003E733E"/>
    <w:rsid w:val="003E749E"/>
    <w:rsid w:val="003E7543"/>
    <w:rsid w:val="003E76CF"/>
    <w:rsid w:val="003E7B55"/>
    <w:rsid w:val="003F0355"/>
    <w:rsid w:val="003F0767"/>
    <w:rsid w:val="003F0D8A"/>
    <w:rsid w:val="003F1F27"/>
    <w:rsid w:val="003F21EF"/>
    <w:rsid w:val="003F24DA"/>
    <w:rsid w:val="003F25AC"/>
    <w:rsid w:val="003F294F"/>
    <w:rsid w:val="003F2D7B"/>
    <w:rsid w:val="003F32FA"/>
    <w:rsid w:val="003F3A7B"/>
    <w:rsid w:val="003F4156"/>
    <w:rsid w:val="003F448C"/>
    <w:rsid w:val="003F5ADF"/>
    <w:rsid w:val="003F5DCF"/>
    <w:rsid w:val="003F691B"/>
    <w:rsid w:val="003F768A"/>
    <w:rsid w:val="003F7ACC"/>
    <w:rsid w:val="00400B29"/>
    <w:rsid w:val="00401A7F"/>
    <w:rsid w:val="004025E6"/>
    <w:rsid w:val="0040260B"/>
    <w:rsid w:val="0040264C"/>
    <w:rsid w:val="00403607"/>
    <w:rsid w:val="00403C45"/>
    <w:rsid w:val="00404482"/>
    <w:rsid w:val="0040504B"/>
    <w:rsid w:val="004059F4"/>
    <w:rsid w:val="00407594"/>
    <w:rsid w:val="00407FE5"/>
    <w:rsid w:val="004101B0"/>
    <w:rsid w:val="00410326"/>
    <w:rsid w:val="00410708"/>
    <w:rsid w:val="00410AD4"/>
    <w:rsid w:val="00410EC7"/>
    <w:rsid w:val="00411635"/>
    <w:rsid w:val="00411B39"/>
    <w:rsid w:val="00411D73"/>
    <w:rsid w:val="0041236F"/>
    <w:rsid w:val="004126F4"/>
    <w:rsid w:val="004127A7"/>
    <w:rsid w:val="004132FB"/>
    <w:rsid w:val="00413513"/>
    <w:rsid w:val="00413A1E"/>
    <w:rsid w:val="00414476"/>
    <w:rsid w:val="00414C2E"/>
    <w:rsid w:val="00414D98"/>
    <w:rsid w:val="00414E21"/>
    <w:rsid w:val="00415185"/>
    <w:rsid w:val="004151CF"/>
    <w:rsid w:val="0041542B"/>
    <w:rsid w:val="00416364"/>
    <w:rsid w:val="00416B2A"/>
    <w:rsid w:val="00417C19"/>
    <w:rsid w:val="0042047F"/>
    <w:rsid w:val="00420AA6"/>
    <w:rsid w:val="00420B9F"/>
    <w:rsid w:val="00420BE2"/>
    <w:rsid w:val="00420C13"/>
    <w:rsid w:val="0042192C"/>
    <w:rsid w:val="00421AD8"/>
    <w:rsid w:val="00422260"/>
    <w:rsid w:val="00422280"/>
    <w:rsid w:val="0042236A"/>
    <w:rsid w:val="00423B24"/>
    <w:rsid w:val="0042413F"/>
    <w:rsid w:val="004242EF"/>
    <w:rsid w:val="00424DAC"/>
    <w:rsid w:val="00424E7E"/>
    <w:rsid w:val="0042626B"/>
    <w:rsid w:val="00427946"/>
    <w:rsid w:val="00427A9A"/>
    <w:rsid w:val="00427C85"/>
    <w:rsid w:val="00430544"/>
    <w:rsid w:val="004305DF"/>
    <w:rsid w:val="004319F8"/>
    <w:rsid w:val="00431E55"/>
    <w:rsid w:val="004321F6"/>
    <w:rsid w:val="0043233C"/>
    <w:rsid w:val="00432F45"/>
    <w:rsid w:val="00432F6E"/>
    <w:rsid w:val="00433044"/>
    <w:rsid w:val="0043361F"/>
    <w:rsid w:val="00433E43"/>
    <w:rsid w:val="00434088"/>
    <w:rsid w:val="004345D0"/>
    <w:rsid w:val="00434CC9"/>
    <w:rsid w:val="004364A2"/>
    <w:rsid w:val="00436CE8"/>
    <w:rsid w:val="00436D36"/>
    <w:rsid w:val="004375B9"/>
    <w:rsid w:val="0043772E"/>
    <w:rsid w:val="00440839"/>
    <w:rsid w:val="00440B86"/>
    <w:rsid w:val="004416FC"/>
    <w:rsid w:val="00442837"/>
    <w:rsid w:val="004428D0"/>
    <w:rsid w:val="00443067"/>
    <w:rsid w:val="00444056"/>
    <w:rsid w:val="00444185"/>
    <w:rsid w:val="0044422C"/>
    <w:rsid w:val="004443A7"/>
    <w:rsid w:val="0044442C"/>
    <w:rsid w:val="00444E13"/>
    <w:rsid w:val="00445719"/>
    <w:rsid w:val="00445941"/>
    <w:rsid w:val="004464EB"/>
    <w:rsid w:val="00447D26"/>
    <w:rsid w:val="00447DFC"/>
    <w:rsid w:val="0045041B"/>
    <w:rsid w:val="004504EE"/>
    <w:rsid w:val="00451144"/>
    <w:rsid w:val="00451175"/>
    <w:rsid w:val="004520B3"/>
    <w:rsid w:val="00452214"/>
    <w:rsid w:val="00452D88"/>
    <w:rsid w:val="00453F81"/>
    <w:rsid w:val="0045472D"/>
    <w:rsid w:val="004551BC"/>
    <w:rsid w:val="004553B9"/>
    <w:rsid w:val="004554CC"/>
    <w:rsid w:val="00455A4E"/>
    <w:rsid w:val="00455BD9"/>
    <w:rsid w:val="00455C7B"/>
    <w:rsid w:val="00455D45"/>
    <w:rsid w:val="00455DAE"/>
    <w:rsid w:val="00456951"/>
    <w:rsid w:val="00456B63"/>
    <w:rsid w:val="00456BFD"/>
    <w:rsid w:val="00456EBB"/>
    <w:rsid w:val="00456F32"/>
    <w:rsid w:val="0045762C"/>
    <w:rsid w:val="0046048B"/>
    <w:rsid w:val="004604B9"/>
    <w:rsid w:val="00460520"/>
    <w:rsid w:val="00460907"/>
    <w:rsid w:val="00461D18"/>
    <w:rsid w:val="00461F85"/>
    <w:rsid w:val="00462898"/>
    <w:rsid w:val="00463828"/>
    <w:rsid w:val="004642A5"/>
    <w:rsid w:val="00464595"/>
    <w:rsid w:val="00464A07"/>
    <w:rsid w:val="00464EC9"/>
    <w:rsid w:val="00464FBA"/>
    <w:rsid w:val="004651B9"/>
    <w:rsid w:val="004656C7"/>
    <w:rsid w:val="004658B5"/>
    <w:rsid w:val="00465E6C"/>
    <w:rsid w:val="0046704B"/>
    <w:rsid w:val="00467736"/>
    <w:rsid w:val="00467876"/>
    <w:rsid w:val="00467A3A"/>
    <w:rsid w:val="00470063"/>
    <w:rsid w:val="00470F11"/>
    <w:rsid w:val="00471924"/>
    <w:rsid w:val="00471DF6"/>
    <w:rsid w:val="00471E0C"/>
    <w:rsid w:val="00471EA5"/>
    <w:rsid w:val="00472679"/>
    <w:rsid w:val="00472A79"/>
    <w:rsid w:val="004733C8"/>
    <w:rsid w:val="00473F19"/>
    <w:rsid w:val="004741D2"/>
    <w:rsid w:val="00474BA2"/>
    <w:rsid w:val="00474F38"/>
    <w:rsid w:val="00475103"/>
    <w:rsid w:val="00475E22"/>
    <w:rsid w:val="00477D96"/>
    <w:rsid w:val="00477DBE"/>
    <w:rsid w:val="00477FB4"/>
    <w:rsid w:val="004804F3"/>
    <w:rsid w:val="0048088E"/>
    <w:rsid w:val="00480F2B"/>
    <w:rsid w:val="00480FF6"/>
    <w:rsid w:val="004815DD"/>
    <w:rsid w:val="00481903"/>
    <w:rsid w:val="00482641"/>
    <w:rsid w:val="00482720"/>
    <w:rsid w:val="00482BF4"/>
    <w:rsid w:val="004835E7"/>
    <w:rsid w:val="00483B2F"/>
    <w:rsid w:val="00483DE0"/>
    <w:rsid w:val="004845A9"/>
    <w:rsid w:val="004846C8"/>
    <w:rsid w:val="0048507D"/>
    <w:rsid w:val="004851F1"/>
    <w:rsid w:val="00485453"/>
    <w:rsid w:val="00485489"/>
    <w:rsid w:val="004865D5"/>
    <w:rsid w:val="004867E2"/>
    <w:rsid w:val="004878A7"/>
    <w:rsid w:val="00487EA2"/>
    <w:rsid w:val="00490375"/>
    <w:rsid w:val="00490B17"/>
    <w:rsid w:val="00490F1E"/>
    <w:rsid w:val="00491671"/>
    <w:rsid w:val="004916A4"/>
    <w:rsid w:val="00491B3A"/>
    <w:rsid w:val="00492CFD"/>
    <w:rsid w:val="00492E50"/>
    <w:rsid w:val="004932E1"/>
    <w:rsid w:val="00493FFD"/>
    <w:rsid w:val="00494207"/>
    <w:rsid w:val="0049465A"/>
    <w:rsid w:val="00494DD5"/>
    <w:rsid w:val="004955C6"/>
    <w:rsid w:val="004959E6"/>
    <w:rsid w:val="004962D2"/>
    <w:rsid w:val="00496C65"/>
    <w:rsid w:val="00497326"/>
    <w:rsid w:val="00497C5F"/>
    <w:rsid w:val="004A02DD"/>
    <w:rsid w:val="004A0595"/>
    <w:rsid w:val="004A079E"/>
    <w:rsid w:val="004A0A8A"/>
    <w:rsid w:val="004A0BAE"/>
    <w:rsid w:val="004A0DA1"/>
    <w:rsid w:val="004A122A"/>
    <w:rsid w:val="004A13D6"/>
    <w:rsid w:val="004A3364"/>
    <w:rsid w:val="004A36B3"/>
    <w:rsid w:val="004A3A96"/>
    <w:rsid w:val="004A3F09"/>
    <w:rsid w:val="004A3FA2"/>
    <w:rsid w:val="004A44F1"/>
    <w:rsid w:val="004A48B1"/>
    <w:rsid w:val="004A4931"/>
    <w:rsid w:val="004A52E9"/>
    <w:rsid w:val="004A567D"/>
    <w:rsid w:val="004A6040"/>
    <w:rsid w:val="004A626F"/>
    <w:rsid w:val="004A6464"/>
    <w:rsid w:val="004A6597"/>
    <w:rsid w:val="004A6BF7"/>
    <w:rsid w:val="004A7848"/>
    <w:rsid w:val="004A7A4B"/>
    <w:rsid w:val="004B045D"/>
    <w:rsid w:val="004B0871"/>
    <w:rsid w:val="004B0D4A"/>
    <w:rsid w:val="004B16F2"/>
    <w:rsid w:val="004B1CB4"/>
    <w:rsid w:val="004B28A4"/>
    <w:rsid w:val="004B2F18"/>
    <w:rsid w:val="004B316C"/>
    <w:rsid w:val="004B3238"/>
    <w:rsid w:val="004B35A5"/>
    <w:rsid w:val="004B3729"/>
    <w:rsid w:val="004B3DDB"/>
    <w:rsid w:val="004B40EC"/>
    <w:rsid w:val="004B44FD"/>
    <w:rsid w:val="004B56BA"/>
    <w:rsid w:val="004B5CFC"/>
    <w:rsid w:val="004B6416"/>
    <w:rsid w:val="004B6445"/>
    <w:rsid w:val="004B6F79"/>
    <w:rsid w:val="004B7234"/>
    <w:rsid w:val="004B774D"/>
    <w:rsid w:val="004B78B8"/>
    <w:rsid w:val="004B7F4B"/>
    <w:rsid w:val="004C04A1"/>
    <w:rsid w:val="004C0D8B"/>
    <w:rsid w:val="004C16F8"/>
    <w:rsid w:val="004C1AE7"/>
    <w:rsid w:val="004C1C90"/>
    <w:rsid w:val="004C1EBE"/>
    <w:rsid w:val="004C1FBB"/>
    <w:rsid w:val="004C2CDA"/>
    <w:rsid w:val="004C2E7E"/>
    <w:rsid w:val="004C44D5"/>
    <w:rsid w:val="004C4972"/>
    <w:rsid w:val="004C4AED"/>
    <w:rsid w:val="004C5994"/>
    <w:rsid w:val="004C5AD1"/>
    <w:rsid w:val="004C779C"/>
    <w:rsid w:val="004D0A4D"/>
    <w:rsid w:val="004D10FD"/>
    <w:rsid w:val="004D2135"/>
    <w:rsid w:val="004D285E"/>
    <w:rsid w:val="004D2C2D"/>
    <w:rsid w:val="004D2D29"/>
    <w:rsid w:val="004D3835"/>
    <w:rsid w:val="004D3E62"/>
    <w:rsid w:val="004D4EB8"/>
    <w:rsid w:val="004D5D96"/>
    <w:rsid w:val="004D69B5"/>
    <w:rsid w:val="004D7227"/>
    <w:rsid w:val="004D7657"/>
    <w:rsid w:val="004D78C7"/>
    <w:rsid w:val="004E0216"/>
    <w:rsid w:val="004E02C6"/>
    <w:rsid w:val="004E08C8"/>
    <w:rsid w:val="004E0A63"/>
    <w:rsid w:val="004E0ABD"/>
    <w:rsid w:val="004E0E7F"/>
    <w:rsid w:val="004E0EB8"/>
    <w:rsid w:val="004E14CD"/>
    <w:rsid w:val="004E18E9"/>
    <w:rsid w:val="004E1921"/>
    <w:rsid w:val="004E1CDF"/>
    <w:rsid w:val="004E2ADC"/>
    <w:rsid w:val="004E2CAC"/>
    <w:rsid w:val="004E2EC1"/>
    <w:rsid w:val="004E2ECB"/>
    <w:rsid w:val="004E354A"/>
    <w:rsid w:val="004E43B2"/>
    <w:rsid w:val="004E4789"/>
    <w:rsid w:val="004E688E"/>
    <w:rsid w:val="004E74D3"/>
    <w:rsid w:val="004F0F68"/>
    <w:rsid w:val="004F126C"/>
    <w:rsid w:val="004F1D02"/>
    <w:rsid w:val="004F2148"/>
    <w:rsid w:val="004F2679"/>
    <w:rsid w:val="004F2BF0"/>
    <w:rsid w:val="004F2F21"/>
    <w:rsid w:val="004F3319"/>
    <w:rsid w:val="004F396F"/>
    <w:rsid w:val="004F3DE5"/>
    <w:rsid w:val="004F42B7"/>
    <w:rsid w:val="004F4B51"/>
    <w:rsid w:val="004F506F"/>
    <w:rsid w:val="004F5763"/>
    <w:rsid w:val="004F5C50"/>
    <w:rsid w:val="004F6913"/>
    <w:rsid w:val="004F6964"/>
    <w:rsid w:val="004F744A"/>
    <w:rsid w:val="004F754A"/>
    <w:rsid w:val="004F7865"/>
    <w:rsid w:val="004F7F4A"/>
    <w:rsid w:val="005003AB"/>
    <w:rsid w:val="005008D7"/>
    <w:rsid w:val="00500AEB"/>
    <w:rsid w:val="00500F5E"/>
    <w:rsid w:val="0050124D"/>
    <w:rsid w:val="0050151D"/>
    <w:rsid w:val="0050174E"/>
    <w:rsid w:val="00501854"/>
    <w:rsid w:val="00501C4C"/>
    <w:rsid w:val="00501CD2"/>
    <w:rsid w:val="00501FAE"/>
    <w:rsid w:val="00502120"/>
    <w:rsid w:val="0050219B"/>
    <w:rsid w:val="00502AEC"/>
    <w:rsid w:val="0050342B"/>
    <w:rsid w:val="0050344A"/>
    <w:rsid w:val="00503B3A"/>
    <w:rsid w:val="00503F17"/>
    <w:rsid w:val="00504066"/>
    <w:rsid w:val="00504306"/>
    <w:rsid w:val="00504A83"/>
    <w:rsid w:val="00504A96"/>
    <w:rsid w:val="0050585F"/>
    <w:rsid w:val="00505AF9"/>
    <w:rsid w:val="0050629F"/>
    <w:rsid w:val="005065A3"/>
    <w:rsid w:val="00506928"/>
    <w:rsid w:val="005071A4"/>
    <w:rsid w:val="0050721B"/>
    <w:rsid w:val="005077EF"/>
    <w:rsid w:val="00507B43"/>
    <w:rsid w:val="005103BF"/>
    <w:rsid w:val="00511AD5"/>
    <w:rsid w:val="00511DC7"/>
    <w:rsid w:val="00512062"/>
    <w:rsid w:val="005120EC"/>
    <w:rsid w:val="005134E6"/>
    <w:rsid w:val="00513996"/>
    <w:rsid w:val="005142C5"/>
    <w:rsid w:val="0051432F"/>
    <w:rsid w:val="00514677"/>
    <w:rsid w:val="00514906"/>
    <w:rsid w:val="0051501B"/>
    <w:rsid w:val="005152B5"/>
    <w:rsid w:val="005178D4"/>
    <w:rsid w:val="0051795B"/>
    <w:rsid w:val="0052025E"/>
    <w:rsid w:val="00521197"/>
    <w:rsid w:val="0052123C"/>
    <w:rsid w:val="00521319"/>
    <w:rsid w:val="00522388"/>
    <w:rsid w:val="00522BC8"/>
    <w:rsid w:val="005232E0"/>
    <w:rsid w:val="00523C28"/>
    <w:rsid w:val="0052440E"/>
    <w:rsid w:val="00524A0E"/>
    <w:rsid w:val="00524E9B"/>
    <w:rsid w:val="005257D8"/>
    <w:rsid w:val="00525897"/>
    <w:rsid w:val="00525A94"/>
    <w:rsid w:val="00525D6A"/>
    <w:rsid w:val="00526D82"/>
    <w:rsid w:val="005278AE"/>
    <w:rsid w:val="00527FD2"/>
    <w:rsid w:val="005304FC"/>
    <w:rsid w:val="00530D27"/>
    <w:rsid w:val="005315C3"/>
    <w:rsid w:val="0053176B"/>
    <w:rsid w:val="005318F9"/>
    <w:rsid w:val="0053196D"/>
    <w:rsid w:val="005319B0"/>
    <w:rsid w:val="00531C03"/>
    <w:rsid w:val="00531CA5"/>
    <w:rsid w:val="00531E62"/>
    <w:rsid w:val="00531F1D"/>
    <w:rsid w:val="005324A3"/>
    <w:rsid w:val="00532874"/>
    <w:rsid w:val="0053290B"/>
    <w:rsid w:val="00533356"/>
    <w:rsid w:val="00533435"/>
    <w:rsid w:val="0053389E"/>
    <w:rsid w:val="00533A7F"/>
    <w:rsid w:val="00534283"/>
    <w:rsid w:val="00534531"/>
    <w:rsid w:val="00534844"/>
    <w:rsid w:val="00534BCE"/>
    <w:rsid w:val="00534CE2"/>
    <w:rsid w:val="00534F07"/>
    <w:rsid w:val="00535373"/>
    <w:rsid w:val="005361B9"/>
    <w:rsid w:val="00536F30"/>
    <w:rsid w:val="00536F42"/>
    <w:rsid w:val="00537182"/>
    <w:rsid w:val="00537278"/>
    <w:rsid w:val="00537A0E"/>
    <w:rsid w:val="0054013C"/>
    <w:rsid w:val="00541798"/>
    <w:rsid w:val="00541DA6"/>
    <w:rsid w:val="00541EDD"/>
    <w:rsid w:val="0054271D"/>
    <w:rsid w:val="00542743"/>
    <w:rsid w:val="00542C2D"/>
    <w:rsid w:val="00543943"/>
    <w:rsid w:val="00543B7E"/>
    <w:rsid w:val="00544256"/>
    <w:rsid w:val="0054481B"/>
    <w:rsid w:val="005453D9"/>
    <w:rsid w:val="005456EE"/>
    <w:rsid w:val="005478BD"/>
    <w:rsid w:val="005479E3"/>
    <w:rsid w:val="00547F20"/>
    <w:rsid w:val="00547F6D"/>
    <w:rsid w:val="00551034"/>
    <w:rsid w:val="0055178B"/>
    <w:rsid w:val="00551985"/>
    <w:rsid w:val="00551EAA"/>
    <w:rsid w:val="005529E8"/>
    <w:rsid w:val="00552BD3"/>
    <w:rsid w:val="005532A0"/>
    <w:rsid w:val="00555109"/>
    <w:rsid w:val="00556B35"/>
    <w:rsid w:val="0055741A"/>
    <w:rsid w:val="00557E0C"/>
    <w:rsid w:val="005605D9"/>
    <w:rsid w:val="005611B7"/>
    <w:rsid w:val="005618D4"/>
    <w:rsid w:val="005621A2"/>
    <w:rsid w:val="0056290A"/>
    <w:rsid w:val="00562E93"/>
    <w:rsid w:val="00563017"/>
    <w:rsid w:val="00565DF0"/>
    <w:rsid w:val="0056640D"/>
    <w:rsid w:val="005668EF"/>
    <w:rsid w:val="0056696F"/>
    <w:rsid w:val="00566C3D"/>
    <w:rsid w:val="00566D20"/>
    <w:rsid w:val="00566DBE"/>
    <w:rsid w:val="00567574"/>
    <w:rsid w:val="00567DC3"/>
    <w:rsid w:val="0057039D"/>
    <w:rsid w:val="0057079E"/>
    <w:rsid w:val="00570B5A"/>
    <w:rsid w:val="00570FE3"/>
    <w:rsid w:val="005712E4"/>
    <w:rsid w:val="005717C6"/>
    <w:rsid w:val="0057198F"/>
    <w:rsid w:val="00572269"/>
    <w:rsid w:val="0057244A"/>
    <w:rsid w:val="00572F26"/>
    <w:rsid w:val="00573674"/>
    <w:rsid w:val="005736E8"/>
    <w:rsid w:val="005739AD"/>
    <w:rsid w:val="00573E2A"/>
    <w:rsid w:val="005740BE"/>
    <w:rsid w:val="00574986"/>
    <w:rsid w:val="005750C5"/>
    <w:rsid w:val="005752DE"/>
    <w:rsid w:val="005754C7"/>
    <w:rsid w:val="00575687"/>
    <w:rsid w:val="00575AB2"/>
    <w:rsid w:val="00575D8D"/>
    <w:rsid w:val="00575DDC"/>
    <w:rsid w:val="005761D9"/>
    <w:rsid w:val="00576972"/>
    <w:rsid w:val="00577A6C"/>
    <w:rsid w:val="00577BC1"/>
    <w:rsid w:val="00580061"/>
    <w:rsid w:val="00580596"/>
    <w:rsid w:val="005808A4"/>
    <w:rsid w:val="00580AA6"/>
    <w:rsid w:val="00581DB7"/>
    <w:rsid w:val="00582E44"/>
    <w:rsid w:val="0058337D"/>
    <w:rsid w:val="00583699"/>
    <w:rsid w:val="00583B1E"/>
    <w:rsid w:val="00583CA3"/>
    <w:rsid w:val="00584B94"/>
    <w:rsid w:val="00584CF2"/>
    <w:rsid w:val="00585863"/>
    <w:rsid w:val="00585CDD"/>
    <w:rsid w:val="0058626E"/>
    <w:rsid w:val="005866E6"/>
    <w:rsid w:val="00586701"/>
    <w:rsid w:val="00587058"/>
    <w:rsid w:val="005874E2"/>
    <w:rsid w:val="00587785"/>
    <w:rsid w:val="00590C57"/>
    <w:rsid w:val="00590E83"/>
    <w:rsid w:val="00591353"/>
    <w:rsid w:val="00591612"/>
    <w:rsid w:val="00591957"/>
    <w:rsid w:val="0059209E"/>
    <w:rsid w:val="005922F5"/>
    <w:rsid w:val="0059255D"/>
    <w:rsid w:val="00592AE9"/>
    <w:rsid w:val="00592B67"/>
    <w:rsid w:val="00593E7E"/>
    <w:rsid w:val="00593FF5"/>
    <w:rsid w:val="00594516"/>
    <w:rsid w:val="00595141"/>
    <w:rsid w:val="0059546B"/>
    <w:rsid w:val="005956B6"/>
    <w:rsid w:val="00595E7E"/>
    <w:rsid w:val="00597435"/>
    <w:rsid w:val="00597BF9"/>
    <w:rsid w:val="005A04A7"/>
    <w:rsid w:val="005A0F5A"/>
    <w:rsid w:val="005A1B89"/>
    <w:rsid w:val="005A1D82"/>
    <w:rsid w:val="005A21DA"/>
    <w:rsid w:val="005A2376"/>
    <w:rsid w:val="005A309A"/>
    <w:rsid w:val="005A373D"/>
    <w:rsid w:val="005A4DAE"/>
    <w:rsid w:val="005A5163"/>
    <w:rsid w:val="005A67E1"/>
    <w:rsid w:val="005B0363"/>
    <w:rsid w:val="005B04C0"/>
    <w:rsid w:val="005B0A1D"/>
    <w:rsid w:val="005B0B58"/>
    <w:rsid w:val="005B14E6"/>
    <w:rsid w:val="005B1C52"/>
    <w:rsid w:val="005B1D58"/>
    <w:rsid w:val="005B1F43"/>
    <w:rsid w:val="005B25AA"/>
    <w:rsid w:val="005B282F"/>
    <w:rsid w:val="005B28B5"/>
    <w:rsid w:val="005B31DC"/>
    <w:rsid w:val="005B428C"/>
    <w:rsid w:val="005B4E53"/>
    <w:rsid w:val="005B4EA2"/>
    <w:rsid w:val="005B4F6B"/>
    <w:rsid w:val="005B5160"/>
    <w:rsid w:val="005B5857"/>
    <w:rsid w:val="005B611E"/>
    <w:rsid w:val="005B638A"/>
    <w:rsid w:val="005B6661"/>
    <w:rsid w:val="005B6883"/>
    <w:rsid w:val="005B7875"/>
    <w:rsid w:val="005B7F91"/>
    <w:rsid w:val="005C001C"/>
    <w:rsid w:val="005C01B2"/>
    <w:rsid w:val="005C06B7"/>
    <w:rsid w:val="005C1068"/>
    <w:rsid w:val="005C1277"/>
    <w:rsid w:val="005C1B83"/>
    <w:rsid w:val="005C1F0E"/>
    <w:rsid w:val="005C21EE"/>
    <w:rsid w:val="005C251C"/>
    <w:rsid w:val="005C25FF"/>
    <w:rsid w:val="005C2D55"/>
    <w:rsid w:val="005C346B"/>
    <w:rsid w:val="005C4106"/>
    <w:rsid w:val="005C4722"/>
    <w:rsid w:val="005C4F22"/>
    <w:rsid w:val="005C500B"/>
    <w:rsid w:val="005C561C"/>
    <w:rsid w:val="005C5EC0"/>
    <w:rsid w:val="005C60A4"/>
    <w:rsid w:val="005C6970"/>
    <w:rsid w:val="005C7DEA"/>
    <w:rsid w:val="005D044D"/>
    <w:rsid w:val="005D0769"/>
    <w:rsid w:val="005D0ABD"/>
    <w:rsid w:val="005D0C1C"/>
    <w:rsid w:val="005D0D04"/>
    <w:rsid w:val="005D18AD"/>
    <w:rsid w:val="005D1F3B"/>
    <w:rsid w:val="005D26B3"/>
    <w:rsid w:val="005D26B4"/>
    <w:rsid w:val="005D2CCF"/>
    <w:rsid w:val="005D2CF4"/>
    <w:rsid w:val="005D2F60"/>
    <w:rsid w:val="005D3A8F"/>
    <w:rsid w:val="005D428F"/>
    <w:rsid w:val="005D4A57"/>
    <w:rsid w:val="005D4AB0"/>
    <w:rsid w:val="005D4C46"/>
    <w:rsid w:val="005D4E69"/>
    <w:rsid w:val="005D50E6"/>
    <w:rsid w:val="005D782A"/>
    <w:rsid w:val="005E0869"/>
    <w:rsid w:val="005E0D0E"/>
    <w:rsid w:val="005E0E31"/>
    <w:rsid w:val="005E1476"/>
    <w:rsid w:val="005E151F"/>
    <w:rsid w:val="005E1DA0"/>
    <w:rsid w:val="005E2A01"/>
    <w:rsid w:val="005E2EAF"/>
    <w:rsid w:val="005E4A1A"/>
    <w:rsid w:val="005E4B4C"/>
    <w:rsid w:val="005E4B81"/>
    <w:rsid w:val="005E5372"/>
    <w:rsid w:val="005E549D"/>
    <w:rsid w:val="005E563A"/>
    <w:rsid w:val="005E5DAE"/>
    <w:rsid w:val="005E6CBC"/>
    <w:rsid w:val="005E7047"/>
    <w:rsid w:val="005E70F0"/>
    <w:rsid w:val="005E716B"/>
    <w:rsid w:val="005E72FF"/>
    <w:rsid w:val="005E73C0"/>
    <w:rsid w:val="005E7649"/>
    <w:rsid w:val="005E7E98"/>
    <w:rsid w:val="005F2119"/>
    <w:rsid w:val="005F2706"/>
    <w:rsid w:val="005F2772"/>
    <w:rsid w:val="005F2A41"/>
    <w:rsid w:val="005F2F14"/>
    <w:rsid w:val="005F3023"/>
    <w:rsid w:val="005F3414"/>
    <w:rsid w:val="005F36BB"/>
    <w:rsid w:val="005F3CF0"/>
    <w:rsid w:val="005F3DDA"/>
    <w:rsid w:val="005F4167"/>
    <w:rsid w:val="005F442C"/>
    <w:rsid w:val="005F4750"/>
    <w:rsid w:val="005F5396"/>
    <w:rsid w:val="005F609B"/>
    <w:rsid w:val="005F6A8F"/>
    <w:rsid w:val="005F6B1B"/>
    <w:rsid w:val="005F6BB7"/>
    <w:rsid w:val="005F6D77"/>
    <w:rsid w:val="005F7588"/>
    <w:rsid w:val="00600311"/>
    <w:rsid w:val="006004AA"/>
    <w:rsid w:val="00601998"/>
    <w:rsid w:val="00602337"/>
    <w:rsid w:val="00603A33"/>
    <w:rsid w:val="00603DB9"/>
    <w:rsid w:val="00604696"/>
    <w:rsid w:val="00605B20"/>
    <w:rsid w:val="006060F2"/>
    <w:rsid w:val="00606303"/>
    <w:rsid w:val="00606732"/>
    <w:rsid w:val="00606E19"/>
    <w:rsid w:val="00606FBA"/>
    <w:rsid w:val="00607669"/>
    <w:rsid w:val="006076F4"/>
    <w:rsid w:val="00607AFD"/>
    <w:rsid w:val="00610044"/>
    <w:rsid w:val="006102FD"/>
    <w:rsid w:val="0061053F"/>
    <w:rsid w:val="00610725"/>
    <w:rsid w:val="00610761"/>
    <w:rsid w:val="00610DE8"/>
    <w:rsid w:val="0061116B"/>
    <w:rsid w:val="00611250"/>
    <w:rsid w:val="00611985"/>
    <w:rsid w:val="00611B18"/>
    <w:rsid w:val="00612464"/>
    <w:rsid w:val="0061278A"/>
    <w:rsid w:val="00612F97"/>
    <w:rsid w:val="00613143"/>
    <w:rsid w:val="0061329E"/>
    <w:rsid w:val="0061345D"/>
    <w:rsid w:val="006143F3"/>
    <w:rsid w:val="00614AF8"/>
    <w:rsid w:val="0061549B"/>
    <w:rsid w:val="00615601"/>
    <w:rsid w:val="0061576B"/>
    <w:rsid w:val="006157F1"/>
    <w:rsid w:val="00615A6D"/>
    <w:rsid w:val="0061643C"/>
    <w:rsid w:val="00616802"/>
    <w:rsid w:val="00617E12"/>
    <w:rsid w:val="00620AC9"/>
    <w:rsid w:val="00620C25"/>
    <w:rsid w:val="00621477"/>
    <w:rsid w:val="0062162D"/>
    <w:rsid w:val="0062174E"/>
    <w:rsid w:val="00621ADA"/>
    <w:rsid w:val="00622579"/>
    <w:rsid w:val="00622984"/>
    <w:rsid w:val="00622A34"/>
    <w:rsid w:val="00622B63"/>
    <w:rsid w:val="00623E8E"/>
    <w:rsid w:val="00623F7B"/>
    <w:rsid w:val="006244EF"/>
    <w:rsid w:val="00624C16"/>
    <w:rsid w:val="00624DA9"/>
    <w:rsid w:val="00625DAB"/>
    <w:rsid w:val="00626027"/>
    <w:rsid w:val="00627B4C"/>
    <w:rsid w:val="00627CD1"/>
    <w:rsid w:val="00627FF1"/>
    <w:rsid w:val="0063158F"/>
    <w:rsid w:val="00631604"/>
    <w:rsid w:val="006318A4"/>
    <w:rsid w:val="00631D6B"/>
    <w:rsid w:val="00631F9E"/>
    <w:rsid w:val="00632183"/>
    <w:rsid w:val="00632186"/>
    <w:rsid w:val="00632788"/>
    <w:rsid w:val="006330A1"/>
    <w:rsid w:val="00634300"/>
    <w:rsid w:val="0063479F"/>
    <w:rsid w:val="00634C3B"/>
    <w:rsid w:val="0063535A"/>
    <w:rsid w:val="0063538F"/>
    <w:rsid w:val="006353F0"/>
    <w:rsid w:val="006357B5"/>
    <w:rsid w:val="006358DB"/>
    <w:rsid w:val="006364A1"/>
    <w:rsid w:val="006366A9"/>
    <w:rsid w:val="0063678E"/>
    <w:rsid w:val="006373F6"/>
    <w:rsid w:val="00637BFD"/>
    <w:rsid w:val="00640729"/>
    <w:rsid w:val="0064188E"/>
    <w:rsid w:val="00641A9A"/>
    <w:rsid w:val="00641C4E"/>
    <w:rsid w:val="00641FB3"/>
    <w:rsid w:val="00643D0C"/>
    <w:rsid w:val="0064434C"/>
    <w:rsid w:val="006471CC"/>
    <w:rsid w:val="006473E0"/>
    <w:rsid w:val="00647A29"/>
    <w:rsid w:val="00650081"/>
    <w:rsid w:val="006503E3"/>
    <w:rsid w:val="0065079F"/>
    <w:rsid w:val="006511F8"/>
    <w:rsid w:val="006514C1"/>
    <w:rsid w:val="00651509"/>
    <w:rsid w:val="00651A9A"/>
    <w:rsid w:val="00652067"/>
    <w:rsid w:val="00652674"/>
    <w:rsid w:val="006528CF"/>
    <w:rsid w:val="00652A28"/>
    <w:rsid w:val="00653215"/>
    <w:rsid w:val="0065379F"/>
    <w:rsid w:val="00653ED7"/>
    <w:rsid w:val="00654B1A"/>
    <w:rsid w:val="00655757"/>
    <w:rsid w:val="00656188"/>
    <w:rsid w:val="00656958"/>
    <w:rsid w:val="0065700A"/>
    <w:rsid w:val="0065715A"/>
    <w:rsid w:val="006571EA"/>
    <w:rsid w:val="00657E2F"/>
    <w:rsid w:val="006605CC"/>
    <w:rsid w:val="00660872"/>
    <w:rsid w:val="006610F1"/>
    <w:rsid w:val="0066165B"/>
    <w:rsid w:val="006618D8"/>
    <w:rsid w:val="00661B2D"/>
    <w:rsid w:val="00661B88"/>
    <w:rsid w:val="00661C6B"/>
    <w:rsid w:val="006632A8"/>
    <w:rsid w:val="0066387E"/>
    <w:rsid w:val="00665397"/>
    <w:rsid w:val="006662A0"/>
    <w:rsid w:val="00666418"/>
    <w:rsid w:val="0066673D"/>
    <w:rsid w:val="00666A24"/>
    <w:rsid w:val="00666AAA"/>
    <w:rsid w:val="00666D0B"/>
    <w:rsid w:val="00667904"/>
    <w:rsid w:val="00670280"/>
    <w:rsid w:val="0067097B"/>
    <w:rsid w:val="00670D00"/>
    <w:rsid w:val="00670F86"/>
    <w:rsid w:val="00671004"/>
    <w:rsid w:val="00672646"/>
    <w:rsid w:val="0067282C"/>
    <w:rsid w:val="00672B3B"/>
    <w:rsid w:val="006730B9"/>
    <w:rsid w:val="006735E1"/>
    <w:rsid w:val="00673D62"/>
    <w:rsid w:val="00674E42"/>
    <w:rsid w:val="00674F39"/>
    <w:rsid w:val="006754AD"/>
    <w:rsid w:val="00675A87"/>
    <w:rsid w:val="006766A5"/>
    <w:rsid w:val="00676855"/>
    <w:rsid w:val="00676876"/>
    <w:rsid w:val="00676A36"/>
    <w:rsid w:val="00676F38"/>
    <w:rsid w:val="00676F58"/>
    <w:rsid w:val="006772A7"/>
    <w:rsid w:val="00677D19"/>
    <w:rsid w:val="00680D9A"/>
    <w:rsid w:val="006813F8"/>
    <w:rsid w:val="00682112"/>
    <w:rsid w:val="0068243C"/>
    <w:rsid w:val="006827A4"/>
    <w:rsid w:val="00682BA6"/>
    <w:rsid w:val="006833AD"/>
    <w:rsid w:val="00683572"/>
    <w:rsid w:val="006837DC"/>
    <w:rsid w:val="00684F64"/>
    <w:rsid w:val="00685136"/>
    <w:rsid w:val="006859B4"/>
    <w:rsid w:val="00685D37"/>
    <w:rsid w:val="00686518"/>
    <w:rsid w:val="00686957"/>
    <w:rsid w:val="00686F60"/>
    <w:rsid w:val="00687139"/>
    <w:rsid w:val="006872BA"/>
    <w:rsid w:val="00690442"/>
    <w:rsid w:val="00690689"/>
    <w:rsid w:val="00690795"/>
    <w:rsid w:val="006912A0"/>
    <w:rsid w:val="006912AE"/>
    <w:rsid w:val="00691648"/>
    <w:rsid w:val="006917D7"/>
    <w:rsid w:val="00692760"/>
    <w:rsid w:val="0069353A"/>
    <w:rsid w:val="00693C72"/>
    <w:rsid w:val="0069434C"/>
    <w:rsid w:val="00694F44"/>
    <w:rsid w:val="006955E1"/>
    <w:rsid w:val="006959DA"/>
    <w:rsid w:val="006964D8"/>
    <w:rsid w:val="006966F3"/>
    <w:rsid w:val="00696B35"/>
    <w:rsid w:val="00696F51"/>
    <w:rsid w:val="0069721B"/>
    <w:rsid w:val="006979A5"/>
    <w:rsid w:val="006A0D32"/>
    <w:rsid w:val="006A1211"/>
    <w:rsid w:val="006A1355"/>
    <w:rsid w:val="006A15BF"/>
    <w:rsid w:val="006A2590"/>
    <w:rsid w:val="006A2812"/>
    <w:rsid w:val="006A3534"/>
    <w:rsid w:val="006A45EB"/>
    <w:rsid w:val="006A4BBC"/>
    <w:rsid w:val="006A4F25"/>
    <w:rsid w:val="006A5203"/>
    <w:rsid w:val="006A55EA"/>
    <w:rsid w:val="006A5F8F"/>
    <w:rsid w:val="006A62B6"/>
    <w:rsid w:val="006A6B99"/>
    <w:rsid w:val="006A7148"/>
    <w:rsid w:val="006A7243"/>
    <w:rsid w:val="006A7372"/>
    <w:rsid w:val="006A7C5B"/>
    <w:rsid w:val="006A7E5F"/>
    <w:rsid w:val="006B07F3"/>
    <w:rsid w:val="006B0CF9"/>
    <w:rsid w:val="006B0ED8"/>
    <w:rsid w:val="006B160C"/>
    <w:rsid w:val="006B1ED1"/>
    <w:rsid w:val="006B2307"/>
    <w:rsid w:val="006B2542"/>
    <w:rsid w:val="006B261B"/>
    <w:rsid w:val="006B2C90"/>
    <w:rsid w:val="006B35E6"/>
    <w:rsid w:val="006B37B9"/>
    <w:rsid w:val="006B465A"/>
    <w:rsid w:val="006B4DED"/>
    <w:rsid w:val="006B4FC0"/>
    <w:rsid w:val="006B56F6"/>
    <w:rsid w:val="006B6D40"/>
    <w:rsid w:val="006B6DD0"/>
    <w:rsid w:val="006C0399"/>
    <w:rsid w:val="006C07F4"/>
    <w:rsid w:val="006C18BE"/>
    <w:rsid w:val="006C2442"/>
    <w:rsid w:val="006C2A8E"/>
    <w:rsid w:val="006C3255"/>
    <w:rsid w:val="006C39D6"/>
    <w:rsid w:val="006C3F26"/>
    <w:rsid w:val="006C409B"/>
    <w:rsid w:val="006C45EC"/>
    <w:rsid w:val="006C475A"/>
    <w:rsid w:val="006C5B5B"/>
    <w:rsid w:val="006C614D"/>
    <w:rsid w:val="006C61A2"/>
    <w:rsid w:val="006C62B8"/>
    <w:rsid w:val="006C6626"/>
    <w:rsid w:val="006C7425"/>
    <w:rsid w:val="006D0CC9"/>
    <w:rsid w:val="006D0D17"/>
    <w:rsid w:val="006D2194"/>
    <w:rsid w:val="006D2336"/>
    <w:rsid w:val="006D2AB1"/>
    <w:rsid w:val="006D2BC4"/>
    <w:rsid w:val="006D2E5C"/>
    <w:rsid w:val="006D30A4"/>
    <w:rsid w:val="006D3C7D"/>
    <w:rsid w:val="006D4659"/>
    <w:rsid w:val="006D483B"/>
    <w:rsid w:val="006D5CE0"/>
    <w:rsid w:val="006D5D5F"/>
    <w:rsid w:val="006D68FB"/>
    <w:rsid w:val="006D723F"/>
    <w:rsid w:val="006D7D6A"/>
    <w:rsid w:val="006D7E5B"/>
    <w:rsid w:val="006E04F1"/>
    <w:rsid w:val="006E0CA8"/>
    <w:rsid w:val="006E2868"/>
    <w:rsid w:val="006E2EDE"/>
    <w:rsid w:val="006E32C4"/>
    <w:rsid w:val="006E3A38"/>
    <w:rsid w:val="006E3B90"/>
    <w:rsid w:val="006E3D42"/>
    <w:rsid w:val="006E3DD8"/>
    <w:rsid w:val="006E4693"/>
    <w:rsid w:val="006E48ED"/>
    <w:rsid w:val="006E4E8C"/>
    <w:rsid w:val="006E5BD5"/>
    <w:rsid w:val="006E6B69"/>
    <w:rsid w:val="006E7085"/>
    <w:rsid w:val="006F1993"/>
    <w:rsid w:val="006F1AFE"/>
    <w:rsid w:val="006F1C7B"/>
    <w:rsid w:val="006F2C94"/>
    <w:rsid w:val="006F306C"/>
    <w:rsid w:val="006F3A83"/>
    <w:rsid w:val="006F3B54"/>
    <w:rsid w:val="006F5208"/>
    <w:rsid w:val="006F56EE"/>
    <w:rsid w:val="006F5B36"/>
    <w:rsid w:val="006F5CA1"/>
    <w:rsid w:val="006F5E97"/>
    <w:rsid w:val="006F63A5"/>
    <w:rsid w:val="006F645D"/>
    <w:rsid w:val="006F697F"/>
    <w:rsid w:val="0070142B"/>
    <w:rsid w:val="0070178E"/>
    <w:rsid w:val="00701AB1"/>
    <w:rsid w:val="007024EB"/>
    <w:rsid w:val="00702762"/>
    <w:rsid w:val="0070276E"/>
    <w:rsid w:val="00702969"/>
    <w:rsid w:val="00702BFD"/>
    <w:rsid w:val="00702F8F"/>
    <w:rsid w:val="00702FC2"/>
    <w:rsid w:val="00704A8B"/>
    <w:rsid w:val="00705317"/>
    <w:rsid w:val="007078CE"/>
    <w:rsid w:val="007079FC"/>
    <w:rsid w:val="00710A3D"/>
    <w:rsid w:val="007113B1"/>
    <w:rsid w:val="0071171B"/>
    <w:rsid w:val="007119CD"/>
    <w:rsid w:val="00711A36"/>
    <w:rsid w:val="00712225"/>
    <w:rsid w:val="007122B0"/>
    <w:rsid w:val="00713019"/>
    <w:rsid w:val="00713599"/>
    <w:rsid w:val="0071389D"/>
    <w:rsid w:val="00713D4D"/>
    <w:rsid w:val="00714027"/>
    <w:rsid w:val="00714BA5"/>
    <w:rsid w:val="00714C26"/>
    <w:rsid w:val="00714D8B"/>
    <w:rsid w:val="0071529C"/>
    <w:rsid w:val="007159F0"/>
    <w:rsid w:val="00716167"/>
    <w:rsid w:val="00716A42"/>
    <w:rsid w:val="007170DA"/>
    <w:rsid w:val="007172AD"/>
    <w:rsid w:val="007172D4"/>
    <w:rsid w:val="00717B41"/>
    <w:rsid w:val="00720149"/>
    <w:rsid w:val="007201EA"/>
    <w:rsid w:val="00720534"/>
    <w:rsid w:val="00720801"/>
    <w:rsid w:val="007208EB"/>
    <w:rsid w:val="00720A2C"/>
    <w:rsid w:val="00720F10"/>
    <w:rsid w:val="0072124F"/>
    <w:rsid w:val="00721F18"/>
    <w:rsid w:val="0072219F"/>
    <w:rsid w:val="007228CD"/>
    <w:rsid w:val="00722B1B"/>
    <w:rsid w:val="00723C84"/>
    <w:rsid w:val="0072416F"/>
    <w:rsid w:val="007249DD"/>
    <w:rsid w:val="00725747"/>
    <w:rsid w:val="00725B78"/>
    <w:rsid w:val="007260A9"/>
    <w:rsid w:val="00726C9A"/>
    <w:rsid w:val="007272C6"/>
    <w:rsid w:val="007275E4"/>
    <w:rsid w:val="00727C94"/>
    <w:rsid w:val="007301DE"/>
    <w:rsid w:val="0073085E"/>
    <w:rsid w:val="00731B0A"/>
    <w:rsid w:val="00731EAE"/>
    <w:rsid w:val="0073273C"/>
    <w:rsid w:val="00732E2C"/>
    <w:rsid w:val="00733073"/>
    <w:rsid w:val="0073442C"/>
    <w:rsid w:val="00734473"/>
    <w:rsid w:val="007345BD"/>
    <w:rsid w:val="007348DD"/>
    <w:rsid w:val="00735033"/>
    <w:rsid w:val="007351F1"/>
    <w:rsid w:val="00735328"/>
    <w:rsid w:val="007357A4"/>
    <w:rsid w:val="007357FE"/>
    <w:rsid w:val="00735CE8"/>
    <w:rsid w:val="0073685B"/>
    <w:rsid w:val="00736C1F"/>
    <w:rsid w:val="007409AC"/>
    <w:rsid w:val="0074183F"/>
    <w:rsid w:val="00741BD0"/>
    <w:rsid w:val="007425EC"/>
    <w:rsid w:val="00743CA7"/>
    <w:rsid w:val="00743ED0"/>
    <w:rsid w:val="007449BF"/>
    <w:rsid w:val="00744DBD"/>
    <w:rsid w:val="00744DBE"/>
    <w:rsid w:val="0074530E"/>
    <w:rsid w:val="00745321"/>
    <w:rsid w:val="00745591"/>
    <w:rsid w:val="0074562D"/>
    <w:rsid w:val="007456D6"/>
    <w:rsid w:val="00745A85"/>
    <w:rsid w:val="00745DDF"/>
    <w:rsid w:val="007468D4"/>
    <w:rsid w:val="00746B31"/>
    <w:rsid w:val="00746BC0"/>
    <w:rsid w:val="00747BA1"/>
    <w:rsid w:val="00747D56"/>
    <w:rsid w:val="00750E62"/>
    <w:rsid w:val="00751090"/>
    <w:rsid w:val="007510B4"/>
    <w:rsid w:val="00751A11"/>
    <w:rsid w:val="00751B80"/>
    <w:rsid w:val="00752139"/>
    <w:rsid w:val="00752142"/>
    <w:rsid w:val="007523F9"/>
    <w:rsid w:val="007533FE"/>
    <w:rsid w:val="0075357E"/>
    <w:rsid w:val="0075399D"/>
    <w:rsid w:val="00754EF8"/>
    <w:rsid w:val="00755252"/>
    <w:rsid w:val="0075550B"/>
    <w:rsid w:val="007559CB"/>
    <w:rsid w:val="007559D2"/>
    <w:rsid w:val="007559DC"/>
    <w:rsid w:val="00756016"/>
    <w:rsid w:val="00756A26"/>
    <w:rsid w:val="00756FA0"/>
    <w:rsid w:val="0075732C"/>
    <w:rsid w:val="007573E8"/>
    <w:rsid w:val="007578AF"/>
    <w:rsid w:val="007579DA"/>
    <w:rsid w:val="00757F52"/>
    <w:rsid w:val="00760C4E"/>
    <w:rsid w:val="00760F9E"/>
    <w:rsid w:val="0076165D"/>
    <w:rsid w:val="00761735"/>
    <w:rsid w:val="007617A7"/>
    <w:rsid w:val="00762740"/>
    <w:rsid w:val="007627BE"/>
    <w:rsid w:val="00762A81"/>
    <w:rsid w:val="00763175"/>
    <w:rsid w:val="007632F0"/>
    <w:rsid w:val="007636B0"/>
    <w:rsid w:val="0076439F"/>
    <w:rsid w:val="0076485B"/>
    <w:rsid w:val="00764964"/>
    <w:rsid w:val="00764F03"/>
    <w:rsid w:val="0076569E"/>
    <w:rsid w:val="00765AB1"/>
    <w:rsid w:val="00765B1A"/>
    <w:rsid w:val="00766000"/>
    <w:rsid w:val="00766656"/>
    <w:rsid w:val="007666C1"/>
    <w:rsid w:val="007701B7"/>
    <w:rsid w:val="00770405"/>
    <w:rsid w:val="0077162E"/>
    <w:rsid w:val="007716AC"/>
    <w:rsid w:val="00771C1C"/>
    <w:rsid w:val="0077217C"/>
    <w:rsid w:val="00772B2E"/>
    <w:rsid w:val="00772CAF"/>
    <w:rsid w:val="00773134"/>
    <w:rsid w:val="007736F0"/>
    <w:rsid w:val="0077388D"/>
    <w:rsid w:val="00773B2C"/>
    <w:rsid w:val="007745A8"/>
    <w:rsid w:val="007748EE"/>
    <w:rsid w:val="00774BCE"/>
    <w:rsid w:val="007750F8"/>
    <w:rsid w:val="007757CD"/>
    <w:rsid w:val="00776147"/>
    <w:rsid w:val="007766AD"/>
    <w:rsid w:val="00776BB0"/>
    <w:rsid w:val="00776D11"/>
    <w:rsid w:val="00776DDA"/>
    <w:rsid w:val="00777335"/>
    <w:rsid w:val="0077745A"/>
    <w:rsid w:val="0077756E"/>
    <w:rsid w:val="00777907"/>
    <w:rsid w:val="00777A5B"/>
    <w:rsid w:val="00777DBA"/>
    <w:rsid w:val="0078077C"/>
    <w:rsid w:val="00781630"/>
    <w:rsid w:val="007819B8"/>
    <w:rsid w:val="0078318F"/>
    <w:rsid w:val="007843F2"/>
    <w:rsid w:val="00784BCA"/>
    <w:rsid w:val="00784BF0"/>
    <w:rsid w:val="00785A9F"/>
    <w:rsid w:val="007865AF"/>
    <w:rsid w:val="00786639"/>
    <w:rsid w:val="00786714"/>
    <w:rsid w:val="00786746"/>
    <w:rsid w:val="00787F99"/>
    <w:rsid w:val="007905B3"/>
    <w:rsid w:val="007919B3"/>
    <w:rsid w:val="00791B19"/>
    <w:rsid w:val="00791FE1"/>
    <w:rsid w:val="007925DF"/>
    <w:rsid w:val="007926F5"/>
    <w:rsid w:val="00792B39"/>
    <w:rsid w:val="00793485"/>
    <w:rsid w:val="007934E2"/>
    <w:rsid w:val="0079362A"/>
    <w:rsid w:val="00793663"/>
    <w:rsid w:val="00793793"/>
    <w:rsid w:val="00793C4E"/>
    <w:rsid w:val="0079450F"/>
    <w:rsid w:val="0079478D"/>
    <w:rsid w:val="00794A30"/>
    <w:rsid w:val="00794F08"/>
    <w:rsid w:val="0079556D"/>
    <w:rsid w:val="00795605"/>
    <w:rsid w:val="0079641E"/>
    <w:rsid w:val="00796DB0"/>
    <w:rsid w:val="00796ED0"/>
    <w:rsid w:val="00797A2B"/>
    <w:rsid w:val="00797C14"/>
    <w:rsid w:val="007A08AA"/>
    <w:rsid w:val="007A0A12"/>
    <w:rsid w:val="007A0BBB"/>
    <w:rsid w:val="007A132D"/>
    <w:rsid w:val="007A1345"/>
    <w:rsid w:val="007A1855"/>
    <w:rsid w:val="007A1949"/>
    <w:rsid w:val="007A2019"/>
    <w:rsid w:val="007A26D9"/>
    <w:rsid w:val="007A2DDB"/>
    <w:rsid w:val="007A32F8"/>
    <w:rsid w:val="007A3BF1"/>
    <w:rsid w:val="007A3EFD"/>
    <w:rsid w:val="007A410E"/>
    <w:rsid w:val="007A41E9"/>
    <w:rsid w:val="007A4ABB"/>
    <w:rsid w:val="007A4BD3"/>
    <w:rsid w:val="007A4F05"/>
    <w:rsid w:val="007A608F"/>
    <w:rsid w:val="007A617D"/>
    <w:rsid w:val="007A61F6"/>
    <w:rsid w:val="007A62D9"/>
    <w:rsid w:val="007A70BA"/>
    <w:rsid w:val="007A740C"/>
    <w:rsid w:val="007A784A"/>
    <w:rsid w:val="007A7DDD"/>
    <w:rsid w:val="007B0D68"/>
    <w:rsid w:val="007B159D"/>
    <w:rsid w:val="007B251D"/>
    <w:rsid w:val="007B2529"/>
    <w:rsid w:val="007B2E1D"/>
    <w:rsid w:val="007B398E"/>
    <w:rsid w:val="007B3F03"/>
    <w:rsid w:val="007B411C"/>
    <w:rsid w:val="007B4F58"/>
    <w:rsid w:val="007B519C"/>
    <w:rsid w:val="007B528D"/>
    <w:rsid w:val="007B5EFF"/>
    <w:rsid w:val="007B61F0"/>
    <w:rsid w:val="007B63CA"/>
    <w:rsid w:val="007B6457"/>
    <w:rsid w:val="007B6488"/>
    <w:rsid w:val="007B6A0A"/>
    <w:rsid w:val="007B77D1"/>
    <w:rsid w:val="007B7BE1"/>
    <w:rsid w:val="007B7DE2"/>
    <w:rsid w:val="007C07C7"/>
    <w:rsid w:val="007C09D4"/>
    <w:rsid w:val="007C0FA7"/>
    <w:rsid w:val="007C1826"/>
    <w:rsid w:val="007C1CD9"/>
    <w:rsid w:val="007C234D"/>
    <w:rsid w:val="007C245B"/>
    <w:rsid w:val="007C2CD1"/>
    <w:rsid w:val="007C2EB3"/>
    <w:rsid w:val="007C32E4"/>
    <w:rsid w:val="007C32EF"/>
    <w:rsid w:val="007C361D"/>
    <w:rsid w:val="007C3623"/>
    <w:rsid w:val="007C3DF9"/>
    <w:rsid w:val="007C3FF4"/>
    <w:rsid w:val="007C411A"/>
    <w:rsid w:val="007C425F"/>
    <w:rsid w:val="007C49BC"/>
    <w:rsid w:val="007C4B84"/>
    <w:rsid w:val="007C4C38"/>
    <w:rsid w:val="007C503D"/>
    <w:rsid w:val="007C5869"/>
    <w:rsid w:val="007C5AF4"/>
    <w:rsid w:val="007C60C1"/>
    <w:rsid w:val="007C70FF"/>
    <w:rsid w:val="007C75F9"/>
    <w:rsid w:val="007C7C25"/>
    <w:rsid w:val="007D004F"/>
    <w:rsid w:val="007D0B38"/>
    <w:rsid w:val="007D1437"/>
    <w:rsid w:val="007D16C6"/>
    <w:rsid w:val="007D1C29"/>
    <w:rsid w:val="007D326B"/>
    <w:rsid w:val="007D3CB6"/>
    <w:rsid w:val="007D40E4"/>
    <w:rsid w:val="007D488E"/>
    <w:rsid w:val="007D4FDE"/>
    <w:rsid w:val="007D5172"/>
    <w:rsid w:val="007D5440"/>
    <w:rsid w:val="007D575D"/>
    <w:rsid w:val="007D69EB"/>
    <w:rsid w:val="007D6BA1"/>
    <w:rsid w:val="007D7BA3"/>
    <w:rsid w:val="007E001E"/>
    <w:rsid w:val="007E01C4"/>
    <w:rsid w:val="007E0C3D"/>
    <w:rsid w:val="007E128F"/>
    <w:rsid w:val="007E1B67"/>
    <w:rsid w:val="007E1CA3"/>
    <w:rsid w:val="007E1D05"/>
    <w:rsid w:val="007E24DE"/>
    <w:rsid w:val="007E2725"/>
    <w:rsid w:val="007E2B77"/>
    <w:rsid w:val="007E2ECF"/>
    <w:rsid w:val="007E32B8"/>
    <w:rsid w:val="007E3DC5"/>
    <w:rsid w:val="007E4F58"/>
    <w:rsid w:val="007E5345"/>
    <w:rsid w:val="007E53DB"/>
    <w:rsid w:val="007E5AF3"/>
    <w:rsid w:val="007E5DC3"/>
    <w:rsid w:val="007E5DEA"/>
    <w:rsid w:val="007E6F51"/>
    <w:rsid w:val="007E759A"/>
    <w:rsid w:val="007E7DF1"/>
    <w:rsid w:val="007F1017"/>
    <w:rsid w:val="007F11D0"/>
    <w:rsid w:val="007F28E8"/>
    <w:rsid w:val="007F2A8A"/>
    <w:rsid w:val="007F32B7"/>
    <w:rsid w:val="007F34A9"/>
    <w:rsid w:val="007F4159"/>
    <w:rsid w:val="007F4479"/>
    <w:rsid w:val="007F4A3F"/>
    <w:rsid w:val="007F4A61"/>
    <w:rsid w:val="007F51D1"/>
    <w:rsid w:val="007F5255"/>
    <w:rsid w:val="007F56CC"/>
    <w:rsid w:val="007F61C2"/>
    <w:rsid w:val="007F6270"/>
    <w:rsid w:val="007F694A"/>
    <w:rsid w:val="007F7E83"/>
    <w:rsid w:val="0080023D"/>
    <w:rsid w:val="008002FA"/>
    <w:rsid w:val="00800549"/>
    <w:rsid w:val="008006D8"/>
    <w:rsid w:val="008025E0"/>
    <w:rsid w:val="00802CC3"/>
    <w:rsid w:val="00802DF3"/>
    <w:rsid w:val="00802E23"/>
    <w:rsid w:val="00802F7F"/>
    <w:rsid w:val="008044D8"/>
    <w:rsid w:val="00804BBE"/>
    <w:rsid w:val="00805142"/>
    <w:rsid w:val="00805FAE"/>
    <w:rsid w:val="00805FCE"/>
    <w:rsid w:val="00806942"/>
    <w:rsid w:val="00806E6B"/>
    <w:rsid w:val="0080737E"/>
    <w:rsid w:val="008077D7"/>
    <w:rsid w:val="00807A8B"/>
    <w:rsid w:val="00807F54"/>
    <w:rsid w:val="008103AC"/>
    <w:rsid w:val="00811383"/>
    <w:rsid w:val="00811631"/>
    <w:rsid w:val="00811868"/>
    <w:rsid w:val="00812149"/>
    <w:rsid w:val="00812284"/>
    <w:rsid w:val="00812CAC"/>
    <w:rsid w:val="0081301E"/>
    <w:rsid w:val="00813973"/>
    <w:rsid w:val="00813E3C"/>
    <w:rsid w:val="008148FB"/>
    <w:rsid w:val="008155A1"/>
    <w:rsid w:val="00816361"/>
    <w:rsid w:val="008163E8"/>
    <w:rsid w:val="008166EF"/>
    <w:rsid w:val="008167DA"/>
    <w:rsid w:val="00816AEB"/>
    <w:rsid w:val="00816FEF"/>
    <w:rsid w:val="008170B0"/>
    <w:rsid w:val="00817408"/>
    <w:rsid w:val="00817875"/>
    <w:rsid w:val="008179E9"/>
    <w:rsid w:val="00820A8C"/>
    <w:rsid w:val="0082110A"/>
    <w:rsid w:val="008212FE"/>
    <w:rsid w:val="008215FB"/>
    <w:rsid w:val="00822A4E"/>
    <w:rsid w:val="00822B36"/>
    <w:rsid w:val="00822B3E"/>
    <w:rsid w:val="00822EB7"/>
    <w:rsid w:val="00822F3C"/>
    <w:rsid w:val="00823174"/>
    <w:rsid w:val="008238BF"/>
    <w:rsid w:val="0082396D"/>
    <w:rsid w:val="00825751"/>
    <w:rsid w:val="00826294"/>
    <w:rsid w:val="008264EB"/>
    <w:rsid w:val="0082741A"/>
    <w:rsid w:val="00827574"/>
    <w:rsid w:val="008275D8"/>
    <w:rsid w:val="00827629"/>
    <w:rsid w:val="00827713"/>
    <w:rsid w:val="00830183"/>
    <w:rsid w:val="00830489"/>
    <w:rsid w:val="00830848"/>
    <w:rsid w:val="00830F80"/>
    <w:rsid w:val="00830FE1"/>
    <w:rsid w:val="00831134"/>
    <w:rsid w:val="00831186"/>
    <w:rsid w:val="00831E56"/>
    <w:rsid w:val="008320C7"/>
    <w:rsid w:val="00832449"/>
    <w:rsid w:val="00832833"/>
    <w:rsid w:val="0083284F"/>
    <w:rsid w:val="00832C71"/>
    <w:rsid w:val="0083331B"/>
    <w:rsid w:val="008334DD"/>
    <w:rsid w:val="00833616"/>
    <w:rsid w:val="00833B05"/>
    <w:rsid w:val="00833BC7"/>
    <w:rsid w:val="0083402D"/>
    <w:rsid w:val="00834386"/>
    <w:rsid w:val="008344DD"/>
    <w:rsid w:val="008345E1"/>
    <w:rsid w:val="00834EF3"/>
    <w:rsid w:val="00835312"/>
    <w:rsid w:val="008362B4"/>
    <w:rsid w:val="00836C12"/>
    <w:rsid w:val="00836CDE"/>
    <w:rsid w:val="0083735E"/>
    <w:rsid w:val="00837BB5"/>
    <w:rsid w:val="00840922"/>
    <w:rsid w:val="00840CA2"/>
    <w:rsid w:val="008411F2"/>
    <w:rsid w:val="00841833"/>
    <w:rsid w:val="00841C76"/>
    <w:rsid w:val="00841F9F"/>
    <w:rsid w:val="00842CA0"/>
    <w:rsid w:val="0084374F"/>
    <w:rsid w:val="0084421D"/>
    <w:rsid w:val="008443B4"/>
    <w:rsid w:val="00844871"/>
    <w:rsid w:val="00844A22"/>
    <w:rsid w:val="0084596E"/>
    <w:rsid w:val="008461BA"/>
    <w:rsid w:val="00846D7B"/>
    <w:rsid w:val="008474CE"/>
    <w:rsid w:val="00847650"/>
    <w:rsid w:val="00847703"/>
    <w:rsid w:val="00847DF5"/>
    <w:rsid w:val="00850F6B"/>
    <w:rsid w:val="0085309D"/>
    <w:rsid w:val="00853429"/>
    <w:rsid w:val="00853473"/>
    <w:rsid w:val="008537AA"/>
    <w:rsid w:val="0085418A"/>
    <w:rsid w:val="008544DC"/>
    <w:rsid w:val="00854CF7"/>
    <w:rsid w:val="00854EC4"/>
    <w:rsid w:val="008553D8"/>
    <w:rsid w:val="00855595"/>
    <w:rsid w:val="00856897"/>
    <w:rsid w:val="00856E9A"/>
    <w:rsid w:val="008573AA"/>
    <w:rsid w:val="008575AD"/>
    <w:rsid w:val="0086075D"/>
    <w:rsid w:val="008613BA"/>
    <w:rsid w:val="00861E46"/>
    <w:rsid w:val="008621F4"/>
    <w:rsid w:val="00862502"/>
    <w:rsid w:val="00862CC1"/>
    <w:rsid w:val="008633AC"/>
    <w:rsid w:val="00863CA4"/>
    <w:rsid w:val="00864C18"/>
    <w:rsid w:val="00865092"/>
    <w:rsid w:val="00865FD3"/>
    <w:rsid w:val="008660D4"/>
    <w:rsid w:val="008679BC"/>
    <w:rsid w:val="00867D03"/>
    <w:rsid w:val="0087027F"/>
    <w:rsid w:val="008705CF"/>
    <w:rsid w:val="00870FB2"/>
    <w:rsid w:val="008712FD"/>
    <w:rsid w:val="008719AA"/>
    <w:rsid w:val="00871AEF"/>
    <w:rsid w:val="00871FA9"/>
    <w:rsid w:val="00872215"/>
    <w:rsid w:val="008728E9"/>
    <w:rsid w:val="00876166"/>
    <w:rsid w:val="00876611"/>
    <w:rsid w:val="00876DCB"/>
    <w:rsid w:val="00877A77"/>
    <w:rsid w:val="00880318"/>
    <w:rsid w:val="008805AB"/>
    <w:rsid w:val="00882588"/>
    <w:rsid w:val="00882874"/>
    <w:rsid w:val="00882E3C"/>
    <w:rsid w:val="0088375C"/>
    <w:rsid w:val="00883787"/>
    <w:rsid w:val="008838D8"/>
    <w:rsid w:val="00883A01"/>
    <w:rsid w:val="00884689"/>
    <w:rsid w:val="008847AD"/>
    <w:rsid w:val="0088491E"/>
    <w:rsid w:val="00884AD1"/>
    <w:rsid w:val="008855E4"/>
    <w:rsid w:val="00885F8C"/>
    <w:rsid w:val="00886B88"/>
    <w:rsid w:val="00886CD2"/>
    <w:rsid w:val="00886D2E"/>
    <w:rsid w:val="00891741"/>
    <w:rsid w:val="00891E6F"/>
    <w:rsid w:val="0089275D"/>
    <w:rsid w:val="00892A36"/>
    <w:rsid w:val="00892E48"/>
    <w:rsid w:val="00893239"/>
    <w:rsid w:val="008934FC"/>
    <w:rsid w:val="00893A26"/>
    <w:rsid w:val="00894009"/>
    <w:rsid w:val="00894489"/>
    <w:rsid w:val="0089448B"/>
    <w:rsid w:val="00894564"/>
    <w:rsid w:val="00894712"/>
    <w:rsid w:val="00894FE3"/>
    <w:rsid w:val="008951CF"/>
    <w:rsid w:val="0089537C"/>
    <w:rsid w:val="0089583B"/>
    <w:rsid w:val="008963A5"/>
    <w:rsid w:val="0089648D"/>
    <w:rsid w:val="00896D5D"/>
    <w:rsid w:val="00897708"/>
    <w:rsid w:val="008977CD"/>
    <w:rsid w:val="00897DD1"/>
    <w:rsid w:val="008A0D4A"/>
    <w:rsid w:val="008A3363"/>
    <w:rsid w:val="008A3371"/>
    <w:rsid w:val="008A3C3E"/>
    <w:rsid w:val="008A3D88"/>
    <w:rsid w:val="008A4ED9"/>
    <w:rsid w:val="008A5D00"/>
    <w:rsid w:val="008A69F7"/>
    <w:rsid w:val="008A6EB6"/>
    <w:rsid w:val="008A7944"/>
    <w:rsid w:val="008A79DE"/>
    <w:rsid w:val="008B033C"/>
    <w:rsid w:val="008B03FD"/>
    <w:rsid w:val="008B0454"/>
    <w:rsid w:val="008B1757"/>
    <w:rsid w:val="008B1915"/>
    <w:rsid w:val="008B1B3A"/>
    <w:rsid w:val="008B1C70"/>
    <w:rsid w:val="008B1E4B"/>
    <w:rsid w:val="008B29E1"/>
    <w:rsid w:val="008B2EB8"/>
    <w:rsid w:val="008B325D"/>
    <w:rsid w:val="008B383E"/>
    <w:rsid w:val="008B45D2"/>
    <w:rsid w:val="008B5A1A"/>
    <w:rsid w:val="008B6648"/>
    <w:rsid w:val="008B690F"/>
    <w:rsid w:val="008B7992"/>
    <w:rsid w:val="008B7D7E"/>
    <w:rsid w:val="008C04FD"/>
    <w:rsid w:val="008C05A5"/>
    <w:rsid w:val="008C06A5"/>
    <w:rsid w:val="008C081D"/>
    <w:rsid w:val="008C1AF8"/>
    <w:rsid w:val="008C1DA0"/>
    <w:rsid w:val="008C310E"/>
    <w:rsid w:val="008C3354"/>
    <w:rsid w:val="008C345A"/>
    <w:rsid w:val="008C3786"/>
    <w:rsid w:val="008C3C12"/>
    <w:rsid w:val="008C4289"/>
    <w:rsid w:val="008C49B1"/>
    <w:rsid w:val="008C5610"/>
    <w:rsid w:val="008C5739"/>
    <w:rsid w:val="008C58DA"/>
    <w:rsid w:val="008C667A"/>
    <w:rsid w:val="008C6B24"/>
    <w:rsid w:val="008C763C"/>
    <w:rsid w:val="008C799F"/>
    <w:rsid w:val="008C7ECB"/>
    <w:rsid w:val="008D06CA"/>
    <w:rsid w:val="008D0A90"/>
    <w:rsid w:val="008D14AC"/>
    <w:rsid w:val="008D16C5"/>
    <w:rsid w:val="008D23CB"/>
    <w:rsid w:val="008D29AF"/>
    <w:rsid w:val="008D2EF8"/>
    <w:rsid w:val="008D377F"/>
    <w:rsid w:val="008D3B86"/>
    <w:rsid w:val="008D4506"/>
    <w:rsid w:val="008D4755"/>
    <w:rsid w:val="008D4C3D"/>
    <w:rsid w:val="008D4DBC"/>
    <w:rsid w:val="008D58C7"/>
    <w:rsid w:val="008D5FD9"/>
    <w:rsid w:val="008D60F2"/>
    <w:rsid w:val="008D624F"/>
    <w:rsid w:val="008D64AB"/>
    <w:rsid w:val="008D651F"/>
    <w:rsid w:val="008D68B1"/>
    <w:rsid w:val="008D73E6"/>
    <w:rsid w:val="008D743C"/>
    <w:rsid w:val="008D7954"/>
    <w:rsid w:val="008D7F7D"/>
    <w:rsid w:val="008E0078"/>
    <w:rsid w:val="008E0D3C"/>
    <w:rsid w:val="008E18F6"/>
    <w:rsid w:val="008E1B9E"/>
    <w:rsid w:val="008E23AA"/>
    <w:rsid w:val="008E26E5"/>
    <w:rsid w:val="008E38DA"/>
    <w:rsid w:val="008E3CA0"/>
    <w:rsid w:val="008E4D39"/>
    <w:rsid w:val="008E55AB"/>
    <w:rsid w:val="008E7C8C"/>
    <w:rsid w:val="008F120A"/>
    <w:rsid w:val="008F1329"/>
    <w:rsid w:val="008F1468"/>
    <w:rsid w:val="008F1EA8"/>
    <w:rsid w:val="008F2377"/>
    <w:rsid w:val="008F27E0"/>
    <w:rsid w:val="008F3955"/>
    <w:rsid w:val="008F48EB"/>
    <w:rsid w:val="008F48FB"/>
    <w:rsid w:val="008F4F0B"/>
    <w:rsid w:val="008F4F99"/>
    <w:rsid w:val="008F512A"/>
    <w:rsid w:val="008F53EA"/>
    <w:rsid w:val="008F569E"/>
    <w:rsid w:val="008F5746"/>
    <w:rsid w:val="008F5B60"/>
    <w:rsid w:val="008F5E9B"/>
    <w:rsid w:val="008F686C"/>
    <w:rsid w:val="009007CE"/>
    <w:rsid w:val="00901405"/>
    <w:rsid w:val="00901B30"/>
    <w:rsid w:val="00901DEE"/>
    <w:rsid w:val="00903570"/>
    <w:rsid w:val="00903A46"/>
    <w:rsid w:val="00903F56"/>
    <w:rsid w:val="009046C4"/>
    <w:rsid w:val="009059A6"/>
    <w:rsid w:val="00905A44"/>
    <w:rsid w:val="009062A5"/>
    <w:rsid w:val="00906C9D"/>
    <w:rsid w:val="00907686"/>
    <w:rsid w:val="00907E20"/>
    <w:rsid w:val="00910143"/>
    <w:rsid w:val="0091017D"/>
    <w:rsid w:val="00910271"/>
    <w:rsid w:val="00910FA7"/>
    <w:rsid w:val="00911272"/>
    <w:rsid w:val="00911764"/>
    <w:rsid w:val="009123C7"/>
    <w:rsid w:val="00913354"/>
    <w:rsid w:val="009135D6"/>
    <w:rsid w:val="00913C04"/>
    <w:rsid w:val="009148E5"/>
    <w:rsid w:val="00914A89"/>
    <w:rsid w:val="00914C77"/>
    <w:rsid w:val="00914E9B"/>
    <w:rsid w:val="00915735"/>
    <w:rsid w:val="00915C4F"/>
    <w:rsid w:val="00915EDB"/>
    <w:rsid w:val="0091604E"/>
    <w:rsid w:val="00916241"/>
    <w:rsid w:val="00916E09"/>
    <w:rsid w:val="00916E2A"/>
    <w:rsid w:val="00917292"/>
    <w:rsid w:val="0091734E"/>
    <w:rsid w:val="009177DF"/>
    <w:rsid w:val="00917CD3"/>
    <w:rsid w:val="00917D07"/>
    <w:rsid w:val="00920332"/>
    <w:rsid w:val="00920C3F"/>
    <w:rsid w:val="00920D37"/>
    <w:rsid w:val="009214CC"/>
    <w:rsid w:val="00921ACB"/>
    <w:rsid w:val="00921BDA"/>
    <w:rsid w:val="00921DC8"/>
    <w:rsid w:val="00921E39"/>
    <w:rsid w:val="009221D6"/>
    <w:rsid w:val="00922B39"/>
    <w:rsid w:val="0092369B"/>
    <w:rsid w:val="00923AF6"/>
    <w:rsid w:val="00924355"/>
    <w:rsid w:val="009256AB"/>
    <w:rsid w:val="00925FFE"/>
    <w:rsid w:val="009262C3"/>
    <w:rsid w:val="009269BC"/>
    <w:rsid w:val="00926AEA"/>
    <w:rsid w:val="009274AE"/>
    <w:rsid w:val="0092789F"/>
    <w:rsid w:val="00927D01"/>
    <w:rsid w:val="0093033C"/>
    <w:rsid w:val="0093046A"/>
    <w:rsid w:val="00930C9B"/>
    <w:rsid w:val="009312E8"/>
    <w:rsid w:val="00931DFB"/>
    <w:rsid w:val="00932346"/>
    <w:rsid w:val="009325D4"/>
    <w:rsid w:val="009336C8"/>
    <w:rsid w:val="00933E87"/>
    <w:rsid w:val="00934988"/>
    <w:rsid w:val="00934B49"/>
    <w:rsid w:val="00935645"/>
    <w:rsid w:val="00936F67"/>
    <w:rsid w:val="00937089"/>
    <w:rsid w:val="00937C6D"/>
    <w:rsid w:val="00937E0D"/>
    <w:rsid w:val="00940120"/>
    <w:rsid w:val="00941079"/>
    <w:rsid w:val="009411EC"/>
    <w:rsid w:val="0094188B"/>
    <w:rsid w:val="00941BDE"/>
    <w:rsid w:val="00943C74"/>
    <w:rsid w:val="00944423"/>
    <w:rsid w:val="00944DEA"/>
    <w:rsid w:val="00944F8A"/>
    <w:rsid w:val="0094502D"/>
    <w:rsid w:val="00946839"/>
    <w:rsid w:val="00946CCE"/>
    <w:rsid w:val="009502FD"/>
    <w:rsid w:val="009510A2"/>
    <w:rsid w:val="00952109"/>
    <w:rsid w:val="009529BE"/>
    <w:rsid w:val="00953257"/>
    <w:rsid w:val="00953259"/>
    <w:rsid w:val="0095368F"/>
    <w:rsid w:val="0095474C"/>
    <w:rsid w:val="00955923"/>
    <w:rsid w:val="009564ED"/>
    <w:rsid w:val="0095660E"/>
    <w:rsid w:val="00956E6F"/>
    <w:rsid w:val="00957BDF"/>
    <w:rsid w:val="00960BB4"/>
    <w:rsid w:val="00960C40"/>
    <w:rsid w:val="0096152E"/>
    <w:rsid w:val="00961693"/>
    <w:rsid w:val="00961C69"/>
    <w:rsid w:val="00962AF7"/>
    <w:rsid w:val="00962CB9"/>
    <w:rsid w:val="00962D29"/>
    <w:rsid w:val="00963D33"/>
    <w:rsid w:val="00963EFA"/>
    <w:rsid w:val="00964312"/>
    <w:rsid w:val="00964787"/>
    <w:rsid w:val="00965182"/>
    <w:rsid w:val="00965B8A"/>
    <w:rsid w:val="00965C6C"/>
    <w:rsid w:val="00967F45"/>
    <w:rsid w:val="0097071F"/>
    <w:rsid w:val="0097143F"/>
    <w:rsid w:val="009717AC"/>
    <w:rsid w:val="00971A29"/>
    <w:rsid w:val="00972C8A"/>
    <w:rsid w:val="009741DE"/>
    <w:rsid w:val="009742CE"/>
    <w:rsid w:val="0097486B"/>
    <w:rsid w:val="00974A89"/>
    <w:rsid w:val="00974D0D"/>
    <w:rsid w:val="009751C1"/>
    <w:rsid w:val="00975EF7"/>
    <w:rsid w:val="009760B7"/>
    <w:rsid w:val="009762CB"/>
    <w:rsid w:val="009767A8"/>
    <w:rsid w:val="009769D6"/>
    <w:rsid w:val="00977087"/>
    <w:rsid w:val="0097745B"/>
    <w:rsid w:val="00977BB0"/>
    <w:rsid w:val="0098014A"/>
    <w:rsid w:val="009802F3"/>
    <w:rsid w:val="00980513"/>
    <w:rsid w:val="0098084D"/>
    <w:rsid w:val="009811F1"/>
    <w:rsid w:val="009815E0"/>
    <w:rsid w:val="00981A0A"/>
    <w:rsid w:val="00982C91"/>
    <w:rsid w:val="00983AF3"/>
    <w:rsid w:val="00983C3F"/>
    <w:rsid w:val="00983E57"/>
    <w:rsid w:val="00985C8A"/>
    <w:rsid w:val="00985DE2"/>
    <w:rsid w:val="00985DF4"/>
    <w:rsid w:val="00986182"/>
    <w:rsid w:val="009863E1"/>
    <w:rsid w:val="0098675D"/>
    <w:rsid w:val="00986907"/>
    <w:rsid w:val="00986B7F"/>
    <w:rsid w:val="00986D50"/>
    <w:rsid w:val="00987861"/>
    <w:rsid w:val="00987872"/>
    <w:rsid w:val="009878F4"/>
    <w:rsid w:val="00987EE8"/>
    <w:rsid w:val="00991242"/>
    <w:rsid w:val="00991728"/>
    <w:rsid w:val="00991CD2"/>
    <w:rsid w:val="009920EF"/>
    <w:rsid w:val="009926E0"/>
    <w:rsid w:val="00993AF1"/>
    <w:rsid w:val="00994169"/>
    <w:rsid w:val="0099451E"/>
    <w:rsid w:val="00994C27"/>
    <w:rsid w:val="00994FCB"/>
    <w:rsid w:val="00995A66"/>
    <w:rsid w:val="00995F38"/>
    <w:rsid w:val="00995F70"/>
    <w:rsid w:val="00996A90"/>
    <w:rsid w:val="00996B1A"/>
    <w:rsid w:val="00996E7B"/>
    <w:rsid w:val="0099729C"/>
    <w:rsid w:val="0099760B"/>
    <w:rsid w:val="00997712"/>
    <w:rsid w:val="00997AC2"/>
    <w:rsid w:val="00997F27"/>
    <w:rsid w:val="009A08ED"/>
    <w:rsid w:val="009A0CFF"/>
    <w:rsid w:val="009A1A4D"/>
    <w:rsid w:val="009A1BCF"/>
    <w:rsid w:val="009A1E48"/>
    <w:rsid w:val="009A29FD"/>
    <w:rsid w:val="009A2A19"/>
    <w:rsid w:val="009A2DA5"/>
    <w:rsid w:val="009A2DCC"/>
    <w:rsid w:val="009A360E"/>
    <w:rsid w:val="009A4032"/>
    <w:rsid w:val="009A4072"/>
    <w:rsid w:val="009A4448"/>
    <w:rsid w:val="009A454E"/>
    <w:rsid w:val="009A5075"/>
    <w:rsid w:val="009A5620"/>
    <w:rsid w:val="009A589C"/>
    <w:rsid w:val="009A5ABC"/>
    <w:rsid w:val="009A5B6B"/>
    <w:rsid w:val="009A5F8B"/>
    <w:rsid w:val="009A6288"/>
    <w:rsid w:val="009A69E1"/>
    <w:rsid w:val="009A745E"/>
    <w:rsid w:val="009A755A"/>
    <w:rsid w:val="009A785B"/>
    <w:rsid w:val="009A7DC3"/>
    <w:rsid w:val="009A7F10"/>
    <w:rsid w:val="009B02F7"/>
    <w:rsid w:val="009B1B46"/>
    <w:rsid w:val="009B2423"/>
    <w:rsid w:val="009B27F4"/>
    <w:rsid w:val="009B2C3E"/>
    <w:rsid w:val="009B38D0"/>
    <w:rsid w:val="009B3E26"/>
    <w:rsid w:val="009B4B12"/>
    <w:rsid w:val="009B4C4E"/>
    <w:rsid w:val="009B5099"/>
    <w:rsid w:val="009B51C7"/>
    <w:rsid w:val="009B52FD"/>
    <w:rsid w:val="009B5ED5"/>
    <w:rsid w:val="009B6AF3"/>
    <w:rsid w:val="009B77F1"/>
    <w:rsid w:val="009C0160"/>
    <w:rsid w:val="009C0BDD"/>
    <w:rsid w:val="009C0E4E"/>
    <w:rsid w:val="009C1330"/>
    <w:rsid w:val="009C21DC"/>
    <w:rsid w:val="009C3706"/>
    <w:rsid w:val="009C388B"/>
    <w:rsid w:val="009C3A3A"/>
    <w:rsid w:val="009C3B98"/>
    <w:rsid w:val="009C49A0"/>
    <w:rsid w:val="009C4E4E"/>
    <w:rsid w:val="009C5058"/>
    <w:rsid w:val="009C5D4C"/>
    <w:rsid w:val="009C6B35"/>
    <w:rsid w:val="009C6CEA"/>
    <w:rsid w:val="009C7449"/>
    <w:rsid w:val="009C7478"/>
    <w:rsid w:val="009C7510"/>
    <w:rsid w:val="009C7955"/>
    <w:rsid w:val="009C7B85"/>
    <w:rsid w:val="009D0254"/>
    <w:rsid w:val="009D12BB"/>
    <w:rsid w:val="009D1852"/>
    <w:rsid w:val="009D1891"/>
    <w:rsid w:val="009D1A1E"/>
    <w:rsid w:val="009D1A64"/>
    <w:rsid w:val="009D22FB"/>
    <w:rsid w:val="009D23F9"/>
    <w:rsid w:val="009D273C"/>
    <w:rsid w:val="009D37C1"/>
    <w:rsid w:val="009D3AD2"/>
    <w:rsid w:val="009D3ECE"/>
    <w:rsid w:val="009D41CE"/>
    <w:rsid w:val="009D4374"/>
    <w:rsid w:val="009D43F5"/>
    <w:rsid w:val="009D4973"/>
    <w:rsid w:val="009D5B91"/>
    <w:rsid w:val="009D6370"/>
    <w:rsid w:val="009D792E"/>
    <w:rsid w:val="009E055F"/>
    <w:rsid w:val="009E0DFE"/>
    <w:rsid w:val="009E0E31"/>
    <w:rsid w:val="009E174C"/>
    <w:rsid w:val="009E1BB5"/>
    <w:rsid w:val="009E2277"/>
    <w:rsid w:val="009E31F6"/>
    <w:rsid w:val="009E34BE"/>
    <w:rsid w:val="009E4226"/>
    <w:rsid w:val="009E4556"/>
    <w:rsid w:val="009E4C07"/>
    <w:rsid w:val="009E4FCA"/>
    <w:rsid w:val="009E54F3"/>
    <w:rsid w:val="009E5980"/>
    <w:rsid w:val="009E5F01"/>
    <w:rsid w:val="009E7B7F"/>
    <w:rsid w:val="009E7E87"/>
    <w:rsid w:val="009F0D4D"/>
    <w:rsid w:val="009F1A80"/>
    <w:rsid w:val="009F26D3"/>
    <w:rsid w:val="009F2C1C"/>
    <w:rsid w:val="009F2C58"/>
    <w:rsid w:val="009F310C"/>
    <w:rsid w:val="009F40DB"/>
    <w:rsid w:val="009F55F8"/>
    <w:rsid w:val="009F590E"/>
    <w:rsid w:val="009F6C95"/>
    <w:rsid w:val="00A00DE5"/>
    <w:rsid w:val="00A00FBE"/>
    <w:rsid w:val="00A01184"/>
    <w:rsid w:val="00A015A9"/>
    <w:rsid w:val="00A01625"/>
    <w:rsid w:val="00A01ABF"/>
    <w:rsid w:val="00A01E4C"/>
    <w:rsid w:val="00A01E71"/>
    <w:rsid w:val="00A02CB7"/>
    <w:rsid w:val="00A03618"/>
    <w:rsid w:val="00A037C2"/>
    <w:rsid w:val="00A03D43"/>
    <w:rsid w:val="00A04380"/>
    <w:rsid w:val="00A04512"/>
    <w:rsid w:val="00A05472"/>
    <w:rsid w:val="00A05C32"/>
    <w:rsid w:val="00A05ED3"/>
    <w:rsid w:val="00A05FDB"/>
    <w:rsid w:val="00A0653F"/>
    <w:rsid w:val="00A06A74"/>
    <w:rsid w:val="00A06DB7"/>
    <w:rsid w:val="00A06FFF"/>
    <w:rsid w:val="00A074CF"/>
    <w:rsid w:val="00A07F3D"/>
    <w:rsid w:val="00A10859"/>
    <w:rsid w:val="00A11746"/>
    <w:rsid w:val="00A11A6A"/>
    <w:rsid w:val="00A11CD0"/>
    <w:rsid w:val="00A11D04"/>
    <w:rsid w:val="00A122FA"/>
    <w:rsid w:val="00A13948"/>
    <w:rsid w:val="00A13AD1"/>
    <w:rsid w:val="00A13DA4"/>
    <w:rsid w:val="00A14397"/>
    <w:rsid w:val="00A1555B"/>
    <w:rsid w:val="00A155C5"/>
    <w:rsid w:val="00A15D6C"/>
    <w:rsid w:val="00A1609A"/>
    <w:rsid w:val="00A16AD8"/>
    <w:rsid w:val="00A17103"/>
    <w:rsid w:val="00A171BC"/>
    <w:rsid w:val="00A178E7"/>
    <w:rsid w:val="00A17E30"/>
    <w:rsid w:val="00A208B9"/>
    <w:rsid w:val="00A210F5"/>
    <w:rsid w:val="00A211EA"/>
    <w:rsid w:val="00A218EC"/>
    <w:rsid w:val="00A21C81"/>
    <w:rsid w:val="00A21C95"/>
    <w:rsid w:val="00A21CF3"/>
    <w:rsid w:val="00A22AF8"/>
    <w:rsid w:val="00A23063"/>
    <w:rsid w:val="00A23234"/>
    <w:rsid w:val="00A23452"/>
    <w:rsid w:val="00A2383A"/>
    <w:rsid w:val="00A24813"/>
    <w:rsid w:val="00A24BD5"/>
    <w:rsid w:val="00A24EE4"/>
    <w:rsid w:val="00A24FAF"/>
    <w:rsid w:val="00A256AE"/>
    <w:rsid w:val="00A26315"/>
    <w:rsid w:val="00A26794"/>
    <w:rsid w:val="00A267EA"/>
    <w:rsid w:val="00A2724B"/>
    <w:rsid w:val="00A27AEC"/>
    <w:rsid w:val="00A27CB8"/>
    <w:rsid w:val="00A27D86"/>
    <w:rsid w:val="00A30637"/>
    <w:rsid w:val="00A308E1"/>
    <w:rsid w:val="00A30970"/>
    <w:rsid w:val="00A30991"/>
    <w:rsid w:val="00A30A53"/>
    <w:rsid w:val="00A30CED"/>
    <w:rsid w:val="00A31031"/>
    <w:rsid w:val="00A320DB"/>
    <w:rsid w:val="00A32552"/>
    <w:rsid w:val="00A328BF"/>
    <w:rsid w:val="00A32B1E"/>
    <w:rsid w:val="00A33888"/>
    <w:rsid w:val="00A34FA3"/>
    <w:rsid w:val="00A35661"/>
    <w:rsid w:val="00A35D16"/>
    <w:rsid w:val="00A368E7"/>
    <w:rsid w:val="00A36B5C"/>
    <w:rsid w:val="00A37467"/>
    <w:rsid w:val="00A37BCD"/>
    <w:rsid w:val="00A41689"/>
    <w:rsid w:val="00A422AE"/>
    <w:rsid w:val="00A42592"/>
    <w:rsid w:val="00A4301D"/>
    <w:rsid w:val="00A4324D"/>
    <w:rsid w:val="00A43511"/>
    <w:rsid w:val="00A43981"/>
    <w:rsid w:val="00A43C1D"/>
    <w:rsid w:val="00A43C59"/>
    <w:rsid w:val="00A44621"/>
    <w:rsid w:val="00A44793"/>
    <w:rsid w:val="00A4523B"/>
    <w:rsid w:val="00A45513"/>
    <w:rsid w:val="00A4572E"/>
    <w:rsid w:val="00A45825"/>
    <w:rsid w:val="00A45C61"/>
    <w:rsid w:val="00A46BA1"/>
    <w:rsid w:val="00A4792F"/>
    <w:rsid w:val="00A50AF1"/>
    <w:rsid w:val="00A50ECD"/>
    <w:rsid w:val="00A514E0"/>
    <w:rsid w:val="00A518F3"/>
    <w:rsid w:val="00A52365"/>
    <w:rsid w:val="00A52729"/>
    <w:rsid w:val="00A52A38"/>
    <w:rsid w:val="00A532A9"/>
    <w:rsid w:val="00A53675"/>
    <w:rsid w:val="00A53BB0"/>
    <w:rsid w:val="00A542A6"/>
    <w:rsid w:val="00A547CF"/>
    <w:rsid w:val="00A547DE"/>
    <w:rsid w:val="00A5480C"/>
    <w:rsid w:val="00A559E2"/>
    <w:rsid w:val="00A5627A"/>
    <w:rsid w:val="00A564D7"/>
    <w:rsid w:val="00A56553"/>
    <w:rsid w:val="00A56B6A"/>
    <w:rsid w:val="00A56C8E"/>
    <w:rsid w:val="00A578DC"/>
    <w:rsid w:val="00A57A9D"/>
    <w:rsid w:val="00A57CCD"/>
    <w:rsid w:val="00A60004"/>
    <w:rsid w:val="00A6106F"/>
    <w:rsid w:val="00A61577"/>
    <w:rsid w:val="00A61A22"/>
    <w:rsid w:val="00A6247A"/>
    <w:rsid w:val="00A640E2"/>
    <w:rsid w:val="00A64D65"/>
    <w:rsid w:val="00A6505B"/>
    <w:rsid w:val="00A6593B"/>
    <w:rsid w:val="00A6697B"/>
    <w:rsid w:val="00A6725B"/>
    <w:rsid w:val="00A6791D"/>
    <w:rsid w:val="00A70417"/>
    <w:rsid w:val="00A70605"/>
    <w:rsid w:val="00A70E38"/>
    <w:rsid w:val="00A710E3"/>
    <w:rsid w:val="00A71DC9"/>
    <w:rsid w:val="00A72150"/>
    <w:rsid w:val="00A73134"/>
    <w:rsid w:val="00A74886"/>
    <w:rsid w:val="00A75455"/>
    <w:rsid w:val="00A75FCE"/>
    <w:rsid w:val="00A76001"/>
    <w:rsid w:val="00A76339"/>
    <w:rsid w:val="00A767C8"/>
    <w:rsid w:val="00A768C7"/>
    <w:rsid w:val="00A76EFF"/>
    <w:rsid w:val="00A774C2"/>
    <w:rsid w:val="00A774FD"/>
    <w:rsid w:val="00A777B2"/>
    <w:rsid w:val="00A77BD1"/>
    <w:rsid w:val="00A77CD4"/>
    <w:rsid w:val="00A77CD6"/>
    <w:rsid w:val="00A80240"/>
    <w:rsid w:val="00A80558"/>
    <w:rsid w:val="00A80EB2"/>
    <w:rsid w:val="00A824B0"/>
    <w:rsid w:val="00A82521"/>
    <w:rsid w:val="00A825D4"/>
    <w:rsid w:val="00A828F6"/>
    <w:rsid w:val="00A82969"/>
    <w:rsid w:val="00A82B73"/>
    <w:rsid w:val="00A832E1"/>
    <w:rsid w:val="00A8362C"/>
    <w:rsid w:val="00A83F26"/>
    <w:rsid w:val="00A84623"/>
    <w:rsid w:val="00A84B37"/>
    <w:rsid w:val="00A85531"/>
    <w:rsid w:val="00A8666D"/>
    <w:rsid w:val="00A86674"/>
    <w:rsid w:val="00A86E8B"/>
    <w:rsid w:val="00A87164"/>
    <w:rsid w:val="00A8729E"/>
    <w:rsid w:val="00A8781C"/>
    <w:rsid w:val="00A90586"/>
    <w:rsid w:val="00A9062D"/>
    <w:rsid w:val="00A90FB0"/>
    <w:rsid w:val="00A911BC"/>
    <w:rsid w:val="00A91EFF"/>
    <w:rsid w:val="00A92106"/>
    <w:rsid w:val="00A93072"/>
    <w:rsid w:val="00A933CC"/>
    <w:rsid w:val="00A938BD"/>
    <w:rsid w:val="00A93953"/>
    <w:rsid w:val="00A939DE"/>
    <w:rsid w:val="00A9413F"/>
    <w:rsid w:val="00A949EF"/>
    <w:rsid w:val="00A94AE4"/>
    <w:rsid w:val="00A94C74"/>
    <w:rsid w:val="00A94DA0"/>
    <w:rsid w:val="00A959D8"/>
    <w:rsid w:val="00A962A0"/>
    <w:rsid w:val="00A975BB"/>
    <w:rsid w:val="00A97778"/>
    <w:rsid w:val="00A97B96"/>
    <w:rsid w:val="00AA113D"/>
    <w:rsid w:val="00AA1AFF"/>
    <w:rsid w:val="00AA31D8"/>
    <w:rsid w:val="00AA4A4D"/>
    <w:rsid w:val="00AA66A9"/>
    <w:rsid w:val="00AA6BD5"/>
    <w:rsid w:val="00AA6BD8"/>
    <w:rsid w:val="00AA6C7D"/>
    <w:rsid w:val="00AA6EF1"/>
    <w:rsid w:val="00AA7522"/>
    <w:rsid w:val="00AA7FD6"/>
    <w:rsid w:val="00AB042A"/>
    <w:rsid w:val="00AB0600"/>
    <w:rsid w:val="00AB161E"/>
    <w:rsid w:val="00AB19EF"/>
    <w:rsid w:val="00AB234E"/>
    <w:rsid w:val="00AB27FF"/>
    <w:rsid w:val="00AB2D34"/>
    <w:rsid w:val="00AB31BF"/>
    <w:rsid w:val="00AB3430"/>
    <w:rsid w:val="00AB37B9"/>
    <w:rsid w:val="00AB4AD1"/>
    <w:rsid w:val="00AB4F6B"/>
    <w:rsid w:val="00AB51D3"/>
    <w:rsid w:val="00AB59AE"/>
    <w:rsid w:val="00AB5E07"/>
    <w:rsid w:val="00AB741E"/>
    <w:rsid w:val="00AB7CFA"/>
    <w:rsid w:val="00AC06B6"/>
    <w:rsid w:val="00AC0A37"/>
    <w:rsid w:val="00AC1BDF"/>
    <w:rsid w:val="00AC1D68"/>
    <w:rsid w:val="00AC1E8E"/>
    <w:rsid w:val="00AC4320"/>
    <w:rsid w:val="00AC4607"/>
    <w:rsid w:val="00AC4740"/>
    <w:rsid w:val="00AC4B37"/>
    <w:rsid w:val="00AC4D6F"/>
    <w:rsid w:val="00AC50C0"/>
    <w:rsid w:val="00AC537C"/>
    <w:rsid w:val="00AC5843"/>
    <w:rsid w:val="00AC5845"/>
    <w:rsid w:val="00AC5AC2"/>
    <w:rsid w:val="00AC5B16"/>
    <w:rsid w:val="00AC5B48"/>
    <w:rsid w:val="00AC5CCF"/>
    <w:rsid w:val="00AC7496"/>
    <w:rsid w:val="00AD0C2E"/>
    <w:rsid w:val="00AD1450"/>
    <w:rsid w:val="00AD222F"/>
    <w:rsid w:val="00AD2494"/>
    <w:rsid w:val="00AD3313"/>
    <w:rsid w:val="00AD3B13"/>
    <w:rsid w:val="00AD524E"/>
    <w:rsid w:val="00AD6502"/>
    <w:rsid w:val="00AD7024"/>
    <w:rsid w:val="00AD726A"/>
    <w:rsid w:val="00AE0657"/>
    <w:rsid w:val="00AE0695"/>
    <w:rsid w:val="00AE0CCC"/>
    <w:rsid w:val="00AE16F0"/>
    <w:rsid w:val="00AE1D58"/>
    <w:rsid w:val="00AE1EA2"/>
    <w:rsid w:val="00AE1EB3"/>
    <w:rsid w:val="00AE1FC4"/>
    <w:rsid w:val="00AE2336"/>
    <w:rsid w:val="00AE26C1"/>
    <w:rsid w:val="00AE2B8C"/>
    <w:rsid w:val="00AE2CCC"/>
    <w:rsid w:val="00AE37F8"/>
    <w:rsid w:val="00AE383A"/>
    <w:rsid w:val="00AE3E7E"/>
    <w:rsid w:val="00AE41B8"/>
    <w:rsid w:val="00AE4D8E"/>
    <w:rsid w:val="00AE4DD8"/>
    <w:rsid w:val="00AE4E1E"/>
    <w:rsid w:val="00AE564B"/>
    <w:rsid w:val="00AE5968"/>
    <w:rsid w:val="00AE6FD5"/>
    <w:rsid w:val="00AE702C"/>
    <w:rsid w:val="00AE7930"/>
    <w:rsid w:val="00AE7D22"/>
    <w:rsid w:val="00AE7EDA"/>
    <w:rsid w:val="00AF008C"/>
    <w:rsid w:val="00AF00CE"/>
    <w:rsid w:val="00AF0612"/>
    <w:rsid w:val="00AF1315"/>
    <w:rsid w:val="00AF19BF"/>
    <w:rsid w:val="00AF22C9"/>
    <w:rsid w:val="00AF2748"/>
    <w:rsid w:val="00AF2DC3"/>
    <w:rsid w:val="00AF339B"/>
    <w:rsid w:val="00AF3F29"/>
    <w:rsid w:val="00AF534A"/>
    <w:rsid w:val="00AF53B3"/>
    <w:rsid w:val="00AF540D"/>
    <w:rsid w:val="00AF5E3E"/>
    <w:rsid w:val="00AF5EFE"/>
    <w:rsid w:val="00AF6212"/>
    <w:rsid w:val="00AF653E"/>
    <w:rsid w:val="00B01CC7"/>
    <w:rsid w:val="00B033E5"/>
    <w:rsid w:val="00B03A63"/>
    <w:rsid w:val="00B0400F"/>
    <w:rsid w:val="00B041C5"/>
    <w:rsid w:val="00B047C6"/>
    <w:rsid w:val="00B048F0"/>
    <w:rsid w:val="00B054AE"/>
    <w:rsid w:val="00B070C1"/>
    <w:rsid w:val="00B07B5C"/>
    <w:rsid w:val="00B123A0"/>
    <w:rsid w:val="00B1379A"/>
    <w:rsid w:val="00B13D99"/>
    <w:rsid w:val="00B13F83"/>
    <w:rsid w:val="00B143EB"/>
    <w:rsid w:val="00B149FF"/>
    <w:rsid w:val="00B156B3"/>
    <w:rsid w:val="00B15E95"/>
    <w:rsid w:val="00B16A42"/>
    <w:rsid w:val="00B16C29"/>
    <w:rsid w:val="00B201A4"/>
    <w:rsid w:val="00B201D1"/>
    <w:rsid w:val="00B20F7B"/>
    <w:rsid w:val="00B211E0"/>
    <w:rsid w:val="00B213A6"/>
    <w:rsid w:val="00B21BE9"/>
    <w:rsid w:val="00B22791"/>
    <w:rsid w:val="00B235B0"/>
    <w:rsid w:val="00B235FF"/>
    <w:rsid w:val="00B247AD"/>
    <w:rsid w:val="00B24DF6"/>
    <w:rsid w:val="00B25249"/>
    <w:rsid w:val="00B25503"/>
    <w:rsid w:val="00B2576B"/>
    <w:rsid w:val="00B268F9"/>
    <w:rsid w:val="00B2729B"/>
    <w:rsid w:val="00B27B40"/>
    <w:rsid w:val="00B27DAB"/>
    <w:rsid w:val="00B30822"/>
    <w:rsid w:val="00B30CAD"/>
    <w:rsid w:val="00B318E5"/>
    <w:rsid w:val="00B32AEB"/>
    <w:rsid w:val="00B32B5B"/>
    <w:rsid w:val="00B3421F"/>
    <w:rsid w:val="00B3497D"/>
    <w:rsid w:val="00B34FE2"/>
    <w:rsid w:val="00B35166"/>
    <w:rsid w:val="00B35426"/>
    <w:rsid w:val="00B357D8"/>
    <w:rsid w:val="00B3600A"/>
    <w:rsid w:val="00B360F4"/>
    <w:rsid w:val="00B36A00"/>
    <w:rsid w:val="00B36D65"/>
    <w:rsid w:val="00B374DA"/>
    <w:rsid w:val="00B37BFC"/>
    <w:rsid w:val="00B37C7B"/>
    <w:rsid w:val="00B40358"/>
    <w:rsid w:val="00B41614"/>
    <w:rsid w:val="00B41A08"/>
    <w:rsid w:val="00B42533"/>
    <w:rsid w:val="00B42851"/>
    <w:rsid w:val="00B42919"/>
    <w:rsid w:val="00B42AA5"/>
    <w:rsid w:val="00B42D8A"/>
    <w:rsid w:val="00B42DC0"/>
    <w:rsid w:val="00B42F80"/>
    <w:rsid w:val="00B435CB"/>
    <w:rsid w:val="00B438D9"/>
    <w:rsid w:val="00B44563"/>
    <w:rsid w:val="00B448C0"/>
    <w:rsid w:val="00B44BEA"/>
    <w:rsid w:val="00B45B71"/>
    <w:rsid w:val="00B46573"/>
    <w:rsid w:val="00B46B80"/>
    <w:rsid w:val="00B46F99"/>
    <w:rsid w:val="00B47757"/>
    <w:rsid w:val="00B47F28"/>
    <w:rsid w:val="00B5020B"/>
    <w:rsid w:val="00B5035E"/>
    <w:rsid w:val="00B505C8"/>
    <w:rsid w:val="00B50CD0"/>
    <w:rsid w:val="00B50DB8"/>
    <w:rsid w:val="00B511AC"/>
    <w:rsid w:val="00B51632"/>
    <w:rsid w:val="00B518D7"/>
    <w:rsid w:val="00B52059"/>
    <w:rsid w:val="00B5267C"/>
    <w:rsid w:val="00B53654"/>
    <w:rsid w:val="00B53905"/>
    <w:rsid w:val="00B54972"/>
    <w:rsid w:val="00B54B5B"/>
    <w:rsid w:val="00B5547E"/>
    <w:rsid w:val="00B5562E"/>
    <w:rsid w:val="00B55D65"/>
    <w:rsid w:val="00B560CD"/>
    <w:rsid w:val="00B5649D"/>
    <w:rsid w:val="00B57000"/>
    <w:rsid w:val="00B578ED"/>
    <w:rsid w:val="00B6011B"/>
    <w:rsid w:val="00B60939"/>
    <w:rsid w:val="00B60A26"/>
    <w:rsid w:val="00B60A83"/>
    <w:rsid w:val="00B60AFD"/>
    <w:rsid w:val="00B621DF"/>
    <w:rsid w:val="00B622A4"/>
    <w:rsid w:val="00B62715"/>
    <w:rsid w:val="00B62723"/>
    <w:rsid w:val="00B628C7"/>
    <w:rsid w:val="00B6406C"/>
    <w:rsid w:val="00B650FD"/>
    <w:rsid w:val="00B65130"/>
    <w:rsid w:val="00B65611"/>
    <w:rsid w:val="00B65D6D"/>
    <w:rsid w:val="00B66242"/>
    <w:rsid w:val="00B666A3"/>
    <w:rsid w:val="00B666B0"/>
    <w:rsid w:val="00B666B2"/>
    <w:rsid w:val="00B668BA"/>
    <w:rsid w:val="00B668C6"/>
    <w:rsid w:val="00B668C7"/>
    <w:rsid w:val="00B67B31"/>
    <w:rsid w:val="00B7065A"/>
    <w:rsid w:val="00B70DC5"/>
    <w:rsid w:val="00B70E8E"/>
    <w:rsid w:val="00B71224"/>
    <w:rsid w:val="00B717EF"/>
    <w:rsid w:val="00B718D4"/>
    <w:rsid w:val="00B71A65"/>
    <w:rsid w:val="00B71ECE"/>
    <w:rsid w:val="00B72780"/>
    <w:rsid w:val="00B72A44"/>
    <w:rsid w:val="00B72BE0"/>
    <w:rsid w:val="00B73636"/>
    <w:rsid w:val="00B74C64"/>
    <w:rsid w:val="00B76C92"/>
    <w:rsid w:val="00B77F69"/>
    <w:rsid w:val="00B80A3B"/>
    <w:rsid w:val="00B80FF7"/>
    <w:rsid w:val="00B813AC"/>
    <w:rsid w:val="00B818A4"/>
    <w:rsid w:val="00B8280B"/>
    <w:rsid w:val="00B82C43"/>
    <w:rsid w:val="00B833F6"/>
    <w:rsid w:val="00B83F81"/>
    <w:rsid w:val="00B84117"/>
    <w:rsid w:val="00B842E2"/>
    <w:rsid w:val="00B84A60"/>
    <w:rsid w:val="00B84B5F"/>
    <w:rsid w:val="00B858F0"/>
    <w:rsid w:val="00B85A67"/>
    <w:rsid w:val="00B85AA2"/>
    <w:rsid w:val="00B8649C"/>
    <w:rsid w:val="00B8695D"/>
    <w:rsid w:val="00B872F2"/>
    <w:rsid w:val="00B87C92"/>
    <w:rsid w:val="00B87F0A"/>
    <w:rsid w:val="00B90C9D"/>
    <w:rsid w:val="00B9134A"/>
    <w:rsid w:val="00B91412"/>
    <w:rsid w:val="00B91586"/>
    <w:rsid w:val="00B918F6"/>
    <w:rsid w:val="00B92D0B"/>
    <w:rsid w:val="00B92E9D"/>
    <w:rsid w:val="00B940A0"/>
    <w:rsid w:val="00B94945"/>
    <w:rsid w:val="00B94DD6"/>
    <w:rsid w:val="00B95058"/>
    <w:rsid w:val="00B95A7E"/>
    <w:rsid w:val="00B9633C"/>
    <w:rsid w:val="00B96FA3"/>
    <w:rsid w:val="00B97C2C"/>
    <w:rsid w:val="00BA078E"/>
    <w:rsid w:val="00BA16D6"/>
    <w:rsid w:val="00BA254F"/>
    <w:rsid w:val="00BA2696"/>
    <w:rsid w:val="00BA322D"/>
    <w:rsid w:val="00BA33AB"/>
    <w:rsid w:val="00BA37CA"/>
    <w:rsid w:val="00BA39C4"/>
    <w:rsid w:val="00BA3C72"/>
    <w:rsid w:val="00BA3F04"/>
    <w:rsid w:val="00BA420E"/>
    <w:rsid w:val="00BA44EF"/>
    <w:rsid w:val="00BA4DDC"/>
    <w:rsid w:val="00BA63FA"/>
    <w:rsid w:val="00BA6BCD"/>
    <w:rsid w:val="00BA6CB9"/>
    <w:rsid w:val="00BA715C"/>
    <w:rsid w:val="00BA7B88"/>
    <w:rsid w:val="00BB00B3"/>
    <w:rsid w:val="00BB0162"/>
    <w:rsid w:val="00BB0BDD"/>
    <w:rsid w:val="00BB11EF"/>
    <w:rsid w:val="00BB176C"/>
    <w:rsid w:val="00BB18E2"/>
    <w:rsid w:val="00BB2866"/>
    <w:rsid w:val="00BB2A73"/>
    <w:rsid w:val="00BB2B7F"/>
    <w:rsid w:val="00BB3A45"/>
    <w:rsid w:val="00BB3D36"/>
    <w:rsid w:val="00BB48C7"/>
    <w:rsid w:val="00BB48FD"/>
    <w:rsid w:val="00BB4ACC"/>
    <w:rsid w:val="00BB4B58"/>
    <w:rsid w:val="00BB566E"/>
    <w:rsid w:val="00BB65C9"/>
    <w:rsid w:val="00BB6AA2"/>
    <w:rsid w:val="00BB6CD7"/>
    <w:rsid w:val="00BB703E"/>
    <w:rsid w:val="00BB732D"/>
    <w:rsid w:val="00BB7405"/>
    <w:rsid w:val="00BB77C5"/>
    <w:rsid w:val="00BB781B"/>
    <w:rsid w:val="00BB7827"/>
    <w:rsid w:val="00BB794E"/>
    <w:rsid w:val="00BB7C9D"/>
    <w:rsid w:val="00BC051F"/>
    <w:rsid w:val="00BC06E9"/>
    <w:rsid w:val="00BC0EB4"/>
    <w:rsid w:val="00BC1173"/>
    <w:rsid w:val="00BC130A"/>
    <w:rsid w:val="00BC133C"/>
    <w:rsid w:val="00BC13BC"/>
    <w:rsid w:val="00BC25BD"/>
    <w:rsid w:val="00BC290F"/>
    <w:rsid w:val="00BC2B70"/>
    <w:rsid w:val="00BC2E86"/>
    <w:rsid w:val="00BC353E"/>
    <w:rsid w:val="00BC3631"/>
    <w:rsid w:val="00BC455A"/>
    <w:rsid w:val="00BC591F"/>
    <w:rsid w:val="00BC6BA7"/>
    <w:rsid w:val="00BC7D6D"/>
    <w:rsid w:val="00BD009C"/>
    <w:rsid w:val="00BD0B38"/>
    <w:rsid w:val="00BD2108"/>
    <w:rsid w:val="00BD2FB3"/>
    <w:rsid w:val="00BD36D6"/>
    <w:rsid w:val="00BD3C37"/>
    <w:rsid w:val="00BD45FB"/>
    <w:rsid w:val="00BD4B6B"/>
    <w:rsid w:val="00BD59A5"/>
    <w:rsid w:val="00BD5A72"/>
    <w:rsid w:val="00BD617D"/>
    <w:rsid w:val="00BD625C"/>
    <w:rsid w:val="00BD63E9"/>
    <w:rsid w:val="00BD68A3"/>
    <w:rsid w:val="00BD6938"/>
    <w:rsid w:val="00BD6CF3"/>
    <w:rsid w:val="00BD706A"/>
    <w:rsid w:val="00BE0ECA"/>
    <w:rsid w:val="00BE10E9"/>
    <w:rsid w:val="00BE2180"/>
    <w:rsid w:val="00BE21F2"/>
    <w:rsid w:val="00BE2ACD"/>
    <w:rsid w:val="00BE3AA5"/>
    <w:rsid w:val="00BE4275"/>
    <w:rsid w:val="00BE43D7"/>
    <w:rsid w:val="00BE52D4"/>
    <w:rsid w:val="00BE6BBF"/>
    <w:rsid w:val="00BE727C"/>
    <w:rsid w:val="00BF02F5"/>
    <w:rsid w:val="00BF06AE"/>
    <w:rsid w:val="00BF0F95"/>
    <w:rsid w:val="00BF22E8"/>
    <w:rsid w:val="00BF2433"/>
    <w:rsid w:val="00BF31AB"/>
    <w:rsid w:val="00BF365F"/>
    <w:rsid w:val="00BF3E53"/>
    <w:rsid w:val="00BF4E31"/>
    <w:rsid w:val="00BF5909"/>
    <w:rsid w:val="00BF5CA0"/>
    <w:rsid w:val="00BF61C9"/>
    <w:rsid w:val="00BF6C94"/>
    <w:rsid w:val="00BF6DA3"/>
    <w:rsid w:val="00BF71B1"/>
    <w:rsid w:val="00C001A3"/>
    <w:rsid w:val="00C00424"/>
    <w:rsid w:val="00C00D9B"/>
    <w:rsid w:val="00C01F3B"/>
    <w:rsid w:val="00C027AD"/>
    <w:rsid w:val="00C02B5E"/>
    <w:rsid w:val="00C02D61"/>
    <w:rsid w:val="00C02DB0"/>
    <w:rsid w:val="00C03E11"/>
    <w:rsid w:val="00C04652"/>
    <w:rsid w:val="00C04A9C"/>
    <w:rsid w:val="00C04D25"/>
    <w:rsid w:val="00C058C5"/>
    <w:rsid w:val="00C05CDF"/>
    <w:rsid w:val="00C05F2A"/>
    <w:rsid w:val="00C07985"/>
    <w:rsid w:val="00C07D15"/>
    <w:rsid w:val="00C10173"/>
    <w:rsid w:val="00C104C9"/>
    <w:rsid w:val="00C10811"/>
    <w:rsid w:val="00C1179F"/>
    <w:rsid w:val="00C124A3"/>
    <w:rsid w:val="00C12C14"/>
    <w:rsid w:val="00C1378F"/>
    <w:rsid w:val="00C13D0D"/>
    <w:rsid w:val="00C13F21"/>
    <w:rsid w:val="00C1494F"/>
    <w:rsid w:val="00C15E43"/>
    <w:rsid w:val="00C15F04"/>
    <w:rsid w:val="00C160C9"/>
    <w:rsid w:val="00C16162"/>
    <w:rsid w:val="00C16894"/>
    <w:rsid w:val="00C179B3"/>
    <w:rsid w:val="00C17BB9"/>
    <w:rsid w:val="00C17E3F"/>
    <w:rsid w:val="00C200AA"/>
    <w:rsid w:val="00C20E6E"/>
    <w:rsid w:val="00C219C2"/>
    <w:rsid w:val="00C22DA7"/>
    <w:rsid w:val="00C237ED"/>
    <w:rsid w:val="00C23E57"/>
    <w:rsid w:val="00C2404A"/>
    <w:rsid w:val="00C24632"/>
    <w:rsid w:val="00C24A2D"/>
    <w:rsid w:val="00C25418"/>
    <w:rsid w:val="00C25D9C"/>
    <w:rsid w:val="00C25DA0"/>
    <w:rsid w:val="00C25EFD"/>
    <w:rsid w:val="00C26A29"/>
    <w:rsid w:val="00C2778B"/>
    <w:rsid w:val="00C2785F"/>
    <w:rsid w:val="00C30DE2"/>
    <w:rsid w:val="00C31649"/>
    <w:rsid w:val="00C32A28"/>
    <w:rsid w:val="00C32B78"/>
    <w:rsid w:val="00C33380"/>
    <w:rsid w:val="00C3371F"/>
    <w:rsid w:val="00C33AA3"/>
    <w:rsid w:val="00C33F27"/>
    <w:rsid w:val="00C3434C"/>
    <w:rsid w:val="00C348E7"/>
    <w:rsid w:val="00C348EC"/>
    <w:rsid w:val="00C369F9"/>
    <w:rsid w:val="00C37B18"/>
    <w:rsid w:val="00C37ED9"/>
    <w:rsid w:val="00C40087"/>
    <w:rsid w:val="00C40385"/>
    <w:rsid w:val="00C40ED9"/>
    <w:rsid w:val="00C413E6"/>
    <w:rsid w:val="00C41768"/>
    <w:rsid w:val="00C42C81"/>
    <w:rsid w:val="00C435C7"/>
    <w:rsid w:val="00C43EAC"/>
    <w:rsid w:val="00C44A49"/>
    <w:rsid w:val="00C44E68"/>
    <w:rsid w:val="00C44E70"/>
    <w:rsid w:val="00C451F5"/>
    <w:rsid w:val="00C453E9"/>
    <w:rsid w:val="00C453EC"/>
    <w:rsid w:val="00C4607F"/>
    <w:rsid w:val="00C4619B"/>
    <w:rsid w:val="00C463B6"/>
    <w:rsid w:val="00C46D55"/>
    <w:rsid w:val="00C475AA"/>
    <w:rsid w:val="00C5037F"/>
    <w:rsid w:val="00C5063C"/>
    <w:rsid w:val="00C52833"/>
    <w:rsid w:val="00C53794"/>
    <w:rsid w:val="00C53C98"/>
    <w:rsid w:val="00C53EDE"/>
    <w:rsid w:val="00C55BFC"/>
    <w:rsid w:val="00C55D7F"/>
    <w:rsid w:val="00C55FC0"/>
    <w:rsid w:val="00C564F3"/>
    <w:rsid w:val="00C56519"/>
    <w:rsid w:val="00C567EE"/>
    <w:rsid w:val="00C56FCF"/>
    <w:rsid w:val="00C56FF1"/>
    <w:rsid w:val="00C5735F"/>
    <w:rsid w:val="00C57464"/>
    <w:rsid w:val="00C578FC"/>
    <w:rsid w:val="00C57B6C"/>
    <w:rsid w:val="00C57C1D"/>
    <w:rsid w:val="00C60466"/>
    <w:rsid w:val="00C60A7D"/>
    <w:rsid w:val="00C61865"/>
    <w:rsid w:val="00C628A6"/>
    <w:rsid w:val="00C62AA5"/>
    <w:rsid w:val="00C62C3C"/>
    <w:rsid w:val="00C64157"/>
    <w:rsid w:val="00C64344"/>
    <w:rsid w:val="00C64AA3"/>
    <w:rsid w:val="00C64E42"/>
    <w:rsid w:val="00C65108"/>
    <w:rsid w:val="00C65303"/>
    <w:rsid w:val="00C653C5"/>
    <w:rsid w:val="00C65576"/>
    <w:rsid w:val="00C65B59"/>
    <w:rsid w:val="00C66165"/>
    <w:rsid w:val="00C66829"/>
    <w:rsid w:val="00C6697D"/>
    <w:rsid w:val="00C67B36"/>
    <w:rsid w:val="00C7060A"/>
    <w:rsid w:val="00C70CC1"/>
    <w:rsid w:val="00C7151A"/>
    <w:rsid w:val="00C7178F"/>
    <w:rsid w:val="00C717E3"/>
    <w:rsid w:val="00C71802"/>
    <w:rsid w:val="00C719D4"/>
    <w:rsid w:val="00C71F60"/>
    <w:rsid w:val="00C72241"/>
    <w:rsid w:val="00C72392"/>
    <w:rsid w:val="00C7241D"/>
    <w:rsid w:val="00C73153"/>
    <w:rsid w:val="00C74F0A"/>
    <w:rsid w:val="00C750C8"/>
    <w:rsid w:val="00C7560F"/>
    <w:rsid w:val="00C758CD"/>
    <w:rsid w:val="00C75B4B"/>
    <w:rsid w:val="00C75D13"/>
    <w:rsid w:val="00C75FD2"/>
    <w:rsid w:val="00C760EB"/>
    <w:rsid w:val="00C7651C"/>
    <w:rsid w:val="00C769D4"/>
    <w:rsid w:val="00C7776C"/>
    <w:rsid w:val="00C77CD3"/>
    <w:rsid w:val="00C80225"/>
    <w:rsid w:val="00C808D3"/>
    <w:rsid w:val="00C80A0E"/>
    <w:rsid w:val="00C80E6D"/>
    <w:rsid w:val="00C8146B"/>
    <w:rsid w:val="00C8159F"/>
    <w:rsid w:val="00C81E15"/>
    <w:rsid w:val="00C820B7"/>
    <w:rsid w:val="00C8213F"/>
    <w:rsid w:val="00C82E11"/>
    <w:rsid w:val="00C832D3"/>
    <w:rsid w:val="00C833F6"/>
    <w:rsid w:val="00C84681"/>
    <w:rsid w:val="00C84A4A"/>
    <w:rsid w:val="00C84A95"/>
    <w:rsid w:val="00C84CB8"/>
    <w:rsid w:val="00C84E14"/>
    <w:rsid w:val="00C85154"/>
    <w:rsid w:val="00C85729"/>
    <w:rsid w:val="00C8574A"/>
    <w:rsid w:val="00C857BF"/>
    <w:rsid w:val="00C86484"/>
    <w:rsid w:val="00C8797A"/>
    <w:rsid w:val="00C900B8"/>
    <w:rsid w:val="00C905CE"/>
    <w:rsid w:val="00C90C71"/>
    <w:rsid w:val="00C90CE5"/>
    <w:rsid w:val="00C90E30"/>
    <w:rsid w:val="00C91235"/>
    <w:rsid w:val="00C91676"/>
    <w:rsid w:val="00C91C1D"/>
    <w:rsid w:val="00C91D11"/>
    <w:rsid w:val="00C91FD1"/>
    <w:rsid w:val="00C920AE"/>
    <w:rsid w:val="00C931CF"/>
    <w:rsid w:val="00C938CF"/>
    <w:rsid w:val="00C93F46"/>
    <w:rsid w:val="00C94053"/>
    <w:rsid w:val="00C94AF2"/>
    <w:rsid w:val="00C94B13"/>
    <w:rsid w:val="00C95943"/>
    <w:rsid w:val="00C96213"/>
    <w:rsid w:val="00C9624D"/>
    <w:rsid w:val="00C969DA"/>
    <w:rsid w:val="00C96BB3"/>
    <w:rsid w:val="00C97B94"/>
    <w:rsid w:val="00CA1417"/>
    <w:rsid w:val="00CA1861"/>
    <w:rsid w:val="00CA1F7C"/>
    <w:rsid w:val="00CA2C77"/>
    <w:rsid w:val="00CA2E86"/>
    <w:rsid w:val="00CA35A8"/>
    <w:rsid w:val="00CA3A58"/>
    <w:rsid w:val="00CA3D24"/>
    <w:rsid w:val="00CA434A"/>
    <w:rsid w:val="00CA444F"/>
    <w:rsid w:val="00CA44A6"/>
    <w:rsid w:val="00CA4887"/>
    <w:rsid w:val="00CA5245"/>
    <w:rsid w:val="00CA5AE2"/>
    <w:rsid w:val="00CA62D4"/>
    <w:rsid w:val="00CA6C77"/>
    <w:rsid w:val="00CA7026"/>
    <w:rsid w:val="00CA71F4"/>
    <w:rsid w:val="00CA72A8"/>
    <w:rsid w:val="00CA7391"/>
    <w:rsid w:val="00CA7B09"/>
    <w:rsid w:val="00CA7DA4"/>
    <w:rsid w:val="00CA7F38"/>
    <w:rsid w:val="00CB05D4"/>
    <w:rsid w:val="00CB0FCB"/>
    <w:rsid w:val="00CB12A5"/>
    <w:rsid w:val="00CB1406"/>
    <w:rsid w:val="00CB1419"/>
    <w:rsid w:val="00CB1CAC"/>
    <w:rsid w:val="00CB1D93"/>
    <w:rsid w:val="00CB1FB4"/>
    <w:rsid w:val="00CB22B6"/>
    <w:rsid w:val="00CB2B3E"/>
    <w:rsid w:val="00CB2CE1"/>
    <w:rsid w:val="00CB2F2A"/>
    <w:rsid w:val="00CB37A9"/>
    <w:rsid w:val="00CB392B"/>
    <w:rsid w:val="00CB3AE5"/>
    <w:rsid w:val="00CB43B1"/>
    <w:rsid w:val="00CB5B1A"/>
    <w:rsid w:val="00CB5D63"/>
    <w:rsid w:val="00CB5DBA"/>
    <w:rsid w:val="00CB6B22"/>
    <w:rsid w:val="00CB6C68"/>
    <w:rsid w:val="00CB75F1"/>
    <w:rsid w:val="00CB7842"/>
    <w:rsid w:val="00CB7EBC"/>
    <w:rsid w:val="00CB7F5F"/>
    <w:rsid w:val="00CC052A"/>
    <w:rsid w:val="00CC05D7"/>
    <w:rsid w:val="00CC08FA"/>
    <w:rsid w:val="00CC0B18"/>
    <w:rsid w:val="00CC0D28"/>
    <w:rsid w:val="00CC1A73"/>
    <w:rsid w:val="00CC1B39"/>
    <w:rsid w:val="00CC3392"/>
    <w:rsid w:val="00CC35EA"/>
    <w:rsid w:val="00CC36A9"/>
    <w:rsid w:val="00CC3848"/>
    <w:rsid w:val="00CC4F74"/>
    <w:rsid w:val="00CC7181"/>
    <w:rsid w:val="00CC7427"/>
    <w:rsid w:val="00CC7460"/>
    <w:rsid w:val="00CD14E3"/>
    <w:rsid w:val="00CD2798"/>
    <w:rsid w:val="00CD2913"/>
    <w:rsid w:val="00CD3099"/>
    <w:rsid w:val="00CD38A0"/>
    <w:rsid w:val="00CD3A54"/>
    <w:rsid w:val="00CD3EFE"/>
    <w:rsid w:val="00CD3F5B"/>
    <w:rsid w:val="00CD3F77"/>
    <w:rsid w:val="00CD4146"/>
    <w:rsid w:val="00CD4161"/>
    <w:rsid w:val="00CD4700"/>
    <w:rsid w:val="00CD4B6F"/>
    <w:rsid w:val="00CD4C7C"/>
    <w:rsid w:val="00CD5ABA"/>
    <w:rsid w:val="00CD6ADC"/>
    <w:rsid w:val="00CD7193"/>
    <w:rsid w:val="00CE04CB"/>
    <w:rsid w:val="00CE0AFD"/>
    <w:rsid w:val="00CE1763"/>
    <w:rsid w:val="00CE267C"/>
    <w:rsid w:val="00CE29E4"/>
    <w:rsid w:val="00CE2D75"/>
    <w:rsid w:val="00CE3877"/>
    <w:rsid w:val="00CE38C8"/>
    <w:rsid w:val="00CE42BF"/>
    <w:rsid w:val="00CE506F"/>
    <w:rsid w:val="00CE54E3"/>
    <w:rsid w:val="00CE57B1"/>
    <w:rsid w:val="00CE5B02"/>
    <w:rsid w:val="00CE603F"/>
    <w:rsid w:val="00CE6274"/>
    <w:rsid w:val="00CE77B6"/>
    <w:rsid w:val="00CE7848"/>
    <w:rsid w:val="00CF103F"/>
    <w:rsid w:val="00CF190C"/>
    <w:rsid w:val="00CF27F5"/>
    <w:rsid w:val="00CF2B8D"/>
    <w:rsid w:val="00CF40E4"/>
    <w:rsid w:val="00CF456B"/>
    <w:rsid w:val="00CF48BF"/>
    <w:rsid w:val="00CF5A22"/>
    <w:rsid w:val="00CF5C76"/>
    <w:rsid w:val="00CF6CDB"/>
    <w:rsid w:val="00CF74AD"/>
    <w:rsid w:val="00CF7EE9"/>
    <w:rsid w:val="00D001B3"/>
    <w:rsid w:val="00D00773"/>
    <w:rsid w:val="00D00D0D"/>
    <w:rsid w:val="00D00D40"/>
    <w:rsid w:val="00D015EC"/>
    <w:rsid w:val="00D016A4"/>
    <w:rsid w:val="00D0262E"/>
    <w:rsid w:val="00D029F6"/>
    <w:rsid w:val="00D03ACF"/>
    <w:rsid w:val="00D0441C"/>
    <w:rsid w:val="00D048DC"/>
    <w:rsid w:val="00D049D4"/>
    <w:rsid w:val="00D05631"/>
    <w:rsid w:val="00D05E3D"/>
    <w:rsid w:val="00D06000"/>
    <w:rsid w:val="00D06139"/>
    <w:rsid w:val="00D06A64"/>
    <w:rsid w:val="00D074BB"/>
    <w:rsid w:val="00D110BD"/>
    <w:rsid w:val="00D1115D"/>
    <w:rsid w:val="00D11538"/>
    <w:rsid w:val="00D11600"/>
    <w:rsid w:val="00D116BD"/>
    <w:rsid w:val="00D12611"/>
    <w:rsid w:val="00D12AC7"/>
    <w:rsid w:val="00D12C3D"/>
    <w:rsid w:val="00D1307E"/>
    <w:rsid w:val="00D13675"/>
    <w:rsid w:val="00D13A88"/>
    <w:rsid w:val="00D13FFC"/>
    <w:rsid w:val="00D14001"/>
    <w:rsid w:val="00D141E1"/>
    <w:rsid w:val="00D14C39"/>
    <w:rsid w:val="00D15052"/>
    <w:rsid w:val="00D15314"/>
    <w:rsid w:val="00D15711"/>
    <w:rsid w:val="00D165F8"/>
    <w:rsid w:val="00D166BC"/>
    <w:rsid w:val="00D16794"/>
    <w:rsid w:val="00D16B4A"/>
    <w:rsid w:val="00D16F4F"/>
    <w:rsid w:val="00D17D6C"/>
    <w:rsid w:val="00D17FAA"/>
    <w:rsid w:val="00D20D88"/>
    <w:rsid w:val="00D2155B"/>
    <w:rsid w:val="00D21D6D"/>
    <w:rsid w:val="00D21F9A"/>
    <w:rsid w:val="00D22C4A"/>
    <w:rsid w:val="00D23082"/>
    <w:rsid w:val="00D23D11"/>
    <w:rsid w:val="00D23F04"/>
    <w:rsid w:val="00D244B6"/>
    <w:rsid w:val="00D24D58"/>
    <w:rsid w:val="00D251DF"/>
    <w:rsid w:val="00D25622"/>
    <w:rsid w:val="00D26889"/>
    <w:rsid w:val="00D26D21"/>
    <w:rsid w:val="00D26F70"/>
    <w:rsid w:val="00D27203"/>
    <w:rsid w:val="00D2754D"/>
    <w:rsid w:val="00D27B27"/>
    <w:rsid w:val="00D27FC0"/>
    <w:rsid w:val="00D301C1"/>
    <w:rsid w:val="00D30B02"/>
    <w:rsid w:val="00D31CC9"/>
    <w:rsid w:val="00D33172"/>
    <w:rsid w:val="00D33A7E"/>
    <w:rsid w:val="00D33BE9"/>
    <w:rsid w:val="00D33F93"/>
    <w:rsid w:val="00D350FC"/>
    <w:rsid w:val="00D357FF"/>
    <w:rsid w:val="00D3627B"/>
    <w:rsid w:val="00D36456"/>
    <w:rsid w:val="00D36CF8"/>
    <w:rsid w:val="00D37300"/>
    <w:rsid w:val="00D375E5"/>
    <w:rsid w:val="00D37F76"/>
    <w:rsid w:val="00D40611"/>
    <w:rsid w:val="00D40768"/>
    <w:rsid w:val="00D407FF"/>
    <w:rsid w:val="00D4099A"/>
    <w:rsid w:val="00D424C7"/>
    <w:rsid w:val="00D428E3"/>
    <w:rsid w:val="00D43777"/>
    <w:rsid w:val="00D43956"/>
    <w:rsid w:val="00D43B2A"/>
    <w:rsid w:val="00D43C93"/>
    <w:rsid w:val="00D43D83"/>
    <w:rsid w:val="00D443D2"/>
    <w:rsid w:val="00D44626"/>
    <w:rsid w:val="00D45712"/>
    <w:rsid w:val="00D45CC6"/>
    <w:rsid w:val="00D45FFB"/>
    <w:rsid w:val="00D4642D"/>
    <w:rsid w:val="00D46649"/>
    <w:rsid w:val="00D47397"/>
    <w:rsid w:val="00D47575"/>
    <w:rsid w:val="00D4766C"/>
    <w:rsid w:val="00D476AE"/>
    <w:rsid w:val="00D47D4B"/>
    <w:rsid w:val="00D47EEB"/>
    <w:rsid w:val="00D50D36"/>
    <w:rsid w:val="00D50DD2"/>
    <w:rsid w:val="00D5243B"/>
    <w:rsid w:val="00D524B5"/>
    <w:rsid w:val="00D5256D"/>
    <w:rsid w:val="00D5257D"/>
    <w:rsid w:val="00D52C6D"/>
    <w:rsid w:val="00D52FB3"/>
    <w:rsid w:val="00D533EC"/>
    <w:rsid w:val="00D5349F"/>
    <w:rsid w:val="00D55738"/>
    <w:rsid w:val="00D56A95"/>
    <w:rsid w:val="00D57182"/>
    <w:rsid w:val="00D5782C"/>
    <w:rsid w:val="00D5783A"/>
    <w:rsid w:val="00D57CAA"/>
    <w:rsid w:val="00D57E9D"/>
    <w:rsid w:val="00D60629"/>
    <w:rsid w:val="00D61DAF"/>
    <w:rsid w:val="00D622DC"/>
    <w:rsid w:val="00D62AEC"/>
    <w:rsid w:val="00D63A7E"/>
    <w:rsid w:val="00D63E10"/>
    <w:rsid w:val="00D645A6"/>
    <w:rsid w:val="00D646EA"/>
    <w:rsid w:val="00D64C0D"/>
    <w:rsid w:val="00D64C59"/>
    <w:rsid w:val="00D65291"/>
    <w:rsid w:val="00D66516"/>
    <w:rsid w:val="00D66749"/>
    <w:rsid w:val="00D66CE8"/>
    <w:rsid w:val="00D67A54"/>
    <w:rsid w:val="00D7019B"/>
    <w:rsid w:val="00D70F16"/>
    <w:rsid w:val="00D713BA"/>
    <w:rsid w:val="00D71A49"/>
    <w:rsid w:val="00D71C72"/>
    <w:rsid w:val="00D729F4"/>
    <w:rsid w:val="00D72F57"/>
    <w:rsid w:val="00D7426A"/>
    <w:rsid w:val="00D757F8"/>
    <w:rsid w:val="00D75F34"/>
    <w:rsid w:val="00D7688C"/>
    <w:rsid w:val="00D76A44"/>
    <w:rsid w:val="00D772C9"/>
    <w:rsid w:val="00D772D8"/>
    <w:rsid w:val="00D77456"/>
    <w:rsid w:val="00D7767F"/>
    <w:rsid w:val="00D805AB"/>
    <w:rsid w:val="00D80644"/>
    <w:rsid w:val="00D808FF"/>
    <w:rsid w:val="00D81171"/>
    <w:rsid w:val="00D815EF"/>
    <w:rsid w:val="00D816D4"/>
    <w:rsid w:val="00D81F26"/>
    <w:rsid w:val="00D8203D"/>
    <w:rsid w:val="00D82381"/>
    <w:rsid w:val="00D823FF"/>
    <w:rsid w:val="00D825FE"/>
    <w:rsid w:val="00D83C8B"/>
    <w:rsid w:val="00D840EF"/>
    <w:rsid w:val="00D84C1E"/>
    <w:rsid w:val="00D84FB3"/>
    <w:rsid w:val="00D86231"/>
    <w:rsid w:val="00D86485"/>
    <w:rsid w:val="00D86503"/>
    <w:rsid w:val="00D872EA"/>
    <w:rsid w:val="00D87773"/>
    <w:rsid w:val="00D87A30"/>
    <w:rsid w:val="00D87A87"/>
    <w:rsid w:val="00D90919"/>
    <w:rsid w:val="00D90FB2"/>
    <w:rsid w:val="00D91923"/>
    <w:rsid w:val="00D93001"/>
    <w:rsid w:val="00D9301F"/>
    <w:rsid w:val="00D933D0"/>
    <w:rsid w:val="00D934CF"/>
    <w:rsid w:val="00D93753"/>
    <w:rsid w:val="00D9451F"/>
    <w:rsid w:val="00D94A69"/>
    <w:rsid w:val="00D94C2E"/>
    <w:rsid w:val="00D952F2"/>
    <w:rsid w:val="00D965C1"/>
    <w:rsid w:val="00D97456"/>
    <w:rsid w:val="00D97861"/>
    <w:rsid w:val="00DA01D3"/>
    <w:rsid w:val="00DA1500"/>
    <w:rsid w:val="00DA2830"/>
    <w:rsid w:val="00DA3167"/>
    <w:rsid w:val="00DA457E"/>
    <w:rsid w:val="00DA4DC3"/>
    <w:rsid w:val="00DA5114"/>
    <w:rsid w:val="00DA5164"/>
    <w:rsid w:val="00DA60F3"/>
    <w:rsid w:val="00DA635A"/>
    <w:rsid w:val="00DA6A99"/>
    <w:rsid w:val="00DA77A5"/>
    <w:rsid w:val="00DA7C9C"/>
    <w:rsid w:val="00DA7DE4"/>
    <w:rsid w:val="00DA7FED"/>
    <w:rsid w:val="00DA7FFD"/>
    <w:rsid w:val="00DB115E"/>
    <w:rsid w:val="00DB1242"/>
    <w:rsid w:val="00DB1330"/>
    <w:rsid w:val="00DB1CC0"/>
    <w:rsid w:val="00DB211F"/>
    <w:rsid w:val="00DB24AA"/>
    <w:rsid w:val="00DB265C"/>
    <w:rsid w:val="00DB2780"/>
    <w:rsid w:val="00DB3193"/>
    <w:rsid w:val="00DB391E"/>
    <w:rsid w:val="00DB3DBF"/>
    <w:rsid w:val="00DB3ECD"/>
    <w:rsid w:val="00DB464F"/>
    <w:rsid w:val="00DB484F"/>
    <w:rsid w:val="00DB4C09"/>
    <w:rsid w:val="00DB60D4"/>
    <w:rsid w:val="00DB6314"/>
    <w:rsid w:val="00DB78E7"/>
    <w:rsid w:val="00DB7A10"/>
    <w:rsid w:val="00DC04F6"/>
    <w:rsid w:val="00DC0690"/>
    <w:rsid w:val="00DC082B"/>
    <w:rsid w:val="00DC0C9C"/>
    <w:rsid w:val="00DC12EC"/>
    <w:rsid w:val="00DC1644"/>
    <w:rsid w:val="00DC19F4"/>
    <w:rsid w:val="00DC1D65"/>
    <w:rsid w:val="00DC25B6"/>
    <w:rsid w:val="00DC3C57"/>
    <w:rsid w:val="00DC478C"/>
    <w:rsid w:val="00DC52E8"/>
    <w:rsid w:val="00DC5501"/>
    <w:rsid w:val="00DC617F"/>
    <w:rsid w:val="00DC6B15"/>
    <w:rsid w:val="00DC6BE8"/>
    <w:rsid w:val="00DC6C18"/>
    <w:rsid w:val="00DC7154"/>
    <w:rsid w:val="00DC74AB"/>
    <w:rsid w:val="00DC76AF"/>
    <w:rsid w:val="00DC7E8A"/>
    <w:rsid w:val="00DC7EA0"/>
    <w:rsid w:val="00DD01DC"/>
    <w:rsid w:val="00DD0F78"/>
    <w:rsid w:val="00DD1505"/>
    <w:rsid w:val="00DD1516"/>
    <w:rsid w:val="00DD1892"/>
    <w:rsid w:val="00DD1A0D"/>
    <w:rsid w:val="00DD1C91"/>
    <w:rsid w:val="00DD26FB"/>
    <w:rsid w:val="00DD273C"/>
    <w:rsid w:val="00DD33D8"/>
    <w:rsid w:val="00DD3807"/>
    <w:rsid w:val="00DD3C07"/>
    <w:rsid w:val="00DD3F28"/>
    <w:rsid w:val="00DD4537"/>
    <w:rsid w:val="00DD48D5"/>
    <w:rsid w:val="00DD4E15"/>
    <w:rsid w:val="00DD5381"/>
    <w:rsid w:val="00DD5A85"/>
    <w:rsid w:val="00DD6075"/>
    <w:rsid w:val="00DD6112"/>
    <w:rsid w:val="00DD6242"/>
    <w:rsid w:val="00DD682F"/>
    <w:rsid w:val="00DD6FDB"/>
    <w:rsid w:val="00DD7D6B"/>
    <w:rsid w:val="00DE0F07"/>
    <w:rsid w:val="00DE15AF"/>
    <w:rsid w:val="00DE2023"/>
    <w:rsid w:val="00DE2304"/>
    <w:rsid w:val="00DE3138"/>
    <w:rsid w:val="00DE367A"/>
    <w:rsid w:val="00DE37F8"/>
    <w:rsid w:val="00DE444C"/>
    <w:rsid w:val="00DE4498"/>
    <w:rsid w:val="00DE45C7"/>
    <w:rsid w:val="00DE46F3"/>
    <w:rsid w:val="00DE4896"/>
    <w:rsid w:val="00DE4C66"/>
    <w:rsid w:val="00DE4C8F"/>
    <w:rsid w:val="00DE4D12"/>
    <w:rsid w:val="00DE4FCB"/>
    <w:rsid w:val="00DE52FF"/>
    <w:rsid w:val="00DE5D07"/>
    <w:rsid w:val="00DE5E01"/>
    <w:rsid w:val="00DE64B6"/>
    <w:rsid w:val="00DE65B5"/>
    <w:rsid w:val="00DE7050"/>
    <w:rsid w:val="00DE72A7"/>
    <w:rsid w:val="00DE7605"/>
    <w:rsid w:val="00DE7832"/>
    <w:rsid w:val="00DF02D5"/>
    <w:rsid w:val="00DF03EE"/>
    <w:rsid w:val="00DF18FC"/>
    <w:rsid w:val="00DF1BC8"/>
    <w:rsid w:val="00DF20BA"/>
    <w:rsid w:val="00DF24B8"/>
    <w:rsid w:val="00DF306C"/>
    <w:rsid w:val="00DF3225"/>
    <w:rsid w:val="00DF34B6"/>
    <w:rsid w:val="00DF3567"/>
    <w:rsid w:val="00DF3613"/>
    <w:rsid w:val="00DF3A82"/>
    <w:rsid w:val="00DF489B"/>
    <w:rsid w:val="00DF5D2B"/>
    <w:rsid w:val="00DF5EBB"/>
    <w:rsid w:val="00DF67A6"/>
    <w:rsid w:val="00DF6DBB"/>
    <w:rsid w:val="00DF6DCB"/>
    <w:rsid w:val="00DF7171"/>
    <w:rsid w:val="00DF7184"/>
    <w:rsid w:val="00DF79C1"/>
    <w:rsid w:val="00DF79E3"/>
    <w:rsid w:val="00E00CF7"/>
    <w:rsid w:val="00E00E8E"/>
    <w:rsid w:val="00E0108B"/>
    <w:rsid w:val="00E041D0"/>
    <w:rsid w:val="00E044A7"/>
    <w:rsid w:val="00E05410"/>
    <w:rsid w:val="00E05630"/>
    <w:rsid w:val="00E05D91"/>
    <w:rsid w:val="00E05FAC"/>
    <w:rsid w:val="00E06DBB"/>
    <w:rsid w:val="00E07502"/>
    <w:rsid w:val="00E07E6D"/>
    <w:rsid w:val="00E10149"/>
    <w:rsid w:val="00E1082F"/>
    <w:rsid w:val="00E11340"/>
    <w:rsid w:val="00E11924"/>
    <w:rsid w:val="00E11A2D"/>
    <w:rsid w:val="00E122A1"/>
    <w:rsid w:val="00E12598"/>
    <w:rsid w:val="00E127EF"/>
    <w:rsid w:val="00E13438"/>
    <w:rsid w:val="00E1374C"/>
    <w:rsid w:val="00E13C97"/>
    <w:rsid w:val="00E14185"/>
    <w:rsid w:val="00E154D8"/>
    <w:rsid w:val="00E16372"/>
    <w:rsid w:val="00E175B6"/>
    <w:rsid w:val="00E17664"/>
    <w:rsid w:val="00E202CE"/>
    <w:rsid w:val="00E20790"/>
    <w:rsid w:val="00E209B2"/>
    <w:rsid w:val="00E20E4D"/>
    <w:rsid w:val="00E20ED6"/>
    <w:rsid w:val="00E21358"/>
    <w:rsid w:val="00E22050"/>
    <w:rsid w:val="00E2249B"/>
    <w:rsid w:val="00E22669"/>
    <w:rsid w:val="00E2294D"/>
    <w:rsid w:val="00E22A0D"/>
    <w:rsid w:val="00E22A8A"/>
    <w:rsid w:val="00E23EEF"/>
    <w:rsid w:val="00E244F6"/>
    <w:rsid w:val="00E24B44"/>
    <w:rsid w:val="00E25804"/>
    <w:rsid w:val="00E27228"/>
    <w:rsid w:val="00E2746F"/>
    <w:rsid w:val="00E2771E"/>
    <w:rsid w:val="00E27895"/>
    <w:rsid w:val="00E27A19"/>
    <w:rsid w:val="00E3034F"/>
    <w:rsid w:val="00E30428"/>
    <w:rsid w:val="00E30A01"/>
    <w:rsid w:val="00E30C5C"/>
    <w:rsid w:val="00E311EF"/>
    <w:rsid w:val="00E32180"/>
    <w:rsid w:val="00E33391"/>
    <w:rsid w:val="00E34948"/>
    <w:rsid w:val="00E34EE8"/>
    <w:rsid w:val="00E35CC3"/>
    <w:rsid w:val="00E363CF"/>
    <w:rsid w:val="00E36428"/>
    <w:rsid w:val="00E36C7D"/>
    <w:rsid w:val="00E37569"/>
    <w:rsid w:val="00E37E2F"/>
    <w:rsid w:val="00E4005B"/>
    <w:rsid w:val="00E400B2"/>
    <w:rsid w:val="00E401B2"/>
    <w:rsid w:val="00E4067F"/>
    <w:rsid w:val="00E40CEE"/>
    <w:rsid w:val="00E40E43"/>
    <w:rsid w:val="00E411DA"/>
    <w:rsid w:val="00E41345"/>
    <w:rsid w:val="00E416E2"/>
    <w:rsid w:val="00E41DA1"/>
    <w:rsid w:val="00E41E30"/>
    <w:rsid w:val="00E42A2B"/>
    <w:rsid w:val="00E42B14"/>
    <w:rsid w:val="00E42D47"/>
    <w:rsid w:val="00E42F73"/>
    <w:rsid w:val="00E430B5"/>
    <w:rsid w:val="00E430BE"/>
    <w:rsid w:val="00E4324E"/>
    <w:rsid w:val="00E436EA"/>
    <w:rsid w:val="00E43D70"/>
    <w:rsid w:val="00E44A2B"/>
    <w:rsid w:val="00E459DB"/>
    <w:rsid w:val="00E466F3"/>
    <w:rsid w:val="00E46864"/>
    <w:rsid w:val="00E468FB"/>
    <w:rsid w:val="00E46CC4"/>
    <w:rsid w:val="00E46E10"/>
    <w:rsid w:val="00E46EDA"/>
    <w:rsid w:val="00E470D3"/>
    <w:rsid w:val="00E47291"/>
    <w:rsid w:val="00E47B2C"/>
    <w:rsid w:val="00E50391"/>
    <w:rsid w:val="00E51560"/>
    <w:rsid w:val="00E52BFF"/>
    <w:rsid w:val="00E52C03"/>
    <w:rsid w:val="00E53CE7"/>
    <w:rsid w:val="00E53D9A"/>
    <w:rsid w:val="00E53FC8"/>
    <w:rsid w:val="00E5416E"/>
    <w:rsid w:val="00E542A3"/>
    <w:rsid w:val="00E54347"/>
    <w:rsid w:val="00E5444B"/>
    <w:rsid w:val="00E54D74"/>
    <w:rsid w:val="00E553B9"/>
    <w:rsid w:val="00E55424"/>
    <w:rsid w:val="00E55915"/>
    <w:rsid w:val="00E55BB5"/>
    <w:rsid w:val="00E56276"/>
    <w:rsid w:val="00E5658B"/>
    <w:rsid w:val="00E57101"/>
    <w:rsid w:val="00E57284"/>
    <w:rsid w:val="00E57FEC"/>
    <w:rsid w:val="00E601C0"/>
    <w:rsid w:val="00E61F7F"/>
    <w:rsid w:val="00E62432"/>
    <w:rsid w:val="00E632C6"/>
    <w:rsid w:val="00E63411"/>
    <w:rsid w:val="00E64020"/>
    <w:rsid w:val="00E6427C"/>
    <w:rsid w:val="00E65025"/>
    <w:rsid w:val="00E65A9C"/>
    <w:rsid w:val="00E65E79"/>
    <w:rsid w:val="00E660F0"/>
    <w:rsid w:val="00E6653C"/>
    <w:rsid w:val="00E66BA2"/>
    <w:rsid w:val="00E66FC2"/>
    <w:rsid w:val="00E67416"/>
    <w:rsid w:val="00E67890"/>
    <w:rsid w:val="00E70689"/>
    <w:rsid w:val="00E7092D"/>
    <w:rsid w:val="00E71821"/>
    <w:rsid w:val="00E71867"/>
    <w:rsid w:val="00E718B6"/>
    <w:rsid w:val="00E71DD3"/>
    <w:rsid w:val="00E71E4B"/>
    <w:rsid w:val="00E72182"/>
    <w:rsid w:val="00E723BA"/>
    <w:rsid w:val="00E72A0F"/>
    <w:rsid w:val="00E72D9D"/>
    <w:rsid w:val="00E72DB3"/>
    <w:rsid w:val="00E73581"/>
    <w:rsid w:val="00E73D0A"/>
    <w:rsid w:val="00E74ACF"/>
    <w:rsid w:val="00E75E0A"/>
    <w:rsid w:val="00E76028"/>
    <w:rsid w:val="00E7640D"/>
    <w:rsid w:val="00E76A7C"/>
    <w:rsid w:val="00E7714D"/>
    <w:rsid w:val="00E80E10"/>
    <w:rsid w:val="00E81A42"/>
    <w:rsid w:val="00E824D1"/>
    <w:rsid w:val="00E826E2"/>
    <w:rsid w:val="00E827B0"/>
    <w:rsid w:val="00E833F7"/>
    <w:rsid w:val="00E83BDF"/>
    <w:rsid w:val="00E83E1C"/>
    <w:rsid w:val="00E8444D"/>
    <w:rsid w:val="00E84BB5"/>
    <w:rsid w:val="00E85F10"/>
    <w:rsid w:val="00E86C04"/>
    <w:rsid w:val="00E86CDA"/>
    <w:rsid w:val="00E86DBD"/>
    <w:rsid w:val="00E8737F"/>
    <w:rsid w:val="00E8763D"/>
    <w:rsid w:val="00E87945"/>
    <w:rsid w:val="00E87A1D"/>
    <w:rsid w:val="00E90207"/>
    <w:rsid w:val="00E906D3"/>
    <w:rsid w:val="00E9094A"/>
    <w:rsid w:val="00E9094D"/>
    <w:rsid w:val="00E90960"/>
    <w:rsid w:val="00E910BB"/>
    <w:rsid w:val="00E91D35"/>
    <w:rsid w:val="00E91E83"/>
    <w:rsid w:val="00E92513"/>
    <w:rsid w:val="00E926A5"/>
    <w:rsid w:val="00E928AF"/>
    <w:rsid w:val="00E928DB"/>
    <w:rsid w:val="00E93687"/>
    <w:rsid w:val="00E941D2"/>
    <w:rsid w:val="00E9451E"/>
    <w:rsid w:val="00E9556D"/>
    <w:rsid w:val="00E95F9E"/>
    <w:rsid w:val="00E961D1"/>
    <w:rsid w:val="00E9673C"/>
    <w:rsid w:val="00E96967"/>
    <w:rsid w:val="00EA1371"/>
    <w:rsid w:val="00EA17C3"/>
    <w:rsid w:val="00EA277C"/>
    <w:rsid w:val="00EA2784"/>
    <w:rsid w:val="00EA2CAA"/>
    <w:rsid w:val="00EA3061"/>
    <w:rsid w:val="00EA3864"/>
    <w:rsid w:val="00EA3BD9"/>
    <w:rsid w:val="00EA5458"/>
    <w:rsid w:val="00EA5E82"/>
    <w:rsid w:val="00EA7F1C"/>
    <w:rsid w:val="00EA7F8F"/>
    <w:rsid w:val="00EB05E8"/>
    <w:rsid w:val="00EB09D4"/>
    <w:rsid w:val="00EB1436"/>
    <w:rsid w:val="00EB15B6"/>
    <w:rsid w:val="00EB17B1"/>
    <w:rsid w:val="00EB1876"/>
    <w:rsid w:val="00EB2821"/>
    <w:rsid w:val="00EB2B90"/>
    <w:rsid w:val="00EB3071"/>
    <w:rsid w:val="00EB3D06"/>
    <w:rsid w:val="00EB407C"/>
    <w:rsid w:val="00EB4739"/>
    <w:rsid w:val="00EB475B"/>
    <w:rsid w:val="00EB47D4"/>
    <w:rsid w:val="00EB4916"/>
    <w:rsid w:val="00EB4A08"/>
    <w:rsid w:val="00EB4CFE"/>
    <w:rsid w:val="00EB521F"/>
    <w:rsid w:val="00EB5595"/>
    <w:rsid w:val="00EB5C99"/>
    <w:rsid w:val="00EB6DB6"/>
    <w:rsid w:val="00EB703C"/>
    <w:rsid w:val="00EB78C1"/>
    <w:rsid w:val="00EC00C9"/>
    <w:rsid w:val="00EC0594"/>
    <w:rsid w:val="00EC0B0E"/>
    <w:rsid w:val="00EC0DD9"/>
    <w:rsid w:val="00EC1BBC"/>
    <w:rsid w:val="00EC2495"/>
    <w:rsid w:val="00EC2649"/>
    <w:rsid w:val="00EC31ED"/>
    <w:rsid w:val="00EC3EA5"/>
    <w:rsid w:val="00EC41B8"/>
    <w:rsid w:val="00EC4686"/>
    <w:rsid w:val="00EC5157"/>
    <w:rsid w:val="00EC5409"/>
    <w:rsid w:val="00EC5836"/>
    <w:rsid w:val="00EC5D96"/>
    <w:rsid w:val="00EC6836"/>
    <w:rsid w:val="00EC688C"/>
    <w:rsid w:val="00EC7CDB"/>
    <w:rsid w:val="00EC7F18"/>
    <w:rsid w:val="00ED05DB"/>
    <w:rsid w:val="00ED2F14"/>
    <w:rsid w:val="00ED385C"/>
    <w:rsid w:val="00ED57EA"/>
    <w:rsid w:val="00ED5BD4"/>
    <w:rsid w:val="00ED63D0"/>
    <w:rsid w:val="00ED63E9"/>
    <w:rsid w:val="00ED64CB"/>
    <w:rsid w:val="00ED6757"/>
    <w:rsid w:val="00ED6B11"/>
    <w:rsid w:val="00ED70C4"/>
    <w:rsid w:val="00ED7470"/>
    <w:rsid w:val="00EE07D3"/>
    <w:rsid w:val="00EE0A2C"/>
    <w:rsid w:val="00EE16CF"/>
    <w:rsid w:val="00EE1996"/>
    <w:rsid w:val="00EE1C01"/>
    <w:rsid w:val="00EE22AF"/>
    <w:rsid w:val="00EE2866"/>
    <w:rsid w:val="00EE39A1"/>
    <w:rsid w:val="00EE4683"/>
    <w:rsid w:val="00EE4AD4"/>
    <w:rsid w:val="00EE4FD2"/>
    <w:rsid w:val="00EE52DF"/>
    <w:rsid w:val="00EE5427"/>
    <w:rsid w:val="00EE5D30"/>
    <w:rsid w:val="00EE7543"/>
    <w:rsid w:val="00EF0171"/>
    <w:rsid w:val="00EF0641"/>
    <w:rsid w:val="00EF0EDE"/>
    <w:rsid w:val="00EF12AB"/>
    <w:rsid w:val="00EF19B3"/>
    <w:rsid w:val="00EF1B25"/>
    <w:rsid w:val="00EF1DA0"/>
    <w:rsid w:val="00EF303D"/>
    <w:rsid w:val="00EF3524"/>
    <w:rsid w:val="00EF3ED1"/>
    <w:rsid w:val="00EF4505"/>
    <w:rsid w:val="00EF4747"/>
    <w:rsid w:val="00EF4792"/>
    <w:rsid w:val="00EF4BF8"/>
    <w:rsid w:val="00EF5386"/>
    <w:rsid w:val="00EF6168"/>
    <w:rsid w:val="00EF64E3"/>
    <w:rsid w:val="00F016F5"/>
    <w:rsid w:val="00F01AE4"/>
    <w:rsid w:val="00F02253"/>
    <w:rsid w:val="00F02843"/>
    <w:rsid w:val="00F036B9"/>
    <w:rsid w:val="00F03795"/>
    <w:rsid w:val="00F0387A"/>
    <w:rsid w:val="00F03C2E"/>
    <w:rsid w:val="00F03F9A"/>
    <w:rsid w:val="00F044D2"/>
    <w:rsid w:val="00F0466B"/>
    <w:rsid w:val="00F04A66"/>
    <w:rsid w:val="00F04B4B"/>
    <w:rsid w:val="00F0516C"/>
    <w:rsid w:val="00F05A97"/>
    <w:rsid w:val="00F05C60"/>
    <w:rsid w:val="00F05ED2"/>
    <w:rsid w:val="00F065A7"/>
    <w:rsid w:val="00F067A2"/>
    <w:rsid w:val="00F06F88"/>
    <w:rsid w:val="00F077AC"/>
    <w:rsid w:val="00F07B9E"/>
    <w:rsid w:val="00F1086D"/>
    <w:rsid w:val="00F10F4C"/>
    <w:rsid w:val="00F10F5A"/>
    <w:rsid w:val="00F1116F"/>
    <w:rsid w:val="00F11393"/>
    <w:rsid w:val="00F121B1"/>
    <w:rsid w:val="00F1263A"/>
    <w:rsid w:val="00F12957"/>
    <w:rsid w:val="00F12BB3"/>
    <w:rsid w:val="00F13712"/>
    <w:rsid w:val="00F13A24"/>
    <w:rsid w:val="00F13B7A"/>
    <w:rsid w:val="00F14027"/>
    <w:rsid w:val="00F143C4"/>
    <w:rsid w:val="00F1492E"/>
    <w:rsid w:val="00F15B77"/>
    <w:rsid w:val="00F165CD"/>
    <w:rsid w:val="00F17F93"/>
    <w:rsid w:val="00F21E46"/>
    <w:rsid w:val="00F2203B"/>
    <w:rsid w:val="00F224A0"/>
    <w:rsid w:val="00F225BF"/>
    <w:rsid w:val="00F22E15"/>
    <w:rsid w:val="00F24837"/>
    <w:rsid w:val="00F24BE0"/>
    <w:rsid w:val="00F2575F"/>
    <w:rsid w:val="00F27565"/>
    <w:rsid w:val="00F275DB"/>
    <w:rsid w:val="00F27B99"/>
    <w:rsid w:val="00F27DB7"/>
    <w:rsid w:val="00F30DB8"/>
    <w:rsid w:val="00F310D4"/>
    <w:rsid w:val="00F3111C"/>
    <w:rsid w:val="00F312E2"/>
    <w:rsid w:val="00F31D5A"/>
    <w:rsid w:val="00F31DAF"/>
    <w:rsid w:val="00F320D2"/>
    <w:rsid w:val="00F327CF"/>
    <w:rsid w:val="00F32B9C"/>
    <w:rsid w:val="00F32E78"/>
    <w:rsid w:val="00F334F0"/>
    <w:rsid w:val="00F33975"/>
    <w:rsid w:val="00F33DE9"/>
    <w:rsid w:val="00F35E6D"/>
    <w:rsid w:val="00F3605C"/>
    <w:rsid w:val="00F3619A"/>
    <w:rsid w:val="00F36DD9"/>
    <w:rsid w:val="00F376D3"/>
    <w:rsid w:val="00F37B37"/>
    <w:rsid w:val="00F40736"/>
    <w:rsid w:val="00F407D1"/>
    <w:rsid w:val="00F40AAA"/>
    <w:rsid w:val="00F40BA7"/>
    <w:rsid w:val="00F40F9D"/>
    <w:rsid w:val="00F41171"/>
    <w:rsid w:val="00F41581"/>
    <w:rsid w:val="00F41ACD"/>
    <w:rsid w:val="00F41DE4"/>
    <w:rsid w:val="00F423EA"/>
    <w:rsid w:val="00F42572"/>
    <w:rsid w:val="00F436AF"/>
    <w:rsid w:val="00F43C56"/>
    <w:rsid w:val="00F45470"/>
    <w:rsid w:val="00F46CB6"/>
    <w:rsid w:val="00F47254"/>
    <w:rsid w:val="00F4756D"/>
    <w:rsid w:val="00F47DE8"/>
    <w:rsid w:val="00F50A2C"/>
    <w:rsid w:val="00F51888"/>
    <w:rsid w:val="00F51BE2"/>
    <w:rsid w:val="00F5227D"/>
    <w:rsid w:val="00F52CDC"/>
    <w:rsid w:val="00F53F5D"/>
    <w:rsid w:val="00F542C1"/>
    <w:rsid w:val="00F5459A"/>
    <w:rsid w:val="00F54664"/>
    <w:rsid w:val="00F5477F"/>
    <w:rsid w:val="00F54B3F"/>
    <w:rsid w:val="00F5552C"/>
    <w:rsid w:val="00F55E73"/>
    <w:rsid w:val="00F55EDA"/>
    <w:rsid w:val="00F56BA7"/>
    <w:rsid w:val="00F56C80"/>
    <w:rsid w:val="00F57239"/>
    <w:rsid w:val="00F577BE"/>
    <w:rsid w:val="00F57F0B"/>
    <w:rsid w:val="00F60036"/>
    <w:rsid w:val="00F60092"/>
    <w:rsid w:val="00F605EF"/>
    <w:rsid w:val="00F60C69"/>
    <w:rsid w:val="00F616F7"/>
    <w:rsid w:val="00F61843"/>
    <w:rsid w:val="00F61C18"/>
    <w:rsid w:val="00F62E97"/>
    <w:rsid w:val="00F63C7F"/>
    <w:rsid w:val="00F63E34"/>
    <w:rsid w:val="00F6435D"/>
    <w:rsid w:val="00F6443B"/>
    <w:rsid w:val="00F65B13"/>
    <w:rsid w:val="00F65B52"/>
    <w:rsid w:val="00F65ECE"/>
    <w:rsid w:val="00F65F4B"/>
    <w:rsid w:val="00F67A69"/>
    <w:rsid w:val="00F70BFF"/>
    <w:rsid w:val="00F70C9D"/>
    <w:rsid w:val="00F70DC0"/>
    <w:rsid w:val="00F7221D"/>
    <w:rsid w:val="00F72697"/>
    <w:rsid w:val="00F736CC"/>
    <w:rsid w:val="00F73C73"/>
    <w:rsid w:val="00F74189"/>
    <w:rsid w:val="00F74657"/>
    <w:rsid w:val="00F74CD9"/>
    <w:rsid w:val="00F75111"/>
    <w:rsid w:val="00F757F8"/>
    <w:rsid w:val="00F75D75"/>
    <w:rsid w:val="00F75E8D"/>
    <w:rsid w:val="00F8000B"/>
    <w:rsid w:val="00F80A7B"/>
    <w:rsid w:val="00F80E5D"/>
    <w:rsid w:val="00F8110C"/>
    <w:rsid w:val="00F81405"/>
    <w:rsid w:val="00F81545"/>
    <w:rsid w:val="00F81E78"/>
    <w:rsid w:val="00F8253F"/>
    <w:rsid w:val="00F830F9"/>
    <w:rsid w:val="00F83177"/>
    <w:rsid w:val="00F83346"/>
    <w:rsid w:val="00F8366D"/>
    <w:rsid w:val="00F83D5E"/>
    <w:rsid w:val="00F84AE0"/>
    <w:rsid w:val="00F8517B"/>
    <w:rsid w:val="00F851CE"/>
    <w:rsid w:val="00F85E4F"/>
    <w:rsid w:val="00F86B53"/>
    <w:rsid w:val="00F86F8D"/>
    <w:rsid w:val="00F87BDE"/>
    <w:rsid w:val="00F9007A"/>
    <w:rsid w:val="00F90577"/>
    <w:rsid w:val="00F9062B"/>
    <w:rsid w:val="00F91219"/>
    <w:rsid w:val="00F91AFA"/>
    <w:rsid w:val="00F91EAC"/>
    <w:rsid w:val="00F922FD"/>
    <w:rsid w:val="00F92444"/>
    <w:rsid w:val="00F9393E"/>
    <w:rsid w:val="00F93C5F"/>
    <w:rsid w:val="00F93D6E"/>
    <w:rsid w:val="00F93D72"/>
    <w:rsid w:val="00F93EFA"/>
    <w:rsid w:val="00F948AF"/>
    <w:rsid w:val="00F95CDD"/>
    <w:rsid w:val="00F963FF"/>
    <w:rsid w:val="00F96863"/>
    <w:rsid w:val="00F96FD0"/>
    <w:rsid w:val="00F974FC"/>
    <w:rsid w:val="00F97A78"/>
    <w:rsid w:val="00F97BC7"/>
    <w:rsid w:val="00F97FE5"/>
    <w:rsid w:val="00FA02D8"/>
    <w:rsid w:val="00FA0554"/>
    <w:rsid w:val="00FA0B20"/>
    <w:rsid w:val="00FA0C65"/>
    <w:rsid w:val="00FA132B"/>
    <w:rsid w:val="00FA1916"/>
    <w:rsid w:val="00FA21C9"/>
    <w:rsid w:val="00FA24E7"/>
    <w:rsid w:val="00FA299F"/>
    <w:rsid w:val="00FA2E1B"/>
    <w:rsid w:val="00FA3166"/>
    <w:rsid w:val="00FA39C6"/>
    <w:rsid w:val="00FA4C92"/>
    <w:rsid w:val="00FA5EE6"/>
    <w:rsid w:val="00FA6001"/>
    <w:rsid w:val="00FA64B6"/>
    <w:rsid w:val="00FA6D42"/>
    <w:rsid w:val="00FA6F98"/>
    <w:rsid w:val="00FA7273"/>
    <w:rsid w:val="00FA771E"/>
    <w:rsid w:val="00FA7956"/>
    <w:rsid w:val="00FA7ABE"/>
    <w:rsid w:val="00FB08A4"/>
    <w:rsid w:val="00FB1E3E"/>
    <w:rsid w:val="00FB2567"/>
    <w:rsid w:val="00FB2835"/>
    <w:rsid w:val="00FB2FCB"/>
    <w:rsid w:val="00FB3583"/>
    <w:rsid w:val="00FB3856"/>
    <w:rsid w:val="00FB41B7"/>
    <w:rsid w:val="00FB4EFE"/>
    <w:rsid w:val="00FB6EF6"/>
    <w:rsid w:val="00FB6F14"/>
    <w:rsid w:val="00FB7808"/>
    <w:rsid w:val="00FB7AD2"/>
    <w:rsid w:val="00FB7C55"/>
    <w:rsid w:val="00FB7D17"/>
    <w:rsid w:val="00FC08F4"/>
    <w:rsid w:val="00FC1074"/>
    <w:rsid w:val="00FC1358"/>
    <w:rsid w:val="00FC1884"/>
    <w:rsid w:val="00FC201F"/>
    <w:rsid w:val="00FC2696"/>
    <w:rsid w:val="00FC371D"/>
    <w:rsid w:val="00FC3E3E"/>
    <w:rsid w:val="00FC4074"/>
    <w:rsid w:val="00FC4229"/>
    <w:rsid w:val="00FC44D4"/>
    <w:rsid w:val="00FC4D25"/>
    <w:rsid w:val="00FC510D"/>
    <w:rsid w:val="00FC5862"/>
    <w:rsid w:val="00FC5F0B"/>
    <w:rsid w:val="00FC5F13"/>
    <w:rsid w:val="00FC6AEF"/>
    <w:rsid w:val="00FC713E"/>
    <w:rsid w:val="00FC7281"/>
    <w:rsid w:val="00FC74A8"/>
    <w:rsid w:val="00FD068C"/>
    <w:rsid w:val="00FD1E0A"/>
    <w:rsid w:val="00FD2100"/>
    <w:rsid w:val="00FD31A5"/>
    <w:rsid w:val="00FD3547"/>
    <w:rsid w:val="00FD436C"/>
    <w:rsid w:val="00FD446D"/>
    <w:rsid w:val="00FD4F2C"/>
    <w:rsid w:val="00FD53E0"/>
    <w:rsid w:val="00FD5DCC"/>
    <w:rsid w:val="00FD6245"/>
    <w:rsid w:val="00FD6394"/>
    <w:rsid w:val="00FD70E2"/>
    <w:rsid w:val="00FD7DB0"/>
    <w:rsid w:val="00FE01DC"/>
    <w:rsid w:val="00FE09DD"/>
    <w:rsid w:val="00FE0E54"/>
    <w:rsid w:val="00FE0E6C"/>
    <w:rsid w:val="00FE121C"/>
    <w:rsid w:val="00FE145D"/>
    <w:rsid w:val="00FE14BE"/>
    <w:rsid w:val="00FE1CDC"/>
    <w:rsid w:val="00FE436D"/>
    <w:rsid w:val="00FE5524"/>
    <w:rsid w:val="00FE5AEC"/>
    <w:rsid w:val="00FE5C10"/>
    <w:rsid w:val="00FE684D"/>
    <w:rsid w:val="00FE6AC0"/>
    <w:rsid w:val="00FE70C3"/>
    <w:rsid w:val="00FE7B46"/>
    <w:rsid w:val="00FF0097"/>
    <w:rsid w:val="00FF174C"/>
    <w:rsid w:val="00FF1956"/>
    <w:rsid w:val="00FF21A4"/>
    <w:rsid w:val="00FF266F"/>
    <w:rsid w:val="00FF2909"/>
    <w:rsid w:val="00FF2AD9"/>
    <w:rsid w:val="00FF359F"/>
    <w:rsid w:val="00FF3DCF"/>
    <w:rsid w:val="00FF42C6"/>
    <w:rsid w:val="00FF492C"/>
    <w:rsid w:val="00FF4A21"/>
    <w:rsid w:val="00FF5432"/>
    <w:rsid w:val="00FF590B"/>
    <w:rsid w:val="00FF5AA3"/>
    <w:rsid w:val="00FF5AD8"/>
    <w:rsid w:val="00FF657D"/>
    <w:rsid w:val="00FF6F97"/>
    <w:rsid w:val="00FF71C8"/>
    <w:rsid w:val="00FF7E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4F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2E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character" w:styleId="CommentReference">
    <w:name w:val="annotation reference"/>
    <w:aliases w:val="Table Title"/>
    <w:basedOn w:val="DefaultParagraphFont"/>
    <w:uiPriority w:val="99"/>
    <w:unhideWhenUsed/>
    <w:qFormat/>
    <w:rsid w:val="00DF67A6"/>
    <w:rPr>
      <w:sz w:val="16"/>
      <w:szCs w:val="16"/>
    </w:rPr>
  </w:style>
  <w:style w:type="paragraph" w:styleId="CommentText">
    <w:name w:val="annotation text"/>
    <w:aliases w:val="- H19,Comment Text Char1 Char,Comment Text Char Char Char,Comment Text Char2,Comment Text Char Char1,Comment Text Char2 Char Char,Comment Text Char Char1 Char Char,Comment Text Char2 Char Char Char Char"/>
    <w:basedOn w:val="Normal"/>
    <w:link w:val="CommentTextChar"/>
    <w:uiPriority w:val="99"/>
    <w:unhideWhenUsed/>
    <w:qFormat/>
    <w:rsid w:val="00DF67A6"/>
    <w:rPr>
      <w:sz w:val="20"/>
      <w:szCs w:val="20"/>
    </w:rPr>
  </w:style>
  <w:style w:type="character" w:customStyle="1" w:styleId="CommentTextChar">
    <w:name w:val="Comment Text Char"/>
    <w:aliases w:val="- H19 Char,Comment Text Char1 Char Char,Comment Text Char Char Char Char,Comment Text Char2 Char,Comment Text Char Char1 Char,Comment Text Char2 Char Char Char,Comment Text Char Char1 Char Char Char"/>
    <w:basedOn w:val="DefaultParagraphFont"/>
    <w:link w:val="CommentText"/>
    <w:uiPriority w:val="99"/>
    <w:rsid w:val="00DF67A6"/>
    <w:rPr>
      <w:rFonts w:ascii="Calibri" w:hAnsi="Calibri" w:cs="Arial"/>
    </w:rPr>
  </w:style>
  <w:style w:type="paragraph" w:styleId="CommentSubject">
    <w:name w:val="annotation subject"/>
    <w:basedOn w:val="CommentText"/>
    <w:next w:val="CommentText"/>
    <w:link w:val="CommentSubjectChar"/>
    <w:semiHidden/>
    <w:unhideWhenUsed/>
    <w:rsid w:val="00DF67A6"/>
    <w:rPr>
      <w:b/>
      <w:bCs/>
    </w:rPr>
  </w:style>
  <w:style w:type="character" w:customStyle="1" w:styleId="CommentSubjectChar">
    <w:name w:val="Comment Subject Char"/>
    <w:basedOn w:val="CommentTextChar"/>
    <w:link w:val="CommentSubject"/>
    <w:semiHidden/>
    <w:rsid w:val="00DF67A6"/>
    <w:rPr>
      <w:rFonts w:ascii="Calibri" w:hAnsi="Calibri" w:cs="Arial"/>
      <w:b/>
      <w:bCs/>
    </w:rPr>
  </w:style>
  <w:style w:type="paragraph" w:styleId="Header">
    <w:name w:val="header"/>
    <w:basedOn w:val="Normal"/>
    <w:link w:val="HeaderChar"/>
    <w:unhideWhenUsed/>
    <w:qFormat/>
    <w:rsid w:val="002574A6"/>
    <w:pPr>
      <w:tabs>
        <w:tab w:val="center" w:pos="4513"/>
        <w:tab w:val="right" w:pos="9026"/>
      </w:tabs>
    </w:pPr>
  </w:style>
  <w:style w:type="character" w:customStyle="1" w:styleId="HeaderChar">
    <w:name w:val="Header Char"/>
    <w:basedOn w:val="DefaultParagraphFont"/>
    <w:link w:val="Header"/>
    <w:rsid w:val="002574A6"/>
    <w:rPr>
      <w:rFonts w:ascii="Calibri" w:hAnsi="Calibri" w:cs="Arial"/>
      <w:sz w:val="24"/>
      <w:szCs w:val="24"/>
    </w:rPr>
  </w:style>
  <w:style w:type="paragraph" w:styleId="Footer">
    <w:name w:val="footer"/>
    <w:basedOn w:val="Normal"/>
    <w:link w:val="FooterChar"/>
    <w:uiPriority w:val="99"/>
    <w:unhideWhenUsed/>
    <w:rsid w:val="002574A6"/>
    <w:pPr>
      <w:tabs>
        <w:tab w:val="center" w:pos="4513"/>
        <w:tab w:val="right" w:pos="9026"/>
      </w:tabs>
    </w:pPr>
  </w:style>
  <w:style w:type="character" w:customStyle="1" w:styleId="FooterChar">
    <w:name w:val="Footer Char"/>
    <w:basedOn w:val="DefaultParagraphFont"/>
    <w:link w:val="Footer"/>
    <w:uiPriority w:val="99"/>
    <w:rsid w:val="002574A6"/>
    <w:rPr>
      <w:rFonts w:ascii="Calibri" w:hAnsi="Calibri" w:cs="Arial"/>
      <w:sz w:val="24"/>
      <w:szCs w:val="24"/>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
    <w:basedOn w:val="Normal"/>
    <w:link w:val="ListParagraphChar"/>
    <w:uiPriority w:val="34"/>
    <w:qFormat/>
    <w:rsid w:val="00D17FAA"/>
    <w:pPr>
      <w:ind w:left="720"/>
      <w:contextualSpacing/>
    </w:pPr>
  </w:style>
  <w:style w:type="paragraph" w:customStyle="1" w:styleId="TableFigureHeading">
    <w:name w:val="Table/Figure Heading"/>
    <w:next w:val="Normal"/>
    <w:link w:val="TableFigureHeadingChar"/>
    <w:qFormat/>
    <w:rsid w:val="003F32F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F32FA"/>
    <w:rPr>
      <w:rFonts w:ascii="Arial Narrow" w:eastAsiaTheme="majorEastAsia" w:hAnsi="Arial Narrow" w:cstheme="majorBidi"/>
      <w:b/>
      <w:bCs/>
      <w:szCs w:val="24"/>
    </w:rPr>
  </w:style>
  <w:style w:type="paragraph" w:customStyle="1" w:styleId="TableFooter">
    <w:name w:val="Table Footer"/>
    <w:basedOn w:val="Normal"/>
    <w:link w:val="TableFooterChar"/>
    <w:qFormat/>
    <w:rsid w:val="00C40ED9"/>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C40ED9"/>
    <w:rPr>
      <w:rFonts w:ascii="Arial Narrow" w:hAnsi="Arial Narrow" w:cs="Arial"/>
      <w:snapToGrid w:val="0"/>
      <w:sz w:val="18"/>
      <w:lang w:eastAsia="en-US"/>
    </w:rPr>
  </w:style>
  <w:style w:type="paragraph" w:customStyle="1" w:styleId="BodytextAgency">
    <w:name w:val="Body text (Agency)"/>
    <w:basedOn w:val="Normal"/>
    <w:link w:val="BodytextAgencyChar"/>
    <w:qFormat/>
    <w:rsid w:val="00D116BD"/>
    <w:pPr>
      <w:spacing w:after="140" w:line="280" w:lineRule="atLeast"/>
      <w:jc w:val="left"/>
    </w:pPr>
    <w:rPr>
      <w:rFonts w:asciiTheme="minorHAnsi" w:eastAsia="Verdana" w:hAnsiTheme="minorHAnsi" w:cs="Verdana"/>
      <w:szCs w:val="18"/>
      <w:lang w:val="en-GB" w:eastAsia="en-GB"/>
    </w:rPr>
  </w:style>
  <w:style w:type="character" w:customStyle="1" w:styleId="BodytextAgencyChar">
    <w:name w:val="Body text (Agency) Char"/>
    <w:link w:val="BodytextAgency"/>
    <w:qFormat/>
    <w:locked/>
    <w:rsid w:val="00D116BD"/>
    <w:rPr>
      <w:rFonts w:asciiTheme="minorHAnsi" w:eastAsia="Verdana" w:hAnsiTheme="minorHAnsi" w:cs="Verdana"/>
      <w:sz w:val="24"/>
      <w:szCs w:val="18"/>
      <w:lang w:val="en-GB" w:eastAsia="en-GB"/>
    </w:rPr>
  </w:style>
  <w:style w:type="paragraph" w:customStyle="1" w:styleId="TableHeading">
    <w:name w:val="Table Heading"/>
    <w:basedOn w:val="TableText"/>
    <w:link w:val="TableHeadingChar"/>
    <w:qFormat/>
    <w:rsid w:val="00D116BD"/>
    <w:pPr>
      <w:keepLines/>
    </w:pPr>
    <w:rPr>
      <w:rFonts w:cs="Arial"/>
      <w:b/>
      <w:bCs w:val="0"/>
      <w:szCs w:val="20"/>
      <w:lang w:bidi="en-US"/>
    </w:rPr>
  </w:style>
  <w:style w:type="character" w:customStyle="1" w:styleId="TableHeadingChar">
    <w:name w:val="Table Heading Char"/>
    <w:link w:val="TableHeading"/>
    <w:rsid w:val="00D116BD"/>
    <w:rPr>
      <w:rFonts w:ascii="Arial Narrow" w:eastAsiaTheme="majorEastAsia" w:hAnsi="Arial Narrow" w:cs="Arial"/>
      <w:b/>
      <w:lang w:bidi="en-US"/>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4815DD"/>
    <w:pPr>
      <w:keepNext/>
      <w:spacing w:after="60"/>
      <w:ind w:left="964" w:hanging="964"/>
    </w:pPr>
    <w:rPr>
      <w:rFonts w:eastAsiaTheme="minorHAnsi" w:cstheme="minorBidi"/>
      <w:b/>
      <w:bCs/>
      <w:sz w:val="22"/>
      <w:szCs w:val="18"/>
      <w:lang w:eastAsia="en-US"/>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basedOn w:val="DefaultParagraphFont"/>
    <w:link w:val="Caption"/>
    <w:rsid w:val="004815DD"/>
    <w:rPr>
      <w:rFonts w:ascii="Calibri" w:eastAsiaTheme="minorHAnsi" w:hAnsi="Calibri" w:cstheme="minorBidi"/>
      <w:b/>
      <w:bCs/>
      <w:sz w:val="22"/>
      <w:szCs w:val="18"/>
      <w:lang w:eastAsia="en-US"/>
    </w:rPr>
  </w:style>
  <w:style w:type="numbering" w:customStyle="1" w:styleId="SectionBi">
    <w:name w:val="Section Bi"/>
    <w:uiPriority w:val="99"/>
    <w:rsid w:val="004815DD"/>
    <w:pPr>
      <w:numPr>
        <w:numId w:val="6"/>
      </w:numPr>
    </w:pPr>
  </w:style>
  <w:style w:type="paragraph" w:customStyle="1" w:styleId="Tabletext0">
    <w:name w:val="Table text"/>
    <w:basedOn w:val="ListParagraph"/>
    <w:link w:val="TabletextChar0"/>
    <w:uiPriority w:val="99"/>
    <w:qFormat/>
    <w:rsid w:val="004815DD"/>
    <w:pPr>
      <w:keepNext/>
      <w:ind w:left="0"/>
    </w:pPr>
    <w:rPr>
      <w:rFonts w:asciiTheme="minorHAnsi" w:eastAsiaTheme="minorHAnsi" w:hAnsiTheme="minorHAnsi" w:cstheme="minorBidi"/>
      <w:sz w:val="20"/>
      <w:szCs w:val="20"/>
      <w:lang w:eastAsia="en-US"/>
    </w:rPr>
  </w:style>
  <w:style w:type="paragraph" w:styleId="BodyText">
    <w:name w:val="Body Text"/>
    <w:basedOn w:val="Normal"/>
    <w:link w:val="BodyTextChar"/>
    <w:qFormat/>
    <w:rsid w:val="00D116BD"/>
    <w:pPr>
      <w:widowControl w:val="0"/>
    </w:pPr>
    <w:rPr>
      <w:rFonts w:asciiTheme="minorHAnsi" w:hAnsiTheme="minorHAnsi"/>
      <w:snapToGrid w:val="0"/>
      <w:szCs w:val="20"/>
      <w:lang w:eastAsia="en-US"/>
    </w:rPr>
  </w:style>
  <w:style w:type="character" w:customStyle="1" w:styleId="BodyTextChar">
    <w:name w:val="Body Text Char"/>
    <w:basedOn w:val="DefaultParagraphFont"/>
    <w:link w:val="BodyText"/>
    <w:rsid w:val="00D116BD"/>
    <w:rPr>
      <w:rFonts w:asciiTheme="minorHAnsi" w:hAnsiTheme="minorHAnsi" w:cs="Arial"/>
      <w:snapToGrid w:val="0"/>
      <w:sz w:val="24"/>
      <w:lang w:eastAsia="en-US"/>
    </w:rPr>
  </w:style>
  <w:style w:type="paragraph" w:customStyle="1" w:styleId="SyneviNormal">
    <w:name w:val="Synevi Normal"/>
    <w:basedOn w:val="Normal"/>
    <w:link w:val="SyneviNormalChar"/>
    <w:qFormat/>
    <w:rsid w:val="005B1D58"/>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5B1D58"/>
    <w:rPr>
      <w:rFonts w:asciiTheme="minorHAnsi" w:hAnsiTheme="minorHAnsi"/>
      <w:sz w:val="22"/>
      <w:lang w:val="en-US" w:eastAsia="en-US"/>
    </w:rPr>
  </w:style>
  <w:style w:type="paragraph" w:customStyle="1" w:styleId="Tabletextcentred">
    <w:name w:val="Table text centred"/>
    <w:basedOn w:val="Normal"/>
    <w:link w:val="TabletextcentredChar"/>
    <w:qFormat/>
    <w:rsid w:val="009D22FB"/>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9D22FB"/>
    <w:rPr>
      <w:rFonts w:ascii="Arial Narrow" w:hAnsi="Arial Narrow" w:cs="Arial Narrow"/>
      <w:lang w:eastAsia="en-US"/>
    </w:rPr>
  </w:style>
  <w:style w:type="table" w:customStyle="1" w:styleId="Summarybox3">
    <w:name w:val="Summary box3"/>
    <w:basedOn w:val="TableNormal"/>
    <w:next w:val="TableGrid"/>
    <w:uiPriority w:val="59"/>
    <w:rsid w:val="009D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1B1275"/>
    <w:pPr>
      <w:spacing w:before="40" w:after="40"/>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1B1275"/>
    <w:rPr>
      <w:rFonts w:ascii="Arial Narrow" w:hAnsi="Arial Narrow"/>
      <w:lang w:eastAsia="en-US"/>
    </w:rPr>
  </w:style>
  <w:style w:type="paragraph" w:customStyle="1" w:styleId="PbacTableHeading">
    <w:name w:val="Pbac Table Heading"/>
    <w:basedOn w:val="PBACTableText"/>
    <w:qFormat/>
    <w:rsid w:val="001B1275"/>
    <w:pPr>
      <w:spacing w:before="0" w:after="80"/>
    </w:pPr>
    <w:rPr>
      <w:rFonts w:eastAsiaTheme="minorHAnsi" w:cs="Arial"/>
      <w:b/>
    </w:r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0D03C9"/>
    <w:rPr>
      <w:rFonts w:ascii="Calibri" w:hAnsi="Calibri" w:cs="Arial"/>
      <w:sz w:val="24"/>
      <w:szCs w:val="24"/>
    </w:rPr>
  </w:style>
  <w:style w:type="character" w:customStyle="1" w:styleId="TabletextChar0">
    <w:name w:val="Table text Char"/>
    <w:link w:val="Tabletext0"/>
    <w:uiPriority w:val="99"/>
    <w:rsid w:val="00D14C39"/>
    <w:rPr>
      <w:rFonts w:asciiTheme="minorHAnsi" w:eastAsiaTheme="minorHAnsi" w:hAnsiTheme="minorHAnsi" w:cstheme="minorBidi"/>
      <w:lang w:eastAsia="en-US"/>
    </w:rPr>
  </w:style>
  <w:style w:type="paragraph" w:styleId="FootnoteText">
    <w:name w:val="footnote text"/>
    <w:basedOn w:val="Normal"/>
    <w:link w:val="FootnoteTextChar"/>
    <w:semiHidden/>
    <w:unhideWhenUsed/>
    <w:rsid w:val="00052E2F"/>
    <w:rPr>
      <w:sz w:val="20"/>
      <w:szCs w:val="20"/>
    </w:rPr>
  </w:style>
  <w:style w:type="character" w:customStyle="1" w:styleId="FootnoteTextChar">
    <w:name w:val="Footnote Text Char"/>
    <w:basedOn w:val="DefaultParagraphFont"/>
    <w:link w:val="FootnoteText"/>
    <w:semiHidden/>
    <w:rsid w:val="00052E2F"/>
    <w:rPr>
      <w:rFonts w:ascii="Calibri" w:hAnsi="Calibri" w:cs="Arial"/>
    </w:rPr>
  </w:style>
  <w:style w:type="character" w:styleId="FootnoteReference">
    <w:name w:val="footnote reference"/>
    <w:basedOn w:val="DefaultParagraphFont"/>
    <w:semiHidden/>
    <w:unhideWhenUsed/>
    <w:rsid w:val="00052E2F"/>
    <w:rPr>
      <w:vertAlign w:val="superscript"/>
    </w:rPr>
  </w:style>
  <w:style w:type="character" w:styleId="Emphasis">
    <w:name w:val="Emphasis"/>
    <w:basedOn w:val="DefaultParagraphFont"/>
    <w:uiPriority w:val="20"/>
    <w:qFormat/>
    <w:rsid w:val="00095BC2"/>
    <w:rPr>
      <w:i/>
      <w:iCs/>
    </w:rPr>
  </w:style>
  <w:style w:type="paragraph" w:customStyle="1" w:styleId="PBACHeading1">
    <w:name w:val="PBAC Heading 1"/>
    <w:qFormat/>
    <w:rsid w:val="000F6260"/>
    <w:pPr>
      <w:ind w:left="720" w:hanging="720"/>
      <w:outlineLvl w:val="0"/>
    </w:pPr>
    <w:rPr>
      <w:rFonts w:ascii="Calibri" w:hAnsi="Calibri" w:cs="Calibri"/>
      <w:b/>
      <w:snapToGrid w:val="0"/>
      <w:sz w:val="32"/>
      <w:szCs w:val="32"/>
      <w:lang w:eastAsia="en-US"/>
    </w:rPr>
  </w:style>
  <w:style w:type="paragraph" w:styleId="NormalWeb">
    <w:name w:val="Normal (Web)"/>
    <w:basedOn w:val="Normal"/>
    <w:uiPriority w:val="99"/>
    <w:unhideWhenUsed/>
    <w:rsid w:val="00827574"/>
    <w:pPr>
      <w:spacing w:before="100" w:beforeAutospacing="1" w:after="100" w:afterAutospacing="1"/>
      <w:jc w:val="left"/>
    </w:pPr>
    <w:rPr>
      <w:rFonts w:ascii="Times New Roman" w:hAnsi="Times New Roman" w:cs="Times New Roman"/>
    </w:rPr>
  </w:style>
  <w:style w:type="paragraph" w:styleId="PlainText">
    <w:name w:val="Plain Text"/>
    <w:basedOn w:val="Normal"/>
    <w:link w:val="PlainTextChar"/>
    <w:uiPriority w:val="99"/>
    <w:unhideWhenUsed/>
    <w:rsid w:val="00952109"/>
    <w:pPr>
      <w:jc w:val="left"/>
    </w:pPr>
    <w:rPr>
      <w:rFonts w:eastAsiaTheme="minorHAnsi" w:cs="Calibri"/>
      <w:sz w:val="22"/>
      <w:szCs w:val="22"/>
      <w:lang w:eastAsia="en-US"/>
    </w:rPr>
  </w:style>
  <w:style w:type="character" w:customStyle="1" w:styleId="PlainTextChar">
    <w:name w:val="Plain Text Char"/>
    <w:basedOn w:val="DefaultParagraphFont"/>
    <w:link w:val="PlainText"/>
    <w:uiPriority w:val="99"/>
    <w:rsid w:val="00952109"/>
    <w:rPr>
      <w:rFonts w:ascii="Calibri" w:eastAsiaTheme="minorHAnsi" w:hAnsi="Calibri" w:cs="Calibri"/>
      <w:sz w:val="22"/>
      <w:szCs w:val="22"/>
      <w:lang w:eastAsia="en-US"/>
    </w:rPr>
  </w:style>
  <w:style w:type="character" w:customStyle="1" w:styleId="item-code2">
    <w:name w:val="item-code2"/>
    <w:basedOn w:val="DefaultParagraphFont"/>
    <w:rsid w:val="00D43777"/>
    <w:rPr>
      <w:vanish w:val="0"/>
      <w:webHidden w:val="0"/>
      <w:specVanish w:val="0"/>
    </w:rPr>
  </w:style>
  <w:style w:type="paragraph" w:customStyle="1" w:styleId="3-BodyText">
    <w:name w:val="3-Body Text"/>
    <w:basedOn w:val="ListParagraph"/>
    <w:link w:val="3-BodyTextChar"/>
    <w:qFormat/>
    <w:rsid w:val="005866E6"/>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5866E6"/>
    <w:rPr>
      <w:rFonts w:asciiTheme="minorHAnsi" w:hAnsiTheme="minorHAnsi" w:cs="Arial"/>
      <w:snapToGrid w:val="0"/>
      <w:sz w:val="24"/>
      <w:szCs w:val="24"/>
    </w:rPr>
  </w:style>
  <w:style w:type="paragraph" w:customStyle="1" w:styleId="4-SubsectionHeading">
    <w:name w:val="4-Subsection Heading"/>
    <w:basedOn w:val="Heading2"/>
    <w:next w:val="3-BodyText"/>
    <w:link w:val="4-SubsectionHeadingChar"/>
    <w:qFormat/>
    <w:rsid w:val="005866E6"/>
    <w:pPr>
      <w:keepNext/>
      <w:spacing w:before="120" w:after="120"/>
    </w:pPr>
    <w:rPr>
      <w:rFonts w:asciiTheme="minorHAnsi" w:eastAsiaTheme="majorEastAsia" w:hAnsiTheme="minorHAnsi" w:cstheme="majorBidi"/>
      <w:color w:val="365F91" w:themeColor="accent1" w:themeShade="BF"/>
      <w:spacing w:val="5"/>
      <w:kern w:val="28"/>
      <w:szCs w:val="36"/>
      <w:lang w:eastAsia="en-US"/>
    </w:rPr>
  </w:style>
  <w:style w:type="character" w:customStyle="1" w:styleId="4-SubsectionHeadingChar">
    <w:name w:val="4-Subsection Heading Char"/>
    <w:basedOn w:val="Heading2Char"/>
    <w:link w:val="4-SubsectionHeading"/>
    <w:rsid w:val="005866E6"/>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Default">
    <w:name w:val="Default"/>
    <w:rsid w:val="00886D2E"/>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91734E"/>
    <w:rPr>
      <w:b/>
      <w:bCs/>
    </w:rPr>
  </w:style>
  <w:style w:type="paragraph" w:customStyle="1" w:styleId="TableNotes18">
    <w:name w:val="TableNotes+18"/>
    <w:basedOn w:val="Normal"/>
    <w:rsid w:val="00221DE2"/>
    <w:pPr>
      <w:keepLines/>
      <w:spacing w:after="360"/>
      <w:ind w:left="720"/>
    </w:pPr>
    <w:rPr>
      <w:rFonts w:ascii="Arial Narrow" w:hAnsi="Arial Narrow" w:cs="Arial Narrow"/>
      <w:snapToGrid w:val="0"/>
      <w:sz w:val="18"/>
      <w:szCs w:val="18"/>
      <w:lang w:eastAsia="en-GB"/>
    </w:rPr>
  </w:style>
  <w:style w:type="paragraph" w:customStyle="1" w:styleId="PBACESHeading1">
    <w:name w:val="PBAC ES Heading 1"/>
    <w:basedOn w:val="Normal"/>
    <w:uiPriority w:val="1"/>
    <w:rsid w:val="005B7F91"/>
    <w:pPr>
      <w:keepNext/>
      <w:snapToGrid w:val="0"/>
      <w:spacing w:before="240" w:after="120"/>
      <w:jc w:val="left"/>
    </w:pPr>
    <w:rPr>
      <w:rFonts w:eastAsiaTheme="minorHAnsi" w:cs="Calibri"/>
      <w:b/>
      <w:bCs/>
      <w:sz w:val="32"/>
      <w:szCs w:val="32"/>
      <w:lang w:eastAsia="en-US"/>
    </w:rPr>
  </w:style>
  <w:style w:type="paragraph" w:customStyle="1" w:styleId="PBACESHeading2">
    <w:name w:val="PBAC ES Heading 2"/>
    <w:basedOn w:val="Normal"/>
    <w:uiPriority w:val="1"/>
    <w:rsid w:val="005B7F91"/>
    <w:pPr>
      <w:keepNext/>
      <w:snapToGrid w:val="0"/>
      <w:spacing w:before="360" w:after="120"/>
      <w:jc w:val="left"/>
    </w:pPr>
    <w:rPr>
      <w:rFonts w:ascii="Calibri Light" w:eastAsiaTheme="minorHAnsi" w:hAnsi="Calibri Light" w:cs="Calibri Light"/>
      <w:b/>
      <w:bCs/>
      <w:i/>
      <w:iCs/>
      <w:sz w:val="28"/>
      <w:szCs w:val="28"/>
      <w:lang w:eastAsia="en-GB"/>
    </w:rPr>
  </w:style>
  <w:style w:type="paragraph" w:customStyle="1" w:styleId="PBACESHeadingCAPS">
    <w:name w:val="PBAC ES Heading CAPS"/>
    <w:basedOn w:val="Normal"/>
    <w:uiPriority w:val="1"/>
    <w:rsid w:val="005B7F91"/>
    <w:pPr>
      <w:keepNext/>
      <w:snapToGrid w:val="0"/>
      <w:spacing w:before="360" w:after="120"/>
      <w:jc w:val="left"/>
    </w:pPr>
    <w:rPr>
      <w:rFonts w:ascii="Calibri Light" w:eastAsiaTheme="minorHAnsi" w:hAnsi="Calibri Light" w:cs="Calibri Light"/>
      <w:b/>
      <w:bCs/>
      <w:smallCaps/>
      <w:sz w:val="32"/>
      <w:szCs w:val="32"/>
      <w:lang w:eastAsia="en-GB"/>
    </w:rPr>
  </w:style>
  <w:style w:type="paragraph" w:customStyle="1" w:styleId="PBACESHeading3">
    <w:name w:val="PBAC ES Heading 3"/>
    <w:basedOn w:val="Normal"/>
    <w:uiPriority w:val="1"/>
    <w:rsid w:val="005B7F91"/>
    <w:pPr>
      <w:keepNext/>
      <w:snapToGrid w:val="0"/>
      <w:spacing w:before="360" w:after="120"/>
      <w:ind w:left="1080" w:hanging="1080"/>
      <w:jc w:val="left"/>
    </w:pPr>
    <w:rPr>
      <w:rFonts w:ascii="Calibri Light" w:eastAsiaTheme="minorHAnsi" w:hAnsi="Calibri Light" w:cs="Calibri Light"/>
      <w:b/>
      <w:bCs/>
      <w:lang w:eastAsia="en-GB"/>
    </w:rPr>
  </w:style>
  <w:style w:type="paragraph" w:customStyle="1" w:styleId="MSACHeading1">
    <w:name w:val="MSAC Heading 1"/>
    <w:basedOn w:val="Normal"/>
    <w:uiPriority w:val="1"/>
    <w:rsid w:val="005B7F91"/>
    <w:pPr>
      <w:keepNext/>
      <w:spacing w:before="160" w:after="240" w:line="252" w:lineRule="auto"/>
      <w:jc w:val="left"/>
    </w:pPr>
    <w:rPr>
      <w:rFonts w:ascii="Arial" w:eastAsiaTheme="minorHAnsi" w:hAnsi="Arial"/>
      <w:b/>
      <w:bCs/>
      <w:lang w:eastAsia="en-US"/>
    </w:rPr>
  </w:style>
  <w:style w:type="paragraph" w:customStyle="1" w:styleId="MSACESHeading2">
    <w:name w:val="MSAC ES Heading 2"/>
    <w:basedOn w:val="Normal"/>
    <w:uiPriority w:val="1"/>
    <w:rsid w:val="005B7F91"/>
    <w:pPr>
      <w:keepNext/>
      <w:snapToGrid w:val="0"/>
      <w:spacing w:before="360" w:after="120"/>
      <w:jc w:val="left"/>
    </w:pPr>
    <w:rPr>
      <w:rFonts w:ascii="Cambria" w:eastAsiaTheme="minorHAnsi" w:hAnsi="Cambria"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313778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0237969">
      <w:bodyDiv w:val="1"/>
      <w:marLeft w:val="0"/>
      <w:marRight w:val="0"/>
      <w:marTop w:val="0"/>
      <w:marBottom w:val="0"/>
      <w:divBdr>
        <w:top w:val="none" w:sz="0" w:space="0" w:color="auto"/>
        <w:left w:val="none" w:sz="0" w:space="0" w:color="auto"/>
        <w:bottom w:val="none" w:sz="0" w:space="0" w:color="auto"/>
        <w:right w:val="none" w:sz="0" w:space="0" w:color="auto"/>
      </w:divBdr>
    </w:div>
    <w:div w:id="269166717">
      <w:bodyDiv w:val="1"/>
      <w:marLeft w:val="0"/>
      <w:marRight w:val="0"/>
      <w:marTop w:val="0"/>
      <w:marBottom w:val="0"/>
      <w:divBdr>
        <w:top w:val="none" w:sz="0" w:space="0" w:color="auto"/>
        <w:left w:val="none" w:sz="0" w:space="0" w:color="auto"/>
        <w:bottom w:val="none" w:sz="0" w:space="0" w:color="auto"/>
        <w:right w:val="none" w:sz="0" w:space="0" w:color="auto"/>
      </w:divBdr>
    </w:div>
    <w:div w:id="29742089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38906472">
      <w:bodyDiv w:val="1"/>
      <w:marLeft w:val="0"/>
      <w:marRight w:val="0"/>
      <w:marTop w:val="0"/>
      <w:marBottom w:val="0"/>
      <w:divBdr>
        <w:top w:val="none" w:sz="0" w:space="0" w:color="auto"/>
        <w:left w:val="none" w:sz="0" w:space="0" w:color="auto"/>
        <w:bottom w:val="none" w:sz="0" w:space="0" w:color="auto"/>
        <w:right w:val="none" w:sz="0" w:space="0" w:color="auto"/>
      </w:divBdr>
    </w:div>
    <w:div w:id="542789190">
      <w:bodyDiv w:val="1"/>
      <w:marLeft w:val="0"/>
      <w:marRight w:val="0"/>
      <w:marTop w:val="0"/>
      <w:marBottom w:val="0"/>
      <w:divBdr>
        <w:top w:val="none" w:sz="0" w:space="0" w:color="auto"/>
        <w:left w:val="none" w:sz="0" w:space="0" w:color="auto"/>
        <w:bottom w:val="none" w:sz="0" w:space="0" w:color="auto"/>
        <w:right w:val="none" w:sz="0" w:space="0" w:color="auto"/>
      </w:divBdr>
    </w:div>
    <w:div w:id="620844395">
      <w:bodyDiv w:val="1"/>
      <w:marLeft w:val="0"/>
      <w:marRight w:val="0"/>
      <w:marTop w:val="0"/>
      <w:marBottom w:val="0"/>
      <w:divBdr>
        <w:top w:val="none" w:sz="0" w:space="0" w:color="auto"/>
        <w:left w:val="none" w:sz="0" w:space="0" w:color="auto"/>
        <w:bottom w:val="none" w:sz="0" w:space="0" w:color="auto"/>
        <w:right w:val="none" w:sz="0" w:space="0" w:color="auto"/>
      </w:divBdr>
    </w:div>
    <w:div w:id="647518628">
      <w:bodyDiv w:val="1"/>
      <w:marLeft w:val="0"/>
      <w:marRight w:val="0"/>
      <w:marTop w:val="0"/>
      <w:marBottom w:val="0"/>
      <w:divBdr>
        <w:top w:val="none" w:sz="0" w:space="0" w:color="auto"/>
        <w:left w:val="none" w:sz="0" w:space="0" w:color="auto"/>
        <w:bottom w:val="none" w:sz="0" w:space="0" w:color="auto"/>
        <w:right w:val="none" w:sz="0" w:space="0" w:color="auto"/>
      </w:divBdr>
    </w:div>
    <w:div w:id="731271666">
      <w:bodyDiv w:val="1"/>
      <w:marLeft w:val="0"/>
      <w:marRight w:val="0"/>
      <w:marTop w:val="0"/>
      <w:marBottom w:val="0"/>
      <w:divBdr>
        <w:top w:val="none" w:sz="0" w:space="0" w:color="auto"/>
        <w:left w:val="none" w:sz="0" w:space="0" w:color="auto"/>
        <w:bottom w:val="none" w:sz="0" w:space="0" w:color="auto"/>
        <w:right w:val="none" w:sz="0" w:space="0" w:color="auto"/>
      </w:divBdr>
    </w:div>
    <w:div w:id="802621001">
      <w:bodyDiv w:val="1"/>
      <w:marLeft w:val="0"/>
      <w:marRight w:val="0"/>
      <w:marTop w:val="0"/>
      <w:marBottom w:val="0"/>
      <w:divBdr>
        <w:top w:val="none" w:sz="0" w:space="0" w:color="auto"/>
        <w:left w:val="none" w:sz="0" w:space="0" w:color="auto"/>
        <w:bottom w:val="none" w:sz="0" w:space="0" w:color="auto"/>
        <w:right w:val="none" w:sz="0" w:space="0" w:color="auto"/>
      </w:divBdr>
      <w:divsChild>
        <w:div w:id="271325020">
          <w:marLeft w:val="0"/>
          <w:marRight w:val="0"/>
          <w:marTop w:val="240"/>
          <w:marBottom w:val="480"/>
          <w:divBdr>
            <w:top w:val="none" w:sz="0" w:space="0" w:color="auto"/>
            <w:left w:val="none" w:sz="0" w:space="0" w:color="auto"/>
            <w:bottom w:val="none" w:sz="0" w:space="0" w:color="auto"/>
            <w:right w:val="none" w:sz="0" w:space="0" w:color="auto"/>
          </w:divBdr>
          <w:divsChild>
            <w:div w:id="280113423">
              <w:marLeft w:val="0"/>
              <w:marRight w:val="0"/>
              <w:marTop w:val="0"/>
              <w:marBottom w:val="0"/>
              <w:divBdr>
                <w:top w:val="none" w:sz="0" w:space="0" w:color="auto"/>
                <w:left w:val="none" w:sz="0" w:space="0" w:color="auto"/>
                <w:bottom w:val="none" w:sz="0" w:space="0" w:color="auto"/>
                <w:right w:val="none" w:sz="0" w:space="0" w:color="auto"/>
              </w:divBdr>
              <w:divsChild>
                <w:div w:id="1101531247">
                  <w:marLeft w:val="0"/>
                  <w:marRight w:val="0"/>
                  <w:marTop w:val="0"/>
                  <w:marBottom w:val="0"/>
                  <w:divBdr>
                    <w:top w:val="none" w:sz="0" w:space="0" w:color="auto"/>
                    <w:left w:val="none" w:sz="0" w:space="0" w:color="auto"/>
                    <w:bottom w:val="none" w:sz="0" w:space="0" w:color="auto"/>
                    <w:right w:val="none" w:sz="0" w:space="0" w:color="auto"/>
                  </w:divBdr>
                  <w:divsChild>
                    <w:div w:id="485319518">
                      <w:marLeft w:val="0"/>
                      <w:marRight w:val="0"/>
                      <w:marTop w:val="0"/>
                      <w:marBottom w:val="0"/>
                      <w:divBdr>
                        <w:top w:val="none" w:sz="0" w:space="0" w:color="auto"/>
                        <w:left w:val="none" w:sz="0" w:space="0" w:color="auto"/>
                        <w:bottom w:val="none" w:sz="0" w:space="0" w:color="auto"/>
                        <w:right w:val="none" w:sz="0" w:space="0" w:color="auto"/>
                      </w:divBdr>
                      <w:divsChild>
                        <w:div w:id="18681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43591">
      <w:bodyDiv w:val="1"/>
      <w:marLeft w:val="0"/>
      <w:marRight w:val="0"/>
      <w:marTop w:val="0"/>
      <w:marBottom w:val="0"/>
      <w:divBdr>
        <w:top w:val="none" w:sz="0" w:space="0" w:color="auto"/>
        <w:left w:val="none" w:sz="0" w:space="0" w:color="auto"/>
        <w:bottom w:val="none" w:sz="0" w:space="0" w:color="auto"/>
        <w:right w:val="none" w:sz="0" w:space="0" w:color="auto"/>
      </w:divBdr>
    </w:div>
    <w:div w:id="113194084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8205">
      <w:bodyDiv w:val="1"/>
      <w:marLeft w:val="0"/>
      <w:marRight w:val="0"/>
      <w:marTop w:val="0"/>
      <w:marBottom w:val="0"/>
      <w:divBdr>
        <w:top w:val="none" w:sz="0" w:space="0" w:color="auto"/>
        <w:left w:val="none" w:sz="0" w:space="0" w:color="auto"/>
        <w:bottom w:val="none" w:sz="0" w:space="0" w:color="auto"/>
        <w:right w:val="none" w:sz="0" w:space="0" w:color="auto"/>
      </w:divBdr>
    </w:div>
    <w:div w:id="1264723169">
      <w:bodyDiv w:val="1"/>
      <w:marLeft w:val="0"/>
      <w:marRight w:val="0"/>
      <w:marTop w:val="0"/>
      <w:marBottom w:val="0"/>
      <w:divBdr>
        <w:top w:val="none" w:sz="0" w:space="0" w:color="auto"/>
        <w:left w:val="none" w:sz="0" w:space="0" w:color="auto"/>
        <w:bottom w:val="none" w:sz="0" w:space="0" w:color="auto"/>
        <w:right w:val="none" w:sz="0" w:space="0" w:color="auto"/>
      </w:divBdr>
    </w:div>
    <w:div w:id="1319190048">
      <w:bodyDiv w:val="1"/>
      <w:marLeft w:val="0"/>
      <w:marRight w:val="0"/>
      <w:marTop w:val="0"/>
      <w:marBottom w:val="0"/>
      <w:divBdr>
        <w:top w:val="none" w:sz="0" w:space="0" w:color="auto"/>
        <w:left w:val="none" w:sz="0" w:space="0" w:color="auto"/>
        <w:bottom w:val="none" w:sz="0" w:space="0" w:color="auto"/>
        <w:right w:val="none" w:sz="0" w:space="0" w:color="auto"/>
      </w:divBdr>
    </w:div>
    <w:div w:id="1401439728">
      <w:bodyDiv w:val="1"/>
      <w:marLeft w:val="0"/>
      <w:marRight w:val="0"/>
      <w:marTop w:val="0"/>
      <w:marBottom w:val="0"/>
      <w:divBdr>
        <w:top w:val="none" w:sz="0" w:space="0" w:color="auto"/>
        <w:left w:val="none" w:sz="0" w:space="0" w:color="auto"/>
        <w:bottom w:val="none" w:sz="0" w:space="0" w:color="auto"/>
        <w:right w:val="none" w:sz="0" w:space="0" w:color="auto"/>
      </w:divBdr>
    </w:div>
    <w:div w:id="1432700542">
      <w:bodyDiv w:val="1"/>
      <w:marLeft w:val="0"/>
      <w:marRight w:val="0"/>
      <w:marTop w:val="0"/>
      <w:marBottom w:val="0"/>
      <w:divBdr>
        <w:top w:val="none" w:sz="0" w:space="0" w:color="auto"/>
        <w:left w:val="none" w:sz="0" w:space="0" w:color="auto"/>
        <w:bottom w:val="none" w:sz="0" w:space="0" w:color="auto"/>
        <w:right w:val="none" w:sz="0" w:space="0" w:color="auto"/>
      </w:divBdr>
    </w:div>
    <w:div w:id="1506557178">
      <w:bodyDiv w:val="1"/>
      <w:marLeft w:val="0"/>
      <w:marRight w:val="0"/>
      <w:marTop w:val="0"/>
      <w:marBottom w:val="0"/>
      <w:divBdr>
        <w:top w:val="none" w:sz="0" w:space="0" w:color="auto"/>
        <w:left w:val="none" w:sz="0" w:space="0" w:color="auto"/>
        <w:bottom w:val="none" w:sz="0" w:space="0" w:color="auto"/>
        <w:right w:val="none" w:sz="0" w:space="0" w:color="auto"/>
      </w:divBdr>
    </w:div>
    <w:div w:id="1538084397">
      <w:bodyDiv w:val="1"/>
      <w:marLeft w:val="0"/>
      <w:marRight w:val="0"/>
      <w:marTop w:val="0"/>
      <w:marBottom w:val="0"/>
      <w:divBdr>
        <w:top w:val="none" w:sz="0" w:space="0" w:color="auto"/>
        <w:left w:val="none" w:sz="0" w:space="0" w:color="auto"/>
        <w:bottom w:val="none" w:sz="0" w:space="0" w:color="auto"/>
        <w:right w:val="none" w:sz="0" w:space="0" w:color="auto"/>
      </w:divBdr>
      <w:divsChild>
        <w:div w:id="1246569230">
          <w:marLeft w:val="0"/>
          <w:marRight w:val="0"/>
          <w:marTop w:val="0"/>
          <w:marBottom w:val="0"/>
          <w:divBdr>
            <w:top w:val="none" w:sz="0" w:space="0" w:color="auto"/>
            <w:left w:val="none" w:sz="0" w:space="0" w:color="auto"/>
            <w:bottom w:val="none" w:sz="0" w:space="0" w:color="auto"/>
            <w:right w:val="none" w:sz="0" w:space="0" w:color="auto"/>
          </w:divBdr>
          <w:divsChild>
            <w:div w:id="396561914">
              <w:marLeft w:val="0"/>
              <w:marRight w:val="0"/>
              <w:marTop w:val="0"/>
              <w:marBottom w:val="0"/>
              <w:divBdr>
                <w:top w:val="none" w:sz="0" w:space="0" w:color="auto"/>
                <w:left w:val="none" w:sz="0" w:space="0" w:color="auto"/>
                <w:bottom w:val="none" w:sz="0" w:space="0" w:color="auto"/>
                <w:right w:val="none" w:sz="0" w:space="0" w:color="auto"/>
              </w:divBdr>
              <w:divsChild>
                <w:div w:id="339429632">
                  <w:marLeft w:val="0"/>
                  <w:marRight w:val="0"/>
                  <w:marTop w:val="0"/>
                  <w:marBottom w:val="0"/>
                  <w:divBdr>
                    <w:top w:val="none" w:sz="0" w:space="0" w:color="auto"/>
                    <w:left w:val="none" w:sz="0" w:space="0" w:color="auto"/>
                    <w:bottom w:val="none" w:sz="0" w:space="0" w:color="auto"/>
                    <w:right w:val="none" w:sz="0" w:space="0" w:color="auto"/>
                  </w:divBdr>
                  <w:divsChild>
                    <w:div w:id="1246495298">
                      <w:marLeft w:val="0"/>
                      <w:marRight w:val="0"/>
                      <w:marTop w:val="0"/>
                      <w:marBottom w:val="240"/>
                      <w:divBdr>
                        <w:top w:val="single" w:sz="6" w:space="0" w:color="DDDDDD"/>
                        <w:left w:val="none" w:sz="0" w:space="0" w:color="auto"/>
                        <w:bottom w:val="none" w:sz="0" w:space="0" w:color="auto"/>
                        <w:right w:val="none" w:sz="0" w:space="0" w:color="auto"/>
                      </w:divBdr>
                      <w:divsChild>
                        <w:div w:id="1302687273">
                          <w:marLeft w:val="0"/>
                          <w:marRight w:val="0"/>
                          <w:marTop w:val="0"/>
                          <w:marBottom w:val="0"/>
                          <w:divBdr>
                            <w:top w:val="none" w:sz="0" w:space="0" w:color="auto"/>
                            <w:left w:val="none" w:sz="0" w:space="0" w:color="auto"/>
                            <w:bottom w:val="none" w:sz="0" w:space="0" w:color="auto"/>
                            <w:right w:val="none" w:sz="0" w:space="0" w:color="auto"/>
                          </w:divBdr>
                          <w:divsChild>
                            <w:div w:id="811751042">
                              <w:marLeft w:val="0"/>
                              <w:marRight w:val="0"/>
                              <w:marTop w:val="0"/>
                              <w:marBottom w:val="0"/>
                              <w:divBdr>
                                <w:top w:val="none" w:sz="0" w:space="0" w:color="auto"/>
                                <w:left w:val="none" w:sz="0" w:space="0" w:color="auto"/>
                                <w:bottom w:val="none" w:sz="0" w:space="0" w:color="auto"/>
                                <w:right w:val="none" w:sz="0" w:space="0" w:color="auto"/>
                              </w:divBdr>
                              <w:divsChild>
                                <w:div w:id="1082219027">
                                  <w:marLeft w:val="0"/>
                                  <w:marRight w:val="0"/>
                                  <w:marTop w:val="0"/>
                                  <w:marBottom w:val="240"/>
                                  <w:divBdr>
                                    <w:top w:val="single" w:sz="6" w:space="0" w:color="DDDDDD"/>
                                    <w:left w:val="none" w:sz="0" w:space="0" w:color="auto"/>
                                    <w:bottom w:val="none" w:sz="0" w:space="0" w:color="auto"/>
                                    <w:right w:val="none" w:sz="0" w:space="0" w:color="auto"/>
                                  </w:divBdr>
                                  <w:divsChild>
                                    <w:div w:id="325866530">
                                      <w:marLeft w:val="0"/>
                                      <w:marRight w:val="0"/>
                                      <w:marTop w:val="0"/>
                                      <w:marBottom w:val="0"/>
                                      <w:divBdr>
                                        <w:top w:val="none" w:sz="0" w:space="0" w:color="auto"/>
                                        <w:left w:val="none" w:sz="0" w:space="0" w:color="auto"/>
                                        <w:bottom w:val="none" w:sz="0" w:space="0" w:color="auto"/>
                                        <w:right w:val="none" w:sz="0" w:space="0" w:color="auto"/>
                                      </w:divBdr>
                                      <w:divsChild>
                                        <w:div w:id="1842112765">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sChild>
                                                <w:div w:id="18721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6040">
                                          <w:marLeft w:val="0"/>
                                          <w:marRight w:val="0"/>
                                          <w:marTop w:val="0"/>
                                          <w:marBottom w:val="0"/>
                                          <w:divBdr>
                                            <w:top w:val="none" w:sz="0" w:space="0" w:color="auto"/>
                                            <w:left w:val="none" w:sz="0" w:space="0" w:color="auto"/>
                                            <w:bottom w:val="none" w:sz="0" w:space="0" w:color="auto"/>
                                            <w:right w:val="none" w:sz="0" w:space="0" w:color="auto"/>
                                          </w:divBdr>
                                          <w:divsChild>
                                            <w:div w:id="1295480682">
                                              <w:marLeft w:val="0"/>
                                              <w:marRight w:val="0"/>
                                              <w:marTop w:val="0"/>
                                              <w:marBottom w:val="0"/>
                                              <w:divBdr>
                                                <w:top w:val="none" w:sz="0" w:space="0" w:color="auto"/>
                                                <w:left w:val="none" w:sz="0" w:space="0" w:color="auto"/>
                                                <w:bottom w:val="none" w:sz="0" w:space="0" w:color="auto"/>
                                                <w:right w:val="none" w:sz="0" w:space="0" w:color="auto"/>
                                              </w:divBdr>
                                              <w:divsChild>
                                                <w:div w:id="17332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735624">
      <w:bodyDiv w:val="1"/>
      <w:marLeft w:val="0"/>
      <w:marRight w:val="0"/>
      <w:marTop w:val="0"/>
      <w:marBottom w:val="0"/>
      <w:divBdr>
        <w:top w:val="none" w:sz="0" w:space="0" w:color="auto"/>
        <w:left w:val="none" w:sz="0" w:space="0" w:color="auto"/>
        <w:bottom w:val="none" w:sz="0" w:space="0" w:color="auto"/>
        <w:right w:val="none" w:sz="0" w:space="0" w:color="auto"/>
      </w:divBdr>
    </w:div>
    <w:div w:id="1794396839">
      <w:bodyDiv w:val="1"/>
      <w:marLeft w:val="0"/>
      <w:marRight w:val="0"/>
      <w:marTop w:val="0"/>
      <w:marBottom w:val="0"/>
      <w:divBdr>
        <w:top w:val="none" w:sz="0" w:space="0" w:color="auto"/>
        <w:left w:val="none" w:sz="0" w:space="0" w:color="auto"/>
        <w:bottom w:val="none" w:sz="0" w:space="0" w:color="auto"/>
        <w:right w:val="none" w:sz="0" w:space="0" w:color="auto"/>
      </w:divBdr>
    </w:div>
    <w:div w:id="1815560331">
      <w:bodyDiv w:val="1"/>
      <w:marLeft w:val="0"/>
      <w:marRight w:val="0"/>
      <w:marTop w:val="0"/>
      <w:marBottom w:val="0"/>
      <w:divBdr>
        <w:top w:val="none" w:sz="0" w:space="0" w:color="auto"/>
        <w:left w:val="none" w:sz="0" w:space="0" w:color="auto"/>
        <w:bottom w:val="none" w:sz="0" w:space="0" w:color="auto"/>
        <w:right w:val="none" w:sz="0" w:space="0" w:color="auto"/>
      </w:divBdr>
      <w:divsChild>
        <w:div w:id="880821359">
          <w:marLeft w:val="0"/>
          <w:marRight w:val="0"/>
          <w:marTop w:val="0"/>
          <w:marBottom w:val="0"/>
          <w:divBdr>
            <w:top w:val="none" w:sz="0" w:space="0" w:color="auto"/>
            <w:left w:val="none" w:sz="0" w:space="0" w:color="auto"/>
            <w:bottom w:val="none" w:sz="0" w:space="0" w:color="auto"/>
            <w:right w:val="none" w:sz="0" w:space="0" w:color="auto"/>
          </w:divBdr>
        </w:div>
      </w:divsChild>
    </w:div>
    <w:div w:id="1877112620">
      <w:bodyDiv w:val="1"/>
      <w:marLeft w:val="0"/>
      <w:marRight w:val="0"/>
      <w:marTop w:val="0"/>
      <w:marBottom w:val="0"/>
      <w:divBdr>
        <w:top w:val="none" w:sz="0" w:space="0" w:color="auto"/>
        <w:left w:val="none" w:sz="0" w:space="0" w:color="auto"/>
        <w:bottom w:val="none" w:sz="0" w:space="0" w:color="auto"/>
        <w:right w:val="none" w:sz="0" w:space="0" w:color="auto"/>
      </w:divBdr>
      <w:divsChild>
        <w:div w:id="1362508403">
          <w:marLeft w:val="0"/>
          <w:marRight w:val="0"/>
          <w:marTop w:val="0"/>
          <w:marBottom w:val="0"/>
          <w:divBdr>
            <w:top w:val="none" w:sz="0" w:space="0" w:color="auto"/>
            <w:left w:val="none" w:sz="0" w:space="0" w:color="auto"/>
            <w:bottom w:val="none" w:sz="0" w:space="0" w:color="auto"/>
            <w:right w:val="none" w:sz="0" w:space="0" w:color="auto"/>
          </w:divBdr>
          <w:divsChild>
            <w:div w:id="1598244684">
              <w:marLeft w:val="0"/>
              <w:marRight w:val="0"/>
              <w:marTop w:val="0"/>
              <w:marBottom w:val="0"/>
              <w:divBdr>
                <w:top w:val="none" w:sz="0" w:space="0" w:color="auto"/>
                <w:left w:val="none" w:sz="0" w:space="0" w:color="auto"/>
                <w:bottom w:val="none" w:sz="0" w:space="0" w:color="auto"/>
                <w:right w:val="none" w:sz="0" w:space="0" w:color="auto"/>
              </w:divBdr>
              <w:divsChild>
                <w:div w:id="1116480644">
                  <w:marLeft w:val="0"/>
                  <w:marRight w:val="0"/>
                  <w:marTop w:val="0"/>
                  <w:marBottom w:val="0"/>
                  <w:divBdr>
                    <w:top w:val="none" w:sz="0" w:space="0" w:color="auto"/>
                    <w:left w:val="none" w:sz="0" w:space="0" w:color="auto"/>
                    <w:bottom w:val="none" w:sz="0" w:space="0" w:color="auto"/>
                    <w:right w:val="none" w:sz="0" w:space="0" w:color="auto"/>
                  </w:divBdr>
                  <w:divsChild>
                    <w:div w:id="1294674341">
                      <w:marLeft w:val="0"/>
                      <w:marRight w:val="0"/>
                      <w:marTop w:val="0"/>
                      <w:marBottom w:val="240"/>
                      <w:divBdr>
                        <w:top w:val="single" w:sz="6" w:space="0" w:color="DDDDDD"/>
                        <w:left w:val="none" w:sz="0" w:space="0" w:color="auto"/>
                        <w:bottom w:val="none" w:sz="0" w:space="0" w:color="auto"/>
                        <w:right w:val="none" w:sz="0" w:space="0" w:color="auto"/>
                      </w:divBdr>
                      <w:divsChild>
                        <w:div w:id="1137265311">
                          <w:marLeft w:val="0"/>
                          <w:marRight w:val="0"/>
                          <w:marTop w:val="0"/>
                          <w:marBottom w:val="0"/>
                          <w:divBdr>
                            <w:top w:val="none" w:sz="0" w:space="0" w:color="auto"/>
                            <w:left w:val="none" w:sz="0" w:space="0" w:color="auto"/>
                            <w:bottom w:val="none" w:sz="0" w:space="0" w:color="auto"/>
                            <w:right w:val="none" w:sz="0" w:space="0" w:color="auto"/>
                          </w:divBdr>
                          <w:divsChild>
                            <w:div w:id="1082876873">
                              <w:marLeft w:val="0"/>
                              <w:marRight w:val="0"/>
                              <w:marTop w:val="0"/>
                              <w:marBottom w:val="0"/>
                              <w:divBdr>
                                <w:top w:val="none" w:sz="0" w:space="0" w:color="auto"/>
                                <w:left w:val="none" w:sz="0" w:space="0" w:color="auto"/>
                                <w:bottom w:val="none" w:sz="0" w:space="0" w:color="auto"/>
                                <w:right w:val="none" w:sz="0" w:space="0" w:color="auto"/>
                              </w:divBdr>
                              <w:divsChild>
                                <w:div w:id="99418624">
                                  <w:marLeft w:val="0"/>
                                  <w:marRight w:val="0"/>
                                  <w:marTop w:val="0"/>
                                  <w:marBottom w:val="240"/>
                                  <w:divBdr>
                                    <w:top w:val="single" w:sz="6" w:space="0" w:color="DDDDDD"/>
                                    <w:left w:val="none" w:sz="0" w:space="0" w:color="auto"/>
                                    <w:bottom w:val="none" w:sz="0" w:space="0" w:color="auto"/>
                                    <w:right w:val="none" w:sz="0" w:space="0" w:color="auto"/>
                                  </w:divBdr>
                                  <w:divsChild>
                                    <w:div w:id="673191060">
                                      <w:marLeft w:val="0"/>
                                      <w:marRight w:val="0"/>
                                      <w:marTop w:val="0"/>
                                      <w:marBottom w:val="0"/>
                                      <w:divBdr>
                                        <w:top w:val="none" w:sz="0" w:space="0" w:color="auto"/>
                                        <w:left w:val="none" w:sz="0" w:space="0" w:color="auto"/>
                                        <w:bottom w:val="none" w:sz="0" w:space="0" w:color="auto"/>
                                        <w:right w:val="none" w:sz="0" w:space="0" w:color="auto"/>
                                      </w:divBdr>
                                      <w:divsChild>
                                        <w:div w:id="1819959498">
                                          <w:marLeft w:val="0"/>
                                          <w:marRight w:val="0"/>
                                          <w:marTop w:val="0"/>
                                          <w:marBottom w:val="0"/>
                                          <w:divBdr>
                                            <w:top w:val="none" w:sz="0" w:space="0" w:color="auto"/>
                                            <w:left w:val="none" w:sz="0" w:space="0" w:color="auto"/>
                                            <w:bottom w:val="none" w:sz="0" w:space="0" w:color="auto"/>
                                            <w:right w:val="none" w:sz="0" w:space="0" w:color="auto"/>
                                          </w:divBdr>
                                          <w:divsChild>
                                            <w:div w:id="913200547">
                                              <w:marLeft w:val="0"/>
                                              <w:marRight w:val="0"/>
                                              <w:marTop w:val="0"/>
                                              <w:marBottom w:val="0"/>
                                              <w:divBdr>
                                                <w:top w:val="none" w:sz="0" w:space="0" w:color="auto"/>
                                                <w:left w:val="none" w:sz="0" w:space="0" w:color="auto"/>
                                                <w:bottom w:val="none" w:sz="0" w:space="0" w:color="auto"/>
                                                <w:right w:val="none" w:sz="0" w:space="0" w:color="auto"/>
                                              </w:divBdr>
                                              <w:divsChild>
                                                <w:div w:id="11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8518">
                                          <w:marLeft w:val="0"/>
                                          <w:marRight w:val="0"/>
                                          <w:marTop w:val="0"/>
                                          <w:marBottom w:val="0"/>
                                          <w:divBdr>
                                            <w:top w:val="none" w:sz="0" w:space="0" w:color="auto"/>
                                            <w:left w:val="none" w:sz="0" w:space="0" w:color="auto"/>
                                            <w:bottom w:val="none" w:sz="0" w:space="0" w:color="auto"/>
                                            <w:right w:val="none" w:sz="0" w:space="0" w:color="auto"/>
                                          </w:divBdr>
                                          <w:divsChild>
                                            <w:div w:id="809900935">
                                              <w:marLeft w:val="0"/>
                                              <w:marRight w:val="0"/>
                                              <w:marTop w:val="0"/>
                                              <w:marBottom w:val="0"/>
                                              <w:divBdr>
                                                <w:top w:val="none" w:sz="0" w:space="0" w:color="auto"/>
                                                <w:left w:val="none" w:sz="0" w:space="0" w:color="auto"/>
                                                <w:bottom w:val="none" w:sz="0" w:space="0" w:color="auto"/>
                                                <w:right w:val="none" w:sz="0" w:space="0" w:color="auto"/>
                                              </w:divBdr>
                                              <w:divsChild>
                                                <w:div w:id="12589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684">
                                          <w:marLeft w:val="0"/>
                                          <w:marRight w:val="0"/>
                                          <w:marTop w:val="0"/>
                                          <w:marBottom w:val="0"/>
                                          <w:divBdr>
                                            <w:top w:val="none" w:sz="0" w:space="0" w:color="auto"/>
                                            <w:left w:val="none" w:sz="0" w:space="0" w:color="auto"/>
                                            <w:bottom w:val="none" w:sz="0" w:space="0" w:color="auto"/>
                                            <w:right w:val="none" w:sz="0" w:space="0" w:color="auto"/>
                                          </w:divBdr>
                                          <w:divsChild>
                                            <w:div w:id="1094520896">
                                              <w:marLeft w:val="0"/>
                                              <w:marRight w:val="0"/>
                                              <w:marTop w:val="0"/>
                                              <w:marBottom w:val="0"/>
                                              <w:divBdr>
                                                <w:top w:val="none" w:sz="0" w:space="0" w:color="auto"/>
                                                <w:left w:val="none" w:sz="0" w:space="0" w:color="auto"/>
                                                <w:bottom w:val="none" w:sz="0" w:space="0" w:color="auto"/>
                                                <w:right w:val="none" w:sz="0" w:space="0" w:color="auto"/>
                                              </w:divBdr>
                                              <w:divsChild>
                                                <w:div w:id="13608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702">
                                          <w:marLeft w:val="0"/>
                                          <w:marRight w:val="0"/>
                                          <w:marTop w:val="0"/>
                                          <w:marBottom w:val="0"/>
                                          <w:divBdr>
                                            <w:top w:val="none" w:sz="0" w:space="0" w:color="auto"/>
                                            <w:left w:val="none" w:sz="0" w:space="0" w:color="auto"/>
                                            <w:bottom w:val="none" w:sz="0" w:space="0" w:color="auto"/>
                                            <w:right w:val="none" w:sz="0" w:space="0" w:color="auto"/>
                                          </w:divBdr>
                                          <w:divsChild>
                                            <w:div w:id="1672757508">
                                              <w:marLeft w:val="0"/>
                                              <w:marRight w:val="0"/>
                                              <w:marTop w:val="0"/>
                                              <w:marBottom w:val="0"/>
                                              <w:divBdr>
                                                <w:top w:val="none" w:sz="0" w:space="0" w:color="auto"/>
                                                <w:left w:val="none" w:sz="0" w:space="0" w:color="auto"/>
                                                <w:bottom w:val="none" w:sz="0" w:space="0" w:color="auto"/>
                                                <w:right w:val="none" w:sz="0" w:space="0" w:color="auto"/>
                                              </w:divBdr>
                                              <w:divsChild>
                                                <w:div w:id="9606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508">
                                          <w:marLeft w:val="0"/>
                                          <w:marRight w:val="0"/>
                                          <w:marTop w:val="0"/>
                                          <w:marBottom w:val="0"/>
                                          <w:divBdr>
                                            <w:top w:val="none" w:sz="0" w:space="0" w:color="auto"/>
                                            <w:left w:val="none" w:sz="0" w:space="0" w:color="auto"/>
                                            <w:bottom w:val="none" w:sz="0" w:space="0" w:color="auto"/>
                                            <w:right w:val="none" w:sz="0" w:space="0" w:color="auto"/>
                                          </w:divBdr>
                                          <w:divsChild>
                                            <w:div w:id="950941208">
                                              <w:marLeft w:val="0"/>
                                              <w:marRight w:val="0"/>
                                              <w:marTop w:val="0"/>
                                              <w:marBottom w:val="0"/>
                                              <w:divBdr>
                                                <w:top w:val="none" w:sz="0" w:space="0" w:color="auto"/>
                                                <w:left w:val="none" w:sz="0" w:space="0" w:color="auto"/>
                                                <w:bottom w:val="none" w:sz="0" w:space="0" w:color="auto"/>
                                                <w:right w:val="none" w:sz="0" w:space="0" w:color="auto"/>
                                              </w:divBdr>
                                              <w:divsChild>
                                                <w:div w:id="9836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31227">
                                          <w:marLeft w:val="0"/>
                                          <w:marRight w:val="0"/>
                                          <w:marTop w:val="0"/>
                                          <w:marBottom w:val="0"/>
                                          <w:divBdr>
                                            <w:top w:val="none" w:sz="0" w:space="0" w:color="auto"/>
                                            <w:left w:val="none" w:sz="0" w:space="0" w:color="auto"/>
                                            <w:bottom w:val="none" w:sz="0" w:space="0" w:color="auto"/>
                                            <w:right w:val="none" w:sz="0" w:space="0" w:color="auto"/>
                                          </w:divBdr>
                                          <w:divsChild>
                                            <w:div w:id="862012836">
                                              <w:marLeft w:val="0"/>
                                              <w:marRight w:val="0"/>
                                              <w:marTop w:val="0"/>
                                              <w:marBottom w:val="0"/>
                                              <w:divBdr>
                                                <w:top w:val="none" w:sz="0" w:space="0" w:color="auto"/>
                                                <w:left w:val="none" w:sz="0" w:space="0" w:color="auto"/>
                                                <w:bottom w:val="none" w:sz="0" w:space="0" w:color="auto"/>
                                                <w:right w:val="none" w:sz="0" w:space="0" w:color="auto"/>
                                              </w:divBdr>
                                              <w:divsChild>
                                                <w:div w:id="1055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2412">
                                          <w:marLeft w:val="0"/>
                                          <w:marRight w:val="0"/>
                                          <w:marTop w:val="0"/>
                                          <w:marBottom w:val="0"/>
                                          <w:divBdr>
                                            <w:top w:val="none" w:sz="0" w:space="0" w:color="auto"/>
                                            <w:left w:val="none" w:sz="0" w:space="0" w:color="auto"/>
                                            <w:bottom w:val="none" w:sz="0" w:space="0" w:color="auto"/>
                                            <w:right w:val="none" w:sz="0" w:space="0" w:color="auto"/>
                                          </w:divBdr>
                                          <w:divsChild>
                                            <w:div w:id="715155047">
                                              <w:marLeft w:val="0"/>
                                              <w:marRight w:val="0"/>
                                              <w:marTop w:val="0"/>
                                              <w:marBottom w:val="0"/>
                                              <w:divBdr>
                                                <w:top w:val="none" w:sz="0" w:space="0" w:color="auto"/>
                                                <w:left w:val="none" w:sz="0" w:space="0" w:color="auto"/>
                                                <w:bottom w:val="none" w:sz="0" w:space="0" w:color="auto"/>
                                                <w:right w:val="none" w:sz="0" w:space="0" w:color="auto"/>
                                              </w:divBdr>
                                              <w:divsChild>
                                                <w:div w:id="36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8509">
                                          <w:marLeft w:val="0"/>
                                          <w:marRight w:val="0"/>
                                          <w:marTop w:val="0"/>
                                          <w:marBottom w:val="0"/>
                                          <w:divBdr>
                                            <w:top w:val="none" w:sz="0" w:space="0" w:color="auto"/>
                                            <w:left w:val="none" w:sz="0" w:space="0" w:color="auto"/>
                                            <w:bottom w:val="none" w:sz="0" w:space="0" w:color="auto"/>
                                            <w:right w:val="none" w:sz="0" w:space="0" w:color="auto"/>
                                          </w:divBdr>
                                          <w:divsChild>
                                            <w:div w:id="445083709">
                                              <w:marLeft w:val="0"/>
                                              <w:marRight w:val="0"/>
                                              <w:marTop w:val="0"/>
                                              <w:marBottom w:val="0"/>
                                              <w:divBdr>
                                                <w:top w:val="none" w:sz="0" w:space="0" w:color="auto"/>
                                                <w:left w:val="none" w:sz="0" w:space="0" w:color="auto"/>
                                                <w:bottom w:val="none" w:sz="0" w:space="0" w:color="auto"/>
                                                <w:right w:val="none" w:sz="0" w:space="0" w:color="auto"/>
                                              </w:divBdr>
                                              <w:divsChild>
                                                <w:div w:id="919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8381">
                                          <w:marLeft w:val="0"/>
                                          <w:marRight w:val="0"/>
                                          <w:marTop w:val="0"/>
                                          <w:marBottom w:val="0"/>
                                          <w:divBdr>
                                            <w:top w:val="none" w:sz="0" w:space="0" w:color="auto"/>
                                            <w:left w:val="none" w:sz="0" w:space="0" w:color="auto"/>
                                            <w:bottom w:val="none" w:sz="0" w:space="0" w:color="auto"/>
                                            <w:right w:val="none" w:sz="0" w:space="0" w:color="auto"/>
                                          </w:divBdr>
                                          <w:divsChild>
                                            <w:div w:id="454056654">
                                              <w:marLeft w:val="0"/>
                                              <w:marRight w:val="0"/>
                                              <w:marTop w:val="0"/>
                                              <w:marBottom w:val="0"/>
                                              <w:divBdr>
                                                <w:top w:val="none" w:sz="0" w:space="0" w:color="auto"/>
                                                <w:left w:val="none" w:sz="0" w:space="0" w:color="auto"/>
                                                <w:bottom w:val="none" w:sz="0" w:space="0" w:color="auto"/>
                                                <w:right w:val="none" w:sz="0" w:space="0" w:color="auto"/>
                                              </w:divBdr>
                                              <w:divsChild>
                                                <w:div w:id="11126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8684">
                                          <w:marLeft w:val="0"/>
                                          <w:marRight w:val="0"/>
                                          <w:marTop w:val="0"/>
                                          <w:marBottom w:val="0"/>
                                          <w:divBdr>
                                            <w:top w:val="none" w:sz="0" w:space="0" w:color="auto"/>
                                            <w:left w:val="none" w:sz="0" w:space="0" w:color="auto"/>
                                            <w:bottom w:val="none" w:sz="0" w:space="0" w:color="auto"/>
                                            <w:right w:val="none" w:sz="0" w:space="0" w:color="auto"/>
                                          </w:divBdr>
                                          <w:divsChild>
                                            <w:div w:id="243732421">
                                              <w:marLeft w:val="0"/>
                                              <w:marRight w:val="0"/>
                                              <w:marTop w:val="0"/>
                                              <w:marBottom w:val="0"/>
                                              <w:divBdr>
                                                <w:top w:val="none" w:sz="0" w:space="0" w:color="auto"/>
                                                <w:left w:val="none" w:sz="0" w:space="0" w:color="auto"/>
                                                <w:bottom w:val="none" w:sz="0" w:space="0" w:color="auto"/>
                                                <w:right w:val="none" w:sz="0" w:space="0" w:color="auto"/>
                                              </w:divBdr>
                                              <w:divsChild>
                                                <w:div w:id="4780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79183">
                                          <w:marLeft w:val="0"/>
                                          <w:marRight w:val="0"/>
                                          <w:marTop w:val="0"/>
                                          <w:marBottom w:val="0"/>
                                          <w:divBdr>
                                            <w:top w:val="none" w:sz="0" w:space="0" w:color="auto"/>
                                            <w:left w:val="none" w:sz="0" w:space="0" w:color="auto"/>
                                            <w:bottom w:val="none" w:sz="0" w:space="0" w:color="auto"/>
                                            <w:right w:val="none" w:sz="0" w:space="0" w:color="auto"/>
                                          </w:divBdr>
                                          <w:divsChild>
                                            <w:div w:id="1202589467">
                                              <w:marLeft w:val="0"/>
                                              <w:marRight w:val="0"/>
                                              <w:marTop w:val="0"/>
                                              <w:marBottom w:val="0"/>
                                              <w:divBdr>
                                                <w:top w:val="none" w:sz="0" w:space="0" w:color="auto"/>
                                                <w:left w:val="none" w:sz="0" w:space="0" w:color="auto"/>
                                                <w:bottom w:val="none" w:sz="0" w:space="0" w:color="auto"/>
                                                <w:right w:val="none" w:sz="0" w:space="0" w:color="auto"/>
                                              </w:divBdr>
                                              <w:divsChild>
                                                <w:div w:id="15946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8233">
                                          <w:marLeft w:val="0"/>
                                          <w:marRight w:val="0"/>
                                          <w:marTop w:val="0"/>
                                          <w:marBottom w:val="0"/>
                                          <w:divBdr>
                                            <w:top w:val="none" w:sz="0" w:space="0" w:color="auto"/>
                                            <w:left w:val="none" w:sz="0" w:space="0" w:color="auto"/>
                                            <w:bottom w:val="none" w:sz="0" w:space="0" w:color="auto"/>
                                            <w:right w:val="none" w:sz="0" w:space="0" w:color="auto"/>
                                          </w:divBdr>
                                          <w:divsChild>
                                            <w:div w:id="2091003056">
                                              <w:marLeft w:val="0"/>
                                              <w:marRight w:val="0"/>
                                              <w:marTop w:val="0"/>
                                              <w:marBottom w:val="0"/>
                                              <w:divBdr>
                                                <w:top w:val="none" w:sz="0" w:space="0" w:color="auto"/>
                                                <w:left w:val="none" w:sz="0" w:space="0" w:color="auto"/>
                                                <w:bottom w:val="none" w:sz="0" w:space="0" w:color="auto"/>
                                                <w:right w:val="none" w:sz="0" w:space="0" w:color="auto"/>
                                              </w:divBdr>
                                              <w:divsChild>
                                                <w:div w:id="527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475">
                                          <w:marLeft w:val="0"/>
                                          <w:marRight w:val="0"/>
                                          <w:marTop w:val="0"/>
                                          <w:marBottom w:val="0"/>
                                          <w:divBdr>
                                            <w:top w:val="none" w:sz="0" w:space="0" w:color="auto"/>
                                            <w:left w:val="none" w:sz="0" w:space="0" w:color="auto"/>
                                            <w:bottom w:val="none" w:sz="0" w:space="0" w:color="auto"/>
                                            <w:right w:val="none" w:sz="0" w:space="0" w:color="auto"/>
                                          </w:divBdr>
                                          <w:divsChild>
                                            <w:div w:id="1438939855">
                                              <w:marLeft w:val="0"/>
                                              <w:marRight w:val="0"/>
                                              <w:marTop w:val="0"/>
                                              <w:marBottom w:val="0"/>
                                              <w:divBdr>
                                                <w:top w:val="none" w:sz="0" w:space="0" w:color="auto"/>
                                                <w:left w:val="none" w:sz="0" w:space="0" w:color="auto"/>
                                                <w:bottom w:val="none" w:sz="0" w:space="0" w:color="auto"/>
                                                <w:right w:val="none" w:sz="0" w:space="0" w:color="auto"/>
                                              </w:divBdr>
                                              <w:divsChild>
                                                <w:div w:id="11408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771">
                                          <w:marLeft w:val="0"/>
                                          <w:marRight w:val="0"/>
                                          <w:marTop w:val="0"/>
                                          <w:marBottom w:val="0"/>
                                          <w:divBdr>
                                            <w:top w:val="none" w:sz="0" w:space="0" w:color="auto"/>
                                            <w:left w:val="none" w:sz="0" w:space="0" w:color="auto"/>
                                            <w:bottom w:val="none" w:sz="0" w:space="0" w:color="auto"/>
                                            <w:right w:val="none" w:sz="0" w:space="0" w:color="auto"/>
                                          </w:divBdr>
                                          <w:divsChild>
                                            <w:div w:id="1112674777">
                                              <w:marLeft w:val="0"/>
                                              <w:marRight w:val="0"/>
                                              <w:marTop w:val="0"/>
                                              <w:marBottom w:val="0"/>
                                              <w:divBdr>
                                                <w:top w:val="none" w:sz="0" w:space="0" w:color="auto"/>
                                                <w:left w:val="none" w:sz="0" w:space="0" w:color="auto"/>
                                                <w:bottom w:val="none" w:sz="0" w:space="0" w:color="auto"/>
                                                <w:right w:val="none" w:sz="0" w:space="0" w:color="auto"/>
                                              </w:divBdr>
                                              <w:divsChild>
                                                <w:div w:id="7412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7203">
                                          <w:marLeft w:val="0"/>
                                          <w:marRight w:val="0"/>
                                          <w:marTop w:val="0"/>
                                          <w:marBottom w:val="0"/>
                                          <w:divBdr>
                                            <w:top w:val="none" w:sz="0" w:space="0" w:color="auto"/>
                                            <w:left w:val="none" w:sz="0" w:space="0" w:color="auto"/>
                                            <w:bottom w:val="none" w:sz="0" w:space="0" w:color="auto"/>
                                            <w:right w:val="none" w:sz="0" w:space="0" w:color="auto"/>
                                          </w:divBdr>
                                          <w:divsChild>
                                            <w:div w:id="1693604946">
                                              <w:marLeft w:val="0"/>
                                              <w:marRight w:val="0"/>
                                              <w:marTop w:val="0"/>
                                              <w:marBottom w:val="0"/>
                                              <w:divBdr>
                                                <w:top w:val="none" w:sz="0" w:space="0" w:color="auto"/>
                                                <w:left w:val="none" w:sz="0" w:space="0" w:color="auto"/>
                                                <w:bottom w:val="none" w:sz="0" w:space="0" w:color="auto"/>
                                                <w:right w:val="none" w:sz="0" w:space="0" w:color="auto"/>
                                              </w:divBdr>
                                              <w:divsChild>
                                                <w:div w:id="1145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480">
                                          <w:marLeft w:val="0"/>
                                          <w:marRight w:val="0"/>
                                          <w:marTop w:val="0"/>
                                          <w:marBottom w:val="0"/>
                                          <w:divBdr>
                                            <w:top w:val="none" w:sz="0" w:space="0" w:color="auto"/>
                                            <w:left w:val="none" w:sz="0" w:space="0" w:color="auto"/>
                                            <w:bottom w:val="none" w:sz="0" w:space="0" w:color="auto"/>
                                            <w:right w:val="none" w:sz="0" w:space="0" w:color="auto"/>
                                          </w:divBdr>
                                          <w:divsChild>
                                            <w:div w:id="1501581176">
                                              <w:marLeft w:val="0"/>
                                              <w:marRight w:val="0"/>
                                              <w:marTop w:val="0"/>
                                              <w:marBottom w:val="0"/>
                                              <w:divBdr>
                                                <w:top w:val="none" w:sz="0" w:space="0" w:color="auto"/>
                                                <w:left w:val="none" w:sz="0" w:space="0" w:color="auto"/>
                                                <w:bottom w:val="none" w:sz="0" w:space="0" w:color="auto"/>
                                                <w:right w:val="none" w:sz="0" w:space="0" w:color="auto"/>
                                              </w:divBdr>
                                              <w:divsChild>
                                                <w:div w:id="4791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E250-FA6B-46B8-9EB5-819EBD3F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16289</Words>
  <Characters>95182</Characters>
  <Application>Microsoft Office Word</Application>
  <DocSecurity>0</DocSecurity>
  <Lines>793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2021-06-30T06:36:00Z</dcterms:created>
  <dcterms:modified xsi:type="dcterms:W3CDTF">2021-06-30T06:37:00Z</dcterms:modified>
</cp:coreProperties>
</file>