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2A57" w:rsidRPr="008D797E" w:rsidRDefault="00263E3C" w:rsidP="00632A57">
      <w:pPr>
        <w:keepNext/>
        <w:spacing w:before="120" w:after="160"/>
        <w:ind w:left="720" w:hanging="720"/>
        <w:jc w:val="left"/>
        <w:outlineLvl w:val="0"/>
        <w:rPr>
          <w:rStyle w:val="1-MainHeadingChar"/>
        </w:rPr>
      </w:pPr>
      <w:bookmarkStart w:id="0" w:name="_Toc61964988"/>
      <w:bookmarkStart w:id="1" w:name="_Toc22897637"/>
      <w:r w:rsidRPr="008D797E">
        <w:rPr>
          <w:rStyle w:val="1-MainHeadingChar"/>
        </w:rPr>
        <w:t>7.01</w:t>
      </w:r>
      <w:r w:rsidR="005D7DBA" w:rsidRPr="008D797E">
        <w:rPr>
          <w:rStyle w:val="1-MainHeadingChar"/>
        </w:rPr>
        <w:tab/>
        <w:t>ATEZOLIZUMAB,</w:t>
      </w:r>
      <w:r w:rsidR="005D7DBA" w:rsidRPr="008D797E">
        <w:rPr>
          <w:rStyle w:val="1-MainHeadingChar"/>
        </w:rPr>
        <w:br/>
        <w:t>S</w:t>
      </w:r>
      <w:r w:rsidR="00632A57" w:rsidRPr="008D797E">
        <w:rPr>
          <w:rStyle w:val="1-MainHeadingChar"/>
        </w:rPr>
        <w:t>olution concentrate for I.V</w:t>
      </w:r>
      <w:r w:rsidR="000145DD" w:rsidRPr="008D797E">
        <w:rPr>
          <w:rStyle w:val="1-MainHeadingChar"/>
        </w:rPr>
        <w:t>.</w:t>
      </w:r>
      <w:r w:rsidR="00632A57" w:rsidRPr="008D797E">
        <w:rPr>
          <w:rStyle w:val="1-MainHeadingChar"/>
        </w:rPr>
        <w:t xml:space="preserve"> infusion,</w:t>
      </w:r>
      <w:r w:rsidR="00632A57" w:rsidRPr="008D797E">
        <w:rPr>
          <w:rStyle w:val="1-MainHeadingChar"/>
        </w:rPr>
        <w:br/>
        <w:t>840 mg in 14 mL,</w:t>
      </w:r>
      <w:r w:rsidR="00632A57" w:rsidRPr="008D797E">
        <w:rPr>
          <w:rStyle w:val="1-MainHeadingChar"/>
        </w:rPr>
        <w:br/>
        <w:t>Tecentriq®,</w:t>
      </w:r>
      <w:r w:rsidR="00632A57" w:rsidRPr="008D797E">
        <w:rPr>
          <w:rStyle w:val="1-MainHeadingChar"/>
        </w:rPr>
        <w:br/>
        <w:t>Roche Products Pty Ltd.</w:t>
      </w:r>
      <w:bookmarkEnd w:id="0"/>
    </w:p>
    <w:p w:rsidR="004E00DB" w:rsidRPr="008D797E" w:rsidRDefault="004E00DB" w:rsidP="00A8637C">
      <w:pPr>
        <w:pStyle w:val="2-SectionHeading"/>
      </w:pPr>
      <w:bookmarkStart w:id="2" w:name="_Toc61964990"/>
      <w:bookmarkEnd w:id="1"/>
      <w:r w:rsidRPr="008D797E">
        <w:t>Purpose of submission</w:t>
      </w:r>
      <w:bookmarkEnd w:id="2"/>
    </w:p>
    <w:p w:rsidR="004E00DB" w:rsidRPr="008D797E" w:rsidRDefault="004E00DB" w:rsidP="004E00DB">
      <w:pPr>
        <w:numPr>
          <w:ilvl w:val="1"/>
          <w:numId w:val="1"/>
        </w:numPr>
        <w:spacing w:after="120"/>
        <w:rPr>
          <w:rFonts w:asciiTheme="minorHAnsi" w:hAnsiTheme="minorHAnsi"/>
          <w:snapToGrid w:val="0"/>
        </w:rPr>
      </w:pPr>
      <w:r w:rsidRPr="008D797E">
        <w:rPr>
          <w:rFonts w:asciiTheme="minorHAnsi" w:hAnsiTheme="minorHAnsi"/>
          <w:snapToGrid w:val="0"/>
        </w:rPr>
        <w:t xml:space="preserve">The resubmission requested Section 100 (Efficient Funding of Chemotherapy), Authority Required (Streamlined) listing for atezolizumab (ATZ), for use in combination with nanoparticle albumin-bound (nab)-paclitaxel (nab-P), for the first line treatment of patients with metastatic triple-negative breast cancer (mTNBC), </w:t>
      </w:r>
      <w:r w:rsidRPr="008D797E">
        <w:t xml:space="preserve">whose tumours express programmed death ligand 1 (PD-L1) of any intensity in tumour-infiltrating immune cells covering ≥1% of the tumour area, as </w:t>
      </w:r>
      <w:r w:rsidRPr="008D797E">
        <w:rPr>
          <w:rFonts w:asciiTheme="minorHAnsi" w:hAnsiTheme="minorHAnsi"/>
          <w:snapToGrid w:val="0"/>
        </w:rPr>
        <w:t xml:space="preserve">determined by the companion diagnostic Ventana PD-L1 immunohistochemistry (IHC) SP142 assay. </w:t>
      </w:r>
    </w:p>
    <w:p w:rsidR="004E00DB" w:rsidRPr="008D797E" w:rsidRDefault="004E00DB" w:rsidP="004E00DB">
      <w:pPr>
        <w:numPr>
          <w:ilvl w:val="1"/>
          <w:numId w:val="1"/>
        </w:numPr>
        <w:spacing w:after="120"/>
        <w:rPr>
          <w:rFonts w:asciiTheme="minorHAnsi" w:hAnsiTheme="minorHAnsi"/>
          <w:snapToGrid w:val="0"/>
        </w:rPr>
      </w:pPr>
      <w:r w:rsidRPr="008D797E">
        <w:rPr>
          <w:rFonts w:asciiTheme="minorHAnsi" w:hAnsiTheme="minorHAnsi"/>
          <w:snapToGrid w:val="0"/>
        </w:rPr>
        <w:t xml:space="preserve">Listing was requested on the basis of a cost-effectiveness analysis versus nab-paclitaxel. The key components of the clinical issue addressed by the resubmission are summarised in </w:t>
      </w:r>
      <w:r w:rsidR="00232E9D" w:rsidRPr="008D797E">
        <w:t xml:space="preserve">Table </w:t>
      </w:r>
      <w:r w:rsidR="00232E9D" w:rsidRPr="006E5C4D">
        <w:t>1</w:t>
      </w:r>
      <w:r w:rsidRPr="008D797E">
        <w:rPr>
          <w:rFonts w:asciiTheme="minorHAnsi" w:hAnsiTheme="minorHAnsi"/>
          <w:snapToGrid w:val="0"/>
        </w:rPr>
        <w:t xml:space="preserve">. </w:t>
      </w:r>
    </w:p>
    <w:p w:rsidR="004E00DB" w:rsidRPr="008D797E" w:rsidRDefault="004E00DB" w:rsidP="004E00DB">
      <w:pPr>
        <w:pStyle w:val="TableFigureHeading"/>
      </w:pPr>
      <w:bookmarkStart w:id="3" w:name="_Ref59007838"/>
      <w:r w:rsidRPr="008D797E">
        <w:t xml:space="preserve">Table </w:t>
      </w:r>
      <w:r w:rsidR="00232E9D" w:rsidRPr="006E5C4D">
        <w:t>1</w:t>
      </w:r>
      <w:bookmarkEnd w:id="3"/>
      <w:r w:rsidRPr="008D797E">
        <w:t>: Key components of the clinical issue addressed by the resubmission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w:tblDescription w:val="Key components of the clinical issue addressed by the submission "/>
      </w:tblPr>
      <w:tblGrid>
        <w:gridCol w:w="1666"/>
        <w:gridCol w:w="7350"/>
      </w:tblGrid>
      <w:tr w:rsidR="004E00DB" w:rsidRPr="008D797E" w:rsidTr="00E47A6A">
        <w:trPr>
          <w:cantSplit/>
          <w:tblHeader/>
        </w:trPr>
        <w:tc>
          <w:tcPr>
            <w:tcW w:w="924" w:type="pct"/>
            <w:shd w:val="clear" w:color="auto" w:fill="auto"/>
          </w:tcPr>
          <w:p w:rsidR="004E00DB" w:rsidRPr="006E5C4D" w:rsidRDefault="004E00DB" w:rsidP="00E47A6A">
            <w:pPr>
              <w:keepNext/>
              <w:jc w:val="left"/>
              <w:rPr>
                <w:rFonts w:ascii="Arial Narrow" w:eastAsiaTheme="majorEastAsia" w:hAnsi="Arial Narrow" w:cs="Times New Roman"/>
                <w:b/>
                <w:sz w:val="20"/>
                <w:szCs w:val="20"/>
              </w:rPr>
            </w:pPr>
            <w:r w:rsidRPr="006E5C4D">
              <w:rPr>
                <w:rFonts w:ascii="Arial Narrow" w:eastAsiaTheme="majorEastAsia" w:hAnsi="Arial Narrow" w:cs="Times New Roman"/>
                <w:b/>
                <w:sz w:val="20"/>
              </w:rPr>
              <w:t>Component</w:t>
            </w:r>
          </w:p>
        </w:tc>
        <w:tc>
          <w:tcPr>
            <w:tcW w:w="4076" w:type="pct"/>
            <w:shd w:val="clear" w:color="auto" w:fill="auto"/>
          </w:tcPr>
          <w:p w:rsidR="004E00DB" w:rsidRPr="006E5C4D" w:rsidRDefault="004E00DB" w:rsidP="00E47A6A">
            <w:pPr>
              <w:keepNext/>
              <w:jc w:val="left"/>
              <w:rPr>
                <w:rFonts w:ascii="Arial Narrow" w:eastAsiaTheme="majorEastAsia" w:hAnsi="Arial Narrow" w:cs="Times New Roman"/>
                <w:b/>
                <w:sz w:val="20"/>
              </w:rPr>
            </w:pPr>
            <w:r w:rsidRPr="006E5C4D">
              <w:rPr>
                <w:rFonts w:ascii="Arial Narrow" w:eastAsiaTheme="majorEastAsia" w:hAnsi="Arial Narrow" w:cs="Times New Roman"/>
                <w:b/>
                <w:sz w:val="20"/>
              </w:rPr>
              <w:t>Description</w:t>
            </w:r>
          </w:p>
        </w:tc>
      </w:tr>
      <w:tr w:rsidR="004E00DB" w:rsidRPr="008D797E" w:rsidTr="00E47A6A">
        <w:trPr>
          <w:cantSplit/>
        </w:trPr>
        <w:tc>
          <w:tcPr>
            <w:tcW w:w="924" w:type="pct"/>
            <w:shd w:val="clear" w:color="auto" w:fill="auto"/>
          </w:tcPr>
          <w:p w:rsidR="004E00DB" w:rsidRPr="008D797E" w:rsidRDefault="004E00DB" w:rsidP="00E47A6A">
            <w:pPr>
              <w:keepNext/>
              <w:jc w:val="left"/>
              <w:rPr>
                <w:rFonts w:ascii="Arial Narrow" w:eastAsiaTheme="majorEastAsia" w:hAnsi="Arial Narrow" w:cstheme="majorBidi"/>
                <w:bCs/>
                <w:sz w:val="20"/>
              </w:rPr>
            </w:pPr>
            <w:r w:rsidRPr="008D797E">
              <w:rPr>
                <w:rFonts w:ascii="Arial Narrow" w:eastAsiaTheme="majorEastAsia" w:hAnsi="Arial Narrow" w:cstheme="majorBidi"/>
                <w:bCs/>
                <w:sz w:val="20"/>
              </w:rPr>
              <w:t>Population</w:t>
            </w:r>
          </w:p>
        </w:tc>
        <w:tc>
          <w:tcPr>
            <w:tcW w:w="4076" w:type="pct"/>
            <w:shd w:val="clear" w:color="auto" w:fill="auto"/>
          </w:tcPr>
          <w:p w:rsidR="004E00DB" w:rsidRPr="008D797E" w:rsidRDefault="004E00DB" w:rsidP="00E47A6A">
            <w:pPr>
              <w:keepNext/>
              <w:jc w:val="left"/>
              <w:rPr>
                <w:rFonts w:ascii="Arial Narrow" w:eastAsiaTheme="majorEastAsia" w:hAnsi="Arial Narrow" w:cstheme="majorBidi"/>
                <w:bCs/>
                <w:sz w:val="20"/>
                <w:szCs w:val="20"/>
              </w:rPr>
            </w:pPr>
            <w:r w:rsidRPr="008D797E">
              <w:rPr>
                <w:rFonts w:ascii="Arial Narrow" w:eastAsiaTheme="majorEastAsia" w:hAnsi="Arial Narrow" w:cstheme="majorBidi"/>
                <w:bCs/>
                <w:sz w:val="20"/>
              </w:rPr>
              <w:t xml:space="preserve">Patients with </w:t>
            </w:r>
            <w:r w:rsidRPr="008D797E">
              <w:rPr>
                <w:rFonts w:ascii="Arial Narrow" w:eastAsiaTheme="majorEastAsia" w:hAnsi="Arial Narrow" w:cstheme="majorBidi"/>
                <w:bCs/>
                <w:sz w:val="20"/>
                <w:u w:val="single"/>
              </w:rPr>
              <w:t>mTNBC</w:t>
            </w:r>
            <w:r w:rsidRPr="008D797E">
              <w:rPr>
                <w:rFonts w:ascii="Arial Narrow" w:eastAsiaTheme="majorEastAsia" w:hAnsi="Arial Narrow" w:cstheme="majorBidi"/>
                <w:bCs/>
                <w:sz w:val="20"/>
                <w:vertAlign w:val="superscript"/>
              </w:rPr>
              <w:t>a</w:t>
            </w:r>
            <w:r w:rsidRPr="008D797E">
              <w:rPr>
                <w:rFonts w:ascii="Arial Narrow" w:eastAsiaTheme="majorEastAsia" w:hAnsi="Arial Narrow" w:cstheme="majorBidi"/>
                <w:bCs/>
                <w:sz w:val="20"/>
              </w:rPr>
              <w:t xml:space="preserve"> who have not been previously treated for this condition in the metastatic setting.</w:t>
            </w:r>
          </w:p>
        </w:tc>
      </w:tr>
      <w:tr w:rsidR="004E00DB" w:rsidRPr="008D797E" w:rsidTr="00E47A6A">
        <w:trPr>
          <w:cantSplit/>
        </w:trPr>
        <w:tc>
          <w:tcPr>
            <w:tcW w:w="924" w:type="pct"/>
            <w:shd w:val="clear" w:color="auto" w:fill="auto"/>
          </w:tcPr>
          <w:p w:rsidR="004E00DB" w:rsidRPr="008D797E" w:rsidRDefault="004E00DB" w:rsidP="00E47A6A">
            <w:pPr>
              <w:keepNext/>
              <w:jc w:val="left"/>
              <w:rPr>
                <w:rFonts w:ascii="Arial Narrow" w:eastAsiaTheme="majorEastAsia" w:hAnsi="Arial Narrow" w:cstheme="majorBidi"/>
                <w:bCs/>
                <w:sz w:val="20"/>
              </w:rPr>
            </w:pPr>
            <w:r w:rsidRPr="008D797E">
              <w:rPr>
                <w:rFonts w:ascii="Arial Narrow" w:eastAsiaTheme="majorEastAsia" w:hAnsi="Arial Narrow" w:cstheme="majorBidi"/>
                <w:bCs/>
                <w:sz w:val="20"/>
              </w:rPr>
              <w:t>Intervention</w:t>
            </w:r>
          </w:p>
        </w:tc>
        <w:tc>
          <w:tcPr>
            <w:tcW w:w="4076" w:type="pct"/>
            <w:shd w:val="clear" w:color="auto" w:fill="auto"/>
          </w:tcPr>
          <w:p w:rsidR="004E00DB" w:rsidRPr="008D797E" w:rsidRDefault="004E00DB" w:rsidP="00E47A6A">
            <w:pPr>
              <w:keepNext/>
              <w:jc w:val="left"/>
              <w:rPr>
                <w:rFonts w:ascii="Arial Narrow" w:eastAsiaTheme="majorEastAsia" w:hAnsi="Arial Narrow" w:cstheme="majorBidi"/>
                <w:bCs/>
                <w:sz w:val="20"/>
                <w:vertAlign w:val="superscript"/>
              </w:rPr>
            </w:pPr>
            <w:r w:rsidRPr="008D797E">
              <w:rPr>
                <w:rFonts w:ascii="Arial Narrow" w:eastAsiaTheme="majorEastAsia" w:hAnsi="Arial Narrow" w:cstheme="majorBidi"/>
                <w:bCs/>
                <w:sz w:val="20"/>
              </w:rPr>
              <w:t>Test: IHC testing of PD-L1 on tumour infiltrating immune cells (</w:t>
            </w:r>
            <w:r w:rsidRPr="008D797E">
              <w:rPr>
                <w:rFonts w:ascii="Arial Narrow" w:eastAsiaTheme="majorEastAsia" w:hAnsi="Arial Narrow" w:cstheme="majorBidi"/>
                <w:bCs/>
                <w:sz w:val="20"/>
                <w:u w:val="single"/>
              </w:rPr>
              <w:t>Ventana SP142 assay</w:t>
            </w:r>
            <w:r w:rsidRPr="008D797E">
              <w:rPr>
                <w:rFonts w:ascii="Arial Narrow" w:eastAsiaTheme="majorEastAsia" w:hAnsi="Arial Narrow" w:cstheme="majorBidi"/>
                <w:bCs/>
                <w:sz w:val="20"/>
              </w:rPr>
              <w:t>)</w:t>
            </w:r>
            <w:r w:rsidRPr="008D797E">
              <w:rPr>
                <w:rFonts w:ascii="Arial Narrow" w:eastAsiaTheme="majorEastAsia" w:hAnsi="Arial Narrow" w:cstheme="majorBidi"/>
                <w:bCs/>
                <w:sz w:val="20"/>
                <w:vertAlign w:val="superscript"/>
              </w:rPr>
              <w:t>b</w:t>
            </w:r>
          </w:p>
          <w:p w:rsidR="004E00DB" w:rsidRPr="008D797E" w:rsidRDefault="004E00DB" w:rsidP="00E47A6A">
            <w:pPr>
              <w:keepNext/>
              <w:jc w:val="left"/>
              <w:rPr>
                <w:rFonts w:ascii="Arial Narrow" w:eastAsiaTheme="majorEastAsia" w:hAnsi="Arial Narrow" w:cstheme="majorBidi"/>
                <w:bCs/>
                <w:sz w:val="20"/>
              </w:rPr>
            </w:pPr>
            <w:r w:rsidRPr="008D797E">
              <w:rPr>
                <w:rFonts w:ascii="Arial Narrow" w:eastAsiaTheme="majorEastAsia" w:hAnsi="Arial Narrow" w:cstheme="majorBidi"/>
                <w:bCs/>
                <w:sz w:val="20"/>
              </w:rPr>
              <w:t xml:space="preserve">Medicine: atezolizumab 840 mg IV infusion on days 1 and 15 of every 28 day </w:t>
            </w:r>
            <w:r w:rsidR="00F05BAF" w:rsidRPr="008D797E">
              <w:rPr>
                <w:rFonts w:ascii="Arial Narrow" w:eastAsiaTheme="majorEastAsia" w:hAnsi="Arial Narrow" w:cstheme="majorBidi"/>
                <w:bCs/>
                <w:sz w:val="20"/>
              </w:rPr>
              <w:t>cycle until disease progression,</w:t>
            </w:r>
            <w:r w:rsidRPr="008D797E">
              <w:rPr>
                <w:rFonts w:ascii="Arial Narrow" w:eastAsiaTheme="majorEastAsia" w:hAnsi="Arial Narrow" w:cstheme="majorBidi"/>
                <w:bCs/>
                <w:sz w:val="20"/>
              </w:rPr>
              <w:t xml:space="preserve"> </w:t>
            </w:r>
            <w:r w:rsidRPr="008D797E">
              <w:rPr>
                <w:rFonts w:ascii="Arial Narrow" w:eastAsiaTheme="majorEastAsia" w:hAnsi="Arial Narrow" w:cstheme="majorBidi"/>
                <w:bCs/>
                <w:sz w:val="20"/>
                <w:u w:val="single"/>
              </w:rPr>
              <w:t>in combination with nab-paclitaxel</w:t>
            </w:r>
            <w:r w:rsidRPr="008D797E">
              <w:rPr>
                <w:rFonts w:ascii="Arial Narrow" w:eastAsiaTheme="majorEastAsia" w:hAnsi="Arial Narrow" w:cstheme="majorBidi"/>
                <w:bCs/>
                <w:sz w:val="20"/>
                <w:vertAlign w:val="superscript"/>
              </w:rPr>
              <w:t>c</w:t>
            </w:r>
            <w:r w:rsidRPr="008D797E">
              <w:rPr>
                <w:rFonts w:ascii="Arial Narrow" w:eastAsiaTheme="majorEastAsia" w:hAnsi="Arial Narrow" w:cstheme="majorBidi"/>
                <w:bCs/>
                <w:sz w:val="20"/>
              </w:rPr>
              <w:t xml:space="preserve"> 100 mg/m</w:t>
            </w:r>
            <w:r w:rsidRPr="008D797E">
              <w:rPr>
                <w:rFonts w:ascii="Arial Narrow" w:eastAsiaTheme="majorEastAsia" w:hAnsi="Arial Narrow" w:cstheme="majorBidi"/>
                <w:bCs/>
                <w:sz w:val="20"/>
                <w:vertAlign w:val="superscript"/>
              </w:rPr>
              <w:t>2</w:t>
            </w:r>
            <w:r w:rsidRPr="008D797E">
              <w:rPr>
                <w:rFonts w:ascii="Arial Narrow" w:eastAsiaTheme="majorEastAsia" w:hAnsi="Arial Narrow" w:cstheme="majorBidi"/>
                <w:bCs/>
                <w:sz w:val="20"/>
              </w:rPr>
              <w:t xml:space="preserve"> IV infusion on days 1,</w:t>
            </w:r>
            <w:r w:rsidR="00F05BAF" w:rsidRPr="008D797E">
              <w:rPr>
                <w:rFonts w:ascii="Arial Narrow" w:eastAsiaTheme="majorEastAsia" w:hAnsi="Arial Narrow" w:cstheme="majorBidi"/>
                <w:bCs/>
                <w:sz w:val="20"/>
              </w:rPr>
              <w:t xml:space="preserve"> </w:t>
            </w:r>
            <w:r w:rsidRPr="008D797E">
              <w:rPr>
                <w:rFonts w:ascii="Arial Narrow" w:eastAsiaTheme="majorEastAsia" w:hAnsi="Arial Narrow" w:cstheme="majorBidi"/>
                <w:bCs/>
                <w:sz w:val="20"/>
              </w:rPr>
              <w:t>8, and 15 of each 28 day cycle until disease progression or unacceptable toxicity.</w:t>
            </w:r>
          </w:p>
        </w:tc>
      </w:tr>
      <w:tr w:rsidR="004E00DB" w:rsidRPr="008D797E" w:rsidTr="00E47A6A">
        <w:trPr>
          <w:cantSplit/>
        </w:trPr>
        <w:tc>
          <w:tcPr>
            <w:tcW w:w="924" w:type="pct"/>
            <w:shd w:val="clear" w:color="auto" w:fill="auto"/>
          </w:tcPr>
          <w:p w:rsidR="004E00DB" w:rsidRPr="008D797E" w:rsidRDefault="004E00DB" w:rsidP="00E47A6A">
            <w:pPr>
              <w:keepNext/>
              <w:jc w:val="left"/>
              <w:rPr>
                <w:rFonts w:ascii="Arial Narrow" w:eastAsiaTheme="majorEastAsia" w:hAnsi="Arial Narrow" w:cstheme="majorBidi"/>
                <w:bCs/>
                <w:sz w:val="20"/>
              </w:rPr>
            </w:pPr>
            <w:r w:rsidRPr="008D797E">
              <w:rPr>
                <w:rFonts w:ascii="Arial Narrow" w:eastAsiaTheme="majorEastAsia" w:hAnsi="Arial Narrow" w:cstheme="majorBidi"/>
                <w:bCs/>
                <w:sz w:val="20"/>
              </w:rPr>
              <w:t>Comparator</w:t>
            </w:r>
          </w:p>
        </w:tc>
        <w:tc>
          <w:tcPr>
            <w:tcW w:w="4076" w:type="pct"/>
            <w:shd w:val="clear" w:color="auto" w:fill="auto"/>
          </w:tcPr>
          <w:p w:rsidR="004E00DB" w:rsidRPr="008D797E" w:rsidRDefault="004E00DB" w:rsidP="00E47A6A">
            <w:pPr>
              <w:keepNext/>
              <w:jc w:val="left"/>
              <w:rPr>
                <w:rFonts w:ascii="Arial Narrow" w:eastAsiaTheme="majorEastAsia" w:hAnsi="Arial Narrow" w:cstheme="majorBidi"/>
                <w:bCs/>
                <w:sz w:val="20"/>
              </w:rPr>
            </w:pPr>
            <w:r w:rsidRPr="008D797E">
              <w:rPr>
                <w:rFonts w:ascii="Arial Narrow" w:eastAsiaTheme="majorEastAsia" w:hAnsi="Arial Narrow" w:cstheme="majorBidi"/>
                <w:bCs/>
                <w:sz w:val="20"/>
              </w:rPr>
              <w:t>Test: No test</w:t>
            </w:r>
          </w:p>
          <w:p w:rsidR="004E00DB" w:rsidRPr="008D797E" w:rsidRDefault="004E00DB" w:rsidP="00E47A6A">
            <w:pPr>
              <w:keepNext/>
              <w:jc w:val="left"/>
              <w:rPr>
                <w:rFonts w:ascii="Arial Narrow" w:eastAsiaTheme="majorEastAsia" w:hAnsi="Arial Narrow" w:cstheme="majorBidi"/>
                <w:bCs/>
                <w:sz w:val="20"/>
              </w:rPr>
            </w:pPr>
            <w:r w:rsidRPr="008D797E">
              <w:rPr>
                <w:rFonts w:ascii="Arial Narrow" w:eastAsiaTheme="majorEastAsia" w:hAnsi="Arial Narrow" w:cstheme="majorBidi"/>
                <w:bCs/>
                <w:sz w:val="20"/>
              </w:rPr>
              <w:t>Medicine: nab-paclitaxel 100 mg/m</w:t>
            </w:r>
            <w:r w:rsidRPr="008D797E">
              <w:rPr>
                <w:rFonts w:ascii="Arial Narrow" w:eastAsiaTheme="majorEastAsia" w:hAnsi="Arial Narrow" w:cstheme="majorBidi"/>
                <w:bCs/>
                <w:sz w:val="20"/>
                <w:vertAlign w:val="superscript"/>
              </w:rPr>
              <w:t>2</w:t>
            </w:r>
            <w:r w:rsidRPr="008D797E">
              <w:rPr>
                <w:rFonts w:ascii="Arial Narrow" w:eastAsiaTheme="majorEastAsia" w:hAnsi="Arial Narrow" w:cstheme="majorBidi"/>
                <w:bCs/>
                <w:sz w:val="20"/>
              </w:rPr>
              <w:t xml:space="preserve"> IV infusion on days 1</w:t>
            </w:r>
            <w:r w:rsidR="00F05BAF" w:rsidRPr="008D797E">
              <w:rPr>
                <w:rFonts w:ascii="Arial Narrow" w:eastAsiaTheme="majorEastAsia" w:hAnsi="Arial Narrow" w:cstheme="majorBidi"/>
                <w:bCs/>
                <w:sz w:val="20"/>
              </w:rPr>
              <w:t>, 8</w:t>
            </w:r>
            <w:r w:rsidRPr="008D797E">
              <w:rPr>
                <w:rFonts w:ascii="Arial Narrow" w:eastAsiaTheme="majorEastAsia" w:hAnsi="Arial Narrow" w:cstheme="majorBidi"/>
                <w:bCs/>
                <w:sz w:val="20"/>
              </w:rPr>
              <w:t>, and 15 of each 28 day cycle until disease progression or unacceptable toxicity.</w:t>
            </w:r>
          </w:p>
        </w:tc>
      </w:tr>
      <w:tr w:rsidR="004E00DB" w:rsidRPr="008D797E" w:rsidTr="00E47A6A">
        <w:trPr>
          <w:cantSplit/>
        </w:trPr>
        <w:tc>
          <w:tcPr>
            <w:tcW w:w="924" w:type="pct"/>
            <w:shd w:val="clear" w:color="auto" w:fill="auto"/>
          </w:tcPr>
          <w:p w:rsidR="004E00DB" w:rsidRPr="008D797E" w:rsidRDefault="004E00DB" w:rsidP="00E47A6A">
            <w:pPr>
              <w:keepNext/>
              <w:jc w:val="left"/>
              <w:rPr>
                <w:rFonts w:ascii="Arial Narrow" w:eastAsiaTheme="majorEastAsia" w:hAnsi="Arial Narrow" w:cstheme="majorBidi"/>
                <w:bCs/>
                <w:sz w:val="20"/>
              </w:rPr>
            </w:pPr>
            <w:r w:rsidRPr="008D797E">
              <w:rPr>
                <w:rFonts w:ascii="Arial Narrow" w:eastAsiaTheme="majorEastAsia" w:hAnsi="Arial Narrow" w:cstheme="majorBidi"/>
                <w:bCs/>
                <w:sz w:val="20"/>
              </w:rPr>
              <w:t>Outcomes</w:t>
            </w:r>
          </w:p>
        </w:tc>
        <w:tc>
          <w:tcPr>
            <w:tcW w:w="4076" w:type="pct"/>
            <w:shd w:val="clear" w:color="auto" w:fill="auto"/>
          </w:tcPr>
          <w:p w:rsidR="004E00DB" w:rsidRPr="008D797E" w:rsidRDefault="004E00DB" w:rsidP="00E47A6A">
            <w:pPr>
              <w:keepNext/>
              <w:jc w:val="left"/>
              <w:rPr>
                <w:rFonts w:ascii="Arial Narrow" w:eastAsiaTheme="majorEastAsia" w:hAnsi="Arial Narrow" w:cstheme="majorBidi"/>
                <w:bCs/>
                <w:sz w:val="20"/>
              </w:rPr>
            </w:pPr>
            <w:r w:rsidRPr="008D797E">
              <w:rPr>
                <w:rFonts w:ascii="Arial Narrow" w:eastAsiaTheme="majorEastAsia" w:hAnsi="Arial Narrow" w:cstheme="majorBidi"/>
                <w:bCs/>
                <w:sz w:val="20"/>
              </w:rPr>
              <w:t>Overall survival</w:t>
            </w:r>
          </w:p>
          <w:p w:rsidR="004E00DB" w:rsidRPr="008D797E" w:rsidRDefault="004E00DB" w:rsidP="00E47A6A">
            <w:pPr>
              <w:keepNext/>
              <w:jc w:val="left"/>
              <w:rPr>
                <w:rFonts w:ascii="Arial Narrow" w:eastAsiaTheme="majorEastAsia" w:hAnsi="Arial Narrow" w:cstheme="majorBidi"/>
                <w:bCs/>
                <w:sz w:val="20"/>
              </w:rPr>
            </w:pPr>
            <w:r w:rsidRPr="008D797E">
              <w:rPr>
                <w:rFonts w:ascii="Arial Narrow" w:eastAsiaTheme="majorEastAsia" w:hAnsi="Arial Narrow" w:cstheme="majorBidi"/>
                <w:bCs/>
                <w:sz w:val="20"/>
              </w:rPr>
              <w:t>Progression-free survival</w:t>
            </w:r>
          </w:p>
          <w:p w:rsidR="004E00DB" w:rsidRPr="008D797E" w:rsidRDefault="004E00DB" w:rsidP="00E47A6A">
            <w:pPr>
              <w:keepNext/>
              <w:jc w:val="left"/>
              <w:rPr>
                <w:rFonts w:ascii="Arial Narrow" w:eastAsiaTheme="majorEastAsia" w:hAnsi="Arial Narrow" w:cstheme="majorBidi"/>
                <w:bCs/>
                <w:sz w:val="20"/>
              </w:rPr>
            </w:pPr>
            <w:r w:rsidRPr="008D797E">
              <w:rPr>
                <w:rFonts w:ascii="Arial Narrow" w:eastAsiaTheme="majorEastAsia" w:hAnsi="Arial Narrow" w:cstheme="majorBidi"/>
                <w:bCs/>
                <w:sz w:val="20"/>
              </w:rPr>
              <w:t>Safety</w:t>
            </w:r>
          </w:p>
          <w:p w:rsidR="004E00DB" w:rsidRPr="008D797E" w:rsidRDefault="004E00DB" w:rsidP="00E47A6A">
            <w:pPr>
              <w:keepNext/>
              <w:jc w:val="left"/>
              <w:rPr>
                <w:snapToGrid w:val="0"/>
                <w:color w:val="000000" w:themeColor="text1"/>
              </w:rPr>
            </w:pPr>
            <w:r w:rsidRPr="008D797E">
              <w:rPr>
                <w:rFonts w:ascii="Arial Narrow" w:eastAsiaTheme="majorEastAsia" w:hAnsi="Arial Narrow" w:cstheme="majorBidi"/>
                <w:bCs/>
                <w:sz w:val="20"/>
              </w:rPr>
              <w:t>Quality of life as measured by GHS/HRQoL, EORTC QLQ-C30 and QLQ-BR23 breast module and EQ-5D-5L.</w:t>
            </w:r>
          </w:p>
        </w:tc>
      </w:tr>
      <w:tr w:rsidR="004E00DB" w:rsidRPr="008D797E" w:rsidTr="00E47A6A">
        <w:trPr>
          <w:cantSplit/>
        </w:trPr>
        <w:tc>
          <w:tcPr>
            <w:tcW w:w="924" w:type="pct"/>
            <w:shd w:val="clear" w:color="auto" w:fill="auto"/>
          </w:tcPr>
          <w:p w:rsidR="004E00DB" w:rsidRPr="008D797E" w:rsidRDefault="004E00DB" w:rsidP="00E47A6A">
            <w:pPr>
              <w:keepNext/>
              <w:jc w:val="left"/>
              <w:rPr>
                <w:rFonts w:ascii="Arial Narrow" w:eastAsiaTheme="majorEastAsia" w:hAnsi="Arial Narrow" w:cstheme="majorBidi"/>
                <w:bCs/>
                <w:sz w:val="20"/>
              </w:rPr>
            </w:pPr>
            <w:r w:rsidRPr="008D797E">
              <w:rPr>
                <w:rFonts w:ascii="Arial Narrow" w:eastAsiaTheme="majorEastAsia" w:hAnsi="Arial Narrow" w:cstheme="majorBidi"/>
                <w:bCs/>
                <w:sz w:val="20"/>
              </w:rPr>
              <w:t>Clinical claim</w:t>
            </w:r>
          </w:p>
        </w:tc>
        <w:tc>
          <w:tcPr>
            <w:tcW w:w="4076" w:type="pct"/>
            <w:shd w:val="clear" w:color="auto" w:fill="auto"/>
          </w:tcPr>
          <w:p w:rsidR="004E00DB" w:rsidRPr="008D797E" w:rsidRDefault="004E00DB" w:rsidP="00E47A6A">
            <w:pPr>
              <w:keepNext/>
              <w:jc w:val="left"/>
              <w:rPr>
                <w:rFonts w:ascii="Arial Narrow" w:eastAsiaTheme="majorEastAsia" w:hAnsi="Arial Narrow" w:cstheme="majorBidi"/>
                <w:bCs/>
                <w:sz w:val="20"/>
              </w:rPr>
            </w:pPr>
            <w:r w:rsidRPr="008D797E">
              <w:rPr>
                <w:rFonts w:ascii="Arial Narrow" w:eastAsiaTheme="majorEastAsia" w:hAnsi="Arial Narrow" w:cstheme="majorBidi"/>
                <w:bCs/>
                <w:sz w:val="20"/>
              </w:rPr>
              <w:t xml:space="preserve">Atezolizumab </w:t>
            </w:r>
            <w:r w:rsidRPr="008D797E">
              <w:rPr>
                <w:rFonts w:ascii="Arial Narrow" w:eastAsiaTheme="majorEastAsia" w:hAnsi="Arial Narrow" w:cstheme="majorBidi"/>
                <w:bCs/>
                <w:sz w:val="20"/>
                <w:u w:val="single"/>
              </w:rPr>
              <w:t>in combination with nab-paclitaxel</w:t>
            </w:r>
            <w:r w:rsidRPr="008D797E">
              <w:rPr>
                <w:rFonts w:ascii="Arial Narrow" w:eastAsiaTheme="majorEastAsia" w:hAnsi="Arial Narrow" w:cstheme="majorBidi"/>
                <w:bCs/>
                <w:sz w:val="20"/>
                <w:vertAlign w:val="superscript"/>
              </w:rPr>
              <w:t>c</w:t>
            </w:r>
            <w:r w:rsidRPr="008D797E">
              <w:rPr>
                <w:rFonts w:ascii="Arial Narrow" w:eastAsiaTheme="majorEastAsia" w:hAnsi="Arial Narrow" w:cstheme="majorBidi"/>
                <w:bCs/>
                <w:sz w:val="20"/>
              </w:rPr>
              <w:t xml:space="preserve"> is superior in effectiveness and inferior, but clinically manageable, in safety compared with nab-paclitaxel alone, in patients with </w:t>
            </w:r>
            <w:r w:rsidRPr="008D797E">
              <w:rPr>
                <w:rFonts w:ascii="Arial Narrow" w:eastAsiaTheme="majorEastAsia" w:hAnsi="Arial Narrow" w:cstheme="majorBidi"/>
                <w:bCs/>
                <w:sz w:val="20"/>
                <w:u w:val="single"/>
              </w:rPr>
              <w:t>mTNBC</w:t>
            </w:r>
            <w:r w:rsidRPr="008D797E">
              <w:rPr>
                <w:rFonts w:ascii="Arial Narrow" w:eastAsiaTheme="majorEastAsia" w:hAnsi="Arial Narrow" w:cstheme="majorBidi"/>
                <w:bCs/>
                <w:sz w:val="20"/>
                <w:vertAlign w:val="superscript"/>
              </w:rPr>
              <w:t>a</w:t>
            </w:r>
            <w:r w:rsidRPr="008D797E">
              <w:rPr>
                <w:rFonts w:ascii="Arial Narrow" w:eastAsiaTheme="majorEastAsia" w:hAnsi="Arial Narrow" w:cstheme="majorBidi"/>
                <w:bCs/>
                <w:sz w:val="20"/>
              </w:rPr>
              <w:t xml:space="preserve"> who have not received prior treatment for metastatic disease and who are </w:t>
            </w:r>
            <w:r w:rsidR="00CD3CCD" w:rsidRPr="008D797E">
              <w:rPr>
                <w:rFonts w:ascii="Arial Narrow" w:eastAsiaTheme="majorEastAsia" w:hAnsi="Arial Narrow" w:cstheme="majorBidi"/>
                <w:bCs/>
                <w:sz w:val="20"/>
              </w:rPr>
              <w:t>PD-L1-positive</w:t>
            </w:r>
            <w:r w:rsidRPr="008D797E">
              <w:rPr>
                <w:rFonts w:ascii="Arial Narrow" w:eastAsiaTheme="majorEastAsia" w:hAnsi="Arial Narrow" w:cstheme="majorBidi"/>
                <w:bCs/>
                <w:sz w:val="20"/>
              </w:rPr>
              <w:t xml:space="preserve"> (PD-L1 stained IC covering ≥1% of the tumour area). </w:t>
            </w:r>
          </w:p>
        </w:tc>
      </w:tr>
    </w:tbl>
    <w:p w:rsidR="004E00DB" w:rsidRPr="008D797E" w:rsidRDefault="004E00DB" w:rsidP="004E00DB">
      <w:pPr>
        <w:pStyle w:val="TableFigureFooter"/>
      </w:pPr>
      <w:r w:rsidRPr="008D797E">
        <w:t>Source: Table 1.1, p4 of the resubmission, Atezolizumab Product Information.</w:t>
      </w:r>
    </w:p>
    <w:p w:rsidR="004E00DB" w:rsidRPr="008D797E" w:rsidRDefault="003F0707" w:rsidP="004E00DB">
      <w:pPr>
        <w:pStyle w:val="TableFigureFooter"/>
      </w:pPr>
      <w:r w:rsidRPr="008D797E">
        <w:t>EORTC Q</w:t>
      </w:r>
      <w:r w:rsidR="004E00DB" w:rsidRPr="008D797E">
        <w:t xml:space="preserve">LQ-C30 = European Organisation for Research and Treatment of Cancer Quality of Life Questionnaire Core 30; EQ-5D-5L = European Quality of Life 5 Dimension 5 Level; GHS/HRQoL= global health status/health related quality of life; IC = tumour-infiltrating immune cells; IHC = immunohistochemistry; IV = intravenous; </w:t>
      </w:r>
      <w:r w:rsidR="003C7086" w:rsidRPr="008D797E">
        <w:t xml:space="preserve">mTNBC = metastatic triple-negative breast cancer; </w:t>
      </w:r>
      <w:r w:rsidR="004E00DB" w:rsidRPr="008D797E">
        <w:t xml:space="preserve">nab-P = nanoparticle albumin bound paclitaxel; PD-L1 = </w:t>
      </w:r>
      <w:r w:rsidR="003C7086" w:rsidRPr="008D797E">
        <w:t>programmed cell death ligand-1;</w:t>
      </w:r>
      <w:r w:rsidR="004E00DB" w:rsidRPr="008D797E">
        <w:t xml:space="preserve"> QLQ = quality of life questionnaire</w:t>
      </w:r>
      <w:r w:rsidR="003C7086" w:rsidRPr="008D797E">
        <w:t>.</w:t>
      </w:r>
    </w:p>
    <w:p w:rsidR="004E00DB" w:rsidRPr="008D797E" w:rsidRDefault="004E00DB" w:rsidP="004E00DB">
      <w:pPr>
        <w:pStyle w:val="TableFigureFooter"/>
        <w:ind w:left="142" w:hanging="142"/>
      </w:pPr>
      <w:r w:rsidRPr="008D797E">
        <w:rPr>
          <w:vertAlign w:val="superscript"/>
        </w:rPr>
        <w:t>a</w:t>
      </w:r>
      <w:r w:rsidRPr="008D797E">
        <w:t xml:space="preserve"> The proposed population in the March 2020 </w:t>
      </w:r>
      <w:r w:rsidR="00F05BAF" w:rsidRPr="008D797E">
        <w:t>submission</w:t>
      </w:r>
      <w:r w:rsidRPr="008D797E">
        <w:t xml:space="preserve"> to PBAC included patients with unresectable locally advanced TNBC, as well as those with metastatic disease.</w:t>
      </w:r>
    </w:p>
    <w:p w:rsidR="004E00DB" w:rsidRPr="008D797E" w:rsidRDefault="004E00DB" w:rsidP="004E00DB">
      <w:pPr>
        <w:pStyle w:val="TableFigureFooter"/>
        <w:ind w:left="142" w:hanging="142"/>
      </w:pPr>
      <w:r w:rsidRPr="008D797E">
        <w:rPr>
          <w:vertAlign w:val="superscript"/>
        </w:rPr>
        <w:t>b</w:t>
      </w:r>
      <w:r w:rsidRPr="008D797E">
        <w:t xml:space="preserve"> The March 2020 submission did not nominate any particular test for the evaluation of PD-L1 expression in tumour tissue.</w:t>
      </w:r>
    </w:p>
    <w:p w:rsidR="004E00DB" w:rsidRPr="008D797E" w:rsidRDefault="004E00DB" w:rsidP="004E00DB">
      <w:pPr>
        <w:pStyle w:val="TableFigureFooter"/>
        <w:ind w:left="142" w:hanging="142"/>
      </w:pPr>
      <w:r w:rsidRPr="008D797E">
        <w:rPr>
          <w:vertAlign w:val="superscript"/>
        </w:rPr>
        <w:t>c</w:t>
      </w:r>
      <w:r w:rsidRPr="008D797E">
        <w:t xml:space="preserve"> The nominated medicinal intervention in the March 2020 submission was atezolizumab in combination with taxane chemotherapy. </w:t>
      </w:r>
    </w:p>
    <w:p w:rsidR="004E00DB" w:rsidRPr="008D797E" w:rsidRDefault="004E00DB" w:rsidP="004E00DB">
      <w:pPr>
        <w:pStyle w:val="TableFigureFooter"/>
        <w:ind w:left="142" w:hanging="142"/>
      </w:pPr>
      <w:r w:rsidRPr="008D797E">
        <w:lastRenderedPageBreak/>
        <w:t>Underlined text indicates changes compared with the previous submission.</w:t>
      </w:r>
    </w:p>
    <w:p w:rsidR="004E00DB" w:rsidRPr="008D797E" w:rsidRDefault="004E00DB" w:rsidP="004E00DB">
      <w:pPr>
        <w:pStyle w:val="2-SectionHeading"/>
      </w:pPr>
      <w:bookmarkStart w:id="4" w:name="_Toc61964991"/>
      <w:r w:rsidRPr="008D797E">
        <w:t>Background</w:t>
      </w:r>
      <w:bookmarkEnd w:id="4"/>
    </w:p>
    <w:p w:rsidR="004E00DB" w:rsidRPr="008D797E" w:rsidRDefault="004E00DB" w:rsidP="004E00DB">
      <w:pPr>
        <w:pStyle w:val="4-SubsectionHeading"/>
      </w:pPr>
      <w:bookmarkStart w:id="5" w:name="_Toc22897638"/>
      <w:bookmarkStart w:id="6" w:name="_Toc61964992"/>
      <w:r w:rsidRPr="008D797E">
        <w:t>Registration status</w:t>
      </w:r>
      <w:bookmarkEnd w:id="5"/>
      <w:bookmarkEnd w:id="6"/>
    </w:p>
    <w:p w:rsidR="004E00DB" w:rsidRPr="008D797E" w:rsidRDefault="004E00DB" w:rsidP="004E00DB">
      <w:pPr>
        <w:numPr>
          <w:ilvl w:val="1"/>
          <w:numId w:val="1"/>
        </w:numPr>
        <w:spacing w:after="120"/>
        <w:rPr>
          <w:rFonts w:asciiTheme="minorHAnsi" w:hAnsiTheme="minorHAnsi"/>
          <w:snapToGrid w:val="0"/>
        </w:rPr>
      </w:pPr>
      <w:r w:rsidRPr="008D797E">
        <w:rPr>
          <w:rFonts w:asciiTheme="minorHAnsi" w:hAnsiTheme="minorHAnsi"/>
          <w:snapToGrid w:val="0"/>
          <w:color w:val="000000" w:themeColor="text1"/>
        </w:rPr>
        <w:t xml:space="preserve">Atezolizumab received a two-year provisional </w:t>
      </w:r>
      <w:r w:rsidRPr="008D797E">
        <w:t>TGA registration in October 2019 for the following indication: ‘atezolizumab, in combination with nanoparticle albumin-bound paclitaxel, is indicated for the treatment of adult patients with unresectable locally advanced or metastatic TNBC whose tumours express PD-L1 (PD-L1 stained tumour-infiltrating immune cells [IC] of any intensity covering ≥ 1% of the tumour), as determined by a validated test and who have not received prior chemotherapy for metastatic disease. This indication is approved under provisional approval based on progression free survival. Continued approval for this indication depends on verification and description of clinical benefit in a confirmatory trial(s).’</w:t>
      </w:r>
      <w:r w:rsidRPr="008D797E">
        <w:rPr>
          <w:rFonts w:asciiTheme="minorHAnsi" w:hAnsiTheme="minorHAnsi"/>
          <w:snapToGrid w:val="0"/>
        </w:rPr>
        <w:t xml:space="preserve"> </w:t>
      </w:r>
    </w:p>
    <w:p w:rsidR="004E00DB" w:rsidRPr="008D797E" w:rsidRDefault="004E00DB" w:rsidP="004E00DB">
      <w:pPr>
        <w:numPr>
          <w:ilvl w:val="1"/>
          <w:numId w:val="1"/>
        </w:numPr>
        <w:spacing w:after="120"/>
        <w:rPr>
          <w:rFonts w:asciiTheme="minorHAnsi" w:hAnsiTheme="minorHAnsi"/>
          <w:snapToGrid w:val="0"/>
        </w:rPr>
      </w:pPr>
      <w:r w:rsidRPr="008D797E">
        <w:rPr>
          <w:rFonts w:asciiTheme="minorHAnsi" w:hAnsiTheme="minorHAnsi"/>
          <w:snapToGrid w:val="0"/>
        </w:rPr>
        <w:t xml:space="preserve">The TGA Delegate’s Overview stated: ‘The efficacy results are promising, but not definitive. They support provisional/accelerated approval, but not standard approval. The sponsor will be required to submit confirmatory data: more mature data from IMpassion130 (especially </w:t>
      </w:r>
      <w:r w:rsidR="006373D1" w:rsidRPr="008D797E">
        <w:rPr>
          <w:rFonts w:asciiTheme="minorHAnsi" w:hAnsiTheme="minorHAnsi"/>
          <w:snapToGrid w:val="0"/>
        </w:rPr>
        <w:t>overall survival</w:t>
      </w:r>
      <w:r w:rsidRPr="008D797E">
        <w:rPr>
          <w:rFonts w:asciiTheme="minorHAnsi" w:hAnsiTheme="minorHAnsi"/>
          <w:snapToGrid w:val="0"/>
        </w:rPr>
        <w:t xml:space="preserve"> data) and data from the IMpassion131 trial.’</w:t>
      </w:r>
      <w:r w:rsidRPr="008D797E">
        <w:rPr>
          <w:rFonts w:asciiTheme="minorHAnsi" w:hAnsiTheme="minorHAnsi"/>
          <w:snapToGrid w:val="0"/>
          <w:color w:val="000000" w:themeColor="text1"/>
        </w:rPr>
        <w:t xml:space="preserve"> The provisional approval was based on IMpassion130 data from the April 2018 data cutoff. The current resubmission has provided data from the April 2020 data cutoff for IMpassion130.</w:t>
      </w:r>
      <w:r w:rsidRPr="008D797E">
        <w:rPr>
          <w:rFonts w:asciiTheme="minorHAnsi" w:hAnsiTheme="minorHAnsi"/>
          <w:i/>
          <w:snapToGrid w:val="0"/>
          <w:color w:val="000000" w:themeColor="text1"/>
        </w:rPr>
        <w:t xml:space="preserve"> </w:t>
      </w:r>
    </w:p>
    <w:p w:rsidR="004E00DB" w:rsidRPr="008D797E" w:rsidRDefault="004E00DB" w:rsidP="004E00DB">
      <w:pPr>
        <w:numPr>
          <w:ilvl w:val="1"/>
          <w:numId w:val="1"/>
        </w:numPr>
        <w:spacing w:after="120"/>
        <w:rPr>
          <w:rFonts w:asciiTheme="minorHAnsi" w:hAnsiTheme="minorHAnsi"/>
          <w:snapToGrid w:val="0"/>
        </w:rPr>
      </w:pPr>
      <w:r w:rsidRPr="008D797E">
        <w:rPr>
          <w:rFonts w:asciiTheme="minorHAnsi" w:hAnsiTheme="minorHAnsi"/>
          <w:snapToGrid w:val="0"/>
          <w:color w:val="000000" w:themeColor="text1"/>
        </w:rPr>
        <w:t xml:space="preserve">IMpassion131, </w:t>
      </w:r>
      <w:r w:rsidRPr="008D797E">
        <w:t>which compared ATZ+paclitaxel to placebo (PBO)+paclitaxel</w:t>
      </w:r>
      <w:r w:rsidRPr="008D797E">
        <w:rPr>
          <w:rFonts w:asciiTheme="minorHAnsi" w:hAnsiTheme="minorHAnsi"/>
          <w:snapToGrid w:val="0"/>
          <w:color w:val="000000" w:themeColor="text1"/>
        </w:rPr>
        <w:t xml:space="preserve">, failed to demonstrate that combining ATZ with paclitaxel resulted in any statistically significant improvement in </w:t>
      </w:r>
      <w:r w:rsidR="00CD46A7" w:rsidRPr="008D797E">
        <w:rPr>
          <w:rFonts w:asciiTheme="minorHAnsi" w:hAnsiTheme="minorHAnsi"/>
          <w:snapToGrid w:val="0"/>
          <w:color w:val="000000" w:themeColor="text1"/>
        </w:rPr>
        <w:t>progression free survival (</w:t>
      </w:r>
      <w:r w:rsidRPr="008D797E">
        <w:rPr>
          <w:rFonts w:asciiTheme="minorHAnsi" w:hAnsiTheme="minorHAnsi"/>
          <w:snapToGrid w:val="0"/>
          <w:color w:val="000000" w:themeColor="text1"/>
        </w:rPr>
        <w:t>PFS</w:t>
      </w:r>
      <w:r w:rsidR="00CD46A7" w:rsidRPr="008D797E">
        <w:rPr>
          <w:rFonts w:asciiTheme="minorHAnsi" w:hAnsiTheme="minorHAnsi"/>
          <w:snapToGrid w:val="0"/>
          <w:color w:val="000000" w:themeColor="text1"/>
        </w:rPr>
        <w:t>)</w:t>
      </w:r>
      <w:r w:rsidR="009241F0" w:rsidRPr="008D797E">
        <w:rPr>
          <w:rFonts w:asciiTheme="minorHAnsi" w:hAnsiTheme="minorHAnsi"/>
          <w:snapToGrid w:val="0"/>
          <w:color w:val="000000" w:themeColor="text1"/>
        </w:rPr>
        <w:t xml:space="preserve"> or overall survival (OS)</w:t>
      </w:r>
      <w:r w:rsidRPr="008D797E">
        <w:rPr>
          <w:rFonts w:asciiTheme="minorHAnsi" w:hAnsiTheme="minorHAnsi"/>
          <w:snapToGrid w:val="0"/>
          <w:color w:val="000000" w:themeColor="text1"/>
        </w:rPr>
        <w:t xml:space="preserve"> compared with paclitaxel alone in the </w:t>
      </w:r>
      <w:r w:rsidR="00CD3CCD" w:rsidRPr="008D797E">
        <w:rPr>
          <w:rFonts w:asciiTheme="minorHAnsi" w:hAnsiTheme="minorHAnsi"/>
          <w:snapToGrid w:val="0"/>
          <w:color w:val="000000" w:themeColor="text1"/>
        </w:rPr>
        <w:t>PD-L1-positive</w:t>
      </w:r>
      <w:r w:rsidRPr="008D797E">
        <w:rPr>
          <w:rFonts w:asciiTheme="minorHAnsi" w:hAnsiTheme="minorHAnsi"/>
          <w:snapToGrid w:val="0"/>
          <w:color w:val="000000" w:themeColor="text1"/>
        </w:rPr>
        <w:t xml:space="preserve"> population. While no formal statistical testing was performed, similar results were observed in the intention-to-treat (ITT) population (see below).</w:t>
      </w:r>
      <w:r w:rsidRPr="008D797E">
        <w:rPr>
          <w:rFonts w:asciiTheme="minorHAnsi" w:hAnsiTheme="minorHAnsi"/>
          <w:i/>
          <w:snapToGrid w:val="0"/>
          <w:color w:val="000000" w:themeColor="text1"/>
        </w:rPr>
        <w:t xml:space="preserve"> </w:t>
      </w:r>
      <w:r w:rsidR="00B919A4" w:rsidRPr="008D797E">
        <w:rPr>
          <w:rFonts w:asciiTheme="minorHAnsi" w:hAnsiTheme="minorHAnsi"/>
          <w:snapToGrid w:val="0"/>
          <w:color w:val="000000" w:themeColor="text1"/>
        </w:rPr>
        <w:t xml:space="preserve">The </w:t>
      </w:r>
      <w:r w:rsidR="001E5C43">
        <w:rPr>
          <w:rFonts w:asciiTheme="minorHAnsi" w:hAnsiTheme="minorHAnsi"/>
          <w:snapToGrid w:val="0"/>
          <w:color w:val="000000" w:themeColor="text1"/>
        </w:rPr>
        <w:t>Pre-Sub-Committee response (</w:t>
      </w:r>
      <w:r w:rsidR="00B919A4" w:rsidRPr="008D797E">
        <w:rPr>
          <w:rFonts w:asciiTheme="minorHAnsi" w:hAnsiTheme="minorHAnsi"/>
          <w:snapToGrid w:val="0"/>
          <w:color w:val="000000" w:themeColor="text1"/>
        </w:rPr>
        <w:t>PSCR</w:t>
      </w:r>
      <w:r w:rsidR="001E5C43">
        <w:rPr>
          <w:rFonts w:asciiTheme="minorHAnsi" w:hAnsiTheme="minorHAnsi"/>
          <w:snapToGrid w:val="0"/>
          <w:color w:val="000000" w:themeColor="text1"/>
        </w:rPr>
        <w:t>)</w:t>
      </w:r>
      <w:r w:rsidR="00B919A4" w:rsidRPr="008D797E">
        <w:rPr>
          <w:rFonts w:asciiTheme="minorHAnsi" w:hAnsiTheme="minorHAnsi"/>
          <w:snapToGrid w:val="0"/>
          <w:color w:val="000000" w:themeColor="text1"/>
        </w:rPr>
        <w:t xml:space="preserve"> noted that the IMpassion131 trial results have not been formally submitted to TGA as this trial is no longer part of the strategy</w:t>
      </w:r>
      <w:r w:rsidR="00C86EBF" w:rsidRPr="008D797E">
        <w:rPr>
          <w:rFonts w:asciiTheme="minorHAnsi" w:hAnsiTheme="minorHAnsi"/>
          <w:snapToGrid w:val="0"/>
          <w:color w:val="000000" w:themeColor="text1"/>
        </w:rPr>
        <w:t xml:space="preserve"> to convert from provisional to regular approval</w:t>
      </w:r>
      <w:r w:rsidR="00B919A4" w:rsidRPr="008D797E">
        <w:rPr>
          <w:rFonts w:asciiTheme="minorHAnsi" w:hAnsiTheme="minorHAnsi"/>
          <w:snapToGrid w:val="0"/>
          <w:color w:val="000000" w:themeColor="text1"/>
        </w:rPr>
        <w:t>.</w:t>
      </w:r>
      <w:r w:rsidR="006F197A">
        <w:rPr>
          <w:rFonts w:asciiTheme="minorHAnsi" w:hAnsiTheme="minorHAnsi"/>
          <w:snapToGrid w:val="0"/>
          <w:color w:val="000000" w:themeColor="text1"/>
        </w:rPr>
        <w:t xml:space="preserve"> The sponsor indicated that discussions with the TGA regarding the </w:t>
      </w:r>
      <w:r w:rsidR="003203D6">
        <w:rPr>
          <w:rFonts w:asciiTheme="minorHAnsi" w:hAnsiTheme="minorHAnsi"/>
          <w:snapToGrid w:val="0"/>
          <w:color w:val="000000" w:themeColor="text1"/>
        </w:rPr>
        <w:t xml:space="preserve">criteria for </w:t>
      </w:r>
      <w:r w:rsidR="006F197A">
        <w:rPr>
          <w:rFonts w:asciiTheme="minorHAnsi" w:hAnsiTheme="minorHAnsi"/>
          <w:snapToGrid w:val="0"/>
          <w:color w:val="000000" w:themeColor="text1"/>
        </w:rPr>
        <w:t>conversion to regular approval</w:t>
      </w:r>
      <w:r w:rsidR="003203D6">
        <w:rPr>
          <w:rFonts w:asciiTheme="minorHAnsi" w:hAnsiTheme="minorHAnsi"/>
          <w:snapToGrid w:val="0"/>
          <w:color w:val="000000" w:themeColor="text1"/>
        </w:rPr>
        <w:t xml:space="preserve"> were continuing</w:t>
      </w:r>
      <w:r w:rsidR="0028069A">
        <w:rPr>
          <w:rFonts w:asciiTheme="minorHAnsi" w:hAnsiTheme="minorHAnsi"/>
          <w:snapToGrid w:val="0"/>
          <w:color w:val="000000" w:themeColor="text1"/>
        </w:rPr>
        <w:t xml:space="preserve">, given </w:t>
      </w:r>
      <w:r w:rsidR="00BD2A4E">
        <w:rPr>
          <w:rFonts w:asciiTheme="minorHAnsi" w:hAnsiTheme="minorHAnsi"/>
          <w:snapToGrid w:val="0"/>
          <w:color w:val="000000" w:themeColor="text1"/>
        </w:rPr>
        <w:t>I</w:t>
      </w:r>
      <w:r w:rsidR="006F197A">
        <w:rPr>
          <w:rFonts w:asciiTheme="minorHAnsi" w:hAnsiTheme="minorHAnsi"/>
          <w:snapToGrid w:val="0"/>
          <w:color w:val="000000" w:themeColor="text1"/>
        </w:rPr>
        <w:t xml:space="preserve">Mpassion 131 </w:t>
      </w:r>
      <w:r w:rsidR="0028069A">
        <w:rPr>
          <w:rFonts w:asciiTheme="minorHAnsi" w:hAnsiTheme="minorHAnsi"/>
          <w:snapToGrid w:val="0"/>
          <w:color w:val="000000" w:themeColor="text1"/>
        </w:rPr>
        <w:t xml:space="preserve">was no longer the </w:t>
      </w:r>
      <w:r w:rsidR="004564B6">
        <w:rPr>
          <w:rFonts w:asciiTheme="minorHAnsi" w:hAnsiTheme="minorHAnsi"/>
          <w:snapToGrid w:val="0"/>
          <w:color w:val="000000" w:themeColor="text1"/>
        </w:rPr>
        <w:t>confirmatory</w:t>
      </w:r>
      <w:r w:rsidR="0028069A">
        <w:rPr>
          <w:rFonts w:asciiTheme="minorHAnsi" w:hAnsiTheme="minorHAnsi"/>
          <w:snapToGrid w:val="0"/>
          <w:color w:val="000000" w:themeColor="text1"/>
        </w:rPr>
        <w:t xml:space="preserve"> study</w:t>
      </w:r>
      <w:r w:rsidR="006F197A">
        <w:rPr>
          <w:rFonts w:asciiTheme="minorHAnsi" w:hAnsiTheme="minorHAnsi"/>
          <w:snapToGrid w:val="0"/>
          <w:color w:val="000000" w:themeColor="text1"/>
        </w:rPr>
        <w:t xml:space="preserve">. The PBAC therefore noted that the basis </w:t>
      </w:r>
      <w:r w:rsidR="00A54464">
        <w:rPr>
          <w:rFonts w:asciiTheme="minorHAnsi" w:hAnsiTheme="minorHAnsi"/>
          <w:snapToGrid w:val="0"/>
          <w:color w:val="000000" w:themeColor="text1"/>
        </w:rPr>
        <w:t xml:space="preserve">and timeline </w:t>
      </w:r>
      <w:r w:rsidR="006F197A">
        <w:rPr>
          <w:rFonts w:asciiTheme="minorHAnsi" w:hAnsiTheme="minorHAnsi"/>
          <w:snapToGrid w:val="0"/>
          <w:color w:val="000000" w:themeColor="text1"/>
        </w:rPr>
        <w:t xml:space="preserve">for conversion to regular approval </w:t>
      </w:r>
      <w:r w:rsidR="00A54464">
        <w:rPr>
          <w:rFonts w:asciiTheme="minorHAnsi" w:hAnsiTheme="minorHAnsi"/>
          <w:snapToGrid w:val="0"/>
          <w:color w:val="000000" w:themeColor="text1"/>
        </w:rPr>
        <w:t>is currently unclear.</w:t>
      </w:r>
      <w:r w:rsidR="006F197A">
        <w:rPr>
          <w:rFonts w:asciiTheme="minorHAnsi" w:hAnsiTheme="minorHAnsi"/>
          <w:snapToGrid w:val="0"/>
          <w:color w:val="000000" w:themeColor="text1"/>
        </w:rPr>
        <w:t xml:space="preserve"> </w:t>
      </w:r>
      <w:r w:rsidR="006E7262" w:rsidRPr="008D797E">
        <w:rPr>
          <w:rFonts w:asciiTheme="minorHAnsi" w:hAnsiTheme="minorHAnsi"/>
          <w:snapToGrid w:val="0"/>
          <w:color w:val="000000" w:themeColor="text1"/>
        </w:rPr>
        <w:t>The PSCR also noted that</w:t>
      </w:r>
      <w:r w:rsidR="00AB3B2B" w:rsidRPr="008D797E">
        <w:rPr>
          <w:rFonts w:asciiTheme="minorHAnsi" w:hAnsiTheme="minorHAnsi"/>
          <w:snapToGrid w:val="0"/>
          <w:color w:val="000000" w:themeColor="text1"/>
        </w:rPr>
        <w:t xml:space="preserve"> </w:t>
      </w:r>
      <w:r w:rsidR="006E7262" w:rsidRPr="008D797E">
        <w:rPr>
          <w:rFonts w:asciiTheme="minorHAnsi" w:hAnsiTheme="minorHAnsi"/>
          <w:snapToGrid w:val="0"/>
          <w:color w:val="000000" w:themeColor="text1"/>
        </w:rPr>
        <w:t xml:space="preserve">based on the results of IMpassion131, the FDA has added a Limitation of Use statement to the USPI specifying that ATZ is not indicated for use in combination with paclitaxel in the mTNBC setting. </w:t>
      </w:r>
    </w:p>
    <w:p w:rsidR="004E00DB" w:rsidRPr="008D797E" w:rsidRDefault="004E00DB" w:rsidP="004E00DB">
      <w:pPr>
        <w:numPr>
          <w:ilvl w:val="1"/>
          <w:numId w:val="1"/>
        </w:numPr>
        <w:spacing w:after="120"/>
        <w:rPr>
          <w:rFonts w:asciiTheme="minorHAnsi" w:hAnsiTheme="minorHAnsi"/>
          <w:snapToGrid w:val="0"/>
        </w:rPr>
      </w:pPr>
      <w:r w:rsidRPr="008D797E">
        <w:rPr>
          <w:rFonts w:asciiTheme="minorHAnsi" w:hAnsiTheme="minorHAnsi"/>
          <w:snapToGrid w:val="0"/>
        </w:rPr>
        <w:t xml:space="preserve">At the time of evaluation for PBAC consideration, the Clinical Evaluation Report, the TGA Delegate’s report, and the TGA provisional approval letter were available. </w:t>
      </w:r>
    </w:p>
    <w:p w:rsidR="004E00DB" w:rsidRPr="008D797E" w:rsidRDefault="004E00DB" w:rsidP="004E00DB">
      <w:pPr>
        <w:pStyle w:val="4-SubsectionHeading"/>
      </w:pPr>
      <w:bookmarkStart w:id="7" w:name="_Toc22897639"/>
      <w:bookmarkStart w:id="8" w:name="_Toc61964993"/>
      <w:r w:rsidRPr="008D797E">
        <w:t>Previous PBAC consideration</w:t>
      </w:r>
      <w:bookmarkEnd w:id="7"/>
      <w:bookmarkEnd w:id="8"/>
    </w:p>
    <w:p w:rsidR="004E00DB" w:rsidRPr="008D797E" w:rsidRDefault="004E00DB" w:rsidP="004E00DB">
      <w:pPr>
        <w:numPr>
          <w:ilvl w:val="1"/>
          <w:numId w:val="1"/>
        </w:numPr>
        <w:spacing w:after="120"/>
        <w:rPr>
          <w:rFonts w:asciiTheme="minorHAnsi" w:hAnsiTheme="minorHAnsi"/>
          <w:snapToGrid w:val="0"/>
        </w:rPr>
      </w:pPr>
      <w:r w:rsidRPr="006E5C4D">
        <w:rPr>
          <w:rFonts w:asciiTheme="minorHAnsi" w:hAnsiTheme="minorHAnsi"/>
        </w:rPr>
        <w:t xml:space="preserve">The PBAC previously considered an integrated co-dependent submission for ATZ, in combination with taxane chemotherapy, as first line treatment for patients with </w:t>
      </w:r>
      <w:r w:rsidRPr="006E5C4D">
        <w:rPr>
          <w:rFonts w:asciiTheme="minorHAnsi" w:hAnsiTheme="minorHAnsi"/>
        </w:rPr>
        <w:lastRenderedPageBreak/>
        <w:t xml:space="preserve">unresectable locally advanced or metastatic TNBC whose tumours express PD-L1, at the March 2020 PBAC meeting. A concurrent application was made to MSAC requesting listing of PD-L1 IHC testing for the </w:t>
      </w:r>
      <w:r w:rsidRPr="008D797E">
        <w:t xml:space="preserve">evaluation of PD-L1 expression on tumour infiltrating immune cells to determine eligibility for treatment with </w:t>
      </w:r>
      <w:r w:rsidRPr="008D797E">
        <w:rPr>
          <w:color w:val="000000" w:themeColor="text1"/>
        </w:rPr>
        <w:t xml:space="preserve">atezolizumab plus a taxane </w:t>
      </w:r>
      <w:r w:rsidRPr="008D797E">
        <w:t>in the requested population.</w:t>
      </w:r>
    </w:p>
    <w:p w:rsidR="004E00DB" w:rsidRPr="008D797E" w:rsidRDefault="004E00DB" w:rsidP="004E00DB">
      <w:pPr>
        <w:numPr>
          <w:ilvl w:val="1"/>
          <w:numId w:val="1"/>
        </w:numPr>
        <w:spacing w:after="120"/>
        <w:rPr>
          <w:rFonts w:asciiTheme="minorHAnsi" w:hAnsiTheme="minorHAnsi"/>
          <w:snapToGrid w:val="0"/>
        </w:rPr>
      </w:pPr>
      <w:r w:rsidRPr="00115C2F">
        <w:t xml:space="preserve">The key matters of concern regarding the previous submission, and how the resubmission has addressed these concerns, are summarised in </w:t>
      </w:r>
      <w:r w:rsidR="00232E9D" w:rsidRPr="008D797E">
        <w:t xml:space="preserve">Table </w:t>
      </w:r>
      <w:r w:rsidR="00232E9D" w:rsidRPr="006E5C4D">
        <w:t>2</w:t>
      </w:r>
      <w:r w:rsidRPr="008D797E">
        <w:t>.</w:t>
      </w:r>
    </w:p>
    <w:p w:rsidR="004E00DB" w:rsidRPr="008D797E" w:rsidRDefault="004E00DB" w:rsidP="004E00DB">
      <w:pPr>
        <w:pStyle w:val="TableFigureHeading"/>
      </w:pPr>
      <w:bookmarkStart w:id="9" w:name="_Ref59452055"/>
      <w:r w:rsidRPr="008D797E">
        <w:t xml:space="preserve">Table </w:t>
      </w:r>
      <w:r w:rsidR="00232E9D" w:rsidRPr="006E5C4D">
        <w:t>2</w:t>
      </w:r>
      <w:bookmarkEnd w:id="9"/>
      <w:r w:rsidRPr="008D797E">
        <w:t>: Summary of key matters of concern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4"/>
        <w:gridCol w:w="3668"/>
        <w:gridCol w:w="3664"/>
      </w:tblGrid>
      <w:tr w:rsidR="004E00DB" w:rsidRPr="008D797E" w:rsidTr="00E47A6A">
        <w:trPr>
          <w:cantSplit/>
          <w:tblHeader/>
        </w:trPr>
        <w:tc>
          <w:tcPr>
            <w:tcW w:w="934" w:type="pct"/>
            <w:vAlign w:val="center"/>
          </w:tcPr>
          <w:p w:rsidR="004E00DB" w:rsidRPr="006E5C4D" w:rsidRDefault="004E00DB" w:rsidP="00E47A6A">
            <w:pPr>
              <w:keepNext/>
              <w:jc w:val="left"/>
              <w:rPr>
                <w:rFonts w:ascii="Arial Narrow" w:eastAsiaTheme="majorEastAsia" w:hAnsi="Arial Narrow" w:cs="Times New Roman"/>
                <w:b/>
                <w:sz w:val="20"/>
              </w:rPr>
            </w:pPr>
            <w:r w:rsidRPr="006E5C4D">
              <w:rPr>
                <w:rFonts w:ascii="Arial Narrow" w:eastAsiaTheme="majorEastAsia" w:hAnsi="Arial Narrow" w:cs="Times New Roman"/>
                <w:b/>
                <w:sz w:val="20"/>
              </w:rPr>
              <w:t>Component</w:t>
            </w:r>
          </w:p>
        </w:tc>
        <w:tc>
          <w:tcPr>
            <w:tcW w:w="2034" w:type="pct"/>
            <w:vAlign w:val="center"/>
          </w:tcPr>
          <w:p w:rsidR="004E00DB" w:rsidRPr="006E5C4D" w:rsidRDefault="004E00DB" w:rsidP="00E47A6A">
            <w:pPr>
              <w:keepNext/>
              <w:jc w:val="left"/>
              <w:rPr>
                <w:rFonts w:ascii="Arial Narrow" w:eastAsiaTheme="majorEastAsia" w:hAnsi="Arial Narrow" w:cs="Times New Roman"/>
                <w:b/>
                <w:sz w:val="20"/>
              </w:rPr>
            </w:pPr>
            <w:r w:rsidRPr="006E5C4D">
              <w:rPr>
                <w:rFonts w:ascii="Arial Narrow" w:eastAsiaTheme="majorEastAsia" w:hAnsi="Arial Narrow" w:cs="Times New Roman"/>
                <w:b/>
                <w:sz w:val="20"/>
              </w:rPr>
              <w:t>Matter of concern</w:t>
            </w:r>
          </w:p>
        </w:tc>
        <w:tc>
          <w:tcPr>
            <w:tcW w:w="2032" w:type="pct"/>
            <w:vAlign w:val="center"/>
          </w:tcPr>
          <w:p w:rsidR="004E00DB" w:rsidRPr="006E5C4D" w:rsidRDefault="004E00DB" w:rsidP="00E47A6A">
            <w:pPr>
              <w:keepNext/>
              <w:jc w:val="left"/>
              <w:rPr>
                <w:rFonts w:ascii="Arial Narrow" w:eastAsiaTheme="majorEastAsia" w:hAnsi="Arial Narrow" w:cs="Times New Roman"/>
                <w:b/>
                <w:sz w:val="20"/>
              </w:rPr>
            </w:pPr>
            <w:r w:rsidRPr="006E5C4D">
              <w:rPr>
                <w:rFonts w:ascii="Arial Narrow" w:eastAsiaTheme="majorEastAsia" w:hAnsi="Arial Narrow" w:cs="Times New Roman"/>
                <w:b/>
                <w:sz w:val="20"/>
              </w:rPr>
              <w:t>How the resubmission addresses it</w:t>
            </w:r>
          </w:p>
        </w:tc>
      </w:tr>
      <w:tr w:rsidR="004E00DB" w:rsidRPr="008D797E" w:rsidTr="00E47A6A">
        <w:trPr>
          <w:cantSplit/>
        </w:trPr>
        <w:tc>
          <w:tcPr>
            <w:tcW w:w="934" w:type="pct"/>
            <w:tcBorders>
              <w:bottom w:val="single" w:sz="4" w:space="0" w:color="auto"/>
            </w:tcBorders>
          </w:tcPr>
          <w:p w:rsidR="004E00DB" w:rsidRPr="008D797E" w:rsidRDefault="004E00DB" w:rsidP="00E47A6A">
            <w:pPr>
              <w:pStyle w:val="TableText0"/>
              <w:keepNext w:val="0"/>
            </w:pPr>
            <w:r w:rsidRPr="008D797E">
              <w:t>Test assay used to determine PD-L</w:t>
            </w:r>
            <w:r w:rsidR="006259DE" w:rsidRPr="008D797E">
              <w:t>1</w:t>
            </w:r>
          </w:p>
        </w:tc>
        <w:tc>
          <w:tcPr>
            <w:tcW w:w="2034" w:type="pct"/>
          </w:tcPr>
          <w:p w:rsidR="004E00DB" w:rsidRPr="008D797E" w:rsidRDefault="004E00DB" w:rsidP="00E47A6A">
            <w:pPr>
              <w:pStyle w:val="TableText0"/>
              <w:keepNext w:val="0"/>
            </w:pPr>
            <w:r w:rsidRPr="008D797E">
              <w:t>The PBAC signalled a preference to limit testing to the Ventana PD-L1 (SP142) assay (</w:t>
            </w:r>
            <w:r w:rsidR="004A6914" w:rsidRPr="008D797E">
              <w:t>para</w:t>
            </w:r>
            <w:r w:rsidRPr="008D797E">
              <w:t xml:space="preserve"> 7.2, March 2020 PSD).</w:t>
            </w:r>
          </w:p>
          <w:p w:rsidR="004E00DB" w:rsidRPr="008D797E" w:rsidRDefault="004E00DB" w:rsidP="00E47A6A">
            <w:pPr>
              <w:pStyle w:val="TableText0"/>
              <w:keepNext w:val="0"/>
            </w:pPr>
          </w:p>
        </w:tc>
        <w:tc>
          <w:tcPr>
            <w:tcW w:w="2032" w:type="pct"/>
            <w:vAlign w:val="center"/>
          </w:tcPr>
          <w:p w:rsidR="004E00DB" w:rsidRPr="008D797E" w:rsidRDefault="004E00DB" w:rsidP="00E47A6A">
            <w:pPr>
              <w:jc w:val="left"/>
              <w:rPr>
                <w:rFonts w:ascii="Arial Narrow" w:eastAsiaTheme="majorEastAsia" w:hAnsi="Arial Narrow" w:cstheme="majorBidi"/>
                <w:bCs/>
                <w:sz w:val="20"/>
              </w:rPr>
            </w:pPr>
            <w:r w:rsidRPr="008D797E">
              <w:rPr>
                <w:rFonts w:ascii="Arial Narrow" w:eastAsiaTheme="majorEastAsia" w:hAnsi="Arial Narrow" w:cstheme="majorBidi"/>
                <w:bCs/>
                <w:sz w:val="20"/>
              </w:rPr>
              <w:t xml:space="preserve">Addressed. A minor submission has been submitted to MSAC, amending the proposed MBS item descriptor to specify that the </w:t>
            </w:r>
            <w:r w:rsidR="00D350F6" w:rsidRPr="008D797E">
              <w:rPr>
                <w:rFonts w:ascii="Arial Narrow" w:eastAsiaTheme="majorEastAsia" w:hAnsi="Arial Narrow" w:cstheme="majorBidi"/>
                <w:bCs/>
                <w:sz w:val="20"/>
              </w:rPr>
              <w:t>Ventana</w:t>
            </w:r>
            <w:r w:rsidRPr="008D797E">
              <w:rPr>
                <w:rFonts w:ascii="Arial Narrow" w:eastAsiaTheme="majorEastAsia" w:hAnsi="Arial Narrow" w:cstheme="majorBidi"/>
                <w:bCs/>
                <w:sz w:val="20"/>
              </w:rPr>
              <w:t xml:space="preserve"> SP142 assay must be used for IHC examination of PD-L1 expression for access to ATZ for mTNBC.</w:t>
            </w:r>
          </w:p>
        </w:tc>
      </w:tr>
      <w:tr w:rsidR="004E00DB" w:rsidRPr="008D797E" w:rsidTr="00E47A6A">
        <w:trPr>
          <w:cantSplit/>
        </w:trPr>
        <w:tc>
          <w:tcPr>
            <w:tcW w:w="934" w:type="pct"/>
            <w:tcBorders>
              <w:bottom w:val="nil"/>
            </w:tcBorders>
          </w:tcPr>
          <w:p w:rsidR="004E00DB" w:rsidRPr="008D797E" w:rsidRDefault="004E00DB" w:rsidP="00E47A6A">
            <w:pPr>
              <w:pStyle w:val="TableText0"/>
              <w:keepNext w:val="0"/>
            </w:pPr>
            <w:r w:rsidRPr="008D797E">
              <w:t>Proposed listing</w:t>
            </w:r>
          </w:p>
        </w:tc>
        <w:tc>
          <w:tcPr>
            <w:tcW w:w="2034" w:type="pct"/>
          </w:tcPr>
          <w:p w:rsidR="004E00DB" w:rsidRPr="008D797E" w:rsidRDefault="004E00DB" w:rsidP="00E47A6A">
            <w:pPr>
              <w:pStyle w:val="TableText0"/>
              <w:keepNext w:val="0"/>
            </w:pPr>
            <w:r w:rsidRPr="008D797E">
              <w:t>The proposed listing for ATZ in combination with taxane chemotherapy was broader than the intervention in the IMpassion130 trial and the provisional TGA indication, which are for ATZ used only in combination with nab-P (</w:t>
            </w:r>
            <w:r w:rsidR="004A6914" w:rsidRPr="008D797E">
              <w:t>para</w:t>
            </w:r>
            <w:r w:rsidRPr="008D797E">
              <w:t xml:space="preserve"> 7.4, March 2020 PSD).</w:t>
            </w:r>
          </w:p>
        </w:tc>
        <w:tc>
          <w:tcPr>
            <w:tcW w:w="2032" w:type="pct"/>
            <w:vAlign w:val="center"/>
          </w:tcPr>
          <w:p w:rsidR="004E00DB" w:rsidRPr="008D797E" w:rsidRDefault="004E00DB" w:rsidP="00E47A6A">
            <w:pPr>
              <w:jc w:val="left"/>
              <w:rPr>
                <w:rFonts w:ascii="Arial Narrow" w:eastAsiaTheme="majorEastAsia" w:hAnsi="Arial Narrow" w:cstheme="majorBidi"/>
                <w:bCs/>
                <w:sz w:val="20"/>
              </w:rPr>
            </w:pPr>
            <w:r w:rsidRPr="008D797E">
              <w:rPr>
                <w:rFonts w:ascii="Arial Narrow" w:eastAsiaTheme="majorEastAsia" w:hAnsi="Arial Narrow" w:cstheme="majorBidi"/>
                <w:bCs/>
                <w:sz w:val="20"/>
              </w:rPr>
              <w:t>Addressed. Restriction amended to specify that ATZ must be initiated in combination with nab-P.</w:t>
            </w:r>
          </w:p>
        </w:tc>
      </w:tr>
      <w:tr w:rsidR="004E00DB" w:rsidRPr="008D797E" w:rsidTr="00E47A6A">
        <w:trPr>
          <w:cantSplit/>
        </w:trPr>
        <w:tc>
          <w:tcPr>
            <w:tcW w:w="934" w:type="pct"/>
            <w:tcBorders>
              <w:top w:val="nil"/>
              <w:bottom w:val="single" w:sz="4" w:space="0" w:color="auto"/>
            </w:tcBorders>
          </w:tcPr>
          <w:p w:rsidR="004E00DB" w:rsidRPr="008D797E" w:rsidRDefault="004E00DB" w:rsidP="00E47A6A">
            <w:pPr>
              <w:pStyle w:val="TableText0"/>
              <w:keepNext w:val="0"/>
            </w:pPr>
          </w:p>
        </w:tc>
        <w:tc>
          <w:tcPr>
            <w:tcW w:w="2034" w:type="pct"/>
            <w:tcBorders>
              <w:bottom w:val="single" w:sz="4" w:space="0" w:color="auto"/>
            </w:tcBorders>
          </w:tcPr>
          <w:p w:rsidR="004E00DB" w:rsidRPr="008D797E" w:rsidRDefault="004E00DB" w:rsidP="00E47A6A">
            <w:pPr>
              <w:pStyle w:val="TableText0"/>
              <w:keepNext w:val="0"/>
            </w:pPr>
            <w:r w:rsidRPr="008D797E">
              <w:t>The restriction should require patients treated with taxanes in the (neo)adjuvant setting to have completed their treatment at least 12 months prior to initiation of ATZ, consistent with IMpassion130 (</w:t>
            </w:r>
            <w:r w:rsidR="004A6914" w:rsidRPr="008D797E">
              <w:t>para</w:t>
            </w:r>
            <w:r w:rsidRPr="008D797E">
              <w:t xml:space="preserve"> 7.5, March 2020 PSD).</w:t>
            </w:r>
          </w:p>
        </w:tc>
        <w:tc>
          <w:tcPr>
            <w:tcW w:w="2032" w:type="pct"/>
            <w:tcBorders>
              <w:bottom w:val="single" w:sz="4" w:space="0" w:color="auto"/>
            </w:tcBorders>
            <w:vAlign w:val="center"/>
          </w:tcPr>
          <w:p w:rsidR="004E00DB" w:rsidRPr="008D797E" w:rsidRDefault="004E00DB" w:rsidP="00E47A6A">
            <w:pPr>
              <w:jc w:val="left"/>
              <w:rPr>
                <w:rFonts w:ascii="Arial Narrow" w:eastAsiaTheme="majorEastAsia" w:hAnsi="Arial Narrow" w:cstheme="majorBidi"/>
                <w:bCs/>
                <w:sz w:val="20"/>
              </w:rPr>
            </w:pPr>
            <w:r w:rsidRPr="008D797E">
              <w:rPr>
                <w:rFonts w:ascii="Arial Narrow" w:eastAsiaTheme="majorEastAsia" w:hAnsi="Arial Narrow" w:cstheme="majorBidi"/>
                <w:bCs/>
                <w:sz w:val="20"/>
              </w:rPr>
              <w:t>Addressed. Restriction amended to reflect PBAC comments.</w:t>
            </w:r>
          </w:p>
        </w:tc>
      </w:tr>
      <w:tr w:rsidR="004E00DB" w:rsidRPr="008D797E" w:rsidTr="00E47A6A">
        <w:trPr>
          <w:cantSplit/>
          <w:trHeight w:val="2041"/>
        </w:trPr>
        <w:tc>
          <w:tcPr>
            <w:tcW w:w="934" w:type="pct"/>
            <w:tcBorders>
              <w:bottom w:val="single" w:sz="4" w:space="0" w:color="auto"/>
            </w:tcBorders>
          </w:tcPr>
          <w:p w:rsidR="004E00DB" w:rsidRPr="008D797E" w:rsidRDefault="004E00DB" w:rsidP="00E47A6A">
            <w:pPr>
              <w:pStyle w:val="TableText0"/>
              <w:keepNext w:val="0"/>
            </w:pPr>
            <w:r w:rsidRPr="008D797E">
              <w:t>Comparator</w:t>
            </w:r>
          </w:p>
        </w:tc>
        <w:tc>
          <w:tcPr>
            <w:tcW w:w="2034" w:type="pct"/>
          </w:tcPr>
          <w:p w:rsidR="004E00DB" w:rsidRPr="008D797E" w:rsidRDefault="004E00DB" w:rsidP="0016432F">
            <w:pPr>
              <w:pStyle w:val="TableText0"/>
              <w:keepNext w:val="0"/>
            </w:pPr>
            <w:r w:rsidRPr="008D797E">
              <w:t xml:space="preserve">The nominated comparator, nab-P, may not represent optimal evidence-based treatment in the majority of the proposed population, including patients who have received previous taxane therapy, patients who are chemotherapy naïve, and patients with BRCA1/2 </w:t>
            </w:r>
            <w:r w:rsidR="0016432F" w:rsidRPr="008D797E">
              <w:t>pathogenic variants</w:t>
            </w:r>
            <w:r w:rsidRPr="008D797E">
              <w:t>. The most appropriate comparator in the heterogen</w:t>
            </w:r>
            <w:r w:rsidR="00F05BAF" w:rsidRPr="008D797E">
              <w:t>e</w:t>
            </w:r>
            <w:r w:rsidRPr="008D797E">
              <w:t>ous population would be physician choice (</w:t>
            </w:r>
            <w:r w:rsidR="004A6914" w:rsidRPr="008D797E">
              <w:t>para</w:t>
            </w:r>
            <w:r w:rsidRPr="008D797E">
              <w:t xml:space="preserve"> 5.0 and 7.6, March 2020 PSD).</w:t>
            </w:r>
          </w:p>
        </w:tc>
        <w:tc>
          <w:tcPr>
            <w:tcW w:w="2032" w:type="pct"/>
            <w:vAlign w:val="center"/>
          </w:tcPr>
          <w:p w:rsidR="004E00DB" w:rsidRPr="008D797E" w:rsidRDefault="004E00DB" w:rsidP="00E47A6A">
            <w:pPr>
              <w:jc w:val="left"/>
              <w:rPr>
                <w:rFonts w:ascii="Arial Narrow" w:eastAsiaTheme="majorEastAsia" w:hAnsi="Arial Narrow" w:cstheme="majorBidi"/>
                <w:bCs/>
                <w:sz w:val="20"/>
              </w:rPr>
            </w:pPr>
            <w:r w:rsidRPr="008D797E">
              <w:rPr>
                <w:rFonts w:ascii="Arial Narrow" w:eastAsiaTheme="majorEastAsia" w:hAnsi="Arial Narrow" w:cstheme="majorBidi"/>
                <w:bCs/>
                <w:sz w:val="20"/>
              </w:rPr>
              <w:t xml:space="preserve">Not adequately addressed. </w:t>
            </w:r>
          </w:p>
          <w:p w:rsidR="004E00DB" w:rsidRPr="008D797E" w:rsidRDefault="004E00DB" w:rsidP="00E47A6A">
            <w:pPr>
              <w:jc w:val="left"/>
              <w:rPr>
                <w:rFonts w:ascii="Arial Narrow" w:eastAsiaTheme="majorEastAsia" w:hAnsi="Arial Narrow" w:cstheme="majorBidi"/>
                <w:bCs/>
                <w:sz w:val="20"/>
              </w:rPr>
            </w:pPr>
            <w:r w:rsidRPr="008D797E">
              <w:rPr>
                <w:rFonts w:ascii="Arial Narrow" w:eastAsiaTheme="majorEastAsia" w:hAnsi="Arial Narrow" w:cstheme="majorBidi"/>
                <w:bCs/>
                <w:sz w:val="20"/>
              </w:rPr>
              <w:t xml:space="preserve">The restriction was amended to exclude patients with locally advanced TNBC, but this did not address the issue regarding the appropriate comparator in the mTNBC population. </w:t>
            </w:r>
          </w:p>
        </w:tc>
      </w:tr>
      <w:tr w:rsidR="004E00DB" w:rsidRPr="008D797E" w:rsidTr="00E47A6A">
        <w:trPr>
          <w:cantSplit/>
          <w:trHeight w:val="2041"/>
        </w:trPr>
        <w:tc>
          <w:tcPr>
            <w:tcW w:w="934" w:type="pct"/>
            <w:tcBorders>
              <w:bottom w:val="single" w:sz="4" w:space="0" w:color="auto"/>
            </w:tcBorders>
          </w:tcPr>
          <w:p w:rsidR="004E00DB" w:rsidRPr="008D797E" w:rsidRDefault="004E00DB" w:rsidP="00E47A6A">
            <w:pPr>
              <w:pStyle w:val="TableText0"/>
              <w:keepNext w:val="0"/>
            </w:pPr>
            <w:r w:rsidRPr="008D797E">
              <w:t>Clinical place</w:t>
            </w:r>
          </w:p>
        </w:tc>
        <w:tc>
          <w:tcPr>
            <w:tcW w:w="2034" w:type="pct"/>
          </w:tcPr>
          <w:p w:rsidR="004E00DB" w:rsidRPr="008D797E" w:rsidRDefault="004E00DB" w:rsidP="00E47A6A">
            <w:pPr>
              <w:pStyle w:val="TableText0"/>
              <w:keepNext w:val="0"/>
            </w:pPr>
            <w:r w:rsidRPr="008D797E">
              <w:t xml:space="preserve">The appropriate clinical place for ATZ is in addition to nab-P in patients who are </w:t>
            </w:r>
            <w:r w:rsidR="00CD3CCD" w:rsidRPr="008D797E">
              <w:t>PD-L1-positive</w:t>
            </w:r>
            <w:r w:rsidRPr="008D797E">
              <w:t>, where a taxane would otherwise be used. The Australian population who would be appropriate for nab-P reflects approximately 10% of the IMpassion130 trial population, limiting the applicability of the trial data (</w:t>
            </w:r>
            <w:r w:rsidR="004A6914" w:rsidRPr="008D797E">
              <w:t>para</w:t>
            </w:r>
            <w:r w:rsidRPr="008D797E">
              <w:t xml:space="preserve"> 7.7 and 7.12, March 202 PSD).</w:t>
            </w:r>
          </w:p>
        </w:tc>
        <w:tc>
          <w:tcPr>
            <w:tcW w:w="2032" w:type="pct"/>
            <w:vAlign w:val="center"/>
          </w:tcPr>
          <w:p w:rsidR="004E00DB" w:rsidRPr="008D797E" w:rsidRDefault="004E00DB" w:rsidP="00E47A6A">
            <w:pPr>
              <w:jc w:val="left"/>
              <w:rPr>
                <w:rFonts w:ascii="Arial Narrow" w:eastAsiaTheme="majorEastAsia" w:hAnsi="Arial Narrow" w:cstheme="majorBidi"/>
                <w:bCs/>
                <w:sz w:val="20"/>
              </w:rPr>
            </w:pPr>
            <w:r w:rsidRPr="008D797E">
              <w:rPr>
                <w:rFonts w:ascii="Arial Narrow" w:eastAsiaTheme="majorEastAsia" w:hAnsi="Arial Narrow" w:cstheme="majorBidi"/>
                <w:bCs/>
                <w:sz w:val="20"/>
              </w:rPr>
              <w:t>Not adequately addressed. While patients with locally advanced TNBC were excluded from the proposed Australian population, the PSCR for the previous submission stated that this patient group represented &lt;10% of the total population (</w:t>
            </w:r>
            <w:r w:rsidR="004A6914" w:rsidRPr="008D797E">
              <w:rPr>
                <w:rFonts w:ascii="Arial Narrow" w:eastAsiaTheme="majorEastAsia" w:hAnsi="Arial Narrow" w:cstheme="majorBidi"/>
                <w:bCs/>
                <w:sz w:val="20"/>
              </w:rPr>
              <w:t>para</w:t>
            </w:r>
            <w:r w:rsidRPr="008D797E">
              <w:rPr>
                <w:rFonts w:ascii="Arial Narrow" w:eastAsiaTheme="majorEastAsia" w:hAnsi="Arial Narrow" w:cstheme="majorBidi"/>
                <w:bCs/>
                <w:sz w:val="20"/>
              </w:rPr>
              <w:t xml:space="preserve"> 5.5, March 2020 PSD). The clinical place for ATZ+nab-P in the remaining patient subgroups was not adequately addressed.</w:t>
            </w:r>
          </w:p>
        </w:tc>
      </w:tr>
      <w:tr w:rsidR="004E00DB" w:rsidRPr="008D797E" w:rsidTr="00E47A6A">
        <w:trPr>
          <w:cantSplit/>
        </w:trPr>
        <w:tc>
          <w:tcPr>
            <w:tcW w:w="934" w:type="pct"/>
            <w:tcBorders>
              <w:top w:val="nil"/>
              <w:bottom w:val="nil"/>
            </w:tcBorders>
          </w:tcPr>
          <w:p w:rsidR="004E00DB" w:rsidRPr="008D797E" w:rsidRDefault="004E00DB" w:rsidP="00E47A6A">
            <w:pPr>
              <w:pStyle w:val="TableText0"/>
              <w:keepNext w:val="0"/>
            </w:pPr>
            <w:r w:rsidRPr="008D797E">
              <w:lastRenderedPageBreak/>
              <w:t>Clinical effectiveness</w:t>
            </w:r>
          </w:p>
        </w:tc>
        <w:tc>
          <w:tcPr>
            <w:tcW w:w="2034" w:type="pct"/>
          </w:tcPr>
          <w:p w:rsidR="004E00DB" w:rsidRPr="008D797E" w:rsidRDefault="004E00DB" w:rsidP="00E47A6A">
            <w:pPr>
              <w:pStyle w:val="TableText0"/>
              <w:keepNext w:val="0"/>
            </w:pPr>
            <w:r w:rsidRPr="008D797E">
              <w:t xml:space="preserve">As there was a non-statistically significant OS result in the ITT population, formal testing of OS in the </w:t>
            </w:r>
            <w:r w:rsidR="00CD3CCD" w:rsidRPr="008D797E">
              <w:t>PD-L1-positive</w:t>
            </w:r>
            <w:r w:rsidRPr="008D797E">
              <w:t xml:space="preserve"> subgroup could not be performed whilst controlling type I error. The magnitude of any OS gain was uncertain. More mature OS data may provide more confidence regarding the magnitude of any OS gain (</w:t>
            </w:r>
            <w:r w:rsidR="004A6914" w:rsidRPr="008D797E">
              <w:t>para</w:t>
            </w:r>
            <w:r w:rsidRPr="008D797E">
              <w:t xml:space="preserve"> 7.10, March 2020 PSD).</w:t>
            </w:r>
          </w:p>
        </w:tc>
        <w:tc>
          <w:tcPr>
            <w:tcW w:w="2032" w:type="pct"/>
            <w:vAlign w:val="center"/>
          </w:tcPr>
          <w:p w:rsidR="004E00DB" w:rsidRPr="008D797E" w:rsidRDefault="004E00DB" w:rsidP="00E47A6A">
            <w:pPr>
              <w:jc w:val="left"/>
              <w:rPr>
                <w:rFonts w:ascii="Arial Narrow" w:eastAsiaTheme="majorEastAsia" w:hAnsi="Arial Narrow" w:cstheme="majorBidi"/>
                <w:bCs/>
                <w:sz w:val="20"/>
              </w:rPr>
            </w:pPr>
            <w:r w:rsidRPr="008D797E">
              <w:rPr>
                <w:rFonts w:ascii="Arial Narrow" w:eastAsiaTheme="majorEastAsia" w:hAnsi="Arial Narrow" w:cstheme="majorBidi"/>
                <w:bCs/>
                <w:sz w:val="20"/>
              </w:rPr>
              <w:t>Remains an issue. While updated OS data from the final OS analysis were provided, there was still no statistically significant difference between the treatment arms for the ITT population</w:t>
            </w:r>
            <w:r w:rsidR="00527DCB">
              <w:rPr>
                <w:rFonts w:ascii="Arial Narrow" w:eastAsiaTheme="majorEastAsia" w:hAnsi="Arial Narrow" w:cstheme="majorBidi"/>
                <w:bCs/>
                <w:sz w:val="20"/>
              </w:rPr>
              <w:t xml:space="preserve"> so formal testing of OS in the PD-L1 positive subgroup still could not be performed</w:t>
            </w:r>
            <w:r w:rsidRPr="008D797E">
              <w:rPr>
                <w:rFonts w:ascii="Arial Narrow" w:eastAsiaTheme="majorEastAsia" w:hAnsi="Arial Narrow" w:cstheme="majorBidi"/>
                <w:bCs/>
                <w:sz w:val="20"/>
              </w:rPr>
              <w:t>. The results for the PD-L1 subgroup were similar to those in the original submission.</w:t>
            </w:r>
          </w:p>
        </w:tc>
      </w:tr>
      <w:tr w:rsidR="004E00DB" w:rsidRPr="008D797E" w:rsidTr="00E47A6A">
        <w:trPr>
          <w:cantSplit/>
        </w:trPr>
        <w:tc>
          <w:tcPr>
            <w:tcW w:w="934" w:type="pct"/>
            <w:tcBorders>
              <w:top w:val="nil"/>
              <w:bottom w:val="single" w:sz="4" w:space="0" w:color="auto"/>
            </w:tcBorders>
          </w:tcPr>
          <w:p w:rsidR="004E00DB" w:rsidRPr="008D797E" w:rsidRDefault="004E00DB" w:rsidP="00E47A6A">
            <w:pPr>
              <w:pStyle w:val="TableText0"/>
              <w:keepNext w:val="0"/>
            </w:pPr>
          </w:p>
        </w:tc>
        <w:tc>
          <w:tcPr>
            <w:tcW w:w="2034" w:type="pct"/>
            <w:tcBorders>
              <w:bottom w:val="single" w:sz="4" w:space="0" w:color="auto"/>
            </w:tcBorders>
          </w:tcPr>
          <w:p w:rsidR="004E00DB" w:rsidRPr="008D797E" w:rsidRDefault="004E00DB" w:rsidP="00E47A6A">
            <w:pPr>
              <w:pStyle w:val="TableText0"/>
              <w:keepNext w:val="0"/>
            </w:pPr>
            <w:r w:rsidRPr="008D797E">
              <w:t>As nab-P is likely to be an inferior treatment for the majority of patients, the treatment effect of ATZ+nab-P is likely to be overestimated relative to current clinical practice (</w:t>
            </w:r>
            <w:r w:rsidR="004A6914" w:rsidRPr="008D797E">
              <w:t>para</w:t>
            </w:r>
            <w:r w:rsidRPr="008D797E">
              <w:t xml:space="preserve"> 7.12, March 2020 PSD)</w:t>
            </w:r>
          </w:p>
        </w:tc>
        <w:tc>
          <w:tcPr>
            <w:tcW w:w="2032" w:type="pct"/>
            <w:tcBorders>
              <w:bottom w:val="single" w:sz="4" w:space="0" w:color="auto"/>
            </w:tcBorders>
            <w:vAlign w:val="center"/>
          </w:tcPr>
          <w:p w:rsidR="004E00DB" w:rsidRPr="008D797E" w:rsidRDefault="004E00DB" w:rsidP="00E47A6A">
            <w:pPr>
              <w:jc w:val="left"/>
              <w:rPr>
                <w:rFonts w:ascii="Arial Narrow" w:eastAsiaTheme="majorEastAsia" w:hAnsi="Arial Narrow" w:cstheme="majorBidi"/>
                <w:bCs/>
                <w:sz w:val="20"/>
              </w:rPr>
            </w:pPr>
            <w:r w:rsidRPr="008D797E">
              <w:rPr>
                <w:rFonts w:ascii="Arial Narrow" w:eastAsiaTheme="majorEastAsia" w:hAnsi="Arial Narrow" w:cstheme="majorBidi"/>
                <w:bCs/>
                <w:sz w:val="20"/>
              </w:rPr>
              <w:t>Not adequately addressed (see comments for comparator, above).</w:t>
            </w:r>
          </w:p>
        </w:tc>
      </w:tr>
      <w:tr w:rsidR="004E00DB" w:rsidRPr="008D797E" w:rsidTr="00E47A6A">
        <w:trPr>
          <w:cantSplit/>
        </w:trPr>
        <w:tc>
          <w:tcPr>
            <w:tcW w:w="934" w:type="pct"/>
            <w:tcBorders>
              <w:bottom w:val="single" w:sz="4" w:space="0" w:color="auto"/>
              <w:right w:val="nil"/>
            </w:tcBorders>
          </w:tcPr>
          <w:p w:rsidR="004E00DB" w:rsidRPr="008D797E" w:rsidRDefault="004E00DB" w:rsidP="00E47A6A">
            <w:pPr>
              <w:pStyle w:val="TableText0"/>
              <w:keepNext w:val="0"/>
            </w:pPr>
            <w:r w:rsidRPr="008D797E">
              <w:t>Economic model</w:t>
            </w:r>
          </w:p>
        </w:tc>
        <w:tc>
          <w:tcPr>
            <w:tcW w:w="2034" w:type="pct"/>
            <w:tcBorders>
              <w:left w:val="nil"/>
              <w:right w:val="nil"/>
            </w:tcBorders>
          </w:tcPr>
          <w:p w:rsidR="004E00DB" w:rsidRPr="008D797E" w:rsidRDefault="004E00DB" w:rsidP="00E47A6A">
            <w:pPr>
              <w:pStyle w:val="TableText0"/>
              <w:keepNext w:val="0"/>
            </w:pPr>
          </w:p>
        </w:tc>
        <w:tc>
          <w:tcPr>
            <w:tcW w:w="2032" w:type="pct"/>
            <w:tcBorders>
              <w:left w:val="nil"/>
            </w:tcBorders>
            <w:vAlign w:val="center"/>
          </w:tcPr>
          <w:p w:rsidR="004E00DB" w:rsidRPr="008D797E" w:rsidRDefault="004E00DB" w:rsidP="00E47A6A">
            <w:pPr>
              <w:jc w:val="left"/>
              <w:rPr>
                <w:rFonts w:ascii="Arial Narrow" w:eastAsiaTheme="majorEastAsia" w:hAnsi="Arial Narrow" w:cstheme="majorBidi"/>
                <w:bCs/>
                <w:sz w:val="20"/>
              </w:rPr>
            </w:pPr>
          </w:p>
        </w:tc>
      </w:tr>
      <w:tr w:rsidR="004E00DB" w:rsidRPr="008D797E" w:rsidTr="00E47A6A">
        <w:trPr>
          <w:cantSplit/>
        </w:trPr>
        <w:tc>
          <w:tcPr>
            <w:tcW w:w="934" w:type="pct"/>
            <w:tcBorders>
              <w:bottom w:val="nil"/>
            </w:tcBorders>
          </w:tcPr>
          <w:p w:rsidR="004E00DB" w:rsidRPr="008D797E" w:rsidRDefault="004E00DB" w:rsidP="00E47A6A">
            <w:pPr>
              <w:pStyle w:val="TableText0"/>
              <w:keepNext w:val="0"/>
            </w:pPr>
            <w:r w:rsidRPr="008D797E">
              <w:t>Extrapolation of OS</w:t>
            </w:r>
          </w:p>
        </w:tc>
        <w:tc>
          <w:tcPr>
            <w:tcW w:w="2034" w:type="pct"/>
          </w:tcPr>
          <w:p w:rsidR="004E00DB" w:rsidRPr="008D797E" w:rsidRDefault="004E00DB" w:rsidP="00E47A6A">
            <w:pPr>
              <w:pStyle w:val="TableText0"/>
              <w:keepNext w:val="0"/>
            </w:pPr>
            <w:r w:rsidRPr="008D797E">
              <w:t>The use of different parametric functions to extrapolate OS in the proposed scenario versus the current scenario was not adequately justified and resulted in an extrapolated OS advantage that was not supported by the trial data (</w:t>
            </w:r>
            <w:r w:rsidR="004A6914" w:rsidRPr="008D797E">
              <w:t>para</w:t>
            </w:r>
            <w:r w:rsidRPr="008D797E">
              <w:t xml:space="preserve"> 7.15, March 2020 PSD).</w:t>
            </w:r>
          </w:p>
        </w:tc>
        <w:tc>
          <w:tcPr>
            <w:tcW w:w="2032" w:type="pct"/>
            <w:vAlign w:val="center"/>
          </w:tcPr>
          <w:p w:rsidR="004E00DB" w:rsidRPr="008D797E" w:rsidRDefault="004E00DB" w:rsidP="00E47A6A">
            <w:pPr>
              <w:jc w:val="left"/>
              <w:rPr>
                <w:rFonts w:ascii="Arial Narrow" w:eastAsiaTheme="majorEastAsia" w:hAnsi="Arial Narrow" w:cstheme="majorBidi"/>
                <w:bCs/>
                <w:sz w:val="20"/>
              </w:rPr>
            </w:pPr>
            <w:r w:rsidRPr="008D797E">
              <w:rPr>
                <w:rFonts w:ascii="Arial Narrow" w:eastAsiaTheme="majorEastAsia" w:hAnsi="Arial Narrow" w:cstheme="majorBidi"/>
                <w:bCs/>
                <w:sz w:val="20"/>
              </w:rPr>
              <w:t>The gamma parametric function was used to extrapolate OS in both the proposed and the current scenario.</w:t>
            </w:r>
          </w:p>
        </w:tc>
      </w:tr>
      <w:tr w:rsidR="004E00DB" w:rsidRPr="008D797E" w:rsidTr="00E47A6A">
        <w:trPr>
          <w:cantSplit/>
        </w:trPr>
        <w:tc>
          <w:tcPr>
            <w:tcW w:w="934" w:type="pct"/>
            <w:tcBorders>
              <w:bottom w:val="nil"/>
            </w:tcBorders>
          </w:tcPr>
          <w:p w:rsidR="004E00DB" w:rsidRPr="008D797E" w:rsidRDefault="004E00DB" w:rsidP="00E47A6A">
            <w:pPr>
              <w:pStyle w:val="TableText0"/>
              <w:keepNext w:val="0"/>
            </w:pPr>
          </w:p>
        </w:tc>
        <w:tc>
          <w:tcPr>
            <w:tcW w:w="2034" w:type="pct"/>
          </w:tcPr>
          <w:p w:rsidR="004E00DB" w:rsidRPr="008D797E" w:rsidRDefault="004E00DB" w:rsidP="00E47A6A">
            <w:pPr>
              <w:pStyle w:val="TableText0"/>
              <w:keepNext w:val="0"/>
            </w:pPr>
            <w:r w:rsidRPr="008D797E">
              <w:t>In the absence of a statistically significant OS benefit, the economic model in any resubmission would need to be based on conservative assumptions regarding the magnitude of any modelled OS gains (</w:t>
            </w:r>
            <w:r w:rsidR="004A6914" w:rsidRPr="008D797E">
              <w:t>para</w:t>
            </w:r>
            <w:r w:rsidRPr="008D797E">
              <w:t xml:space="preserve"> 7.22, March 2020 PSD)</w:t>
            </w:r>
          </w:p>
        </w:tc>
        <w:tc>
          <w:tcPr>
            <w:tcW w:w="2032" w:type="pct"/>
            <w:vAlign w:val="center"/>
          </w:tcPr>
          <w:p w:rsidR="004E00DB" w:rsidRPr="008D797E" w:rsidRDefault="004E00DB" w:rsidP="00E47A6A">
            <w:pPr>
              <w:jc w:val="left"/>
              <w:rPr>
                <w:rFonts w:ascii="Arial Narrow" w:eastAsiaTheme="majorEastAsia" w:hAnsi="Arial Narrow" w:cstheme="majorBidi"/>
                <w:bCs/>
                <w:sz w:val="20"/>
              </w:rPr>
            </w:pPr>
            <w:r w:rsidRPr="008D797E">
              <w:rPr>
                <w:rFonts w:ascii="Arial Narrow" w:eastAsiaTheme="majorEastAsia" w:hAnsi="Arial Narrow" w:cstheme="majorBidi"/>
                <w:bCs/>
                <w:sz w:val="20"/>
              </w:rPr>
              <w:t>Not adequately addressed. The use of the gamma function was less conservative than using either the log-logistic function or the Weibull function to extrapolate OS in both the proposed and current scenarios.</w:t>
            </w:r>
          </w:p>
        </w:tc>
      </w:tr>
      <w:tr w:rsidR="004E00DB" w:rsidRPr="008D797E" w:rsidTr="00E47A6A">
        <w:trPr>
          <w:cantSplit/>
        </w:trPr>
        <w:tc>
          <w:tcPr>
            <w:tcW w:w="934" w:type="pct"/>
            <w:tcBorders>
              <w:bottom w:val="single" w:sz="4" w:space="0" w:color="auto"/>
            </w:tcBorders>
          </w:tcPr>
          <w:p w:rsidR="004E00DB" w:rsidRPr="008D797E" w:rsidRDefault="004E00DB" w:rsidP="00E47A6A">
            <w:pPr>
              <w:pStyle w:val="TableText0"/>
              <w:keepNext w:val="0"/>
            </w:pPr>
            <w:r w:rsidRPr="008D797E">
              <w:t>Utility values</w:t>
            </w:r>
          </w:p>
        </w:tc>
        <w:tc>
          <w:tcPr>
            <w:tcW w:w="2034" w:type="pct"/>
            <w:tcBorders>
              <w:bottom w:val="single" w:sz="4" w:space="0" w:color="auto"/>
            </w:tcBorders>
          </w:tcPr>
          <w:p w:rsidR="004E00DB" w:rsidRPr="008D797E" w:rsidRDefault="004E00DB" w:rsidP="00E47A6A">
            <w:pPr>
              <w:pStyle w:val="TableText0"/>
              <w:keepNext w:val="0"/>
            </w:pPr>
            <w:r w:rsidRPr="008D797E">
              <w:t>The rationale for the approaches used to estimate the utility values were not adequately justified and the utility values were not conservative compared with those used in other economic evaluations of advanced breast cancer (</w:t>
            </w:r>
            <w:r w:rsidR="004A6914" w:rsidRPr="008D797E">
              <w:t>para</w:t>
            </w:r>
            <w:r w:rsidRPr="008D797E">
              <w:t xml:space="preserve"> 7.17, March 2020 PSD).</w:t>
            </w:r>
          </w:p>
        </w:tc>
        <w:tc>
          <w:tcPr>
            <w:tcW w:w="2032" w:type="pct"/>
            <w:tcBorders>
              <w:bottom w:val="single" w:sz="4" w:space="0" w:color="auto"/>
            </w:tcBorders>
            <w:vAlign w:val="center"/>
          </w:tcPr>
          <w:p w:rsidR="004E00DB" w:rsidRPr="008D797E" w:rsidRDefault="004E00DB" w:rsidP="00E47A6A">
            <w:pPr>
              <w:jc w:val="left"/>
              <w:rPr>
                <w:rFonts w:ascii="Arial Narrow" w:eastAsiaTheme="majorEastAsia" w:hAnsi="Arial Narrow" w:cstheme="majorBidi"/>
                <w:bCs/>
                <w:sz w:val="20"/>
              </w:rPr>
            </w:pPr>
            <w:r w:rsidRPr="008D797E">
              <w:rPr>
                <w:rFonts w:ascii="Arial Narrow" w:eastAsiaTheme="majorEastAsia" w:hAnsi="Arial Narrow" w:cstheme="majorBidi"/>
                <w:bCs/>
                <w:sz w:val="20"/>
              </w:rPr>
              <w:t>Addressed. Utilities were mapped form the trial EQ-5D-5L data using an Australian scoring algorithm (Norman 2012)</w:t>
            </w:r>
            <w:r w:rsidRPr="008D797E">
              <w:rPr>
                <w:rFonts w:ascii="Arial Narrow" w:eastAsiaTheme="majorEastAsia" w:hAnsi="Arial Narrow" w:cstheme="majorBidi"/>
                <w:bCs/>
                <w:sz w:val="20"/>
                <w:vertAlign w:val="superscript"/>
              </w:rPr>
              <w:t>a</w:t>
            </w:r>
            <w:r w:rsidRPr="008D797E">
              <w:rPr>
                <w:rFonts w:ascii="Arial Narrow" w:eastAsiaTheme="majorEastAsia" w:hAnsi="Arial Narrow" w:cstheme="majorBidi"/>
                <w:bCs/>
                <w:sz w:val="20"/>
              </w:rPr>
              <w:t>. The utility applied in the progressive disease state was more consistent with those previously considered reasonable by the PBAC</w:t>
            </w:r>
            <w:r w:rsidRPr="008D797E">
              <w:rPr>
                <w:rFonts w:ascii="Arial Narrow" w:eastAsiaTheme="majorEastAsia" w:hAnsi="Arial Narrow" w:cstheme="majorBidi"/>
                <w:bCs/>
                <w:sz w:val="20"/>
                <w:vertAlign w:val="superscript"/>
              </w:rPr>
              <w:t xml:space="preserve">b </w:t>
            </w:r>
            <w:r w:rsidRPr="008D797E">
              <w:rPr>
                <w:rFonts w:ascii="Arial Narrow" w:eastAsiaTheme="majorEastAsia" w:hAnsi="Arial Narrow" w:cstheme="majorBidi"/>
                <w:bCs/>
                <w:sz w:val="20"/>
              </w:rPr>
              <w:t>and used in other economic evaluations of advanced breast cancer.</w:t>
            </w:r>
          </w:p>
        </w:tc>
      </w:tr>
      <w:tr w:rsidR="004E00DB" w:rsidRPr="008D797E" w:rsidTr="00E47A6A">
        <w:trPr>
          <w:cantSplit/>
        </w:trPr>
        <w:tc>
          <w:tcPr>
            <w:tcW w:w="934" w:type="pct"/>
          </w:tcPr>
          <w:p w:rsidR="004E00DB" w:rsidRPr="008D797E" w:rsidRDefault="004E00DB" w:rsidP="00E47A6A">
            <w:pPr>
              <w:pStyle w:val="TableText0"/>
              <w:keepNext w:val="0"/>
            </w:pPr>
            <w:r w:rsidRPr="008D797E">
              <w:t>Doses of ATZ and nab-P (Section 3 and 4)</w:t>
            </w:r>
          </w:p>
        </w:tc>
        <w:tc>
          <w:tcPr>
            <w:tcW w:w="2034" w:type="pct"/>
          </w:tcPr>
          <w:p w:rsidR="004E00DB" w:rsidRPr="008D797E" w:rsidRDefault="004E00DB" w:rsidP="00E47A6A">
            <w:pPr>
              <w:pStyle w:val="TableText0"/>
              <w:keepNext w:val="0"/>
            </w:pPr>
            <w:r w:rsidRPr="008D797E">
              <w:t xml:space="preserve">DUSC considered that number of doses of ATZ and nab-P were overestimated. The pre-PBAC response proposed a RSA with an episode cap of </w:t>
            </w:r>
            <w:r w:rsidR="006470F1">
              <w:rPr>
                <w:noProof/>
                <w:color w:val="000000"/>
                <w:highlight w:val="black"/>
              </w:rPr>
              <w:t xml:space="preserve">'''''' </w:t>
            </w:r>
            <w:r w:rsidRPr="00351914">
              <w:t>doses</w:t>
            </w:r>
            <w:r w:rsidRPr="008D797E">
              <w:t xml:space="preserve"> per patient treated with ATZ. 20 doses was considered more reasonable than the average of 27.4 administrations assumed in the submission (</w:t>
            </w:r>
            <w:r w:rsidR="004A6914" w:rsidRPr="008D797E">
              <w:t>para</w:t>
            </w:r>
            <w:r w:rsidRPr="008D797E">
              <w:t xml:space="preserve"> 7.21, March 2020 PSD).</w:t>
            </w:r>
          </w:p>
        </w:tc>
        <w:tc>
          <w:tcPr>
            <w:tcW w:w="2032" w:type="pct"/>
            <w:vAlign w:val="center"/>
          </w:tcPr>
          <w:p w:rsidR="004E00DB" w:rsidRPr="008D797E" w:rsidRDefault="004E00DB" w:rsidP="00E47A6A">
            <w:pPr>
              <w:jc w:val="left"/>
              <w:rPr>
                <w:rFonts w:ascii="Arial Narrow" w:eastAsiaTheme="majorEastAsia" w:hAnsi="Arial Narrow" w:cstheme="majorBidi"/>
                <w:bCs/>
                <w:sz w:val="20"/>
              </w:rPr>
            </w:pPr>
            <w:r w:rsidRPr="008D797E">
              <w:rPr>
                <w:rFonts w:ascii="Arial Narrow" w:eastAsiaTheme="majorEastAsia" w:hAnsi="Arial Narrow" w:cstheme="majorBidi"/>
                <w:bCs/>
                <w:sz w:val="20"/>
              </w:rPr>
              <w:t xml:space="preserve">Addressed. Section 3 and 4 of the resubmission assumed a mean of </w:t>
            </w:r>
            <w:r w:rsidR="006470F1">
              <w:rPr>
                <w:rFonts w:ascii="Arial Narrow" w:eastAsiaTheme="majorEastAsia" w:hAnsi="Arial Narrow" w:cstheme="majorBidi"/>
                <w:bCs/>
                <w:noProof/>
                <w:color w:val="000000"/>
                <w:sz w:val="20"/>
                <w:highlight w:val="black"/>
              </w:rPr>
              <w:t xml:space="preserve">''''''' </w:t>
            </w:r>
            <w:r w:rsidRPr="00351914">
              <w:rPr>
                <w:rFonts w:ascii="Arial Narrow" w:eastAsiaTheme="majorEastAsia" w:hAnsi="Arial Narrow" w:cstheme="majorBidi"/>
                <w:bCs/>
                <w:sz w:val="20"/>
              </w:rPr>
              <w:t>doses</w:t>
            </w:r>
            <w:r w:rsidRPr="008D797E">
              <w:rPr>
                <w:rFonts w:ascii="Arial Narrow" w:eastAsiaTheme="majorEastAsia" w:hAnsi="Arial Narrow" w:cstheme="majorBidi"/>
                <w:bCs/>
                <w:sz w:val="20"/>
              </w:rPr>
              <w:t xml:space="preserve"> of ATZ per patient and the number of doses of nab-P was limited to 10, as suggested by the DUSC. While this issue was addressed, the application of the proposed RSA in the economic evaluation was not appropriate.</w:t>
            </w:r>
          </w:p>
        </w:tc>
      </w:tr>
      <w:tr w:rsidR="004E00DB" w:rsidRPr="008D797E" w:rsidTr="00E47A6A">
        <w:trPr>
          <w:cantSplit/>
        </w:trPr>
        <w:tc>
          <w:tcPr>
            <w:tcW w:w="934" w:type="pct"/>
            <w:tcBorders>
              <w:right w:val="nil"/>
            </w:tcBorders>
          </w:tcPr>
          <w:p w:rsidR="004E00DB" w:rsidRPr="008D797E" w:rsidRDefault="004E00DB" w:rsidP="00E47A6A">
            <w:pPr>
              <w:pStyle w:val="TableText0"/>
              <w:keepNext w:val="0"/>
            </w:pPr>
            <w:r w:rsidRPr="008D797E">
              <w:t>Financial estimates</w:t>
            </w:r>
          </w:p>
        </w:tc>
        <w:tc>
          <w:tcPr>
            <w:tcW w:w="2034" w:type="pct"/>
            <w:tcBorders>
              <w:left w:val="nil"/>
              <w:right w:val="nil"/>
            </w:tcBorders>
          </w:tcPr>
          <w:p w:rsidR="004E00DB" w:rsidRPr="008D797E" w:rsidRDefault="004E00DB" w:rsidP="00E47A6A">
            <w:pPr>
              <w:pStyle w:val="TableText0"/>
              <w:keepNext w:val="0"/>
            </w:pPr>
          </w:p>
        </w:tc>
        <w:tc>
          <w:tcPr>
            <w:tcW w:w="2032" w:type="pct"/>
            <w:tcBorders>
              <w:left w:val="nil"/>
            </w:tcBorders>
            <w:vAlign w:val="center"/>
          </w:tcPr>
          <w:p w:rsidR="004E00DB" w:rsidRPr="008D797E" w:rsidRDefault="004E00DB" w:rsidP="00E47A6A">
            <w:pPr>
              <w:jc w:val="left"/>
              <w:rPr>
                <w:rFonts w:ascii="Arial Narrow" w:eastAsiaTheme="majorEastAsia" w:hAnsi="Arial Narrow" w:cstheme="majorBidi"/>
                <w:bCs/>
                <w:sz w:val="20"/>
              </w:rPr>
            </w:pPr>
          </w:p>
        </w:tc>
      </w:tr>
      <w:tr w:rsidR="004E00DB" w:rsidRPr="008D797E" w:rsidTr="00E47A6A">
        <w:trPr>
          <w:cantSplit/>
        </w:trPr>
        <w:tc>
          <w:tcPr>
            <w:tcW w:w="934" w:type="pct"/>
          </w:tcPr>
          <w:p w:rsidR="004E00DB" w:rsidRPr="008D797E" w:rsidRDefault="004E00DB" w:rsidP="00E47A6A">
            <w:pPr>
              <w:pStyle w:val="TableText0"/>
              <w:keepNext w:val="0"/>
            </w:pPr>
            <w:r w:rsidRPr="008D797E">
              <w:t>Patient numbers</w:t>
            </w:r>
          </w:p>
        </w:tc>
        <w:tc>
          <w:tcPr>
            <w:tcW w:w="2034" w:type="pct"/>
          </w:tcPr>
          <w:p w:rsidR="004E00DB" w:rsidRPr="008D797E" w:rsidRDefault="004E00DB" w:rsidP="00DC0A0E">
            <w:pPr>
              <w:pStyle w:val="TableText0"/>
              <w:keepNext w:val="0"/>
            </w:pPr>
            <w:r w:rsidRPr="008D797E">
              <w:t xml:space="preserve">The DUSC considered the financial estimates in the submission to be considerably underestimated. </w:t>
            </w:r>
          </w:p>
        </w:tc>
        <w:tc>
          <w:tcPr>
            <w:tcW w:w="2032" w:type="pct"/>
            <w:vAlign w:val="center"/>
          </w:tcPr>
          <w:p w:rsidR="004E00DB" w:rsidRPr="008D797E" w:rsidRDefault="00DC0A0E" w:rsidP="00E47A6A">
            <w:pPr>
              <w:jc w:val="left"/>
              <w:rPr>
                <w:rFonts w:ascii="Arial Narrow" w:eastAsiaTheme="majorEastAsia" w:hAnsi="Arial Narrow" w:cstheme="majorBidi"/>
                <w:bCs/>
                <w:sz w:val="20"/>
              </w:rPr>
            </w:pPr>
            <w:r w:rsidRPr="008D797E">
              <w:rPr>
                <w:rFonts w:ascii="Arial Narrow" w:eastAsiaTheme="majorEastAsia" w:hAnsi="Arial Narrow" w:cstheme="majorBidi"/>
                <w:bCs/>
                <w:sz w:val="20"/>
              </w:rPr>
              <w:t>The resubmission attempted to address DUSC concerns by updating inputs for the estimate of the number of patients diagnosed at earlier stages of TNBC who then progress to mTNBC, and for the estimate of the proportion of patients who elect to have the PD-L1 tests. The updated estimate of the number of patients diagnosed at earlier stages of TNBC who then progress to mTNBC remain</w:t>
            </w:r>
            <w:r w:rsidR="00FD6B42" w:rsidRPr="008D797E">
              <w:rPr>
                <w:rFonts w:ascii="Arial Narrow" w:eastAsiaTheme="majorEastAsia" w:hAnsi="Arial Narrow" w:cstheme="majorBidi"/>
                <w:bCs/>
                <w:sz w:val="20"/>
              </w:rPr>
              <w:t>s</w:t>
            </w:r>
            <w:r w:rsidRPr="008D797E">
              <w:rPr>
                <w:rFonts w:ascii="Arial Narrow" w:eastAsiaTheme="majorEastAsia" w:hAnsi="Arial Narrow" w:cstheme="majorBidi"/>
                <w:bCs/>
                <w:sz w:val="20"/>
              </w:rPr>
              <w:t xml:space="preserve"> uncertain</w:t>
            </w:r>
            <w:r w:rsidR="00EC2754" w:rsidRPr="008D797E">
              <w:rPr>
                <w:rFonts w:ascii="Arial Narrow" w:eastAsiaTheme="majorEastAsia" w:hAnsi="Arial Narrow" w:cstheme="majorBidi"/>
                <w:bCs/>
                <w:sz w:val="20"/>
              </w:rPr>
              <w:t>.</w:t>
            </w:r>
          </w:p>
        </w:tc>
      </w:tr>
    </w:tbl>
    <w:p w:rsidR="004E00DB" w:rsidRPr="008D797E" w:rsidRDefault="004E00DB" w:rsidP="004E00DB">
      <w:pPr>
        <w:spacing w:after="120"/>
        <w:contextualSpacing/>
        <w:rPr>
          <w:rFonts w:ascii="Arial Narrow" w:hAnsi="Arial Narrow"/>
          <w:snapToGrid w:val="0"/>
          <w:sz w:val="18"/>
          <w:szCs w:val="22"/>
        </w:rPr>
      </w:pPr>
      <w:r w:rsidRPr="008D797E">
        <w:rPr>
          <w:rFonts w:ascii="Arial Narrow" w:hAnsi="Arial Narrow"/>
          <w:snapToGrid w:val="0"/>
          <w:sz w:val="18"/>
          <w:szCs w:val="22"/>
        </w:rPr>
        <w:t>Source: Table 1.4, pp7-9 of the resubmission; Atezo</w:t>
      </w:r>
      <w:r w:rsidR="00F05BAF" w:rsidRPr="008D797E">
        <w:rPr>
          <w:rFonts w:ascii="Arial Narrow" w:hAnsi="Arial Narrow"/>
          <w:snapToGrid w:val="0"/>
          <w:sz w:val="18"/>
          <w:szCs w:val="22"/>
        </w:rPr>
        <w:t>lizumab</w:t>
      </w:r>
      <w:r w:rsidRPr="008D797E">
        <w:rPr>
          <w:rFonts w:ascii="Arial Narrow" w:hAnsi="Arial Narrow"/>
          <w:snapToGrid w:val="0"/>
          <w:sz w:val="18"/>
          <w:szCs w:val="22"/>
        </w:rPr>
        <w:t xml:space="preserve"> TNBC MSAC_PBAC Streamline Codependent Submission; 6.01, </w:t>
      </w:r>
      <w:r w:rsidR="00AC1010" w:rsidRPr="008D797E">
        <w:rPr>
          <w:rFonts w:ascii="Arial Narrow" w:hAnsi="Arial Narrow"/>
          <w:snapToGrid w:val="0"/>
          <w:sz w:val="18"/>
          <w:szCs w:val="22"/>
        </w:rPr>
        <w:t>atezolizumab PSD</w:t>
      </w:r>
      <w:r w:rsidRPr="008D797E">
        <w:rPr>
          <w:rFonts w:ascii="Arial Narrow" w:hAnsi="Arial Narrow"/>
          <w:snapToGrid w:val="0"/>
          <w:sz w:val="18"/>
          <w:szCs w:val="22"/>
        </w:rPr>
        <w:t>, March 2020 PBAC meeting.</w:t>
      </w:r>
    </w:p>
    <w:p w:rsidR="004E00DB" w:rsidRPr="008D797E" w:rsidRDefault="004E00DB" w:rsidP="004E00DB">
      <w:pPr>
        <w:spacing w:after="120"/>
        <w:contextualSpacing/>
        <w:rPr>
          <w:rFonts w:ascii="Arial Narrow" w:hAnsi="Arial Narrow"/>
          <w:snapToGrid w:val="0"/>
          <w:sz w:val="18"/>
          <w:szCs w:val="22"/>
        </w:rPr>
      </w:pPr>
      <w:r w:rsidRPr="008D797E">
        <w:rPr>
          <w:rFonts w:ascii="Arial Narrow" w:hAnsi="Arial Narrow"/>
          <w:snapToGrid w:val="0"/>
          <w:sz w:val="18"/>
          <w:szCs w:val="22"/>
        </w:rPr>
        <w:lastRenderedPageBreak/>
        <w:t>ATZ = atezolizumab; EQ-5D-5L = European Quality of Life 5 dimensions 5 level questionnaire; IHC = immunohistochemistry; mTNBC = metastatic triple negative breast cancer; nab-P = nanoparticle albumin-bound paclitaxel; OS = overall survival; PD-L1 = programmed cell death ligand 1; PFS = progression free survival; PSCR = Pre-Sub-Committee Response; PSD = Public Summary Document; RSA = risk sharing arrangement</w:t>
      </w:r>
      <w:r w:rsidR="001F0792" w:rsidRPr="008D797E">
        <w:rPr>
          <w:rFonts w:ascii="Arial Narrow" w:hAnsi="Arial Narrow"/>
          <w:snapToGrid w:val="0"/>
          <w:sz w:val="18"/>
          <w:szCs w:val="22"/>
        </w:rPr>
        <w:t>.</w:t>
      </w:r>
    </w:p>
    <w:p w:rsidR="004E00DB" w:rsidRPr="008D797E" w:rsidRDefault="004E00DB" w:rsidP="004E00DB">
      <w:pPr>
        <w:spacing w:after="120"/>
        <w:ind w:left="142" w:hanging="142"/>
        <w:contextualSpacing/>
        <w:rPr>
          <w:rFonts w:ascii="Arial Narrow" w:hAnsi="Arial Narrow"/>
          <w:snapToGrid w:val="0"/>
          <w:sz w:val="18"/>
          <w:szCs w:val="22"/>
        </w:rPr>
      </w:pPr>
      <w:r w:rsidRPr="008D797E">
        <w:rPr>
          <w:rFonts w:ascii="Arial Narrow" w:hAnsi="Arial Narrow"/>
          <w:snapToGrid w:val="0"/>
          <w:sz w:val="18"/>
          <w:szCs w:val="22"/>
          <w:vertAlign w:val="superscript"/>
        </w:rPr>
        <w:t>a</w:t>
      </w:r>
      <w:r w:rsidRPr="008D797E">
        <w:rPr>
          <w:rFonts w:ascii="Arial Narrow" w:hAnsi="Arial Narrow"/>
          <w:snapToGrid w:val="0"/>
          <w:sz w:val="18"/>
          <w:szCs w:val="22"/>
        </w:rPr>
        <w:t> </w:t>
      </w:r>
      <w:r w:rsidRPr="008D797E">
        <w:rPr>
          <w:rStyle w:val="TableFigureFooterChar"/>
        </w:rPr>
        <w:t>Norman R, Cronin P, et al. Deriving utility weights for the EQ-5D-5L using a discrete choice experiment. Sydney: Centre for Health Economics Research and Evaluation (CHERE), University of Technology Sydney. 2012.</w:t>
      </w:r>
    </w:p>
    <w:p w:rsidR="004E00DB" w:rsidRPr="008D797E" w:rsidRDefault="004E00DB" w:rsidP="004E00DB">
      <w:pPr>
        <w:spacing w:after="120"/>
        <w:ind w:left="142" w:hanging="142"/>
        <w:contextualSpacing/>
        <w:rPr>
          <w:rStyle w:val="TableFigureFooterChar"/>
        </w:rPr>
      </w:pPr>
      <w:r w:rsidRPr="008D797E">
        <w:rPr>
          <w:rFonts w:ascii="Arial Narrow" w:hAnsi="Arial Narrow"/>
          <w:snapToGrid w:val="0"/>
          <w:sz w:val="18"/>
          <w:szCs w:val="22"/>
          <w:vertAlign w:val="superscript"/>
        </w:rPr>
        <w:t xml:space="preserve">b </w:t>
      </w:r>
      <w:r w:rsidRPr="008D797E">
        <w:rPr>
          <w:rFonts w:ascii="Arial Narrow" w:hAnsi="Arial Narrow"/>
          <w:snapToGrid w:val="0"/>
          <w:sz w:val="18"/>
          <w:szCs w:val="22"/>
        </w:rPr>
        <w:t>The resubmission applied a utility value of 0.583 in the progression state. This compares with a utility value of 0.555 used in the post-progression disease state in the November 2014 submission to PBAC for pertuzumab and trastuzumab (</w:t>
      </w:r>
      <w:r w:rsidR="006373D1" w:rsidRPr="008D797E">
        <w:rPr>
          <w:rFonts w:ascii="Arial Narrow" w:hAnsi="Arial Narrow"/>
          <w:snapToGrid w:val="0"/>
          <w:sz w:val="18"/>
          <w:szCs w:val="22"/>
        </w:rPr>
        <w:t>p</w:t>
      </w:r>
      <w:r w:rsidRPr="008D797E">
        <w:rPr>
          <w:rFonts w:ascii="Arial Narrow" w:hAnsi="Arial Narrow"/>
          <w:snapToGrid w:val="0"/>
          <w:sz w:val="18"/>
          <w:szCs w:val="22"/>
        </w:rPr>
        <w:t>aragraph</w:t>
      </w:r>
      <w:r w:rsidRPr="008D797E">
        <w:rPr>
          <w:rStyle w:val="TableFigureFooterChar"/>
        </w:rPr>
        <w:t xml:space="preserve"> 6.50, pertuzumab and trastuzumab, PSD, November 2014 PBAC meeting).</w:t>
      </w:r>
    </w:p>
    <w:p w:rsidR="007B3A84" w:rsidRPr="008D797E" w:rsidRDefault="007B3A84" w:rsidP="004E00DB">
      <w:pPr>
        <w:spacing w:after="120"/>
        <w:ind w:left="142" w:hanging="142"/>
        <w:contextualSpacing/>
        <w:rPr>
          <w:rStyle w:val="TableFigureFooterChar"/>
        </w:rPr>
      </w:pPr>
    </w:p>
    <w:p w:rsidR="007B3A84" w:rsidRPr="008D797E" w:rsidRDefault="007B3A84" w:rsidP="007B3A84">
      <w:pPr>
        <w:rPr>
          <w:rFonts w:asciiTheme="minorHAnsi" w:hAnsiTheme="minorHAnsi"/>
          <w:i/>
        </w:rPr>
      </w:pPr>
      <w:r w:rsidRPr="006E5C4D">
        <w:rPr>
          <w:rFonts w:asciiTheme="minorHAnsi" w:hAnsiTheme="minorHAnsi"/>
          <w:i/>
        </w:rPr>
        <w:t>For more detail on PBAC’s view, see section 7 PBAC outcome.</w:t>
      </w:r>
    </w:p>
    <w:p w:rsidR="00A74C01" w:rsidRDefault="00A74C01">
      <w:pPr>
        <w:jc w:val="left"/>
        <w:rPr>
          <w:rFonts w:ascii="Arial Narrow" w:hAnsi="Arial Narrow"/>
          <w:snapToGrid w:val="0"/>
          <w:sz w:val="18"/>
          <w:szCs w:val="22"/>
        </w:rPr>
      </w:pPr>
      <w:r>
        <w:rPr>
          <w:rFonts w:ascii="Arial Narrow" w:hAnsi="Arial Narrow"/>
          <w:snapToGrid w:val="0"/>
          <w:sz w:val="18"/>
          <w:szCs w:val="22"/>
        </w:rPr>
        <w:br w:type="page"/>
      </w:r>
    </w:p>
    <w:p w:rsidR="004E00DB" w:rsidRPr="008D797E" w:rsidRDefault="004E00DB" w:rsidP="004E00DB">
      <w:pPr>
        <w:pStyle w:val="2-SectionHeading"/>
      </w:pPr>
      <w:bookmarkStart w:id="10" w:name="_Toc61964994"/>
      <w:r w:rsidRPr="008D797E">
        <w:lastRenderedPageBreak/>
        <w:t>Requested listing</w:t>
      </w:r>
      <w:bookmarkEnd w:id="10"/>
    </w:p>
    <w:p w:rsidR="004E00DB" w:rsidRPr="008D797E" w:rsidRDefault="004E00DB" w:rsidP="004E00DB"/>
    <w:tbl>
      <w:tblPr>
        <w:tblW w:w="5000" w:type="pct"/>
        <w:tblCellMar>
          <w:left w:w="28" w:type="dxa"/>
          <w:right w:w="28" w:type="dxa"/>
        </w:tblCellMar>
        <w:tblLook w:val="0000" w:firstRow="0" w:lastRow="0" w:firstColumn="0" w:lastColumn="0" w:noHBand="0" w:noVBand="0"/>
      </w:tblPr>
      <w:tblGrid>
        <w:gridCol w:w="2240"/>
        <w:gridCol w:w="67"/>
        <w:gridCol w:w="1047"/>
        <w:gridCol w:w="1289"/>
        <w:gridCol w:w="1897"/>
        <w:gridCol w:w="1116"/>
        <w:gridCol w:w="1370"/>
      </w:tblGrid>
      <w:tr w:rsidR="004E00DB" w:rsidRPr="008D797E" w:rsidTr="00E47A6A">
        <w:trPr>
          <w:cantSplit/>
          <w:trHeight w:val="463"/>
        </w:trPr>
        <w:tc>
          <w:tcPr>
            <w:tcW w:w="1278" w:type="pct"/>
            <w:gridSpan w:val="2"/>
            <w:tcBorders>
              <w:top w:val="single" w:sz="4" w:space="0" w:color="auto"/>
              <w:bottom w:val="single" w:sz="4" w:space="0" w:color="auto"/>
            </w:tcBorders>
            <w:vAlign w:val="center"/>
          </w:tcPr>
          <w:p w:rsidR="004E00DB" w:rsidRPr="008D797E" w:rsidRDefault="004E00DB" w:rsidP="00E47A6A">
            <w:pPr>
              <w:keepNext/>
              <w:jc w:val="left"/>
              <w:rPr>
                <w:rFonts w:ascii="Arial Narrow" w:hAnsi="Arial Narrow"/>
                <w:b/>
                <w:sz w:val="20"/>
              </w:rPr>
            </w:pPr>
            <w:r w:rsidRPr="008D797E">
              <w:rPr>
                <w:rFonts w:ascii="Arial Narrow" w:hAnsi="Arial Narrow"/>
                <w:b/>
                <w:sz w:val="20"/>
              </w:rPr>
              <w:t>Name, Restriction,</w:t>
            </w:r>
          </w:p>
          <w:p w:rsidR="004E00DB" w:rsidRPr="008D797E" w:rsidRDefault="004E00DB" w:rsidP="00E47A6A">
            <w:pPr>
              <w:keepNext/>
              <w:jc w:val="left"/>
              <w:rPr>
                <w:rFonts w:ascii="Arial Narrow" w:hAnsi="Arial Narrow"/>
                <w:b/>
                <w:sz w:val="20"/>
              </w:rPr>
            </w:pPr>
            <w:r w:rsidRPr="008D797E">
              <w:rPr>
                <w:rFonts w:ascii="Arial Narrow" w:hAnsi="Arial Narrow"/>
                <w:b/>
                <w:sz w:val="20"/>
              </w:rPr>
              <w:t>Manner of administration and form</w:t>
            </w:r>
          </w:p>
        </w:tc>
        <w:tc>
          <w:tcPr>
            <w:tcW w:w="580" w:type="pct"/>
            <w:tcBorders>
              <w:top w:val="single" w:sz="4" w:space="0" w:color="auto"/>
              <w:bottom w:val="single" w:sz="4" w:space="0" w:color="auto"/>
            </w:tcBorders>
            <w:vAlign w:val="center"/>
          </w:tcPr>
          <w:p w:rsidR="004E00DB" w:rsidRPr="008D797E" w:rsidRDefault="004E00DB" w:rsidP="00E47A6A">
            <w:pPr>
              <w:keepNext/>
              <w:jc w:val="center"/>
              <w:rPr>
                <w:rFonts w:ascii="Arial Narrow" w:hAnsi="Arial Narrow"/>
                <w:b/>
                <w:sz w:val="20"/>
              </w:rPr>
            </w:pPr>
            <w:r w:rsidRPr="008D797E">
              <w:rPr>
                <w:rFonts w:ascii="Arial Narrow" w:hAnsi="Arial Narrow"/>
                <w:b/>
                <w:sz w:val="20"/>
              </w:rPr>
              <w:t>Max.</w:t>
            </w:r>
          </w:p>
          <w:p w:rsidR="004E00DB" w:rsidRPr="008D797E" w:rsidRDefault="004E00DB" w:rsidP="00E47A6A">
            <w:pPr>
              <w:keepNext/>
              <w:jc w:val="center"/>
              <w:rPr>
                <w:rFonts w:ascii="Arial Narrow" w:hAnsi="Arial Narrow"/>
                <w:b/>
                <w:sz w:val="20"/>
              </w:rPr>
            </w:pPr>
            <w:r w:rsidRPr="008D797E">
              <w:rPr>
                <w:rFonts w:ascii="Arial Narrow" w:hAnsi="Arial Narrow"/>
                <w:b/>
                <w:sz w:val="20"/>
              </w:rPr>
              <w:t>Amt</w:t>
            </w:r>
          </w:p>
        </w:tc>
        <w:tc>
          <w:tcPr>
            <w:tcW w:w="714" w:type="pct"/>
            <w:tcBorders>
              <w:top w:val="single" w:sz="4" w:space="0" w:color="auto"/>
              <w:bottom w:val="single" w:sz="4" w:space="0" w:color="auto"/>
            </w:tcBorders>
            <w:vAlign w:val="center"/>
          </w:tcPr>
          <w:p w:rsidR="004E00DB" w:rsidRPr="008D797E" w:rsidRDefault="004E00DB" w:rsidP="00E47A6A">
            <w:pPr>
              <w:keepNext/>
              <w:jc w:val="center"/>
              <w:rPr>
                <w:rFonts w:ascii="Arial Narrow" w:hAnsi="Arial Narrow"/>
                <w:b/>
                <w:sz w:val="20"/>
              </w:rPr>
            </w:pPr>
            <w:r w:rsidRPr="008D797E">
              <w:rPr>
                <w:rFonts w:ascii="Arial Narrow" w:hAnsi="Arial Narrow" w:cs="Times New Roman"/>
                <w:b/>
                <w:sz w:val="20"/>
              </w:rPr>
              <w:t>№</w:t>
            </w:r>
            <w:r w:rsidRPr="008D797E">
              <w:rPr>
                <w:rFonts w:ascii="Arial Narrow" w:hAnsi="Arial Narrow"/>
                <w:b/>
                <w:sz w:val="20"/>
              </w:rPr>
              <w:t>.of</w:t>
            </w:r>
          </w:p>
          <w:p w:rsidR="004E00DB" w:rsidRPr="008D797E" w:rsidRDefault="004E00DB" w:rsidP="00E47A6A">
            <w:pPr>
              <w:keepNext/>
              <w:jc w:val="center"/>
              <w:rPr>
                <w:rFonts w:ascii="Arial Narrow" w:hAnsi="Arial Narrow"/>
                <w:b/>
                <w:sz w:val="20"/>
              </w:rPr>
            </w:pPr>
            <w:r w:rsidRPr="008D797E">
              <w:rPr>
                <w:rFonts w:ascii="Arial Narrow" w:hAnsi="Arial Narrow"/>
                <w:b/>
                <w:sz w:val="20"/>
              </w:rPr>
              <w:t>Rpts</w:t>
            </w:r>
          </w:p>
        </w:tc>
        <w:tc>
          <w:tcPr>
            <w:tcW w:w="1051" w:type="pct"/>
            <w:tcBorders>
              <w:top w:val="single" w:sz="4" w:space="0" w:color="auto"/>
              <w:bottom w:val="single" w:sz="4" w:space="0" w:color="auto"/>
            </w:tcBorders>
            <w:vAlign w:val="center"/>
          </w:tcPr>
          <w:p w:rsidR="004E00DB" w:rsidRPr="008D797E" w:rsidRDefault="004E00DB" w:rsidP="00E47A6A">
            <w:pPr>
              <w:keepNext/>
              <w:jc w:val="center"/>
              <w:rPr>
                <w:rFonts w:ascii="Arial Narrow" w:hAnsi="Arial Narrow"/>
                <w:b/>
                <w:sz w:val="20"/>
              </w:rPr>
            </w:pPr>
            <w:r w:rsidRPr="008D797E">
              <w:rPr>
                <w:rFonts w:ascii="Arial Narrow" w:hAnsi="Arial Narrow"/>
                <w:b/>
                <w:sz w:val="20"/>
              </w:rPr>
              <w:t>Dispensed Price Max Amt</w:t>
            </w:r>
          </w:p>
        </w:tc>
        <w:tc>
          <w:tcPr>
            <w:tcW w:w="1377" w:type="pct"/>
            <w:gridSpan w:val="2"/>
            <w:tcBorders>
              <w:top w:val="single" w:sz="4" w:space="0" w:color="auto"/>
              <w:bottom w:val="single" w:sz="4" w:space="0" w:color="auto"/>
            </w:tcBorders>
            <w:vAlign w:val="center"/>
          </w:tcPr>
          <w:p w:rsidR="004E00DB" w:rsidRPr="006E5C4D" w:rsidRDefault="004E00DB" w:rsidP="00E47A6A">
            <w:pPr>
              <w:keepNext/>
              <w:jc w:val="center"/>
              <w:rPr>
                <w:rFonts w:ascii="Arial Narrow" w:hAnsi="Arial Narrow"/>
                <w:b/>
                <w:sz w:val="20"/>
              </w:rPr>
            </w:pPr>
            <w:r w:rsidRPr="008D797E">
              <w:rPr>
                <w:rFonts w:ascii="Arial Narrow" w:hAnsi="Arial Narrow"/>
                <w:b/>
                <w:sz w:val="20"/>
              </w:rPr>
              <w:t>Proprietary Name and Manufacturer</w:t>
            </w:r>
          </w:p>
        </w:tc>
      </w:tr>
      <w:tr w:rsidR="004E00DB" w:rsidRPr="008D797E" w:rsidTr="00E47A6A">
        <w:trPr>
          <w:cantSplit/>
          <w:trHeight w:val="567"/>
        </w:trPr>
        <w:tc>
          <w:tcPr>
            <w:tcW w:w="1278" w:type="pct"/>
            <w:gridSpan w:val="2"/>
            <w:vAlign w:val="center"/>
          </w:tcPr>
          <w:p w:rsidR="004E00DB" w:rsidRPr="008D797E" w:rsidRDefault="004E00DB" w:rsidP="00E47A6A">
            <w:pPr>
              <w:keepNext/>
              <w:jc w:val="left"/>
              <w:rPr>
                <w:rFonts w:ascii="Arial Narrow" w:hAnsi="Arial Narrow"/>
                <w:smallCaps/>
                <w:sz w:val="20"/>
              </w:rPr>
            </w:pPr>
            <w:r w:rsidRPr="008D797E">
              <w:rPr>
                <w:rFonts w:ascii="Arial Narrow" w:hAnsi="Arial Narrow"/>
                <w:smallCaps/>
                <w:sz w:val="20"/>
              </w:rPr>
              <w:t>Atezolizumab</w:t>
            </w:r>
          </w:p>
          <w:p w:rsidR="004E00DB" w:rsidRPr="008D797E" w:rsidRDefault="004E00DB" w:rsidP="00E47A6A">
            <w:pPr>
              <w:keepNext/>
              <w:jc w:val="left"/>
              <w:rPr>
                <w:rFonts w:ascii="Arial Narrow" w:hAnsi="Arial Narrow"/>
                <w:sz w:val="20"/>
              </w:rPr>
            </w:pPr>
            <w:r w:rsidRPr="008D797E">
              <w:rPr>
                <w:rFonts w:ascii="Arial Narrow" w:hAnsi="Arial Narrow"/>
                <w:sz w:val="20"/>
              </w:rPr>
              <w:t>Solution for IV infusion</w:t>
            </w:r>
            <w:r w:rsidRPr="008D797E">
              <w:rPr>
                <w:rFonts w:ascii="Arial Narrow" w:hAnsi="Arial Narrow"/>
                <w:sz w:val="20"/>
              </w:rPr>
              <w:br/>
              <w:t>840 mg in 14 mL vial</w:t>
            </w:r>
          </w:p>
        </w:tc>
        <w:tc>
          <w:tcPr>
            <w:tcW w:w="580" w:type="pct"/>
            <w:vAlign w:val="center"/>
          </w:tcPr>
          <w:p w:rsidR="004E00DB" w:rsidRPr="008D797E" w:rsidRDefault="004E00DB" w:rsidP="00E47A6A">
            <w:pPr>
              <w:keepNext/>
              <w:jc w:val="center"/>
              <w:rPr>
                <w:rFonts w:ascii="Arial Narrow" w:hAnsi="Arial Narrow"/>
                <w:sz w:val="20"/>
              </w:rPr>
            </w:pPr>
            <w:r w:rsidRPr="008D797E">
              <w:rPr>
                <w:rFonts w:ascii="Arial Narrow" w:hAnsi="Arial Narrow"/>
                <w:sz w:val="20"/>
              </w:rPr>
              <w:t>840 mg</w:t>
            </w:r>
          </w:p>
        </w:tc>
        <w:tc>
          <w:tcPr>
            <w:tcW w:w="714" w:type="pct"/>
            <w:vAlign w:val="center"/>
          </w:tcPr>
          <w:p w:rsidR="004E00DB" w:rsidRPr="008D797E" w:rsidRDefault="004E00DB" w:rsidP="00E47A6A">
            <w:pPr>
              <w:keepNext/>
              <w:jc w:val="center"/>
              <w:rPr>
                <w:rFonts w:ascii="Arial Narrow" w:hAnsi="Arial Narrow"/>
                <w:sz w:val="20"/>
              </w:rPr>
            </w:pPr>
            <w:r w:rsidRPr="008D797E">
              <w:rPr>
                <w:rFonts w:ascii="Arial Narrow" w:hAnsi="Arial Narrow"/>
                <w:sz w:val="20"/>
              </w:rPr>
              <w:t>5 (initial treatment)</w:t>
            </w:r>
            <w:r w:rsidRPr="008D797E">
              <w:rPr>
                <w:rFonts w:ascii="Arial Narrow" w:hAnsi="Arial Narrow"/>
                <w:sz w:val="20"/>
              </w:rPr>
              <w:br/>
              <w:t>11 (continuing treatment)</w:t>
            </w:r>
          </w:p>
        </w:tc>
        <w:tc>
          <w:tcPr>
            <w:tcW w:w="1051" w:type="pct"/>
            <w:vAlign w:val="center"/>
          </w:tcPr>
          <w:p w:rsidR="004E00DB" w:rsidRPr="008D797E" w:rsidRDefault="004E00DB" w:rsidP="00E47A6A">
            <w:pPr>
              <w:keepNext/>
              <w:jc w:val="center"/>
              <w:rPr>
                <w:rFonts w:ascii="Arial Narrow" w:hAnsi="Arial Narrow"/>
                <w:sz w:val="20"/>
                <w:vertAlign w:val="superscript"/>
              </w:rPr>
            </w:pPr>
            <w:r w:rsidRPr="008D797E">
              <w:rPr>
                <w:rFonts w:ascii="Arial Narrow" w:hAnsi="Arial Narrow"/>
                <w:sz w:val="20"/>
              </w:rPr>
              <w:t>Published price</w:t>
            </w:r>
          </w:p>
          <w:p w:rsidR="004E00DB" w:rsidRPr="008D797E" w:rsidRDefault="004E00DB" w:rsidP="00E47A6A">
            <w:pPr>
              <w:keepNext/>
              <w:jc w:val="center"/>
              <w:rPr>
                <w:rFonts w:ascii="Arial Narrow" w:hAnsi="Arial Narrow"/>
                <w:sz w:val="20"/>
              </w:rPr>
            </w:pPr>
            <w:r w:rsidRPr="008D797E">
              <w:rPr>
                <w:rFonts w:ascii="Arial Narrow" w:hAnsi="Arial Narrow"/>
                <w:sz w:val="20"/>
              </w:rPr>
              <w:t>$5,057.52</w:t>
            </w:r>
            <w:r w:rsidRPr="008D797E">
              <w:rPr>
                <w:rFonts w:ascii="Arial Narrow" w:hAnsi="Arial Narrow"/>
                <w:sz w:val="20"/>
                <w:vertAlign w:val="superscript"/>
              </w:rPr>
              <w:t>a</w:t>
            </w:r>
            <w:r w:rsidRPr="008D797E">
              <w:rPr>
                <w:rFonts w:ascii="Arial Narrow" w:hAnsi="Arial Narrow"/>
                <w:sz w:val="20"/>
              </w:rPr>
              <w:t xml:space="preserve"> (public)</w:t>
            </w:r>
          </w:p>
          <w:p w:rsidR="004E00DB" w:rsidRPr="008D797E" w:rsidRDefault="004E00DB" w:rsidP="00E47A6A">
            <w:pPr>
              <w:keepNext/>
              <w:jc w:val="center"/>
              <w:rPr>
                <w:rFonts w:ascii="Arial Narrow" w:hAnsi="Arial Narrow"/>
                <w:sz w:val="20"/>
              </w:rPr>
            </w:pPr>
            <w:r w:rsidRPr="008D797E">
              <w:rPr>
                <w:rFonts w:ascii="Arial Narrow" w:hAnsi="Arial Narrow"/>
                <w:sz w:val="20"/>
              </w:rPr>
              <w:t>$5,167.75</w:t>
            </w:r>
            <w:r w:rsidRPr="008D797E">
              <w:rPr>
                <w:rFonts w:ascii="Arial Narrow" w:hAnsi="Arial Narrow"/>
                <w:sz w:val="20"/>
                <w:vertAlign w:val="superscript"/>
              </w:rPr>
              <w:t>b</w:t>
            </w:r>
            <w:r w:rsidRPr="008D797E">
              <w:rPr>
                <w:rFonts w:ascii="Arial Narrow" w:hAnsi="Arial Narrow"/>
                <w:sz w:val="20"/>
              </w:rPr>
              <w:t xml:space="preserve"> (private)</w:t>
            </w:r>
          </w:p>
          <w:p w:rsidR="004E00DB" w:rsidRPr="008D797E" w:rsidRDefault="004E00DB" w:rsidP="00E47A6A">
            <w:pPr>
              <w:keepNext/>
              <w:jc w:val="center"/>
              <w:rPr>
                <w:rFonts w:ascii="Arial Narrow" w:hAnsi="Arial Narrow"/>
                <w:sz w:val="20"/>
              </w:rPr>
            </w:pPr>
          </w:p>
          <w:p w:rsidR="004E00DB" w:rsidRPr="008D797E" w:rsidRDefault="004E00DB" w:rsidP="00E47A6A">
            <w:pPr>
              <w:keepNext/>
              <w:jc w:val="center"/>
              <w:rPr>
                <w:rFonts w:ascii="Arial Narrow" w:hAnsi="Arial Narrow"/>
                <w:sz w:val="20"/>
                <w:vertAlign w:val="superscript"/>
              </w:rPr>
            </w:pPr>
            <w:r w:rsidRPr="008D797E">
              <w:rPr>
                <w:rFonts w:ascii="Arial Narrow" w:hAnsi="Arial Narrow"/>
                <w:sz w:val="20"/>
              </w:rPr>
              <w:t>Effective price</w:t>
            </w:r>
            <w:r w:rsidRPr="008D797E">
              <w:rPr>
                <w:rFonts w:ascii="Arial Narrow" w:hAnsi="Arial Narrow"/>
                <w:sz w:val="20"/>
                <w:vertAlign w:val="superscript"/>
              </w:rPr>
              <w:t>c</w:t>
            </w:r>
          </w:p>
          <w:p w:rsidR="004E00DB" w:rsidRPr="008D797E" w:rsidRDefault="004E00DB" w:rsidP="00E47A6A">
            <w:pPr>
              <w:keepNext/>
              <w:jc w:val="center"/>
              <w:rPr>
                <w:rFonts w:ascii="Arial Narrow" w:hAnsi="Arial Narrow"/>
                <w:sz w:val="20"/>
              </w:rPr>
            </w:pPr>
            <w:r w:rsidRPr="008D797E">
              <w:rPr>
                <w:rFonts w:ascii="Arial Narrow" w:hAnsi="Arial Narrow"/>
                <w:sz w:val="20"/>
              </w:rPr>
              <w:t>$</w:t>
            </w:r>
            <w:r w:rsidR="006470F1">
              <w:rPr>
                <w:rFonts w:ascii="Arial Narrow" w:hAnsi="Arial Narrow"/>
                <w:noProof/>
                <w:color w:val="000000"/>
                <w:sz w:val="20"/>
                <w:highlight w:val="black"/>
              </w:rPr>
              <w:t>''''''''''''''''''''</w:t>
            </w:r>
            <w:r w:rsidRPr="008D797E">
              <w:rPr>
                <w:rFonts w:ascii="Arial Narrow" w:hAnsi="Arial Narrow"/>
                <w:sz w:val="20"/>
                <w:vertAlign w:val="superscript"/>
              </w:rPr>
              <w:t xml:space="preserve">a </w:t>
            </w:r>
            <w:r w:rsidRPr="008D797E">
              <w:rPr>
                <w:rFonts w:ascii="Arial Narrow" w:hAnsi="Arial Narrow"/>
                <w:sz w:val="20"/>
              </w:rPr>
              <w:t>(public)</w:t>
            </w:r>
          </w:p>
          <w:p w:rsidR="004E00DB" w:rsidRPr="008D797E" w:rsidRDefault="004E00DB" w:rsidP="00E47A6A">
            <w:pPr>
              <w:keepNext/>
              <w:jc w:val="center"/>
              <w:rPr>
                <w:rFonts w:ascii="Arial Narrow" w:hAnsi="Arial Narrow"/>
                <w:sz w:val="20"/>
              </w:rPr>
            </w:pPr>
            <w:r w:rsidRPr="008D797E">
              <w:rPr>
                <w:rFonts w:ascii="Arial Narrow" w:hAnsi="Arial Narrow"/>
                <w:sz w:val="20"/>
              </w:rPr>
              <w:t>$</w:t>
            </w:r>
            <w:r w:rsidR="006470F1">
              <w:rPr>
                <w:rFonts w:ascii="Arial Narrow" w:hAnsi="Arial Narrow"/>
                <w:noProof/>
                <w:color w:val="000000"/>
                <w:sz w:val="20"/>
                <w:highlight w:val="black"/>
              </w:rPr>
              <w:t>''''''''''''''''''''</w:t>
            </w:r>
            <w:r w:rsidRPr="008D797E">
              <w:rPr>
                <w:rFonts w:ascii="Arial Narrow" w:hAnsi="Arial Narrow"/>
                <w:sz w:val="20"/>
                <w:vertAlign w:val="superscript"/>
              </w:rPr>
              <w:t>d</w:t>
            </w:r>
            <w:r w:rsidRPr="008D797E">
              <w:rPr>
                <w:rFonts w:ascii="Arial Narrow" w:hAnsi="Arial Narrow"/>
                <w:sz w:val="20"/>
              </w:rPr>
              <w:t xml:space="preserve"> (private)</w:t>
            </w:r>
          </w:p>
        </w:tc>
        <w:tc>
          <w:tcPr>
            <w:tcW w:w="618" w:type="pct"/>
            <w:vAlign w:val="center"/>
          </w:tcPr>
          <w:p w:rsidR="004E00DB" w:rsidRPr="008D797E" w:rsidRDefault="004E00DB" w:rsidP="00E47A6A">
            <w:pPr>
              <w:keepNext/>
              <w:jc w:val="center"/>
              <w:rPr>
                <w:rFonts w:ascii="Arial Narrow" w:hAnsi="Arial Narrow"/>
                <w:smallCaps/>
                <w:sz w:val="20"/>
                <w:vertAlign w:val="superscript"/>
              </w:rPr>
            </w:pPr>
          </w:p>
          <w:p w:rsidR="00E974F1" w:rsidRPr="008D797E" w:rsidRDefault="00E974F1" w:rsidP="00E47A6A">
            <w:pPr>
              <w:keepNext/>
              <w:jc w:val="center"/>
              <w:rPr>
                <w:rFonts w:ascii="Arial Narrow" w:hAnsi="Arial Narrow"/>
                <w:smallCaps/>
                <w:sz w:val="20"/>
              </w:rPr>
            </w:pPr>
            <w:r w:rsidRPr="008D797E">
              <w:rPr>
                <w:rFonts w:ascii="Arial Narrow" w:hAnsi="Arial Narrow"/>
                <w:sz w:val="20"/>
              </w:rPr>
              <w:t>Tecentriq</w:t>
            </w:r>
          </w:p>
        </w:tc>
        <w:tc>
          <w:tcPr>
            <w:tcW w:w="759" w:type="pct"/>
            <w:vAlign w:val="center"/>
          </w:tcPr>
          <w:p w:rsidR="004E00DB" w:rsidRPr="008D797E" w:rsidRDefault="004E00DB" w:rsidP="00E47A6A">
            <w:pPr>
              <w:keepNext/>
              <w:jc w:val="center"/>
              <w:rPr>
                <w:rFonts w:ascii="Arial Narrow" w:hAnsi="Arial Narrow"/>
                <w:sz w:val="20"/>
              </w:rPr>
            </w:pPr>
            <w:r w:rsidRPr="008D797E">
              <w:rPr>
                <w:rFonts w:ascii="Arial Narrow" w:hAnsi="Arial Narrow"/>
                <w:sz w:val="20"/>
              </w:rPr>
              <w:t>Roche Products Pty Ltd</w:t>
            </w:r>
          </w:p>
        </w:tc>
      </w:tr>
      <w:tr w:rsidR="004E00DB" w:rsidRPr="008D797E" w:rsidTr="00E47A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41" w:type="pct"/>
            <w:tcBorders>
              <w:top w:val="single" w:sz="4" w:space="0" w:color="auto"/>
              <w:left w:val="single" w:sz="4" w:space="0" w:color="auto"/>
              <w:bottom w:val="single" w:sz="4" w:space="0" w:color="auto"/>
              <w:right w:val="single" w:sz="4" w:space="0" w:color="auto"/>
            </w:tcBorders>
            <w:hideMark/>
          </w:tcPr>
          <w:p w:rsidR="004E00DB" w:rsidRPr="006E5C4D" w:rsidRDefault="004E00DB" w:rsidP="00E47A6A">
            <w:pPr>
              <w:jc w:val="left"/>
              <w:rPr>
                <w:rFonts w:ascii="Arial Narrow" w:hAnsi="Arial Narrow" w:cs="Times New Roman"/>
                <w:b/>
                <w:snapToGrid w:val="0"/>
                <w:sz w:val="20"/>
              </w:rPr>
            </w:pPr>
            <w:r w:rsidRPr="006E5C4D">
              <w:rPr>
                <w:rFonts w:ascii="Arial Narrow" w:hAnsi="Arial Narrow" w:cs="Times New Roman"/>
                <w:b/>
                <w:snapToGrid w:val="0"/>
                <w:sz w:val="20"/>
              </w:rPr>
              <w:t>Category/Program:</w:t>
            </w:r>
          </w:p>
        </w:tc>
        <w:tc>
          <w:tcPr>
            <w:tcW w:w="3759" w:type="pct"/>
            <w:gridSpan w:val="6"/>
            <w:tcBorders>
              <w:top w:val="single" w:sz="4" w:space="0" w:color="auto"/>
              <w:left w:val="single" w:sz="4" w:space="0" w:color="auto"/>
              <w:bottom w:val="single" w:sz="4" w:space="0" w:color="auto"/>
              <w:right w:val="single" w:sz="4" w:space="0" w:color="auto"/>
            </w:tcBorders>
          </w:tcPr>
          <w:p w:rsidR="004E00DB" w:rsidRPr="008D797E" w:rsidRDefault="004E00DB" w:rsidP="00E47A6A">
            <w:pPr>
              <w:jc w:val="left"/>
              <w:rPr>
                <w:rFonts w:ascii="Arial Narrow" w:hAnsi="Arial Narrow" w:cs="Times New Roman"/>
                <w:snapToGrid w:val="0"/>
                <w:sz w:val="20"/>
              </w:rPr>
            </w:pPr>
            <w:r w:rsidRPr="008D797E">
              <w:rPr>
                <w:rFonts w:ascii="Arial Narrow" w:hAnsi="Arial Narrow" w:cs="Times New Roman"/>
                <w:snapToGrid w:val="0"/>
                <w:sz w:val="20"/>
              </w:rPr>
              <w:t>Section 100 – Efficient Funding of Chemotherapy</w:t>
            </w:r>
          </w:p>
        </w:tc>
      </w:tr>
      <w:tr w:rsidR="004E00DB" w:rsidRPr="008D797E" w:rsidTr="00E47A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41" w:type="pct"/>
            <w:tcBorders>
              <w:top w:val="single" w:sz="4" w:space="0" w:color="auto"/>
              <w:left w:val="single" w:sz="4" w:space="0" w:color="auto"/>
              <w:bottom w:val="single" w:sz="4" w:space="0" w:color="auto"/>
              <w:right w:val="single" w:sz="4" w:space="0" w:color="auto"/>
            </w:tcBorders>
            <w:hideMark/>
          </w:tcPr>
          <w:p w:rsidR="004E00DB" w:rsidRPr="006E5C4D" w:rsidRDefault="004E00DB" w:rsidP="00E47A6A">
            <w:pPr>
              <w:jc w:val="left"/>
              <w:rPr>
                <w:rFonts w:ascii="Arial Narrow" w:hAnsi="Arial Narrow" w:cs="Times New Roman"/>
                <w:b/>
                <w:snapToGrid w:val="0"/>
                <w:sz w:val="20"/>
              </w:rPr>
            </w:pPr>
            <w:r w:rsidRPr="006E5C4D">
              <w:rPr>
                <w:rFonts w:ascii="Arial Narrow" w:hAnsi="Arial Narrow" w:cs="Times New Roman"/>
                <w:b/>
                <w:snapToGrid w:val="0"/>
                <w:sz w:val="20"/>
              </w:rPr>
              <w:t>PBS indication:</w:t>
            </w:r>
          </w:p>
        </w:tc>
        <w:tc>
          <w:tcPr>
            <w:tcW w:w="3759" w:type="pct"/>
            <w:gridSpan w:val="6"/>
            <w:tcBorders>
              <w:top w:val="single" w:sz="4" w:space="0" w:color="auto"/>
              <w:left w:val="single" w:sz="4" w:space="0" w:color="auto"/>
              <w:bottom w:val="single" w:sz="4" w:space="0" w:color="auto"/>
              <w:right w:val="single" w:sz="4" w:space="0" w:color="auto"/>
            </w:tcBorders>
          </w:tcPr>
          <w:p w:rsidR="004E00DB" w:rsidRPr="008D797E" w:rsidRDefault="004E00DB" w:rsidP="00E47A6A">
            <w:pPr>
              <w:jc w:val="left"/>
              <w:rPr>
                <w:rFonts w:ascii="Arial Narrow" w:hAnsi="Arial Narrow" w:cs="Times New Roman"/>
                <w:snapToGrid w:val="0"/>
                <w:sz w:val="20"/>
              </w:rPr>
            </w:pPr>
            <w:r w:rsidRPr="008D797E">
              <w:rPr>
                <w:rFonts w:ascii="Arial Narrow" w:hAnsi="Arial Narrow" w:cs="Times New Roman"/>
                <w:snapToGrid w:val="0"/>
                <w:sz w:val="20"/>
              </w:rPr>
              <w:t>Metastatic triple-negative breast cancer</w:t>
            </w:r>
          </w:p>
        </w:tc>
      </w:tr>
      <w:tr w:rsidR="004E00DB" w:rsidRPr="008D797E" w:rsidTr="00E47A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41" w:type="pct"/>
            <w:tcBorders>
              <w:top w:val="single" w:sz="4" w:space="0" w:color="auto"/>
              <w:left w:val="single" w:sz="4" w:space="0" w:color="auto"/>
              <w:bottom w:val="single" w:sz="4" w:space="0" w:color="auto"/>
              <w:right w:val="single" w:sz="4" w:space="0" w:color="auto"/>
            </w:tcBorders>
            <w:hideMark/>
          </w:tcPr>
          <w:p w:rsidR="004E00DB" w:rsidRPr="006E5C4D" w:rsidRDefault="004E00DB" w:rsidP="00E47A6A">
            <w:pPr>
              <w:jc w:val="left"/>
              <w:rPr>
                <w:rFonts w:ascii="Arial Narrow" w:hAnsi="Arial Narrow" w:cs="Times New Roman"/>
                <w:b/>
                <w:snapToGrid w:val="0"/>
                <w:sz w:val="20"/>
              </w:rPr>
            </w:pPr>
            <w:r w:rsidRPr="006E5C4D">
              <w:rPr>
                <w:rFonts w:ascii="Arial Narrow" w:hAnsi="Arial Narrow" w:cs="Times New Roman"/>
                <w:b/>
                <w:snapToGrid w:val="0"/>
                <w:sz w:val="20"/>
              </w:rPr>
              <w:t>Treatment phase:</w:t>
            </w:r>
          </w:p>
        </w:tc>
        <w:tc>
          <w:tcPr>
            <w:tcW w:w="3759" w:type="pct"/>
            <w:gridSpan w:val="6"/>
            <w:tcBorders>
              <w:top w:val="single" w:sz="4" w:space="0" w:color="auto"/>
              <w:left w:val="single" w:sz="4" w:space="0" w:color="auto"/>
              <w:bottom w:val="single" w:sz="4" w:space="0" w:color="auto"/>
              <w:right w:val="single" w:sz="4" w:space="0" w:color="auto"/>
            </w:tcBorders>
          </w:tcPr>
          <w:p w:rsidR="004E00DB" w:rsidRPr="008D797E" w:rsidRDefault="004E00DB" w:rsidP="00E47A6A">
            <w:pPr>
              <w:jc w:val="left"/>
              <w:rPr>
                <w:rFonts w:ascii="Arial Narrow" w:hAnsi="Arial Narrow" w:cs="Times New Roman"/>
                <w:snapToGrid w:val="0"/>
                <w:sz w:val="20"/>
              </w:rPr>
            </w:pPr>
            <w:r w:rsidRPr="008D797E">
              <w:rPr>
                <w:rFonts w:ascii="Arial Narrow" w:hAnsi="Arial Narrow" w:cs="Times New Roman"/>
                <w:snapToGrid w:val="0"/>
                <w:sz w:val="20"/>
              </w:rPr>
              <w:t>Initial treatment</w:t>
            </w:r>
          </w:p>
        </w:tc>
      </w:tr>
      <w:tr w:rsidR="004E00DB" w:rsidRPr="008D797E" w:rsidTr="00E47A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41" w:type="pct"/>
            <w:tcBorders>
              <w:top w:val="single" w:sz="4" w:space="0" w:color="auto"/>
              <w:left w:val="single" w:sz="4" w:space="0" w:color="auto"/>
              <w:bottom w:val="single" w:sz="4" w:space="0" w:color="auto"/>
              <w:right w:val="single" w:sz="4" w:space="0" w:color="auto"/>
            </w:tcBorders>
            <w:hideMark/>
          </w:tcPr>
          <w:p w:rsidR="004E00DB" w:rsidRPr="006E5C4D" w:rsidRDefault="004E00DB" w:rsidP="00E47A6A">
            <w:pPr>
              <w:jc w:val="left"/>
              <w:rPr>
                <w:rFonts w:ascii="Arial Narrow" w:hAnsi="Arial Narrow" w:cs="Times New Roman"/>
                <w:b/>
                <w:snapToGrid w:val="0"/>
                <w:sz w:val="20"/>
              </w:rPr>
            </w:pPr>
            <w:r w:rsidRPr="006E5C4D">
              <w:rPr>
                <w:rFonts w:ascii="Arial Narrow" w:hAnsi="Arial Narrow" w:cs="Times New Roman"/>
                <w:b/>
                <w:snapToGrid w:val="0"/>
                <w:sz w:val="20"/>
              </w:rPr>
              <w:t>Restriction:</w:t>
            </w:r>
          </w:p>
        </w:tc>
        <w:tc>
          <w:tcPr>
            <w:tcW w:w="3759" w:type="pct"/>
            <w:gridSpan w:val="6"/>
            <w:tcBorders>
              <w:top w:val="single" w:sz="4" w:space="0" w:color="auto"/>
              <w:left w:val="single" w:sz="4" w:space="0" w:color="auto"/>
              <w:bottom w:val="single" w:sz="4" w:space="0" w:color="auto"/>
              <w:right w:val="single" w:sz="4" w:space="0" w:color="auto"/>
            </w:tcBorders>
          </w:tcPr>
          <w:p w:rsidR="004E00DB" w:rsidRPr="008D797E" w:rsidRDefault="004E00DB" w:rsidP="00E47A6A">
            <w:pPr>
              <w:jc w:val="left"/>
              <w:rPr>
                <w:rFonts w:ascii="Arial Narrow" w:hAnsi="Arial Narrow" w:cs="Times New Roman"/>
                <w:snapToGrid w:val="0"/>
                <w:sz w:val="20"/>
              </w:rPr>
            </w:pPr>
            <w:r w:rsidRPr="008D797E">
              <w:rPr>
                <w:rFonts w:ascii="Arial Narrow" w:hAnsi="Arial Narrow" w:cs="Times New Roman"/>
                <w:snapToGrid w:val="0"/>
                <w:sz w:val="20"/>
              </w:rPr>
              <w:t>Authority Required - Streamlined</w:t>
            </w:r>
          </w:p>
        </w:tc>
      </w:tr>
      <w:tr w:rsidR="00E974F1" w:rsidRPr="008D797E" w:rsidTr="008D79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 w:type="pct"/>
            <w:gridSpan w:val="7"/>
            <w:tcBorders>
              <w:top w:val="single" w:sz="4" w:space="0" w:color="auto"/>
              <w:left w:val="single" w:sz="4" w:space="0" w:color="auto"/>
              <w:bottom w:val="single" w:sz="4" w:space="0" w:color="auto"/>
              <w:right w:val="single" w:sz="4" w:space="0" w:color="auto"/>
            </w:tcBorders>
            <w:hideMark/>
          </w:tcPr>
          <w:p w:rsidR="00E974F1" w:rsidRPr="006E5C4D" w:rsidRDefault="00E974F1" w:rsidP="00E47A6A">
            <w:pPr>
              <w:jc w:val="left"/>
              <w:rPr>
                <w:rFonts w:ascii="Arial Narrow" w:hAnsi="Arial Narrow" w:cs="Times New Roman"/>
                <w:b/>
                <w:snapToGrid w:val="0"/>
                <w:sz w:val="20"/>
              </w:rPr>
            </w:pPr>
            <w:r w:rsidRPr="006E5C4D">
              <w:rPr>
                <w:rFonts w:ascii="Arial Narrow" w:hAnsi="Arial Narrow" w:cs="Times New Roman"/>
                <w:b/>
                <w:snapToGrid w:val="0"/>
                <w:sz w:val="20"/>
              </w:rPr>
              <w:t>Clinical criteria:</w:t>
            </w:r>
          </w:p>
          <w:p w:rsidR="00E974F1" w:rsidRPr="008D797E" w:rsidRDefault="00E974F1" w:rsidP="00E47A6A">
            <w:pPr>
              <w:pStyle w:val="TableText0"/>
              <w:rPr>
                <w:rFonts w:cs="Arial"/>
              </w:rPr>
            </w:pPr>
            <w:r w:rsidRPr="008D797E">
              <w:rPr>
                <w:rFonts w:cs="Arial"/>
              </w:rPr>
              <w:t xml:space="preserve">The condition must be hormone receptor (oestrogen and progesterone receptor) negative, </w:t>
            </w:r>
          </w:p>
          <w:p w:rsidR="00E974F1" w:rsidRPr="00115C2F" w:rsidRDefault="00E974F1" w:rsidP="00E47A6A">
            <w:pPr>
              <w:pStyle w:val="TableText0"/>
              <w:rPr>
                <w:rFonts w:cs="Arial"/>
              </w:rPr>
            </w:pPr>
            <w:r w:rsidRPr="00115C2F">
              <w:rPr>
                <w:rFonts w:cs="Arial"/>
              </w:rPr>
              <w:t>AND</w:t>
            </w:r>
          </w:p>
          <w:p w:rsidR="00E974F1" w:rsidRPr="008D797E" w:rsidRDefault="00E974F1" w:rsidP="00E47A6A">
            <w:pPr>
              <w:pStyle w:val="TableText0"/>
              <w:rPr>
                <w:rFonts w:cs="Arial"/>
              </w:rPr>
            </w:pPr>
            <w:r w:rsidRPr="008D797E">
              <w:rPr>
                <w:rFonts w:cs="Arial"/>
              </w:rPr>
              <w:t xml:space="preserve">The condition must be human epidermal growth factor receptor 2 (HER2) negative, </w:t>
            </w:r>
          </w:p>
          <w:p w:rsidR="00E974F1" w:rsidRPr="008D797E" w:rsidRDefault="00E974F1" w:rsidP="00E47A6A">
            <w:pPr>
              <w:pStyle w:val="TableText0"/>
              <w:rPr>
                <w:rFonts w:cs="Arial"/>
              </w:rPr>
            </w:pPr>
            <w:r w:rsidRPr="008D797E">
              <w:rPr>
                <w:rFonts w:cs="Arial"/>
              </w:rPr>
              <w:t>AND</w:t>
            </w:r>
          </w:p>
          <w:p w:rsidR="00E974F1" w:rsidRPr="008D797E" w:rsidRDefault="00E974F1" w:rsidP="00E47A6A">
            <w:pPr>
              <w:pStyle w:val="TableText0"/>
              <w:rPr>
                <w:rFonts w:cs="Arial"/>
              </w:rPr>
            </w:pPr>
            <w:r w:rsidRPr="008D797E">
              <w:rPr>
                <w:rFonts w:cs="Arial"/>
              </w:rPr>
              <w:t xml:space="preserve">The condition must be inoperable, </w:t>
            </w:r>
          </w:p>
          <w:p w:rsidR="00E974F1" w:rsidRPr="008D797E" w:rsidRDefault="00E974F1" w:rsidP="00E47A6A">
            <w:pPr>
              <w:pStyle w:val="TableText0"/>
              <w:rPr>
                <w:rFonts w:cs="Arial"/>
              </w:rPr>
            </w:pPr>
            <w:r w:rsidRPr="008D797E">
              <w:rPr>
                <w:rFonts w:cs="Arial"/>
              </w:rPr>
              <w:t>AND</w:t>
            </w:r>
          </w:p>
          <w:p w:rsidR="00E974F1" w:rsidRPr="008D797E" w:rsidRDefault="00E974F1" w:rsidP="00E47A6A">
            <w:pPr>
              <w:pStyle w:val="TableText0"/>
              <w:rPr>
                <w:rFonts w:cs="Arial"/>
              </w:rPr>
            </w:pPr>
            <w:r w:rsidRPr="008D797E">
              <w:rPr>
                <w:rFonts w:cs="Arial"/>
              </w:rPr>
              <w:t xml:space="preserve">Patient must not have been treated for this condition in the metastatic setting, </w:t>
            </w:r>
          </w:p>
          <w:p w:rsidR="00E974F1" w:rsidRPr="008D797E" w:rsidRDefault="00E974F1" w:rsidP="00E47A6A">
            <w:pPr>
              <w:pStyle w:val="TableText0"/>
              <w:rPr>
                <w:rFonts w:cs="Arial"/>
              </w:rPr>
            </w:pPr>
            <w:r w:rsidRPr="008D797E">
              <w:rPr>
                <w:rFonts w:cs="Arial"/>
              </w:rPr>
              <w:t>AND</w:t>
            </w:r>
          </w:p>
          <w:p w:rsidR="00E974F1" w:rsidRPr="008D797E" w:rsidRDefault="00E974F1" w:rsidP="00E47A6A">
            <w:pPr>
              <w:pStyle w:val="TableText0"/>
              <w:rPr>
                <w:rFonts w:cs="Arial"/>
              </w:rPr>
            </w:pPr>
            <w:r w:rsidRPr="008D797E">
              <w:rPr>
                <w:rFonts w:cs="Arial"/>
              </w:rPr>
              <w:t xml:space="preserve">Patient must have a WHO performance status of 0 or 1, </w:t>
            </w:r>
          </w:p>
          <w:p w:rsidR="00E974F1" w:rsidRPr="008D797E" w:rsidRDefault="00E974F1" w:rsidP="00E47A6A">
            <w:pPr>
              <w:pStyle w:val="TableText0"/>
              <w:rPr>
                <w:rFonts w:cs="Arial"/>
              </w:rPr>
            </w:pPr>
            <w:r w:rsidRPr="008D797E">
              <w:rPr>
                <w:rFonts w:cs="Arial"/>
              </w:rPr>
              <w:t>AND</w:t>
            </w:r>
          </w:p>
          <w:p w:rsidR="00E974F1" w:rsidRPr="008D797E" w:rsidRDefault="00E974F1" w:rsidP="00E47A6A">
            <w:pPr>
              <w:pStyle w:val="TableText0"/>
              <w:rPr>
                <w:rFonts w:cs="Arial"/>
              </w:rPr>
            </w:pPr>
            <w:r w:rsidRPr="008D797E">
              <w:rPr>
                <w:rFonts w:cs="Arial"/>
              </w:rPr>
              <w:t xml:space="preserve">The treatment must be initiated in combination with nab-paclitaxel, </w:t>
            </w:r>
          </w:p>
          <w:p w:rsidR="00E974F1" w:rsidRPr="008D797E" w:rsidRDefault="00E974F1" w:rsidP="00E47A6A">
            <w:pPr>
              <w:pStyle w:val="TableText0"/>
              <w:rPr>
                <w:rFonts w:cs="Arial"/>
              </w:rPr>
            </w:pPr>
            <w:r w:rsidRPr="008D797E">
              <w:rPr>
                <w:rFonts w:cs="Arial"/>
              </w:rPr>
              <w:t>AND</w:t>
            </w:r>
          </w:p>
          <w:p w:rsidR="00E974F1" w:rsidRPr="008D797E" w:rsidRDefault="00E974F1" w:rsidP="00E47A6A">
            <w:pPr>
              <w:pStyle w:val="TableText0"/>
              <w:rPr>
                <w:rFonts w:cs="Arial"/>
              </w:rPr>
            </w:pPr>
            <w:r w:rsidRPr="008D797E">
              <w:rPr>
                <w:rFonts w:cs="Arial"/>
              </w:rPr>
              <w:t xml:space="preserve">The condition must express programmed cell death ligand 1 (PD-L1) of any intensity in tumour-infiltrating immune cells covering ≥1% of the tumour area, </w:t>
            </w:r>
          </w:p>
          <w:p w:rsidR="00E974F1" w:rsidRPr="008D797E" w:rsidRDefault="00E974F1" w:rsidP="00E47A6A">
            <w:pPr>
              <w:pStyle w:val="TableText0"/>
              <w:rPr>
                <w:rFonts w:cs="Arial"/>
              </w:rPr>
            </w:pPr>
            <w:r w:rsidRPr="008D797E">
              <w:rPr>
                <w:rFonts w:cs="Arial"/>
              </w:rPr>
              <w:t>AND</w:t>
            </w:r>
          </w:p>
          <w:p w:rsidR="00E974F1" w:rsidRPr="008D797E" w:rsidRDefault="00E974F1" w:rsidP="00E47A6A">
            <w:pPr>
              <w:pStyle w:val="TableText0"/>
              <w:rPr>
                <w:rFonts w:cs="Times New Roman"/>
                <w:snapToGrid w:val="0"/>
              </w:rPr>
            </w:pPr>
            <w:r w:rsidRPr="008D797E">
              <w:rPr>
                <w:rFonts w:cs="Arial"/>
              </w:rPr>
              <w:t>Patient must not have received taxane (neo)adjuvant therapy in the previous 12 months.</w:t>
            </w:r>
          </w:p>
        </w:tc>
      </w:tr>
      <w:tr w:rsidR="00E974F1" w:rsidRPr="008D797E" w:rsidTr="008D79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 w:type="pct"/>
            <w:gridSpan w:val="7"/>
            <w:tcBorders>
              <w:top w:val="single" w:sz="4" w:space="0" w:color="auto"/>
              <w:left w:val="single" w:sz="4" w:space="0" w:color="auto"/>
              <w:bottom w:val="single" w:sz="4" w:space="0" w:color="auto"/>
              <w:right w:val="single" w:sz="4" w:space="0" w:color="auto"/>
            </w:tcBorders>
            <w:hideMark/>
          </w:tcPr>
          <w:p w:rsidR="00E974F1" w:rsidRPr="008D797E" w:rsidRDefault="00E974F1" w:rsidP="00E47A6A">
            <w:pPr>
              <w:jc w:val="left"/>
              <w:rPr>
                <w:rFonts w:ascii="Arial Narrow" w:hAnsi="Arial Narrow" w:cs="Times New Roman"/>
                <w:b/>
                <w:snapToGrid w:val="0"/>
                <w:sz w:val="20"/>
              </w:rPr>
            </w:pPr>
            <w:r w:rsidRPr="006E5C4D">
              <w:rPr>
                <w:rFonts w:ascii="Arial Narrow" w:hAnsi="Arial Narrow" w:cs="Times New Roman"/>
                <w:b/>
                <w:snapToGrid w:val="0"/>
                <w:sz w:val="20"/>
              </w:rPr>
              <w:t>Treatment phase:</w:t>
            </w:r>
            <w:r w:rsidRPr="008D797E">
              <w:rPr>
                <w:rFonts w:ascii="Arial Narrow" w:hAnsi="Arial Narrow" w:cs="Times New Roman"/>
                <w:b/>
                <w:snapToGrid w:val="0"/>
                <w:sz w:val="20"/>
              </w:rPr>
              <w:t xml:space="preserve"> </w:t>
            </w:r>
            <w:r w:rsidRPr="008D797E">
              <w:rPr>
                <w:rFonts w:ascii="Arial Narrow" w:hAnsi="Arial Narrow" w:cs="Times New Roman"/>
                <w:snapToGrid w:val="0"/>
                <w:sz w:val="20"/>
              </w:rPr>
              <w:t>Continuing treatment</w:t>
            </w:r>
          </w:p>
        </w:tc>
      </w:tr>
      <w:tr w:rsidR="00E974F1" w:rsidRPr="008D797E" w:rsidTr="00E974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5000" w:type="pct"/>
            <w:gridSpan w:val="7"/>
            <w:tcBorders>
              <w:top w:val="single" w:sz="4" w:space="0" w:color="auto"/>
              <w:left w:val="single" w:sz="4" w:space="0" w:color="auto"/>
              <w:bottom w:val="single" w:sz="4" w:space="0" w:color="auto"/>
              <w:right w:val="single" w:sz="4" w:space="0" w:color="auto"/>
            </w:tcBorders>
          </w:tcPr>
          <w:p w:rsidR="00E974F1" w:rsidRPr="006E5C4D" w:rsidRDefault="00E974F1" w:rsidP="00E47A6A">
            <w:pPr>
              <w:jc w:val="left"/>
              <w:rPr>
                <w:rFonts w:ascii="Arial Narrow" w:hAnsi="Arial Narrow" w:cs="Times New Roman"/>
                <w:b/>
                <w:snapToGrid w:val="0"/>
                <w:sz w:val="20"/>
              </w:rPr>
            </w:pPr>
            <w:r w:rsidRPr="006E5C4D">
              <w:rPr>
                <w:rFonts w:ascii="Arial Narrow" w:hAnsi="Arial Narrow" w:cs="Times New Roman"/>
                <w:b/>
                <w:snapToGrid w:val="0"/>
                <w:sz w:val="20"/>
              </w:rPr>
              <w:t>Clinical criteria:</w:t>
            </w:r>
          </w:p>
          <w:p w:rsidR="00E974F1" w:rsidRPr="008D797E" w:rsidRDefault="00E974F1" w:rsidP="00E47A6A">
            <w:pPr>
              <w:pStyle w:val="TableText0"/>
              <w:rPr>
                <w:rFonts w:cs="Arial"/>
              </w:rPr>
            </w:pPr>
            <w:r w:rsidRPr="008D797E">
              <w:rPr>
                <w:rFonts w:cs="Arial"/>
              </w:rPr>
              <w:t xml:space="preserve">Patient must have previously received PBS-subsidised treatment with this drug for this condition, </w:t>
            </w:r>
          </w:p>
          <w:p w:rsidR="00E974F1" w:rsidRPr="00115C2F" w:rsidRDefault="00E974F1" w:rsidP="00E47A6A">
            <w:pPr>
              <w:pStyle w:val="TableText0"/>
              <w:rPr>
                <w:rFonts w:cs="Arial"/>
              </w:rPr>
            </w:pPr>
            <w:r w:rsidRPr="00115C2F">
              <w:rPr>
                <w:rFonts w:cs="Arial"/>
              </w:rPr>
              <w:t xml:space="preserve">AND </w:t>
            </w:r>
          </w:p>
          <w:p w:rsidR="00E974F1" w:rsidRPr="008D797E" w:rsidRDefault="00E974F1" w:rsidP="00E47A6A">
            <w:pPr>
              <w:pStyle w:val="TableText0"/>
              <w:rPr>
                <w:rFonts w:cs="Times New Roman"/>
                <w:snapToGrid w:val="0"/>
                <w:color w:val="000000"/>
              </w:rPr>
            </w:pPr>
            <w:r w:rsidRPr="008D797E">
              <w:rPr>
                <w:rFonts w:cs="Arial"/>
              </w:rPr>
              <w:t>Patient must not have developed disease progression while being treated with this drug for this condition.</w:t>
            </w:r>
          </w:p>
        </w:tc>
      </w:tr>
    </w:tbl>
    <w:p w:rsidR="004E00DB" w:rsidRPr="008D797E" w:rsidRDefault="004E00DB" w:rsidP="004E00DB">
      <w:pPr>
        <w:pStyle w:val="TableFigureFooter"/>
        <w:rPr>
          <w:lang w:eastAsia="en-US"/>
        </w:rPr>
      </w:pPr>
      <w:r w:rsidRPr="008D797E">
        <w:rPr>
          <w:vertAlign w:val="superscript"/>
          <w:lang w:eastAsia="en-US"/>
        </w:rPr>
        <w:t xml:space="preserve">a </w:t>
      </w:r>
      <w:r w:rsidRPr="008D797E">
        <w:rPr>
          <w:lang w:eastAsia="en-US"/>
        </w:rPr>
        <w:t>DPMA includes Section 100 Highly Specialised Drugs fees and mark-ups of $85.78.</w:t>
      </w:r>
    </w:p>
    <w:p w:rsidR="004E00DB" w:rsidRPr="008D797E" w:rsidRDefault="004E00DB" w:rsidP="004E00DB">
      <w:pPr>
        <w:pStyle w:val="TableFigureFooter"/>
        <w:ind w:left="142" w:hanging="142"/>
        <w:rPr>
          <w:lang w:eastAsia="en-US"/>
        </w:rPr>
      </w:pPr>
      <w:r w:rsidRPr="008D797E">
        <w:rPr>
          <w:vertAlign w:val="superscript"/>
          <w:lang w:eastAsia="en-US"/>
        </w:rPr>
        <w:t xml:space="preserve">b </w:t>
      </w:r>
      <w:r w:rsidRPr="008D797E">
        <w:rPr>
          <w:lang w:eastAsia="en-US"/>
        </w:rPr>
        <w:t>DPMA includes Section 100 Highly Specialised Drugs fees and mark-ups of $196.01.</w:t>
      </w:r>
    </w:p>
    <w:p w:rsidR="004E00DB" w:rsidRPr="008D797E" w:rsidRDefault="004E00DB" w:rsidP="004E00DB">
      <w:pPr>
        <w:pStyle w:val="TableFigureFooter"/>
        <w:ind w:left="142" w:hanging="142"/>
        <w:rPr>
          <w:lang w:eastAsia="en-US"/>
        </w:rPr>
      </w:pPr>
      <w:r w:rsidRPr="008D797E">
        <w:rPr>
          <w:vertAlign w:val="superscript"/>
          <w:lang w:eastAsia="en-US"/>
        </w:rPr>
        <w:t xml:space="preserve">c </w:t>
      </w:r>
      <w:r w:rsidRPr="008D797E">
        <w:rPr>
          <w:lang w:eastAsia="en-US"/>
        </w:rPr>
        <w:t xml:space="preserve">Includes a </w:t>
      </w:r>
      <w:r w:rsidR="006470F1">
        <w:rPr>
          <w:noProof/>
          <w:color w:val="000000"/>
          <w:highlight w:val="black"/>
          <w:lang w:eastAsia="en-US"/>
        </w:rPr>
        <w:t>''''''''''''</w:t>
      </w:r>
      <w:r w:rsidRPr="008D797E">
        <w:rPr>
          <w:lang w:eastAsia="en-US"/>
        </w:rPr>
        <w:t>% discount on the ex-manufacturer price as a rebate in the form of a special pricing arrangement; included in Sections 3 and 4 of the resubmission.</w:t>
      </w:r>
    </w:p>
    <w:p w:rsidR="004E00DB" w:rsidRPr="008D797E" w:rsidRDefault="004E00DB" w:rsidP="004E00DB">
      <w:pPr>
        <w:pStyle w:val="TableFigureFooter"/>
        <w:ind w:left="142" w:hanging="142"/>
        <w:rPr>
          <w:rFonts w:asciiTheme="minorHAnsi" w:eastAsiaTheme="minorHAnsi" w:hAnsiTheme="minorHAnsi"/>
          <w:lang w:eastAsia="en-US"/>
        </w:rPr>
      </w:pPr>
      <w:r w:rsidRPr="008D797E">
        <w:rPr>
          <w:vertAlign w:val="superscript"/>
          <w:lang w:eastAsia="en-US"/>
        </w:rPr>
        <w:t>d</w:t>
      </w:r>
      <w:r w:rsidRPr="008D797E">
        <w:rPr>
          <w:lang w:eastAsia="en-US"/>
        </w:rPr>
        <w:t xml:space="preserve"> DPMA includes Section 100 Highly Specialised Drugs fees and mark-ups of $</w:t>
      </w:r>
      <w:r w:rsidR="00412423">
        <w:rPr>
          <w:noProof/>
          <w:color w:val="000000"/>
          <w:highlight w:val="black"/>
          <w:lang w:eastAsia="en-US"/>
        </w:rPr>
        <w:t>'''''''''''''''</w:t>
      </w:r>
      <w:r w:rsidRPr="008D797E">
        <w:rPr>
          <w:lang w:eastAsia="en-US"/>
        </w:rPr>
        <w:t>.</w:t>
      </w:r>
    </w:p>
    <w:p w:rsidR="004E00DB" w:rsidRPr="008D797E" w:rsidRDefault="004E00DB" w:rsidP="004E00DB"/>
    <w:p w:rsidR="00A372FA" w:rsidRPr="008D797E" w:rsidRDefault="00A372FA" w:rsidP="004E00DB">
      <w:pPr>
        <w:numPr>
          <w:ilvl w:val="1"/>
          <w:numId w:val="1"/>
        </w:numPr>
        <w:spacing w:after="120"/>
        <w:rPr>
          <w:rFonts w:asciiTheme="minorHAnsi" w:hAnsiTheme="minorHAnsi"/>
          <w:snapToGrid w:val="0"/>
          <w:color w:val="000000" w:themeColor="text1"/>
        </w:rPr>
      </w:pPr>
      <w:r w:rsidRPr="008D797E">
        <w:rPr>
          <w:rFonts w:asciiTheme="minorHAnsi" w:hAnsiTheme="minorHAnsi"/>
          <w:snapToGrid w:val="0"/>
          <w:color w:val="000000" w:themeColor="text1"/>
        </w:rPr>
        <w:t xml:space="preserve">The PBAC previously considered that, given the current evidence, the appropriate clinical place for atezolizumab is in addition to nab-P, in patients who are </w:t>
      </w:r>
      <w:r w:rsidR="00CD3CCD" w:rsidRPr="008D797E">
        <w:rPr>
          <w:rFonts w:asciiTheme="minorHAnsi" w:hAnsiTheme="minorHAnsi"/>
          <w:snapToGrid w:val="0"/>
          <w:color w:val="000000" w:themeColor="text1"/>
        </w:rPr>
        <w:t>PD-L1-positive</w:t>
      </w:r>
      <w:r w:rsidRPr="008D797E">
        <w:rPr>
          <w:rFonts w:asciiTheme="minorHAnsi" w:hAnsiTheme="minorHAnsi"/>
          <w:snapToGrid w:val="0"/>
          <w:color w:val="000000" w:themeColor="text1"/>
        </w:rPr>
        <w:t xml:space="preserve">, where a taxane would otherwise be used (para 7.7, atezolizumab </w:t>
      </w:r>
      <w:r w:rsidR="00771406" w:rsidRPr="008D797E">
        <w:rPr>
          <w:rFonts w:asciiTheme="minorHAnsi" w:hAnsiTheme="minorHAnsi"/>
          <w:snapToGrid w:val="0"/>
          <w:color w:val="000000" w:themeColor="text1"/>
        </w:rPr>
        <w:t>Public Summary Document (</w:t>
      </w:r>
      <w:r w:rsidRPr="008D797E">
        <w:rPr>
          <w:rFonts w:asciiTheme="minorHAnsi" w:hAnsiTheme="minorHAnsi"/>
          <w:snapToGrid w:val="0"/>
          <w:color w:val="000000" w:themeColor="text1"/>
        </w:rPr>
        <w:t>PSD</w:t>
      </w:r>
      <w:r w:rsidR="00771406" w:rsidRPr="008D797E">
        <w:rPr>
          <w:rFonts w:asciiTheme="minorHAnsi" w:hAnsiTheme="minorHAnsi"/>
          <w:snapToGrid w:val="0"/>
          <w:color w:val="000000" w:themeColor="text1"/>
        </w:rPr>
        <w:t>)</w:t>
      </w:r>
      <w:r w:rsidRPr="008D797E">
        <w:rPr>
          <w:rFonts w:asciiTheme="minorHAnsi" w:hAnsiTheme="minorHAnsi"/>
          <w:snapToGrid w:val="0"/>
          <w:color w:val="000000" w:themeColor="text1"/>
        </w:rPr>
        <w:t xml:space="preserve">, March 2020 PBAC meeting). This is not explicitly specified in the proposed PBS restrictions; according to the resubmission’s METIS data, </w:t>
      </w:r>
      <w:r w:rsidR="006259DE" w:rsidRPr="008D797E">
        <w:rPr>
          <w:rFonts w:asciiTheme="minorHAnsi" w:hAnsiTheme="minorHAnsi"/>
          <w:snapToGrid w:val="0"/>
          <w:color w:val="000000" w:themeColor="text1"/>
        </w:rPr>
        <w:t xml:space="preserve">only </w:t>
      </w:r>
      <w:r w:rsidR="00C73EBC" w:rsidRPr="008D797E">
        <w:rPr>
          <w:rFonts w:asciiTheme="minorHAnsi" w:hAnsiTheme="minorHAnsi"/>
          <w:snapToGrid w:val="0"/>
          <w:color w:val="000000" w:themeColor="text1"/>
        </w:rPr>
        <w:t>approximately one third</w:t>
      </w:r>
      <w:r w:rsidRPr="008D797E">
        <w:rPr>
          <w:rFonts w:asciiTheme="minorHAnsi" w:hAnsiTheme="minorHAnsi"/>
          <w:snapToGrid w:val="0"/>
          <w:color w:val="000000" w:themeColor="text1"/>
        </w:rPr>
        <w:t xml:space="preserve"> of patients who have not received taxane (neo)adjuvant therapy in the previous 12 months would be treated with </w:t>
      </w:r>
      <w:r w:rsidR="00C73EBC" w:rsidRPr="008D797E">
        <w:rPr>
          <w:rFonts w:asciiTheme="minorHAnsi" w:hAnsiTheme="minorHAnsi"/>
          <w:snapToGrid w:val="0"/>
          <w:color w:val="000000" w:themeColor="text1"/>
        </w:rPr>
        <w:t>a taxane</w:t>
      </w:r>
      <w:r w:rsidRPr="008D797E">
        <w:rPr>
          <w:rFonts w:asciiTheme="minorHAnsi" w:hAnsiTheme="minorHAnsi"/>
          <w:snapToGrid w:val="0"/>
          <w:color w:val="000000" w:themeColor="text1"/>
        </w:rPr>
        <w:t>.</w:t>
      </w:r>
      <w:r w:rsidR="001705E9" w:rsidRPr="008D797E">
        <w:rPr>
          <w:rFonts w:asciiTheme="minorHAnsi" w:hAnsiTheme="minorHAnsi"/>
          <w:snapToGrid w:val="0"/>
          <w:color w:val="000000" w:themeColor="text1"/>
        </w:rPr>
        <w:t xml:space="preserve"> </w:t>
      </w:r>
    </w:p>
    <w:p w:rsidR="004E00DB" w:rsidRPr="008D797E" w:rsidRDefault="004E00DB" w:rsidP="004E00DB">
      <w:pPr>
        <w:numPr>
          <w:ilvl w:val="1"/>
          <w:numId w:val="1"/>
        </w:numPr>
        <w:spacing w:after="120"/>
        <w:rPr>
          <w:rFonts w:asciiTheme="minorHAnsi" w:hAnsiTheme="minorHAnsi"/>
          <w:snapToGrid w:val="0"/>
          <w:color w:val="000000" w:themeColor="text1"/>
        </w:rPr>
      </w:pPr>
      <w:r w:rsidRPr="008D797E">
        <w:rPr>
          <w:rFonts w:asciiTheme="minorHAnsi" w:hAnsiTheme="minorHAnsi"/>
          <w:snapToGrid w:val="0"/>
          <w:color w:val="000000" w:themeColor="text1"/>
        </w:rPr>
        <w:lastRenderedPageBreak/>
        <w:t xml:space="preserve">The resubmission proposed a special pricing arrangement (SPA). The requested effective price for ATZ was based on a </w:t>
      </w:r>
      <w:r w:rsidR="006470F1">
        <w:rPr>
          <w:rFonts w:asciiTheme="minorHAnsi" w:hAnsiTheme="minorHAnsi"/>
          <w:noProof/>
          <w:snapToGrid w:val="0"/>
          <w:color w:val="000000"/>
          <w:highlight w:val="black"/>
        </w:rPr>
        <w:t>''''''''''</w:t>
      </w:r>
      <w:r w:rsidRPr="008D797E">
        <w:rPr>
          <w:rFonts w:asciiTheme="minorHAnsi" w:hAnsiTheme="minorHAnsi"/>
          <w:snapToGrid w:val="0"/>
          <w:color w:val="000000" w:themeColor="text1"/>
        </w:rPr>
        <w:t>% discount on the proposed ex-manufacturer price (</w:t>
      </w:r>
      <w:r w:rsidR="008900F0">
        <w:rPr>
          <w:rFonts w:asciiTheme="minorHAnsi" w:hAnsiTheme="minorHAnsi"/>
          <w:snapToGrid w:val="0"/>
          <w:color w:val="000000" w:themeColor="text1"/>
        </w:rPr>
        <w:t>A</w:t>
      </w:r>
      <w:r w:rsidRPr="008D797E">
        <w:rPr>
          <w:rFonts w:asciiTheme="minorHAnsi" w:hAnsiTheme="minorHAnsi"/>
          <w:snapToGrid w:val="0"/>
          <w:color w:val="000000" w:themeColor="text1"/>
        </w:rPr>
        <w:t xml:space="preserve">EMP). The requested effective price in the March 2020 submission was based on a </w:t>
      </w:r>
      <w:r w:rsidR="006470F1">
        <w:rPr>
          <w:rFonts w:asciiTheme="minorHAnsi" w:hAnsiTheme="minorHAnsi"/>
          <w:noProof/>
          <w:snapToGrid w:val="0"/>
          <w:color w:val="000000"/>
          <w:highlight w:val="black"/>
        </w:rPr>
        <w:t>'''''''''</w:t>
      </w:r>
      <w:r w:rsidRPr="008D797E">
        <w:rPr>
          <w:rFonts w:asciiTheme="minorHAnsi" w:hAnsiTheme="minorHAnsi"/>
          <w:snapToGrid w:val="0"/>
          <w:color w:val="000000" w:themeColor="text1"/>
        </w:rPr>
        <w:t xml:space="preserve">% discount on the </w:t>
      </w:r>
      <w:r w:rsidR="008900F0">
        <w:rPr>
          <w:rFonts w:asciiTheme="minorHAnsi" w:hAnsiTheme="minorHAnsi"/>
          <w:snapToGrid w:val="0"/>
          <w:color w:val="000000" w:themeColor="text1"/>
        </w:rPr>
        <w:t>A</w:t>
      </w:r>
      <w:r w:rsidRPr="008D797E">
        <w:rPr>
          <w:rFonts w:asciiTheme="minorHAnsi" w:hAnsiTheme="minorHAnsi"/>
          <w:snapToGrid w:val="0"/>
          <w:color w:val="000000" w:themeColor="text1"/>
        </w:rPr>
        <w:t>EMP.</w:t>
      </w:r>
    </w:p>
    <w:p w:rsidR="004E00DB" w:rsidRPr="008D797E" w:rsidRDefault="004E00DB" w:rsidP="004E00DB">
      <w:pPr>
        <w:numPr>
          <w:ilvl w:val="1"/>
          <w:numId w:val="1"/>
        </w:numPr>
        <w:spacing w:after="120"/>
        <w:rPr>
          <w:rFonts w:asciiTheme="minorHAnsi" w:hAnsiTheme="minorHAnsi"/>
          <w:snapToGrid w:val="0"/>
          <w:color w:val="000000" w:themeColor="text1"/>
        </w:rPr>
      </w:pPr>
      <w:r w:rsidRPr="008D797E">
        <w:rPr>
          <w:rFonts w:asciiTheme="minorHAnsi" w:hAnsiTheme="minorHAnsi"/>
          <w:snapToGrid w:val="0"/>
          <w:color w:val="000000" w:themeColor="text1"/>
        </w:rPr>
        <w:t xml:space="preserve">Both the requested published </w:t>
      </w:r>
      <w:r w:rsidR="008900F0">
        <w:rPr>
          <w:rFonts w:asciiTheme="minorHAnsi" w:hAnsiTheme="minorHAnsi"/>
          <w:snapToGrid w:val="0"/>
          <w:color w:val="000000" w:themeColor="text1"/>
        </w:rPr>
        <w:t>A</w:t>
      </w:r>
      <w:r w:rsidRPr="008D797E">
        <w:rPr>
          <w:rFonts w:asciiTheme="minorHAnsi" w:hAnsiTheme="minorHAnsi"/>
          <w:snapToGrid w:val="0"/>
          <w:color w:val="000000" w:themeColor="text1"/>
        </w:rPr>
        <w:t xml:space="preserve">EMP ($4,971.74) and the requested effective </w:t>
      </w:r>
      <w:r w:rsidR="008900F0">
        <w:rPr>
          <w:rFonts w:asciiTheme="minorHAnsi" w:hAnsiTheme="minorHAnsi"/>
          <w:snapToGrid w:val="0"/>
          <w:color w:val="000000" w:themeColor="text1"/>
        </w:rPr>
        <w:t>A</w:t>
      </w:r>
      <w:r w:rsidRPr="008D797E">
        <w:rPr>
          <w:rFonts w:asciiTheme="minorHAnsi" w:hAnsiTheme="minorHAnsi"/>
          <w:snapToGrid w:val="0"/>
          <w:color w:val="000000" w:themeColor="text1"/>
        </w:rPr>
        <w:t>EMP ($</w:t>
      </w:r>
      <w:r w:rsidR="006470F1">
        <w:rPr>
          <w:rFonts w:asciiTheme="minorHAnsi" w:hAnsiTheme="minorHAnsi"/>
          <w:noProof/>
          <w:snapToGrid w:val="0"/>
          <w:color w:val="000000"/>
          <w:highlight w:val="black"/>
        </w:rPr>
        <w:t>''''''''''''''''</w:t>
      </w:r>
      <w:r w:rsidRPr="008D797E">
        <w:rPr>
          <w:rFonts w:asciiTheme="minorHAnsi" w:hAnsiTheme="minorHAnsi"/>
          <w:snapToGrid w:val="0"/>
          <w:color w:val="000000" w:themeColor="text1"/>
        </w:rPr>
        <w:t xml:space="preserve">) for the maximum amount of 840 mg were lower than in the previous submission (published </w:t>
      </w:r>
      <w:r w:rsidR="008900F0">
        <w:rPr>
          <w:rFonts w:asciiTheme="minorHAnsi" w:hAnsiTheme="minorHAnsi"/>
          <w:snapToGrid w:val="0"/>
          <w:color w:val="000000" w:themeColor="text1"/>
        </w:rPr>
        <w:t>A</w:t>
      </w:r>
      <w:r w:rsidRPr="008D797E">
        <w:rPr>
          <w:rFonts w:asciiTheme="minorHAnsi" w:hAnsiTheme="minorHAnsi"/>
          <w:snapToGrid w:val="0"/>
          <w:color w:val="000000" w:themeColor="text1"/>
        </w:rPr>
        <w:t xml:space="preserve">EMP $5,233.41, effective </w:t>
      </w:r>
      <w:r w:rsidR="008900F0">
        <w:rPr>
          <w:rFonts w:asciiTheme="minorHAnsi" w:hAnsiTheme="minorHAnsi"/>
          <w:snapToGrid w:val="0"/>
          <w:color w:val="000000" w:themeColor="text1"/>
        </w:rPr>
        <w:t>A</w:t>
      </w:r>
      <w:r w:rsidRPr="008D797E">
        <w:rPr>
          <w:rFonts w:asciiTheme="minorHAnsi" w:hAnsiTheme="minorHAnsi"/>
          <w:snapToGrid w:val="0"/>
          <w:color w:val="000000" w:themeColor="text1"/>
        </w:rPr>
        <w:t>EMP $</w:t>
      </w:r>
      <w:r w:rsidR="006470F1">
        <w:rPr>
          <w:rFonts w:asciiTheme="minorHAnsi" w:hAnsiTheme="minorHAnsi"/>
          <w:noProof/>
          <w:snapToGrid w:val="0"/>
          <w:color w:val="000000"/>
          <w:highlight w:val="black"/>
        </w:rPr>
        <w:t>'''''''''''''''</w:t>
      </w:r>
      <w:r w:rsidRPr="008D797E">
        <w:rPr>
          <w:rFonts w:asciiTheme="minorHAnsi" w:hAnsiTheme="minorHAnsi"/>
          <w:snapToGrid w:val="0"/>
          <w:color w:val="000000" w:themeColor="text1"/>
        </w:rPr>
        <w:t xml:space="preserve">). The requested effective </w:t>
      </w:r>
      <w:r w:rsidR="008900F0">
        <w:rPr>
          <w:rFonts w:asciiTheme="minorHAnsi" w:hAnsiTheme="minorHAnsi"/>
          <w:snapToGrid w:val="0"/>
          <w:color w:val="000000" w:themeColor="text1"/>
        </w:rPr>
        <w:t>A</w:t>
      </w:r>
      <w:r w:rsidRPr="008D797E">
        <w:rPr>
          <w:rFonts w:asciiTheme="minorHAnsi" w:hAnsiTheme="minorHAnsi"/>
          <w:snapToGrid w:val="0"/>
          <w:color w:val="000000" w:themeColor="text1"/>
        </w:rPr>
        <w:t xml:space="preserve">EMP in the resubmission represents a </w:t>
      </w:r>
      <w:r w:rsidR="006470F1">
        <w:rPr>
          <w:rFonts w:asciiTheme="minorHAnsi" w:hAnsiTheme="minorHAnsi"/>
          <w:noProof/>
          <w:snapToGrid w:val="0"/>
          <w:color w:val="000000"/>
          <w:highlight w:val="black"/>
        </w:rPr>
        <w:t>'''''</w:t>
      </w:r>
      <w:r w:rsidRPr="008D797E">
        <w:rPr>
          <w:rFonts w:asciiTheme="minorHAnsi" w:hAnsiTheme="minorHAnsi"/>
          <w:snapToGrid w:val="0"/>
          <w:color w:val="000000" w:themeColor="text1"/>
        </w:rPr>
        <w:t xml:space="preserve">% decrease from the previous submission. </w:t>
      </w:r>
    </w:p>
    <w:p w:rsidR="004E00DB" w:rsidRPr="008D797E" w:rsidRDefault="004E00DB" w:rsidP="004E00DB">
      <w:pPr>
        <w:numPr>
          <w:ilvl w:val="1"/>
          <w:numId w:val="1"/>
        </w:numPr>
        <w:spacing w:after="120"/>
        <w:rPr>
          <w:rFonts w:asciiTheme="minorHAnsi" w:hAnsiTheme="minorHAnsi"/>
          <w:snapToGrid w:val="0"/>
          <w:color w:val="000000" w:themeColor="text1"/>
        </w:rPr>
      </w:pPr>
      <w:r w:rsidRPr="008D797E">
        <w:rPr>
          <w:rFonts w:asciiTheme="minorHAnsi" w:hAnsiTheme="minorHAnsi"/>
          <w:snapToGrid w:val="0"/>
          <w:color w:val="000000" w:themeColor="text1"/>
        </w:rPr>
        <w:t>The requested listing differed from the previous submission in regards to the following key criteria:</w:t>
      </w:r>
    </w:p>
    <w:p w:rsidR="004E00DB" w:rsidRPr="008D797E" w:rsidRDefault="004E00DB" w:rsidP="004E00DB">
      <w:pPr>
        <w:pStyle w:val="ListParagraph"/>
        <w:ind w:left="1134"/>
      </w:pPr>
      <w:r w:rsidRPr="008D797E">
        <w:t>Patients are required to have inoperable metastatic disease, while</w:t>
      </w:r>
      <w:r w:rsidR="002A64E2" w:rsidRPr="008D797E">
        <w:t xml:space="preserve"> in</w:t>
      </w:r>
      <w:r w:rsidRPr="008D797E">
        <w:t xml:space="preserve"> the previous submission patients with either unresectable locally advanced or metastatic disease were eligible; </w:t>
      </w:r>
    </w:p>
    <w:p w:rsidR="004E00DB" w:rsidRPr="008D797E" w:rsidRDefault="004E00DB" w:rsidP="004E00DB">
      <w:pPr>
        <w:pStyle w:val="ListParagraph"/>
        <w:ind w:left="1134"/>
      </w:pPr>
      <w:r w:rsidRPr="008D797E">
        <w:t>The restriction specifies that ATZ must be initiated in combination with nab-P, while, previously, ATZ was required to be used in combination with taxane chemotherapy; and</w:t>
      </w:r>
    </w:p>
    <w:p w:rsidR="004E00DB" w:rsidRPr="008D797E" w:rsidRDefault="004E00DB" w:rsidP="004E00DB">
      <w:pPr>
        <w:pStyle w:val="ListParagraph"/>
        <w:ind w:left="1134"/>
      </w:pPr>
      <w:r w:rsidRPr="008D797E">
        <w:t>The criterion that patients must not have received taxane (neo)adjuvant therapy in the previous 12 months was not included in the previous submission.</w:t>
      </w:r>
    </w:p>
    <w:p w:rsidR="004E00DB" w:rsidRPr="008D797E" w:rsidRDefault="004E00DB" w:rsidP="004E00DB">
      <w:pPr>
        <w:numPr>
          <w:ilvl w:val="1"/>
          <w:numId w:val="1"/>
        </w:numPr>
        <w:spacing w:after="120"/>
        <w:rPr>
          <w:rFonts w:asciiTheme="minorHAnsi" w:hAnsiTheme="minorHAnsi"/>
          <w:snapToGrid w:val="0"/>
          <w:color w:val="000000" w:themeColor="text1"/>
        </w:rPr>
      </w:pPr>
      <w:r w:rsidRPr="008D797E">
        <w:rPr>
          <w:rFonts w:asciiTheme="minorHAnsi" w:hAnsiTheme="minorHAnsi"/>
          <w:snapToGrid w:val="0"/>
          <w:color w:val="000000" w:themeColor="text1"/>
        </w:rPr>
        <w:t>The requested restriction for initial treatment incorporated the suggestions and additions previousl</w:t>
      </w:r>
      <w:r w:rsidR="006373D1" w:rsidRPr="008D797E">
        <w:rPr>
          <w:rFonts w:asciiTheme="minorHAnsi" w:hAnsiTheme="minorHAnsi"/>
          <w:snapToGrid w:val="0"/>
          <w:color w:val="000000" w:themeColor="text1"/>
        </w:rPr>
        <w:t>y proposed by the Secretariat (p</w:t>
      </w:r>
      <w:r w:rsidRPr="008D797E">
        <w:rPr>
          <w:rFonts w:asciiTheme="minorHAnsi" w:hAnsiTheme="minorHAnsi"/>
          <w:snapToGrid w:val="0"/>
          <w:color w:val="000000" w:themeColor="text1"/>
        </w:rPr>
        <w:t>ar</w:t>
      </w:r>
      <w:r w:rsidR="00A372FA" w:rsidRPr="008D797E">
        <w:rPr>
          <w:rFonts w:asciiTheme="minorHAnsi" w:hAnsiTheme="minorHAnsi"/>
          <w:snapToGrid w:val="0"/>
          <w:color w:val="000000" w:themeColor="text1"/>
        </w:rPr>
        <w:t>a</w:t>
      </w:r>
      <w:r w:rsidRPr="008D797E">
        <w:rPr>
          <w:rFonts w:asciiTheme="minorHAnsi" w:hAnsiTheme="minorHAnsi"/>
          <w:snapToGrid w:val="0"/>
          <w:color w:val="000000" w:themeColor="text1"/>
        </w:rPr>
        <w:t xml:space="preserve"> 3.1, </w:t>
      </w:r>
      <w:r w:rsidR="00AC1010" w:rsidRPr="008D797E">
        <w:rPr>
          <w:rFonts w:asciiTheme="minorHAnsi" w:hAnsiTheme="minorHAnsi"/>
          <w:snapToGrid w:val="0"/>
          <w:color w:val="000000" w:themeColor="text1"/>
        </w:rPr>
        <w:t>atezolizumab PSD</w:t>
      </w:r>
      <w:r w:rsidRPr="008D797E">
        <w:rPr>
          <w:rFonts w:asciiTheme="minorHAnsi" w:hAnsiTheme="minorHAnsi"/>
          <w:snapToGrid w:val="0"/>
          <w:color w:val="000000" w:themeColor="text1"/>
        </w:rPr>
        <w:t>, March 2020 PBAC meeting).</w:t>
      </w:r>
    </w:p>
    <w:p w:rsidR="004E00DB" w:rsidRPr="008D797E" w:rsidRDefault="004E00DB" w:rsidP="004E00DB">
      <w:pPr>
        <w:numPr>
          <w:ilvl w:val="1"/>
          <w:numId w:val="1"/>
        </w:numPr>
        <w:spacing w:after="120"/>
        <w:rPr>
          <w:rFonts w:asciiTheme="minorHAnsi" w:hAnsiTheme="minorHAnsi"/>
          <w:snapToGrid w:val="0"/>
          <w:color w:val="000000" w:themeColor="text1"/>
        </w:rPr>
      </w:pPr>
      <w:r w:rsidRPr="008D797E">
        <w:t xml:space="preserve">The resubmission also proposed a </w:t>
      </w:r>
      <w:r w:rsidR="00E974F1" w:rsidRPr="008D797E">
        <w:t>listing for transitioning arrangements (from non-PBS to PBS-subsidised supply</w:t>
      </w:r>
      <w:r w:rsidR="00863B7D" w:rsidRPr="008D797E">
        <w:t xml:space="preserve"> – ‘grandfather’ arrangements</w:t>
      </w:r>
      <w:r w:rsidR="00E974F1" w:rsidRPr="008D797E">
        <w:t>)</w:t>
      </w:r>
      <w:r w:rsidRPr="008D797E">
        <w:t>, and estimated that 93 patients from a patient access program for ATZ would be eligible to receive PBS subsidised treatment should PBAC recommend ATZ for listing on the PBS in August 2021. The proposed restriction was consistent with that previously</w:t>
      </w:r>
      <w:r w:rsidR="006373D1" w:rsidRPr="008D797E">
        <w:t xml:space="preserve"> suggested by the Secretariat (p</w:t>
      </w:r>
      <w:r w:rsidRPr="008D797E">
        <w:t xml:space="preserve">ara 3.1, </w:t>
      </w:r>
      <w:r w:rsidR="00AC1010" w:rsidRPr="008D797E">
        <w:t>atezolizumab PSD</w:t>
      </w:r>
      <w:r w:rsidRPr="008D797E">
        <w:t>, March 2020 PBAC meeting).</w:t>
      </w:r>
    </w:p>
    <w:p w:rsidR="004E00DB" w:rsidRPr="008D797E" w:rsidRDefault="004E00DB" w:rsidP="004E00DB">
      <w:pPr>
        <w:numPr>
          <w:ilvl w:val="1"/>
          <w:numId w:val="1"/>
        </w:numPr>
        <w:spacing w:after="120"/>
        <w:rPr>
          <w:rFonts w:asciiTheme="minorHAnsi" w:hAnsiTheme="minorHAnsi"/>
          <w:snapToGrid w:val="0"/>
          <w:color w:val="000000" w:themeColor="text1"/>
        </w:rPr>
      </w:pPr>
      <w:r w:rsidRPr="008D797E">
        <w:rPr>
          <w:rFonts w:asciiTheme="minorHAnsi" w:hAnsiTheme="minorHAnsi"/>
          <w:snapToGrid w:val="0"/>
          <w:color w:val="000000" w:themeColor="text1"/>
        </w:rPr>
        <w:t xml:space="preserve">The resubmission stated that a minor submission has been submitted to MSAC, amending the proposed MBS item for the companion diagnostic descriptor to specify that the </w:t>
      </w:r>
      <w:r w:rsidR="00D350F6" w:rsidRPr="008D797E">
        <w:rPr>
          <w:rFonts w:asciiTheme="minorHAnsi" w:hAnsiTheme="minorHAnsi"/>
          <w:snapToGrid w:val="0"/>
          <w:color w:val="000000" w:themeColor="text1"/>
        </w:rPr>
        <w:t>Ventana</w:t>
      </w:r>
      <w:r w:rsidRPr="008D797E">
        <w:rPr>
          <w:rFonts w:asciiTheme="minorHAnsi" w:hAnsiTheme="minorHAnsi"/>
          <w:snapToGrid w:val="0"/>
          <w:color w:val="000000" w:themeColor="text1"/>
        </w:rPr>
        <w:t xml:space="preserve"> SP142 assay must be used for IHC examination of PD-L1 expression for access to PBS-subsidised ATZ for mTNBC. </w:t>
      </w:r>
    </w:p>
    <w:p w:rsidR="007B3A84" w:rsidRPr="008D797E" w:rsidRDefault="007B3A84" w:rsidP="007B3A84">
      <w:pPr>
        <w:rPr>
          <w:i/>
        </w:rPr>
      </w:pPr>
      <w:r w:rsidRPr="008D797E">
        <w:rPr>
          <w:i/>
        </w:rPr>
        <w:t>For more detail on PBAC’s view, see section 7 PBAC outcome.</w:t>
      </w:r>
    </w:p>
    <w:p w:rsidR="004E00DB" w:rsidRPr="008D797E" w:rsidRDefault="004E00DB" w:rsidP="004E00DB">
      <w:pPr>
        <w:pStyle w:val="2-SectionHeading"/>
      </w:pPr>
      <w:bookmarkStart w:id="11" w:name="_Toc61964995"/>
      <w:r w:rsidRPr="008D797E">
        <w:t>Population and disease</w:t>
      </w:r>
      <w:bookmarkEnd w:id="11"/>
    </w:p>
    <w:p w:rsidR="004E00DB" w:rsidRPr="008D797E" w:rsidRDefault="004E00DB" w:rsidP="004E00DB">
      <w:pPr>
        <w:numPr>
          <w:ilvl w:val="1"/>
          <w:numId w:val="1"/>
        </w:numPr>
        <w:spacing w:after="120"/>
        <w:rPr>
          <w:rFonts w:asciiTheme="minorHAnsi" w:hAnsiTheme="minorHAnsi"/>
          <w:snapToGrid w:val="0"/>
          <w:color w:val="000000" w:themeColor="text1"/>
        </w:rPr>
      </w:pPr>
      <w:r w:rsidRPr="008D797E">
        <w:rPr>
          <w:rFonts w:asciiTheme="minorHAnsi" w:hAnsiTheme="minorHAnsi"/>
          <w:snapToGrid w:val="0"/>
          <w:color w:val="000000" w:themeColor="text1"/>
        </w:rPr>
        <w:t>TNBC (</w:t>
      </w:r>
      <w:r w:rsidR="002A64E2" w:rsidRPr="008D797E">
        <w:rPr>
          <w:rFonts w:asciiTheme="minorHAnsi" w:hAnsiTheme="minorHAnsi"/>
          <w:snapToGrid w:val="0"/>
          <w:color w:val="000000" w:themeColor="text1"/>
        </w:rPr>
        <w:t>progesterone and oestrogen</w:t>
      </w:r>
      <w:r w:rsidRPr="008D797E">
        <w:rPr>
          <w:rFonts w:asciiTheme="minorHAnsi" w:hAnsiTheme="minorHAnsi"/>
          <w:snapToGrid w:val="0"/>
          <w:color w:val="000000" w:themeColor="text1"/>
        </w:rPr>
        <w:t xml:space="preserve"> receptor-negative and human epidermal growth factor receptor 2 (HER2)-negative</w:t>
      </w:r>
      <w:r w:rsidR="002A64E2" w:rsidRPr="008D797E">
        <w:rPr>
          <w:rFonts w:asciiTheme="minorHAnsi" w:hAnsiTheme="minorHAnsi"/>
          <w:snapToGrid w:val="0"/>
          <w:color w:val="000000" w:themeColor="text1"/>
        </w:rPr>
        <w:t xml:space="preserve"> breast cancer</w:t>
      </w:r>
      <w:r w:rsidRPr="008D797E">
        <w:rPr>
          <w:rFonts w:asciiTheme="minorHAnsi" w:hAnsiTheme="minorHAnsi"/>
          <w:snapToGrid w:val="0"/>
          <w:color w:val="000000" w:themeColor="text1"/>
        </w:rPr>
        <w:t>) is an aggressive disease associated with poor prognosis; with high risk of relapse,</w:t>
      </w:r>
      <w:r w:rsidR="002A64E2" w:rsidRPr="008D797E">
        <w:rPr>
          <w:rFonts w:asciiTheme="minorHAnsi" w:hAnsiTheme="minorHAnsi"/>
          <w:snapToGrid w:val="0"/>
          <w:color w:val="000000" w:themeColor="text1"/>
        </w:rPr>
        <w:t xml:space="preserve"> and a</w:t>
      </w:r>
      <w:r w:rsidRPr="008D797E">
        <w:rPr>
          <w:rFonts w:asciiTheme="minorHAnsi" w:hAnsiTheme="minorHAnsi"/>
          <w:snapToGrid w:val="0"/>
          <w:color w:val="000000" w:themeColor="text1"/>
        </w:rPr>
        <w:t xml:space="preserve"> short PFS and OS. Patients with TNBC are typically younger and at a more advanced stage at diagnosis than in other </w:t>
      </w:r>
      <w:r w:rsidRPr="008D797E">
        <w:rPr>
          <w:rFonts w:asciiTheme="minorHAnsi" w:hAnsiTheme="minorHAnsi"/>
          <w:snapToGrid w:val="0"/>
          <w:color w:val="000000" w:themeColor="text1"/>
        </w:rPr>
        <w:lastRenderedPageBreak/>
        <w:t>breast cancers, and do not respond to hormone therapy or HER2 targeted agents.</w:t>
      </w:r>
      <w:r w:rsidR="00740F06" w:rsidRPr="008D797E">
        <w:rPr>
          <w:rFonts w:asciiTheme="minorHAnsi" w:hAnsiTheme="minorHAnsi"/>
          <w:snapToGrid w:val="0"/>
          <w:color w:val="000000" w:themeColor="text1"/>
        </w:rPr>
        <w:t xml:space="preserve"> TNBC makes up approximately 16% of all locally advanced and metastatic breast cancer in Australia, according to the submission’s METIS market research data (2020).</w:t>
      </w:r>
    </w:p>
    <w:p w:rsidR="00A61F76" w:rsidRPr="008D797E" w:rsidRDefault="004E00DB" w:rsidP="004E00DB">
      <w:pPr>
        <w:numPr>
          <w:ilvl w:val="1"/>
          <w:numId w:val="1"/>
        </w:numPr>
        <w:spacing w:after="120"/>
        <w:rPr>
          <w:rFonts w:asciiTheme="minorHAnsi" w:hAnsiTheme="minorHAnsi"/>
          <w:snapToGrid w:val="0"/>
          <w:color w:val="000000" w:themeColor="text1"/>
        </w:rPr>
      </w:pPr>
      <w:r w:rsidRPr="008D797E">
        <w:rPr>
          <w:rFonts w:asciiTheme="minorHAnsi" w:hAnsiTheme="minorHAnsi"/>
          <w:snapToGrid w:val="0"/>
          <w:color w:val="000000" w:themeColor="text1"/>
        </w:rPr>
        <w:t>The target population includes</w:t>
      </w:r>
      <w:r w:rsidR="00A61F76" w:rsidRPr="008D797E">
        <w:rPr>
          <w:rFonts w:asciiTheme="minorHAnsi" w:hAnsiTheme="minorHAnsi"/>
          <w:snapToGrid w:val="0"/>
          <w:color w:val="000000" w:themeColor="text1"/>
        </w:rPr>
        <w:t xml:space="preserve"> patients with previously untreated:</w:t>
      </w:r>
    </w:p>
    <w:p w:rsidR="00A61F76" w:rsidRPr="008D797E" w:rsidRDefault="00A61F76" w:rsidP="004221B4">
      <w:pPr>
        <w:pStyle w:val="ListParagraph"/>
        <w:numPr>
          <w:ilvl w:val="0"/>
          <w:numId w:val="9"/>
        </w:numPr>
        <w:ind w:left="993" w:hanging="284"/>
        <w:rPr>
          <w:color w:val="000000" w:themeColor="text1"/>
        </w:rPr>
      </w:pPr>
      <w:r w:rsidRPr="008D797E">
        <w:rPr>
          <w:color w:val="000000" w:themeColor="text1"/>
        </w:rPr>
        <w:t>R</w:t>
      </w:r>
      <w:r w:rsidR="004E00DB" w:rsidRPr="008D797E">
        <w:rPr>
          <w:color w:val="000000" w:themeColor="text1"/>
        </w:rPr>
        <w:t>ecurrent</w:t>
      </w:r>
      <w:r w:rsidRPr="008D797E">
        <w:rPr>
          <w:color w:val="000000" w:themeColor="text1"/>
        </w:rPr>
        <w:t xml:space="preserve"> mTNBC, the largest subgroup of the target population</w:t>
      </w:r>
      <w:r w:rsidR="002A696C" w:rsidRPr="008D797E">
        <w:rPr>
          <w:color w:val="000000" w:themeColor="text1"/>
        </w:rPr>
        <w:t>, estimated to be approximately 20% of the proportion of prevalent patients with early TNBC</w:t>
      </w:r>
      <w:r w:rsidRPr="008D797E">
        <w:rPr>
          <w:color w:val="000000" w:themeColor="text1"/>
        </w:rPr>
        <w:t>.</w:t>
      </w:r>
    </w:p>
    <w:p w:rsidR="00A61F76" w:rsidRPr="008D797E" w:rsidRDefault="004E00DB" w:rsidP="004221B4">
      <w:pPr>
        <w:pStyle w:val="ListParagraph"/>
        <w:numPr>
          <w:ilvl w:val="0"/>
          <w:numId w:val="9"/>
        </w:numPr>
        <w:ind w:left="993" w:hanging="284"/>
        <w:rPr>
          <w:color w:val="000000" w:themeColor="text1"/>
        </w:rPr>
      </w:pPr>
      <w:r w:rsidRPr="008D797E">
        <w:rPr>
          <w:i/>
          <w:color w:val="000000" w:themeColor="text1"/>
        </w:rPr>
        <w:t>de novo</w:t>
      </w:r>
      <w:r w:rsidRPr="008D797E">
        <w:rPr>
          <w:color w:val="000000" w:themeColor="text1"/>
        </w:rPr>
        <w:t xml:space="preserve"> </w:t>
      </w:r>
      <w:r w:rsidR="00A61F76" w:rsidRPr="008D797E">
        <w:rPr>
          <w:color w:val="000000" w:themeColor="text1"/>
        </w:rPr>
        <w:t>m</w:t>
      </w:r>
      <w:r w:rsidRPr="008D797E">
        <w:rPr>
          <w:color w:val="000000" w:themeColor="text1"/>
        </w:rPr>
        <w:t xml:space="preserve">TNBC, </w:t>
      </w:r>
      <w:r w:rsidR="00A61F76" w:rsidRPr="008D797E">
        <w:rPr>
          <w:color w:val="000000" w:themeColor="text1"/>
        </w:rPr>
        <w:t>estimated to represent approximately 10% of the target population.</w:t>
      </w:r>
    </w:p>
    <w:p w:rsidR="00A61F76" w:rsidRPr="008D797E" w:rsidRDefault="004E00DB" w:rsidP="004221B4">
      <w:pPr>
        <w:pStyle w:val="ListParagraph"/>
        <w:numPr>
          <w:ilvl w:val="0"/>
          <w:numId w:val="9"/>
        </w:numPr>
        <w:ind w:left="993" w:hanging="284"/>
        <w:rPr>
          <w:color w:val="000000" w:themeColor="text1"/>
        </w:rPr>
      </w:pPr>
      <w:r w:rsidRPr="008D797E">
        <w:rPr>
          <w:color w:val="000000" w:themeColor="text1"/>
        </w:rPr>
        <w:t xml:space="preserve">mTNBC </w:t>
      </w:r>
      <w:r w:rsidR="002A64E2" w:rsidRPr="008D797E">
        <w:rPr>
          <w:color w:val="000000" w:themeColor="text1"/>
        </w:rPr>
        <w:t>containing</w:t>
      </w:r>
      <w:r w:rsidRPr="008D797E">
        <w:rPr>
          <w:color w:val="000000" w:themeColor="text1"/>
        </w:rPr>
        <w:t xml:space="preserve"> Breast Cancer gene 1/2 </w:t>
      </w:r>
      <w:r w:rsidR="00DF522B" w:rsidRPr="008D797E">
        <w:rPr>
          <w:color w:val="000000" w:themeColor="text1"/>
        </w:rPr>
        <w:t>(</w:t>
      </w:r>
      <w:r w:rsidR="00A61F76" w:rsidRPr="008D797E">
        <w:rPr>
          <w:color w:val="000000" w:themeColor="text1"/>
        </w:rPr>
        <w:t xml:space="preserve">BRCA1/2) </w:t>
      </w:r>
      <w:r w:rsidR="0016432F" w:rsidRPr="008D797E">
        <w:rPr>
          <w:color w:val="000000" w:themeColor="text1"/>
        </w:rPr>
        <w:t>pathogenic variants</w:t>
      </w:r>
      <w:r w:rsidR="00A61F76" w:rsidRPr="008D797E">
        <w:rPr>
          <w:color w:val="000000" w:themeColor="text1"/>
        </w:rPr>
        <w:t xml:space="preserve">, estimated to </w:t>
      </w:r>
      <w:r w:rsidR="00DF522B" w:rsidRPr="008D797E">
        <w:rPr>
          <w:color w:val="000000" w:themeColor="text1"/>
        </w:rPr>
        <w:t>represent approximately 17% of</w:t>
      </w:r>
      <w:r w:rsidR="00A61F76" w:rsidRPr="008D797E">
        <w:rPr>
          <w:color w:val="000000" w:themeColor="text1"/>
        </w:rPr>
        <w:t xml:space="preserve"> the target population</w:t>
      </w:r>
      <w:r w:rsidR="00DF522B" w:rsidRPr="008D797E">
        <w:rPr>
          <w:color w:val="000000" w:themeColor="text1"/>
        </w:rPr>
        <w:t>.</w:t>
      </w:r>
      <w:r w:rsidRPr="008D797E">
        <w:rPr>
          <w:color w:val="000000" w:themeColor="text1"/>
        </w:rPr>
        <w:t xml:space="preserve"> </w:t>
      </w:r>
      <w:r w:rsidR="002A696C" w:rsidRPr="008D797E">
        <w:rPr>
          <w:color w:val="000000" w:themeColor="text1"/>
        </w:rPr>
        <w:t>These patients form part of the recurrent and de novo mTNBC groups as described above.</w:t>
      </w:r>
    </w:p>
    <w:p w:rsidR="004E00DB" w:rsidRPr="008D797E" w:rsidRDefault="004E00DB" w:rsidP="00A61F76">
      <w:pPr>
        <w:pStyle w:val="3-BodyText"/>
      </w:pPr>
      <w:r w:rsidRPr="008D797E">
        <w:t>In contrast, the previous submission also included patients with unresectable locally advanced TNBC.</w:t>
      </w:r>
    </w:p>
    <w:p w:rsidR="007B3A84" w:rsidRPr="008D797E" w:rsidRDefault="007B3A84" w:rsidP="007B3A84">
      <w:pPr>
        <w:rPr>
          <w:i/>
        </w:rPr>
      </w:pPr>
      <w:bookmarkStart w:id="12" w:name="_Toc61964996"/>
      <w:r w:rsidRPr="008D797E">
        <w:rPr>
          <w:i/>
        </w:rPr>
        <w:t>For more detail on PBAC’s view, see section 7 PBAC outcome.</w:t>
      </w:r>
    </w:p>
    <w:p w:rsidR="00F25292" w:rsidRPr="008D797E" w:rsidRDefault="00F25292" w:rsidP="00BF7C75">
      <w:pPr>
        <w:pStyle w:val="2-SectionHeading"/>
      </w:pPr>
      <w:r w:rsidRPr="008D797E">
        <w:t>Comparator</w:t>
      </w:r>
      <w:bookmarkEnd w:id="12"/>
    </w:p>
    <w:p w:rsidR="002F002F" w:rsidRPr="008D797E" w:rsidRDefault="00EA35CA" w:rsidP="00316D42">
      <w:pPr>
        <w:pStyle w:val="3-BodyText"/>
        <w:rPr>
          <w:iCs/>
        </w:rPr>
      </w:pPr>
      <w:bookmarkStart w:id="13" w:name="_Toc22897640"/>
      <w:r w:rsidRPr="008D797E">
        <w:t xml:space="preserve">The resubmission nominated nab-P as the main comparator. </w:t>
      </w:r>
      <w:r w:rsidR="008E65D6" w:rsidRPr="008D797E">
        <w:t xml:space="preserve">The sponsor </w:t>
      </w:r>
      <w:r w:rsidRPr="008D797E">
        <w:t xml:space="preserve">argued that there is a large range of currently used chemotherapies to treat mTNBC (e.g. carboplatin, anthracyclines and taxanes), and no individual chemotherapy regime has demonstrated clear superiority. The choice of chemotherapy depends on the individual patient’s circumstance, such as previous treatments, cumulative toxicity, and </w:t>
      </w:r>
      <w:r w:rsidR="00F616BB" w:rsidRPr="008D797E">
        <w:t>the presence of pathogenic gene variants</w:t>
      </w:r>
      <w:r w:rsidRPr="008D797E">
        <w:t>. The resubmission claimed the majority of patients receive a taxane in the first-line (1L) setting, referring to updated METIS market research</w:t>
      </w:r>
      <w:r w:rsidR="00316D42" w:rsidRPr="008D797E">
        <w:t xml:space="preserve"> conducted in 2020</w:t>
      </w:r>
      <w:r w:rsidRPr="008D797E">
        <w:t xml:space="preserve">. </w:t>
      </w:r>
      <w:r w:rsidRPr="008D797E">
        <w:rPr>
          <w:iCs/>
        </w:rPr>
        <w:t>These</w:t>
      </w:r>
      <w:r w:rsidR="00316D42" w:rsidRPr="008D797E">
        <w:rPr>
          <w:iCs/>
        </w:rPr>
        <w:t xml:space="preserve"> data </w:t>
      </w:r>
      <w:r w:rsidR="00316D42" w:rsidRPr="008D797E">
        <w:t>show</w:t>
      </w:r>
      <w:r w:rsidR="00316D42" w:rsidRPr="008D797E">
        <w:rPr>
          <w:iCs/>
        </w:rPr>
        <w:t xml:space="preserve"> that the majority </w:t>
      </w:r>
      <w:r w:rsidRPr="008D797E">
        <w:rPr>
          <w:iCs/>
        </w:rPr>
        <w:t xml:space="preserve">of Australian mTNBC patients do not receive </w:t>
      </w:r>
      <w:r w:rsidR="0081623A" w:rsidRPr="008D797E">
        <w:rPr>
          <w:iCs/>
        </w:rPr>
        <w:t xml:space="preserve">taxanes </w:t>
      </w:r>
      <w:r w:rsidRPr="008D797E">
        <w:rPr>
          <w:iCs/>
        </w:rPr>
        <w:t>as 1L treatment</w:t>
      </w:r>
      <w:r w:rsidR="00514C00" w:rsidRPr="008D797E">
        <w:rPr>
          <w:iCs/>
        </w:rPr>
        <w:t xml:space="preserve">, as </w:t>
      </w:r>
      <w:r w:rsidR="002F002F" w:rsidRPr="008D797E">
        <w:rPr>
          <w:iCs/>
        </w:rPr>
        <w:t xml:space="preserve">summarised in </w:t>
      </w:r>
      <w:r w:rsidR="00232E9D" w:rsidRPr="008D797E">
        <w:t xml:space="preserve">Table </w:t>
      </w:r>
      <w:r w:rsidR="00232E9D" w:rsidRPr="006E5C4D">
        <w:t>3</w:t>
      </w:r>
      <w:r w:rsidR="002F002F" w:rsidRPr="008D797E">
        <w:rPr>
          <w:iCs/>
        </w:rPr>
        <w:t xml:space="preserve"> below.</w:t>
      </w:r>
      <w:r w:rsidR="00B224BB" w:rsidRPr="008D797E">
        <w:rPr>
          <w:iCs/>
        </w:rPr>
        <w:t xml:space="preserve"> </w:t>
      </w:r>
    </w:p>
    <w:p w:rsidR="002F002F" w:rsidRPr="00115C2F" w:rsidRDefault="002F002F" w:rsidP="002F002F">
      <w:pPr>
        <w:pStyle w:val="TableFigureHeading"/>
      </w:pPr>
      <w:bookmarkStart w:id="14" w:name="_Ref61006887"/>
      <w:r w:rsidRPr="008D797E">
        <w:t xml:space="preserve">Table </w:t>
      </w:r>
      <w:r w:rsidR="00232E9D" w:rsidRPr="006E5C4D">
        <w:t>3</w:t>
      </w:r>
      <w:bookmarkEnd w:id="14"/>
      <w:r w:rsidRPr="008D797E">
        <w:t xml:space="preserve">: Estimated taxane use in the three subgroups of the </w:t>
      </w:r>
      <w:r w:rsidR="00740F06" w:rsidRPr="008D797E">
        <w:t xml:space="preserve">proposed </w:t>
      </w:r>
      <w:r w:rsidRPr="008D797E">
        <w:t>target population, based on market research of 30 Australian oncologists</w:t>
      </w:r>
    </w:p>
    <w:tbl>
      <w:tblPr>
        <w:tblStyle w:val="TableGrid"/>
        <w:tblW w:w="9067" w:type="dxa"/>
        <w:tblLook w:val="04A0" w:firstRow="1" w:lastRow="0" w:firstColumn="1" w:lastColumn="0" w:noHBand="0" w:noVBand="1"/>
        <w:tblCaption w:val="Table 3: Estimated taxane use in the three subgroups of the proposed target population, based on market research of 30 Australian oncologists"/>
      </w:tblPr>
      <w:tblGrid>
        <w:gridCol w:w="2121"/>
        <w:gridCol w:w="1418"/>
        <w:gridCol w:w="2410"/>
        <w:gridCol w:w="3118"/>
      </w:tblGrid>
      <w:tr w:rsidR="002F002F" w:rsidRPr="008D797E" w:rsidTr="007316BD">
        <w:trPr>
          <w:tblHeader/>
        </w:trPr>
        <w:tc>
          <w:tcPr>
            <w:tcW w:w="2121" w:type="dxa"/>
            <w:shd w:val="clear" w:color="auto" w:fill="FFFFFF" w:themeFill="background1"/>
          </w:tcPr>
          <w:p w:rsidR="002F002F" w:rsidRPr="008D797E" w:rsidRDefault="002F002F" w:rsidP="003028C8">
            <w:pPr>
              <w:pStyle w:val="TableText1"/>
              <w:keepNext/>
              <w:keepLines/>
              <w:spacing w:before="40" w:after="40"/>
              <w:rPr>
                <w:rFonts w:ascii="Arial Narrow" w:hAnsi="Arial Narrow"/>
                <w:b/>
              </w:rPr>
            </w:pPr>
            <w:r w:rsidRPr="008D797E">
              <w:rPr>
                <w:rFonts w:ascii="Arial Narrow" w:hAnsi="Arial Narrow"/>
                <w:b/>
              </w:rPr>
              <w:t>First-line treatment of mTNBC (%)</w:t>
            </w:r>
          </w:p>
        </w:tc>
        <w:tc>
          <w:tcPr>
            <w:tcW w:w="1418" w:type="dxa"/>
            <w:shd w:val="clear" w:color="auto" w:fill="FFFFFF" w:themeFill="background1"/>
          </w:tcPr>
          <w:p w:rsidR="00B224BB" w:rsidRPr="008D797E" w:rsidRDefault="002F002F" w:rsidP="003028C8">
            <w:pPr>
              <w:pStyle w:val="TableText1"/>
              <w:keepNext/>
              <w:keepLines/>
              <w:spacing w:before="40" w:after="40"/>
              <w:rPr>
                <w:rFonts w:ascii="Arial Narrow" w:hAnsi="Arial Narrow"/>
                <w:b/>
              </w:rPr>
            </w:pPr>
            <w:r w:rsidRPr="008D797E">
              <w:rPr>
                <w:rFonts w:ascii="Arial Narrow" w:hAnsi="Arial Narrow"/>
                <w:b/>
              </w:rPr>
              <w:t>De novo metastatic</w:t>
            </w:r>
          </w:p>
        </w:tc>
        <w:tc>
          <w:tcPr>
            <w:tcW w:w="2410" w:type="dxa"/>
            <w:shd w:val="clear" w:color="auto" w:fill="FFFFFF" w:themeFill="background1"/>
          </w:tcPr>
          <w:p w:rsidR="002F002F" w:rsidRPr="008D797E" w:rsidRDefault="002F002F" w:rsidP="003028C8">
            <w:pPr>
              <w:pStyle w:val="TableText1"/>
              <w:keepNext/>
              <w:keepLines/>
              <w:spacing w:before="40" w:after="40"/>
              <w:rPr>
                <w:rFonts w:ascii="Arial Narrow" w:hAnsi="Arial Narrow"/>
                <w:b/>
              </w:rPr>
            </w:pPr>
            <w:r w:rsidRPr="008D797E">
              <w:rPr>
                <w:rFonts w:ascii="Arial Narrow" w:hAnsi="Arial Narrow"/>
                <w:b/>
              </w:rPr>
              <w:t>Relapsed after 12+ months following completion of (neo) adjuvant taxane</w:t>
            </w:r>
          </w:p>
        </w:tc>
        <w:tc>
          <w:tcPr>
            <w:tcW w:w="3118" w:type="dxa"/>
            <w:shd w:val="clear" w:color="auto" w:fill="FFFFFF" w:themeFill="background1"/>
          </w:tcPr>
          <w:p w:rsidR="002F002F" w:rsidRPr="008D797E" w:rsidRDefault="002F002F" w:rsidP="003028C8">
            <w:pPr>
              <w:pStyle w:val="TableText1"/>
              <w:keepNext/>
              <w:keepLines/>
              <w:spacing w:before="40" w:after="40"/>
              <w:rPr>
                <w:rFonts w:ascii="Arial Narrow" w:hAnsi="Arial Narrow"/>
                <w:b/>
              </w:rPr>
            </w:pPr>
            <w:r w:rsidRPr="008D797E">
              <w:rPr>
                <w:rFonts w:ascii="Arial Narrow" w:hAnsi="Arial Narrow"/>
                <w:b/>
              </w:rPr>
              <w:t>BRCA mutation positive &amp; relapsed after 12+ months following completion of (neo) adjuvant taxane</w:t>
            </w:r>
          </w:p>
        </w:tc>
      </w:tr>
      <w:tr w:rsidR="002F002F" w:rsidRPr="008D797E" w:rsidTr="0069246C">
        <w:tc>
          <w:tcPr>
            <w:tcW w:w="2121" w:type="dxa"/>
          </w:tcPr>
          <w:p w:rsidR="002F002F" w:rsidRPr="008D797E" w:rsidRDefault="002F002F" w:rsidP="003028C8">
            <w:pPr>
              <w:pStyle w:val="TableText1"/>
              <w:keepNext/>
              <w:keepLines/>
              <w:spacing w:before="40" w:after="40"/>
              <w:rPr>
                <w:rFonts w:ascii="Arial Narrow" w:hAnsi="Arial Narrow"/>
              </w:rPr>
            </w:pPr>
            <w:r w:rsidRPr="008D797E">
              <w:rPr>
                <w:rFonts w:ascii="Arial Narrow" w:hAnsi="Arial Narrow"/>
              </w:rPr>
              <w:t>Nab-P</w:t>
            </w:r>
          </w:p>
        </w:tc>
        <w:tc>
          <w:tcPr>
            <w:tcW w:w="1418" w:type="dxa"/>
          </w:tcPr>
          <w:p w:rsidR="002F002F" w:rsidRPr="008D797E" w:rsidRDefault="002F002F" w:rsidP="002F002F">
            <w:pPr>
              <w:pStyle w:val="TableText1"/>
              <w:keepNext/>
              <w:keepLines/>
              <w:spacing w:before="40" w:after="40"/>
              <w:jc w:val="center"/>
              <w:rPr>
                <w:rFonts w:ascii="Arial Narrow" w:hAnsi="Arial Narrow"/>
              </w:rPr>
            </w:pPr>
            <w:r w:rsidRPr="008D797E">
              <w:rPr>
                <w:rFonts w:ascii="Arial Narrow" w:hAnsi="Arial Narrow"/>
              </w:rPr>
              <w:t>25%</w:t>
            </w:r>
          </w:p>
        </w:tc>
        <w:tc>
          <w:tcPr>
            <w:tcW w:w="2410" w:type="dxa"/>
          </w:tcPr>
          <w:p w:rsidR="002F002F" w:rsidRPr="008D797E" w:rsidRDefault="002F002F" w:rsidP="002F002F">
            <w:pPr>
              <w:pStyle w:val="TableText1"/>
              <w:keepNext/>
              <w:keepLines/>
              <w:spacing w:before="40" w:after="40"/>
              <w:jc w:val="center"/>
              <w:rPr>
                <w:rFonts w:ascii="Arial Narrow" w:hAnsi="Arial Narrow"/>
              </w:rPr>
            </w:pPr>
            <w:r w:rsidRPr="008D797E">
              <w:rPr>
                <w:rFonts w:ascii="Arial Narrow" w:hAnsi="Arial Narrow"/>
              </w:rPr>
              <w:t>26%</w:t>
            </w:r>
          </w:p>
        </w:tc>
        <w:tc>
          <w:tcPr>
            <w:tcW w:w="3118" w:type="dxa"/>
          </w:tcPr>
          <w:p w:rsidR="002F002F" w:rsidRPr="008D797E" w:rsidRDefault="002F002F" w:rsidP="002F002F">
            <w:pPr>
              <w:pStyle w:val="TableText1"/>
              <w:keepNext/>
              <w:keepLines/>
              <w:spacing w:before="40" w:after="40"/>
              <w:jc w:val="center"/>
              <w:rPr>
                <w:rFonts w:ascii="Arial Narrow" w:hAnsi="Arial Narrow"/>
              </w:rPr>
            </w:pPr>
            <w:r w:rsidRPr="008D797E">
              <w:rPr>
                <w:rFonts w:ascii="Arial Narrow" w:hAnsi="Arial Narrow"/>
              </w:rPr>
              <w:t>12%</w:t>
            </w:r>
          </w:p>
        </w:tc>
      </w:tr>
      <w:tr w:rsidR="002F002F" w:rsidRPr="008D797E" w:rsidTr="0069246C">
        <w:tc>
          <w:tcPr>
            <w:tcW w:w="2121" w:type="dxa"/>
          </w:tcPr>
          <w:p w:rsidR="002F002F" w:rsidRPr="008D797E" w:rsidRDefault="002F002F" w:rsidP="003028C8">
            <w:pPr>
              <w:pStyle w:val="TableText1"/>
              <w:keepNext/>
              <w:keepLines/>
              <w:spacing w:before="40" w:after="40"/>
              <w:rPr>
                <w:rFonts w:ascii="Arial Narrow" w:hAnsi="Arial Narrow"/>
              </w:rPr>
            </w:pPr>
            <w:r w:rsidRPr="008D797E">
              <w:rPr>
                <w:rFonts w:ascii="Arial Narrow" w:hAnsi="Arial Narrow"/>
              </w:rPr>
              <w:t>Paclitaxel</w:t>
            </w:r>
          </w:p>
        </w:tc>
        <w:tc>
          <w:tcPr>
            <w:tcW w:w="1418" w:type="dxa"/>
          </w:tcPr>
          <w:p w:rsidR="002F002F" w:rsidRPr="008D797E" w:rsidRDefault="002F002F" w:rsidP="002F002F">
            <w:pPr>
              <w:pStyle w:val="TableText1"/>
              <w:keepNext/>
              <w:keepLines/>
              <w:spacing w:before="40" w:after="40"/>
              <w:jc w:val="center"/>
              <w:rPr>
                <w:rFonts w:ascii="Arial Narrow" w:hAnsi="Arial Narrow"/>
              </w:rPr>
            </w:pPr>
            <w:r w:rsidRPr="008D797E">
              <w:rPr>
                <w:rFonts w:ascii="Arial Narrow" w:hAnsi="Arial Narrow"/>
              </w:rPr>
              <w:t>20%</w:t>
            </w:r>
          </w:p>
        </w:tc>
        <w:tc>
          <w:tcPr>
            <w:tcW w:w="2410" w:type="dxa"/>
          </w:tcPr>
          <w:p w:rsidR="002F002F" w:rsidRPr="008D797E" w:rsidRDefault="002F002F" w:rsidP="002F002F">
            <w:pPr>
              <w:pStyle w:val="TableText1"/>
              <w:keepNext/>
              <w:keepLines/>
              <w:spacing w:before="40" w:after="40"/>
              <w:jc w:val="center"/>
              <w:rPr>
                <w:rFonts w:ascii="Arial Narrow" w:hAnsi="Arial Narrow"/>
              </w:rPr>
            </w:pPr>
            <w:r w:rsidRPr="008D797E">
              <w:rPr>
                <w:rFonts w:ascii="Arial Narrow" w:hAnsi="Arial Narrow"/>
              </w:rPr>
              <w:t>6%</w:t>
            </w:r>
          </w:p>
        </w:tc>
        <w:tc>
          <w:tcPr>
            <w:tcW w:w="3118" w:type="dxa"/>
          </w:tcPr>
          <w:p w:rsidR="002F002F" w:rsidRPr="008D797E" w:rsidRDefault="002F002F" w:rsidP="002F002F">
            <w:pPr>
              <w:pStyle w:val="TableText1"/>
              <w:keepNext/>
              <w:keepLines/>
              <w:spacing w:before="40" w:after="40"/>
              <w:jc w:val="center"/>
              <w:rPr>
                <w:rFonts w:ascii="Arial Narrow" w:hAnsi="Arial Narrow"/>
              </w:rPr>
            </w:pPr>
            <w:r w:rsidRPr="008D797E">
              <w:rPr>
                <w:rFonts w:ascii="Arial Narrow" w:hAnsi="Arial Narrow"/>
              </w:rPr>
              <w:t>6%</w:t>
            </w:r>
          </w:p>
        </w:tc>
      </w:tr>
      <w:tr w:rsidR="002F002F" w:rsidRPr="008D797E" w:rsidTr="0069246C">
        <w:tc>
          <w:tcPr>
            <w:tcW w:w="2121" w:type="dxa"/>
            <w:shd w:val="clear" w:color="auto" w:fill="FFFFFF" w:themeFill="background1"/>
          </w:tcPr>
          <w:p w:rsidR="002F002F" w:rsidRPr="008D797E" w:rsidRDefault="002F002F" w:rsidP="003028C8">
            <w:pPr>
              <w:pStyle w:val="TableText1"/>
              <w:keepNext/>
              <w:keepLines/>
              <w:spacing w:before="40" w:after="40"/>
              <w:rPr>
                <w:rFonts w:ascii="Arial Narrow" w:hAnsi="Arial Narrow"/>
              </w:rPr>
            </w:pPr>
            <w:r w:rsidRPr="008D797E">
              <w:rPr>
                <w:rFonts w:ascii="Arial Narrow" w:hAnsi="Arial Narrow"/>
              </w:rPr>
              <w:t>Docetaxel</w:t>
            </w:r>
          </w:p>
        </w:tc>
        <w:tc>
          <w:tcPr>
            <w:tcW w:w="1418" w:type="dxa"/>
            <w:shd w:val="clear" w:color="auto" w:fill="FFFFFF" w:themeFill="background1"/>
          </w:tcPr>
          <w:p w:rsidR="002F002F" w:rsidRPr="008D797E" w:rsidRDefault="002F002F" w:rsidP="002F002F">
            <w:pPr>
              <w:pStyle w:val="TableText1"/>
              <w:keepNext/>
              <w:keepLines/>
              <w:spacing w:before="40" w:after="40"/>
              <w:jc w:val="center"/>
              <w:rPr>
                <w:rFonts w:ascii="Arial Narrow" w:hAnsi="Arial Narrow"/>
              </w:rPr>
            </w:pPr>
            <w:r w:rsidRPr="008D797E">
              <w:rPr>
                <w:rFonts w:ascii="Arial Narrow" w:hAnsi="Arial Narrow"/>
              </w:rPr>
              <w:t>2%</w:t>
            </w:r>
          </w:p>
        </w:tc>
        <w:tc>
          <w:tcPr>
            <w:tcW w:w="2410" w:type="dxa"/>
            <w:shd w:val="clear" w:color="auto" w:fill="FFFFFF" w:themeFill="background1"/>
          </w:tcPr>
          <w:p w:rsidR="002F002F" w:rsidRPr="008D797E" w:rsidRDefault="002F002F" w:rsidP="002F002F">
            <w:pPr>
              <w:pStyle w:val="TableText1"/>
              <w:keepNext/>
              <w:keepLines/>
              <w:spacing w:before="40" w:after="40"/>
              <w:jc w:val="center"/>
              <w:rPr>
                <w:rFonts w:ascii="Arial Narrow" w:hAnsi="Arial Narrow"/>
              </w:rPr>
            </w:pPr>
            <w:r w:rsidRPr="008D797E">
              <w:rPr>
                <w:rFonts w:ascii="Arial Narrow" w:hAnsi="Arial Narrow"/>
              </w:rPr>
              <w:t>2%</w:t>
            </w:r>
          </w:p>
        </w:tc>
        <w:tc>
          <w:tcPr>
            <w:tcW w:w="3118" w:type="dxa"/>
            <w:shd w:val="clear" w:color="auto" w:fill="FFFFFF" w:themeFill="background1"/>
          </w:tcPr>
          <w:p w:rsidR="002F002F" w:rsidRPr="008D797E" w:rsidRDefault="002F002F" w:rsidP="002F002F">
            <w:pPr>
              <w:pStyle w:val="TableText1"/>
              <w:keepNext/>
              <w:keepLines/>
              <w:spacing w:before="40" w:after="40"/>
              <w:jc w:val="center"/>
              <w:rPr>
                <w:rFonts w:ascii="Arial Narrow" w:hAnsi="Arial Narrow"/>
              </w:rPr>
            </w:pPr>
            <w:r w:rsidRPr="008D797E">
              <w:rPr>
                <w:rFonts w:ascii="Arial Narrow" w:hAnsi="Arial Narrow"/>
              </w:rPr>
              <w:t>2%</w:t>
            </w:r>
          </w:p>
        </w:tc>
      </w:tr>
      <w:tr w:rsidR="002F002F" w:rsidRPr="008D797E" w:rsidTr="0069246C">
        <w:tc>
          <w:tcPr>
            <w:tcW w:w="2121" w:type="dxa"/>
          </w:tcPr>
          <w:p w:rsidR="002F002F" w:rsidRPr="008D797E" w:rsidRDefault="002F002F" w:rsidP="003028C8">
            <w:pPr>
              <w:pStyle w:val="TableText1"/>
              <w:keepNext/>
              <w:keepLines/>
              <w:spacing w:before="40" w:after="40"/>
              <w:rPr>
                <w:rFonts w:ascii="Arial Narrow" w:hAnsi="Arial Narrow"/>
                <w:b/>
              </w:rPr>
            </w:pPr>
            <w:r w:rsidRPr="008D797E">
              <w:rPr>
                <w:rFonts w:ascii="Arial Narrow" w:hAnsi="Arial Narrow"/>
                <w:b/>
              </w:rPr>
              <w:t>Total</w:t>
            </w:r>
          </w:p>
        </w:tc>
        <w:tc>
          <w:tcPr>
            <w:tcW w:w="1418" w:type="dxa"/>
          </w:tcPr>
          <w:p w:rsidR="002F002F" w:rsidRPr="008D797E" w:rsidRDefault="002F002F" w:rsidP="003028C8">
            <w:pPr>
              <w:pStyle w:val="TableText1"/>
              <w:keepNext/>
              <w:keepLines/>
              <w:spacing w:before="40" w:after="40"/>
              <w:jc w:val="center"/>
              <w:rPr>
                <w:rFonts w:ascii="Arial Narrow" w:hAnsi="Arial Narrow"/>
                <w:b/>
              </w:rPr>
            </w:pPr>
            <w:r w:rsidRPr="008D797E">
              <w:rPr>
                <w:rFonts w:ascii="Arial Narrow" w:hAnsi="Arial Narrow"/>
                <w:b/>
              </w:rPr>
              <w:t>47%</w:t>
            </w:r>
          </w:p>
        </w:tc>
        <w:tc>
          <w:tcPr>
            <w:tcW w:w="2410" w:type="dxa"/>
          </w:tcPr>
          <w:p w:rsidR="002F002F" w:rsidRPr="008D797E" w:rsidRDefault="002F002F" w:rsidP="003028C8">
            <w:pPr>
              <w:pStyle w:val="TableText1"/>
              <w:keepNext/>
              <w:keepLines/>
              <w:spacing w:before="40" w:after="40"/>
              <w:jc w:val="center"/>
              <w:rPr>
                <w:rFonts w:ascii="Arial Narrow" w:hAnsi="Arial Narrow"/>
                <w:b/>
              </w:rPr>
            </w:pPr>
            <w:r w:rsidRPr="008D797E">
              <w:rPr>
                <w:rFonts w:ascii="Arial Narrow" w:hAnsi="Arial Narrow"/>
                <w:b/>
              </w:rPr>
              <w:t>34%</w:t>
            </w:r>
          </w:p>
        </w:tc>
        <w:tc>
          <w:tcPr>
            <w:tcW w:w="3118" w:type="dxa"/>
          </w:tcPr>
          <w:p w:rsidR="002F002F" w:rsidRPr="008D797E" w:rsidRDefault="002F002F" w:rsidP="003028C8">
            <w:pPr>
              <w:pStyle w:val="TableText1"/>
              <w:keepNext/>
              <w:keepLines/>
              <w:spacing w:before="40" w:after="40"/>
              <w:jc w:val="center"/>
              <w:rPr>
                <w:rFonts w:ascii="Arial Narrow" w:hAnsi="Arial Narrow"/>
                <w:b/>
              </w:rPr>
            </w:pPr>
            <w:r w:rsidRPr="008D797E">
              <w:rPr>
                <w:rFonts w:ascii="Arial Narrow" w:hAnsi="Arial Narrow"/>
                <w:b/>
              </w:rPr>
              <w:t>20%</w:t>
            </w:r>
          </w:p>
        </w:tc>
      </w:tr>
    </w:tbl>
    <w:p w:rsidR="002F002F" w:rsidRPr="008D797E" w:rsidRDefault="002F002F" w:rsidP="002F002F">
      <w:pPr>
        <w:pStyle w:val="TableFigureFooter"/>
      </w:pPr>
      <w:r w:rsidRPr="008D797E">
        <w:t>Source: Data extracted from slide 19, METIS quantitative marketing research report, August 2020. Totals calculated during the evaluation.</w:t>
      </w:r>
    </w:p>
    <w:p w:rsidR="002F002F" w:rsidRPr="008D797E" w:rsidRDefault="002F002F" w:rsidP="002F002F">
      <w:pPr>
        <w:pStyle w:val="TableFigureFooter"/>
      </w:pPr>
      <w:r w:rsidRPr="008D797E">
        <w:t>mTNBC = metastatic triple-negative breast cancer; Nab-P = nanoparticle albumin-bound paclitaxel.</w:t>
      </w:r>
    </w:p>
    <w:p w:rsidR="00316D42" w:rsidRPr="008D797E" w:rsidRDefault="00514C00" w:rsidP="005544A3">
      <w:pPr>
        <w:pStyle w:val="3-BodyText"/>
        <w:rPr>
          <w:iCs/>
        </w:rPr>
      </w:pPr>
      <w:r w:rsidRPr="008D797E">
        <w:rPr>
          <w:iCs/>
        </w:rPr>
        <w:t xml:space="preserve">The greatest taxane use was in de novo mTNBC, where 47% of patients were expected to receive a taxane; these patients represent less than 10% of the target population (patients with BRCA1/2 </w:t>
      </w:r>
      <w:r w:rsidR="0016432F" w:rsidRPr="008D797E">
        <w:rPr>
          <w:iCs/>
        </w:rPr>
        <w:t>pathogenic variants</w:t>
      </w:r>
      <w:r w:rsidRPr="008D797E">
        <w:rPr>
          <w:iCs/>
        </w:rPr>
        <w:t xml:space="preserve">, who form part of the de novo mTNBC </w:t>
      </w:r>
      <w:r w:rsidRPr="008D797E">
        <w:rPr>
          <w:iCs/>
        </w:rPr>
        <w:lastRenderedPageBreak/>
        <w:t xml:space="preserve">group, are treated differently). </w:t>
      </w:r>
      <w:r w:rsidR="005C3C33" w:rsidRPr="008D797E">
        <w:rPr>
          <w:iCs/>
        </w:rPr>
        <w:t>According to the original submission’s METIS market research, conducted in 2019, approximately 95% of relapsed mTNBC patients would have received a prior taxa</w:t>
      </w:r>
      <w:r w:rsidR="002C028C" w:rsidRPr="008D797E">
        <w:rPr>
          <w:iCs/>
        </w:rPr>
        <w:t>ne in the (neo)adjuvant setting</w:t>
      </w:r>
      <w:r w:rsidR="005C3C33" w:rsidRPr="008D797E">
        <w:rPr>
          <w:iCs/>
        </w:rPr>
        <w:t>.</w:t>
      </w:r>
    </w:p>
    <w:p w:rsidR="00316D42" w:rsidRPr="006E5C4D" w:rsidRDefault="00EA35CA" w:rsidP="00316D42">
      <w:pPr>
        <w:pStyle w:val="3-BodyText"/>
        <w:rPr>
          <w:snapToGrid/>
        </w:rPr>
      </w:pPr>
      <w:r w:rsidRPr="006E5C4D">
        <w:rPr>
          <w:snapToGrid/>
        </w:rPr>
        <w:t xml:space="preserve">Nab-P likely represents </w:t>
      </w:r>
      <w:r w:rsidR="00547D9A" w:rsidRPr="006E5C4D">
        <w:rPr>
          <w:snapToGrid/>
        </w:rPr>
        <w:t>sub-optimal</w:t>
      </w:r>
      <w:r w:rsidRPr="006E5C4D">
        <w:rPr>
          <w:snapToGrid/>
        </w:rPr>
        <w:t xml:space="preserve"> treatment for patients with BRCA1/2 </w:t>
      </w:r>
      <w:r w:rsidR="0016432F" w:rsidRPr="006E5C4D">
        <w:rPr>
          <w:snapToGrid/>
        </w:rPr>
        <w:t>pathogenic variants</w:t>
      </w:r>
      <w:r w:rsidRPr="006E5C4D">
        <w:rPr>
          <w:snapToGrid/>
        </w:rPr>
        <w:t xml:space="preserve"> who have relapsed after 12+ months following completion of (neo)adjuvant taxane</w:t>
      </w:r>
      <w:r w:rsidR="002A64E2" w:rsidRPr="006E5C4D">
        <w:rPr>
          <w:snapToGrid/>
        </w:rPr>
        <w:t xml:space="preserve"> therapy</w:t>
      </w:r>
      <w:r w:rsidRPr="006E5C4D">
        <w:rPr>
          <w:snapToGrid/>
        </w:rPr>
        <w:t xml:space="preserve">; </w:t>
      </w:r>
      <w:r w:rsidRPr="006E5C4D">
        <w:t>international guidelines (</w:t>
      </w:r>
      <w:r w:rsidR="007B003F" w:rsidRPr="006E5C4D">
        <w:t>the Arbeitsgemeinschaft Gynäkologische Onkologie (</w:t>
      </w:r>
      <w:r w:rsidRPr="006E5C4D">
        <w:t>AGO</w:t>
      </w:r>
      <w:r w:rsidR="007B003F" w:rsidRPr="006E5C4D">
        <w:t>)</w:t>
      </w:r>
      <w:r w:rsidR="00547D9A" w:rsidRPr="006E5C4D">
        <w:rPr>
          <w:rStyle w:val="FootnoteReference"/>
        </w:rPr>
        <w:footnoteReference w:id="1"/>
      </w:r>
      <w:r w:rsidRPr="006E5C4D">
        <w:t>,</w:t>
      </w:r>
      <w:r w:rsidR="007B003F" w:rsidRPr="006E5C4D">
        <w:t xml:space="preserve"> the </w:t>
      </w:r>
      <w:r w:rsidR="007B003F" w:rsidRPr="006E5C4D">
        <w:rPr>
          <w:iCs/>
        </w:rPr>
        <w:t xml:space="preserve">European Society for Medical Oncology </w:t>
      </w:r>
      <w:r w:rsidR="007B003F" w:rsidRPr="006E5C4D">
        <w:t>(</w:t>
      </w:r>
      <w:r w:rsidRPr="006E5C4D">
        <w:t>ESMO</w:t>
      </w:r>
      <w:r w:rsidR="007B003F" w:rsidRPr="006E5C4D">
        <w:t>)</w:t>
      </w:r>
      <w:r w:rsidR="00547D9A" w:rsidRPr="006E5C4D">
        <w:rPr>
          <w:rStyle w:val="FootnoteReference"/>
        </w:rPr>
        <w:footnoteReference w:id="2"/>
      </w:r>
      <w:r w:rsidRPr="006E5C4D">
        <w:t>) recommend platinum-containing chemotherapy regimens if not previously administered, or a poly-ADP ribose polymerase (PARP) inhibitor (NCCN</w:t>
      </w:r>
      <w:r w:rsidR="000028AB" w:rsidRPr="006E5C4D">
        <w:rPr>
          <w:rStyle w:val="FootnoteReference"/>
        </w:rPr>
        <w:footnoteReference w:id="3"/>
      </w:r>
      <w:r w:rsidRPr="006E5C4D">
        <w:t xml:space="preserve">). This is consistent with the </w:t>
      </w:r>
      <w:r w:rsidR="00F76F2B" w:rsidRPr="006E5C4D">
        <w:t xml:space="preserve">resubmission’s </w:t>
      </w:r>
      <w:r w:rsidRPr="006E5C4D">
        <w:t>METIS market research</w:t>
      </w:r>
      <w:r w:rsidR="000028AB" w:rsidRPr="006E5C4D">
        <w:t>,</w:t>
      </w:r>
      <w:r w:rsidRPr="006E5C4D">
        <w:t xml:space="preserve"> which showed </w:t>
      </w:r>
      <w:r w:rsidR="000028AB" w:rsidRPr="006E5C4D">
        <w:t xml:space="preserve">that, </w:t>
      </w:r>
      <w:r w:rsidRPr="006E5C4D">
        <w:t>in Austr</w:t>
      </w:r>
      <w:r w:rsidR="000028AB" w:rsidRPr="006E5C4D">
        <w:t xml:space="preserve">alia, carboplatin is the most commonly </w:t>
      </w:r>
      <w:r w:rsidRPr="006E5C4D">
        <w:t>prescribed treatment in this population</w:t>
      </w:r>
      <w:r w:rsidR="000028AB" w:rsidRPr="006E5C4D">
        <w:t xml:space="preserve"> (</w:t>
      </w:r>
      <w:r w:rsidRPr="006E5C4D">
        <w:t>43% of patients</w:t>
      </w:r>
      <w:r w:rsidR="000028AB" w:rsidRPr="006E5C4D">
        <w:t>), with</w:t>
      </w:r>
      <w:r w:rsidRPr="006E5C4D">
        <w:t xml:space="preserve"> nab-P</w:t>
      </w:r>
      <w:r w:rsidR="000028AB" w:rsidRPr="006E5C4D">
        <w:t xml:space="preserve"> only being</w:t>
      </w:r>
      <w:r w:rsidRPr="006E5C4D">
        <w:t xml:space="preserve"> used in </w:t>
      </w:r>
      <w:r w:rsidR="000028AB" w:rsidRPr="006E5C4D">
        <w:t xml:space="preserve">approximately </w:t>
      </w:r>
      <w:r w:rsidRPr="006E5C4D">
        <w:t>12% of patients.</w:t>
      </w:r>
    </w:p>
    <w:p w:rsidR="00316D42" w:rsidRPr="008D797E" w:rsidRDefault="00316D42" w:rsidP="00316D42">
      <w:pPr>
        <w:pStyle w:val="3-BodyText"/>
        <w:rPr>
          <w:i/>
        </w:rPr>
      </w:pPr>
      <w:r w:rsidRPr="008D797E">
        <w:t xml:space="preserve">The </w:t>
      </w:r>
      <w:r w:rsidR="00501084" w:rsidRPr="008D797E">
        <w:t xml:space="preserve">ESC agreed with the commentary that the </w:t>
      </w:r>
      <w:r w:rsidRPr="008D797E">
        <w:t xml:space="preserve">resubmission’s argument does not justify the selection of nab-P as the primary comparator. To ensure each patient receives optimal therapy, this </w:t>
      </w:r>
      <w:r w:rsidRPr="006E5C4D">
        <w:t xml:space="preserve">heterogeneous </w:t>
      </w:r>
      <w:r w:rsidRPr="008D797E">
        <w:t>population</w:t>
      </w:r>
      <w:r w:rsidRPr="006E5C4D">
        <w:t xml:space="preserve"> requires tailored treatment. The PBAC previously considered that the most appropriate comparator would be physician choice (para 7.6, atezolizumab PSD, March 2020 PBAC meeting). This is not an unusual comparator in this population, and has been used in other clinical trials for this disease</w:t>
      </w:r>
      <w:r w:rsidRPr="006E5C4D">
        <w:rPr>
          <w:rStyle w:val="FootnoteReference"/>
          <w:iCs/>
        </w:rPr>
        <w:footnoteReference w:id="4"/>
      </w:r>
      <w:r w:rsidRPr="006E5C4D">
        <w:rPr>
          <w:snapToGrid/>
        </w:rPr>
        <w:t>.</w:t>
      </w:r>
      <w:r w:rsidR="00A30BA2" w:rsidRPr="006E5C4D">
        <w:rPr>
          <w:snapToGrid/>
        </w:rPr>
        <w:t xml:space="preserve"> The PSCR</w:t>
      </w:r>
      <w:r w:rsidR="001E5C43">
        <w:rPr>
          <w:snapToGrid/>
        </w:rPr>
        <w:t xml:space="preserve"> </w:t>
      </w:r>
      <w:r w:rsidR="00A30BA2" w:rsidRPr="006E5C4D">
        <w:rPr>
          <w:snapToGrid/>
        </w:rPr>
        <w:t>argued that no individual chemotherapy regime has demonstrated clear superiority in this setting and g</w:t>
      </w:r>
      <w:r w:rsidR="00A30BA2" w:rsidRPr="008D797E">
        <w:rPr>
          <w:rFonts w:ascii="Calibri" w:hAnsi="Calibri" w:cs="Calibri"/>
          <w:bCs/>
          <w:lang w:eastAsia="en-US"/>
        </w:rPr>
        <w:t xml:space="preserve">iven that nab-P is prescribed for the largest number of patients in the target population, it is appropriate for the main comparator in this resubmission to be nab-P. The ESC noted that </w:t>
      </w:r>
      <w:r w:rsidR="00A30BA2" w:rsidRPr="006E5C4D">
        <w:rPr>
          <w:rFonts w:ascii="Calibri" w:hAnsi="Calibri" w:cs="Calibri"/>
          <w:bCs/>
          <w:iCs/>
          <w:lang w:eastAsia="en-US"/>
        </w:rPr>
        <w:t>platinum-based chemotherapy has demonstrated superiority to other treatments in patients with BRCA1/2 pathological variants, which make up approximately 17% of the target population. Furthermore, the fact that METIS survey data show oncologists only selected tax</w:t>
      </w:r>
      <w:r w:rsidR="00501084" w:rsidRPr="006E5C4D">
        <w:rPr>
          <w:rFonts w:ascii="Calibri" w:hAnsi="Calibri" w:cs="Calibri"/>
          <w:bCs/>
          <w:iCs/>
          <w:lang w:eastAsia="en-US"/>
        </w:rPr>
        <w:t>ane therapy in approximately one third</w:t>
      </w:r>
      <w:r w:rsidR="00A30BA2" w:rsidRPr="006E5C4D">
        <w:rPr>
          <w:rFonts w:ascii="Calibri" w:hAnsi="Calibri" w:cs="Calibri"/>
          <w:bCs/>
          <w:iCs/>
          <w:lang w:eastAsia="en-US"/>
        </w:rPr>
        <w:t xml:space="preserve"> of the target population suggests that the other therapies may confer a benefit not offered by taxane therapy, be it improved safety profiles or consideration of prior therapies (e.g. anthracycline-naïve).</w:t>
      </w:r>
      <w:r w:rsidR="001769A6" w:rsidRPr="006E5C4D">
        <w:rPr>
          <w:rFonts w:ascii="Calibri" w:hAnsi="Calibri" w:cs="Calibri"/>
          <w:bCs/>
          <w:iCs/>
          <w:lang w:eastAsia="en-US"/>
        </w:rPr>
        <w:t xml:space="preserve"> Overall the ESC considered that the evidence presented supported physician choice as the most appropriate comparator as previously advised by the PBAC.</w:t>
      </w:r>
      <w:r w:rsidR="00501084" w:rsidRPr="006E5C4D">
        <w:rPr>
          <w:rFonts w:ascii="Calibri" w:hAnsi="Calibri" w:cs="Calibri"/>
          <w:bCs/>
          <w:iCs/>
          <w:lang w:eastAsia="en-US"/>
        </w:rPr>
        <w:t xml:space="preserve"> </w:t>
      </w:r>
      <w:r w:rsidR="00CB1AA9" w:rsidRPr="006E5C4D">
        <w:rPr>
          <w:rFonts w:ascii="Calibri" w:hAnsi="Calibri" w:cs="Calibri"/>
          <w:bCs/>
          <w:iCs/>
          <w:lang w:eastAsia="en-US"/>
        </w:rPr>
        <w:t xml:space="preserve">The ESC considered that the impact on translation of effect estimates for the comparison </w:t>
      </w:r>
      <w:r w:rsidR="00CB1AA9" w:rsidRPr="006E5C4D">
        <w:rPr>
          <w:rFonts w:ascii="Calibri" w:hAnsi="Calibri" w:cs="Calibri"/>
          <w:bCs/>
          <w:iCs/>
          <w:lang w:eastAsia="en-US"/>
        </w:rPr>
        <w:lastRenderedPageBreak/>
        <w:t xml:space="preserve">presented </w:t>
      </w:r>
      <w:r w:rsidR="008E1AAA" w:rsidRPr="006E5C4D">
        <w:rPr>
          <w:rFonts w:ascii="Calibri" w:hAnsi="Calibri" w:cs="Calibri"/>
          <w:bCs/>
          <w:iCs/>
          <w:lang w:eastAsia="en-US"/>
        </w:rPr>
        <w:t xml:space="preserve">(ATZ versus nab-P) </w:t>
      </w:r>
      <w:r w:rsidR="00CB1AA9" w:rsidRPr="006E5C4D">
        <w:rPr>
          <w:rFonts w:ascii="Calibri" w:hAnsi="Calibri" w:cs="Calibri"/>
          <w:bCs/>
          <w:iCs/>
          <w:lang w:eastAsia="en-US"/>
        </w:rPr>
        <w:t xml:space="preserve">to Australian clinical practice </w:t>
      </w:r>
      <w:r w:rsidR="008E1AAA" w:rsidRPr="006E5C4D">
        <w:rPr>
          <w:rFonts w:ascii="Calibri" w:hAnsi="Calibri" w:cs="Calibri"/>
          <w:bCs/>
          <w:iCs/>
          <w:lang w:eastAsia="en-US"/>
        </w:rPr>
        <w:t>(ATZ versus physician choice) was</w:t>
      </w:r>
      <w:r w:rsidR="00CB1AA9" w:rsidRPr="006E5C4D">
        <w:rPr>
          <w:rFonts w:ascii="Calibri" w:hAnsi="Calibri" w:cs="Calibri"/>
          <w:bCs/>
          <w:iCs/>
          <w:lang w:eastAsia="en-US"/>
        </w:rPr>
        <w:t xml:space="preserve"> unclear.</w:t>
      </w:r>
    </w:p>
    <w:p w:rsidR="00EA35CA" w:rsidRPr="006E5C4D" w:rsidRDefault="00EA35CA" w:rsidP="009A4D5F">
      <w:pPr>
        <w:pStyle w:val="3-BodyText"/>
        <w:rPr>
          <w:snapToGrid/>
        </w:rPr>
      </w:pPr>
      <w:r w:rsidRPr="006E5C4D">
        <w:t>The resubmission acknowledged that the PARP inhibitor talazoparib may be a near market comparator</w:t>
      </w:r>
      <w:r w:rsidR="00514C00" w:rsidRPr="006E5C4D">
        <w:t>,</w:t>
      </w:r>
      <w:r w:rsidRPr="006E5C4D">
        <w:t xml:space="preserve"> however it did not consider it relevant for the target Australian population, as talazoparib was rejected </w:t>
      </w:r>
      <w:r w:rsidR="002A64E2" w:rsidRPr="006E5C4D">
        <w:t>at</w:t>
      </w:r>
      <w:r w:rsidRPr="006E5C4D">
        <w:t xml:space="preserve"> the November 2019 PBAC meeting</w:t>
      </w:r>
      <w:r w:rsidR="000028AB" w:rsidRPr="006E5C4D">
        <w:t>.</w:t>
      </w:r>
      <w:r w:rsidR="0068004F" w:rsidRPr="006E5C4D">
        <w:t xml:space="preserve"> Also, in November 2020, the </w:t>
      </w:r>
      <w:r w:rsidR="009A4D5F" w:rsidRPr="006E5C4D">
        <w:t>FDA</w:t>
      </w:r>
      <w:r w:rsidR="0068004F" w:rsidRPr="006E5C4D">
        <w:t xml:space="preserve"> granted accelerated approval for pembrolizumab plus chemotherapy for use in the untreated mTNBC population, based on recently </w:t>
      </w:r>
      <w:r w:rsidR="00F06DCE" w:rsidRPr="006E5C4D">
        <w:t>published</w:t>
      </w:r>
      <w:r w:rsidR="0068004F" w:rsidRPr="006E5C4D">
        <w:t xml:space="preserve"> </w:t>
      </w:r>
      <w:r w:rsidR="009010E7" w:rsidRPr="006E5C4D">
        <w:t>early efficacy data</w:t>
      </w:r>
      <w:r w:rsidR="0068004F" w:rsidRPr="006E5C4D">
        <w:rPr>
          <w:rStyle w:val="FootnoteReference"/>
        </w:rPr>
        <w:footnoteReference w:id="5"/>
      </w:r>
      <w:r w:rsidR="009A4D5F" w:rsidRPr="006E5C4D">
        <w:t>; this trial allowed physician’s choice of three comparator chemotherapies (</w:t>
      </w:r>
      <w:r w:rsidR="00EE1A65" w:rsidRPr="006E5C4D">
        <w:t>nab-paclitaxel;</w:t>
      </w:r>
      <w:r w:rsidR="009A4D5F" w:rsidRPr="006E5C4D">
        <w:t xml:space="preserve"> paclitaxel</w:t>
      </w:r>
      <w:r w:rsidR="00EE1A65" w:rsidRPr="006E5C4D">
        <w:t>;</w:t>
      </w:r>
      <w:r w:rsidR="009A4D5F" w:rsidRPr="006E5C4D">
        <w:t xml:space="preserve"> or gemcitabine plus carboplatin).</w:t>
      </w:r>
    </w:p>
    <w:p w:rsidR="007B3A84" w:rsidRPr="008D797E" w:rsidRDefault="007B3A84" w:rsidP="007B3A84">
      <w:pPr>
        <w:rPr>
          <w:i/>
        </w:rPr>
      </w:pPr>
      <w:r w:rsidRPr="008D797E">
        <w:rPr>
          <w:i/>
        </w:rPr>
        <w:t>For more detail on PBAC’s view, see section 7 PBAC outcome.</w:t>
      </w:r>
    </w:p>
    <w:p w:rsidR="00F25292" w:rsidRPr="008D797E" w:rsidRDefault="00F25292" w:rsidP="00BF7C75">
      <w:pPr>
        <w:pStyle w:val="2-SectionHeading"/>
      </w:pPr>
      <w:bookmarkStart w:id="15" w:name="_Toc61964997"/>
      <w:r w:rsidRPr="008D797E">
        <w:t>Consideration of the evidence</w:t>
      </w:r>
      <w:bookmarkEnd w:id="15"/>
    </w:p>
    <w:p w:rsidR="007B3A84" w:rsidRPr="00115C2F" w:rsidRDefault="007B3A84" w:rsidP="007B3A84">
      <w:pPr>
        <w:pStyle w:val="4-SubsectionHeading"/>
      </w:pPr>
      <w:bookmarkStart w:id="16" w:name="_Toc58854758"/>
      <w:bookmarkStart w:id="17" w:name="_Toc61964998"/>
      <w:bookmarkStart w:id="18" w:name="_Toc22897645"/>
      <w:bookmarkEnd w:id="13"/>
      <w:r w:rsidRPr="00115C2F">
        <w:t>Sponsor hearing</w:t>
      </w:r>
    </w:p>
    <w:p w:rsidR="007B3A84" w:rsidRPr="008D797E" w:rsidRDefault="007B3A84" w:rsidP="007B3A84">
      <w:pPr>
        <w:widowControl w:val="0"/>
        <w:numPr>
          <w:ilvl w:val="1"/>
          <w:numId w:val="1"/>
        </w:numPr>
        <w:spacing w:after="120"/>
        <w:rPr>
          <w:rFonts w:asciiTheme="minorHAnsi" w:hAnsiTheme="minorHAnsi"/>
          <w:bCs/>
          <w:snapToGrid w:val="0"/>
        </w:rPr>
      </w:pPr>
      <w:r w:rsidRPr="008D797E">
        <w:rPr>
          <w:rFonts w:asciiTheme="minorHAnsi" w:hAnsiTheme="minorHAnsi"/>
          <w:bCs/>
          <w:snapToGrid w:val="0"/>
        </w:rPr>
        <w:t>There was no hearing for this item.</w:t>
      </w:r>
    </w:p>
    <w:p w:rsidR="007B3A84" w:rsidRPr="008D797E" w:rsidRDefault="007B3A84" w:rsidP="007B3A84">
      <w:pPr>
        <w:pStyle w:val="4-SubsectionHeading"/>
      </w:pPr>
      <w:r w:rsidRPr="008D797E">
        <w:t>Consumer comments</w:t>
      </w:r>
    </w:p>
    <w:p w:rsidR="007B3A84" w:rsidRPr="008D797E" w:rsidRDefault="007B3A84" w:rsidP="008844D5">
      <w:pPr>
        <w:widowControl w:val="0"/>
        <w:numPr>
          <w:ilvl w:val="1"/>
          <w:numId w:val="1"/>
        </w:numPr>
        <w:spacing w:after="120"/>
        <w:rPr>
          <w:rFonts w:asciiTheme="minorHAnsi" w:hAnsiTheme="minorHAnsi"/>
          <w:bCs/>
          <w:snapToGrid w:val="0"/>
        </w:rPr>
      </w:pPr>
      <w:r w:rsidRPr="008D797E">
        <w:rPr>
          <w:rFonts w:asciiTheme="minorHAnsi" w:hAnsiTheme="minorHAnsi"/>
          <w:bCs/>
          <w:snapToGrid w:val="0"/>
        </w:rPr>
        <w:t>The PBAC noted and welcomed the input from individuals (1), health care professionals (7) and organisations (2) via the Consumer Comments facility on the PBS website</w:t>
      </w:r>
      <w:r w:rsidR="008D797E">
        <w:rPr>
          <w:rFonts w:asciiTheme="minorHAnsi" w:hAnsiTheme="minorHAnsi"/>
          <w:bCs/>
          <w:snapToGrid w:val="0"/>
        </w:rPr>
        <w:t xml:space="preserve">. </w:t>
      </w:r>
      <w:r w:rsidR="00A2186D" w:rsidRPr="008D797E">
        <w:rPr>
          <w:snapToGrid w:val="0"/>
        </w:rPr>
        <w:t>The health care professional comments outlined the clinical need for access to effective medicines for patients with TNBC as it is an aggressive form of breast cancer resulting in short life expectancy and there are currently no other targeted treatments or immunotherapies available. Health ca</w:t>
      </w:r>
      <w:r w:rsidR="00A2186D" w:rsidRPr="00115C2F">
        <w:rPr>
          <w:snapToGrid w:val="0"/>
        </w:rPr>
        <w:t xml:space="preserve">re professionals also noted that TNBC disproportionately </w:t>
      </w:r>
      <w:r w:rsidR="00A2186D" w:rsidRPr="008D797E">
        <w:rPr>
          <w:snapToGrid w:val="0"/>
        </w:rPr>
        <w:t xml:space="preserve">affects younger patients and that the majority of patients cannot afford to self-fund treatment with atezolizumab. The comments described the trial evidence for atezolizumab, which health care professionals considered showed that atezolizumab has the potential to improve patient quality of life, and for </w:t>
      </w:r>
      <w:r w:rsidR="008C1937" w:rsidRPr="008D797E">
        <w:rPr>
          <w:snapToGrid w:val="0"/>
        </w:rPr>
        <w:t>a subset of</w:t>
      </w:r>
      <w:r w:rsidR="00A2186D" w:rsidRPr="008D797E">
        <w:rPr>
          <w:snapToGrid w:val="0"/>
        </w:rPr>
        <w:t xml:space="preserve"> patients, to markedly improve overall survival, with minimal treatment related side effects.</w:t>
      </w:r>
      <w:r w:rsidR="00A2186D" w:rsidRPr="008D797E">
        <w:rPr>
          <w:rFonts w:asciiTheme="minorHAnsi" w:hAnsiTheme="minorHAnsi"/>
          <w:bCs/>
          <w:snapToGrid w:val="0"/>
        </w:rPr>
        <w:t xml:space="preserve"> </w:t>
      </w:r>
    </w:p>
    <w:p w:rsidR="00792017" w:rsidRPr="008D797E" w:rsidRDefault="00792017" w:rsidP="00405E55">
      <w:pPr>
        <w:pStyle w:val="3-BodyText"/>
      </w:pPr>
      <w:r w:rsidRPr="008D797E">
        <w:t>The PBAC noted the advice received from Breast Cancer Network Australia (BCNA) in support of listing atezolizumab on the PBS for treatment of patients with TNBC. BCNA noted that people with TNBC have poorer clinical outcomes than other subtypes of breast cancer and that chemotherapy has been the only systemic treatment available for these patients</w:t>
      </w:r>
      <w:r w:rsidR="00405E55" w:rsidRPr="008D797E">
        <w:t xml:space="preserve"> with atezolizumab being a new option for this group of patients</w:t>
      </w:r>
      <w:r w:rsidRPr="008D797E">
        <w:t xml:space="preserve">. BCNA noted the results of the IMpassion130 trial and reported that additional months of </w:t>
      </w:r>
      <w:r w:rsidR="00405E55" w:rsidRPr="008D797E">
        <w:t xml:space="preserve">both </w:t>
      </w:r>
      <w:r w:rsidRPr="008D797E">
        <w:t xml:space="preserve">PFS and OS are highly valued by patients and that patients are well-placed to </w:t>
      </w:r>
      <w:r w:rsidRPr="008D797E">
        <w:lastRenderedPageBreak/>
        <w:t>weigh potential benefits of treatment against possible adverse events associated with treatment.</w:t>
      </w:r>
    </w:p>
    <w:p w:rsidR="00A2186D" w:rsidRPr="008D797E" w:rsidRDefault="00A2186D" w:rsidP="00792017">
      <w:pPr>
        <w:pStyle w:val="3-BodyText"/>
      </w:pPr>
      <w:r w:rsidRPr="008D797E">
        <w:rPr>
          <w:bCs/>
        </w:rPr>
        <w:t xml:space="preserve">The Medical Oncology Group of Australia (MOGA) also expressed its support for the </w:t>
      </w:r>
      <w:r w:rsidR="00792017" w:rsidRPr="008D797E">
        <w:rPr>
          <w:bCs/>
        </w:rPr>
        <w:t>atezolizumab</w:t>
      </w:r>
      <w:r w:rsidRPr="008D797E">
        <w:rPr>
          <w:bCs/>
        </w:rPr>
        <w:t xml:space="preserve"> submission. The PBAC noted that the MOGA presented a European Society for Medical Oncology Magnitude of Clinical Benefit Scale (ESMO-MCBS) for </w:t>
      </w:r>
      <w:r w:rsidR="00792017" w:rsidRPr="008D797E">
        <w:rPr>
          <w:bCs/>
        </w:rPr>
        <w:t>atezolizumab + nab-P</w:t>
      </w:r>
      <w:r w:rsidRPr="008D797E">
        <w:rPr>
          <w:bCs/>
        </w:rPr>
        <w:t xml:space="preserve">, which was limited to </w:t>
      </w:r>
      <w:r w:rsidR="00792017" w:rsidRPr="008D797E">
        <w:rPr>
          <w:bCs/>
        </w:rPr>
        <w:t>4</w:t>
      </w:r>
      <w:r w:rsidRPr="008D797E">
        <w:rPr>
          <w:bCs/>
        </w:rPr>
        <w:t xml:space="preserve"> (out of a maximum of 5, where 5 and 4 represent the grades with substantial improvement)</w:t>
      </w:r>
      <w:r w:rsidR="00792017" w:rsidRPr="008D797E">
        <w:rPr>
          <w:rStyle w:val="FootnoteReference"/>
        </w:rPr>
        <w:t xml:space="preserve"> </w:t>
      </w:r>
      <w:r w:rsidR="00792017" w:rsidRPr="008D797E">
        <w:rPr>
          <w:rStyle w:val="FootnoteReference"/>
        </w:rPr>
        <w:footnoteReference w:id="6"/>
      </w:r>
      <w:r w:rsidRPr="008D797E">
        <w:rPr>
          <w:bCs/>
        </w:rPr>
        <w:t xml:space="preserve">, based on a comparison with </w:t>
      </w:r>
      <w:r w:rsidR="00792017" w:rsidRPr="008D797E">
        <w:rPr>
          <w:bCs/>
        </w:rPr>
        <w:t xml:space="preserve">nab-P alone in the pre-planned PD-L1 positive subgroup of the </w:t>
      </w:r>
      <w:r w:rsidR="008D797E" w:rsidRPr="008D797E">
        <w:rPr>
          <w:bCs/>
        </w:rPr>
        <w:t>I</w:t>
      </w:r>
      <w:r w:rsidR="008D797E">
        <w:rPr>
          <w:bCs/>
        </w:rPr>
        <w:t>M</w:t>
      </w:r>
      <w:r w:rsidR="008D797E" w:rsidRPr="008D797E">
        <w:rPr>
          <w:bCs/>
        </w:rPr>
        <w:t xml:space="preserve">passion130 </w:t>
      </w:r>
      <w:r w:rsidR="00792017" w:rsidRPr="008D797E">
        <w:rPr>
          <w:bCs/>
        </w:rPr>
        <w:t>trial</w:t>
      </w:r>
      <w:r w:rsidRPr="008D797E">
        <w:rPr>
          <w:bCs/>
        </w:rPr>
        <w:t xml:space="preserve">. </w:t>
      </w:r>
      <w:r w:rsidR="00792017" w:rsidRPr="008D797E">
        <w:rPr>
          <w:bCs/>
        </w:rPr>
        <w:t xml:space="preserve">MOGA noted the difference in OS was not tested for significance due to a pre-specified testing hierarchy (so </w:t>
      </w:r>
      <w:r w:rsidR="00792017" w:rsidRPr="00115C2F">
        <w:rPr>
          <w:bCs/>
        </w:rPr>
        <w:t>it was not technically eligible for an ESMO MCBS score based on OS), and atezolizumab + nab-</w:t>
      </w:r>
      <w:r w:rsidR="00792017" w:rsidRPr="008D797E">
        <w:rPr>
          <w:bCs/>
        </w:rPr>
        <w:t>P would score</w:t>
      </w:r>
      <w:r w:rsidR="008C1937" w:rsidRPr="008D797E">
        <w:rPr>
          <w:bCs/>
        </w:rPr>
        <w:t xml:space="preserve"> a 3 if PFS wa</w:t>
      </w:r>
      <w:r w:rsidR="00792017" w:rsidRPr="008D797E">
        <w:rPr>
          <w:bCs/>
        </w:rPr>
        <w:t xml:space="preserve">s used instead. </w:t>
      </w:r>
    </w:p>
    <w:p w:rsidR="00EA35CA" w:rsidRPr="008D797E" w:rsidRDefault="00EA35CA" w:rsidP="00F172BC">
      <w:pPr>
        <w:pStyle w:val="4-SubsectionHeading"/>
      </w:pPr>
      <w:r w:rsidRPr="008D797E">
        <w:t>Clinical trial</w:t>
      </w:r>
      <w:bookmarkEnd w:id="16"/>
      <w:bookmarkEnd w:id="17"/>
    </w:p>
    <w:p w:rsidR="000028AB" w:rsidRPr="008D797E" w:rsidRDefault="00EA35CA" w:rsidP="00EA35CA">
      <w:pPr>
        <w:numPr>
          <w:ilvl w:val="1"/>
          <w:numId w:val="1"/>
        </w:numPr>
        <w:spacing w:after="120"/>
        <w:rPr>
          <w:rFonts w:asciiTheme="minorHAnsi" w:hAnsiTheme="minorHAnsi"/>
          <w:snapToGrid w:val="0"/>
          <w:color w:val="0066FF"/>
        </w:rPr>
      </w:pPr>
      <w:r w:rsidRPr="006E5C4D">
        <w:rPr>
          <w:rFonts w:asciiTheme="minorHAnsi" w:hAnsiTheme="minorHAnsi"/>
        </w:rPr>
        <w:t xml:space="preserve">The resubmission was based on one head-to-head trial comparing ATZ+nab-P to </w:t>
      </w:r>
      <w:r w:rsidR="00CD46A7" w:rsidRPr="006E5C4D">
        <w:rPr>
          <w:rFonts w:asciiTheme="minorHAnsi" w:hAnsiTheme="minorHAnsi"/>
        </w:rPr>
        <w:t>PBO</w:t>
      </w:r>
      <w:r w:rsidR="000028AB" w:rsidRPr="006E5C4D">
        <w:rPr>
          <w:rFonts w:asciiTheme="minorHAnsi" w:hAnsiTheme="minorHAnsi"/>
        </w:rPr>
        <w:t>+</w:t>
      </w:r>
      <w:r w:rsidRPr="006E5C4D">
        <w:rPr>
          <w:rFonts w:asciiTheme="minorHAnsi" w:hAnsiTheme="minorHAnsi"/>
        </w:rPr>
        <w:t xml:space="preserve">nab-P (N=902), IMpassion130. This is the same trial considered in the previous submission, </w:t>
      </w:r>
      <w:r w:rsidR="000028AB" w:rsidRPr="006E5C4D">
        <w:rPr>
          <w:rFonts w:asciiTheme="minorHAnsi" w:hAnsiTheme="minorHAnsi"/>
        </w:rPr>
        <w:t>although updated data from the final analysis (clinical cut-off date 14 April 2020) were</w:t>
      </w:r>
      <w:r w:rsidRPr="006E5C4D">
        <w:rPr>
          <w:rFonts w:asciiTheme="minorHAnsi" w:hAnsiTheme="minorHAnsi"/>
        </w:rPr>
        <w:t xml:space="preserve"> presented.</w:t>
      </w:r>
    </w:p>
    <w:p w:rsidR="000028AB" w:rsidRPr="008D797E" w:rsidRDefault="000028AB" w:rsidP="000028AB">
      <w:pPr>
        <w:numPr>
          <w:ilvl w:val="1"/>
          <w:numId w:val="1"/>
        </w:numPr>
        <w:spacing w:after="120"/>
        <w:rPr>
          <w:rFonts w:asciiTheme="minorHAnsi" w:hAnsiTheme="minorHAnsi"/>
          <w:snapToGrid w:val="0"/>
          <w:color w:val="0066FF"/>
        </w:rPr>
      </w:pPr>
      <w:r w:rsidRPr="006E5C4D">
        <w:rPr>
          <w:rFonts w:asciiTheme="minorHAnsi" w:hAnsiTheme="minorHAnsi"/>
        </w:rPr>
        <w:t xml:space="preserve">The resubmission did not present full details of IMpassion131, which was similar in design to IMpassion130, but compared ATZ+paclitaxel (ATZ-P) with PBO+paclitaxel (PBO+P). The trial was excluded on the basis that the primary end point was not met; there was no statistically significant difference in PFS between the two treatment arms in the </w:t>
      </w:r>
      <w:r w:rsidR="00CD3CCD" w:rsidRPr="006E5C4D">
        <w:rPr>
          <w:rFonts w:asciiTheme="minorHAnsi" w:hAnsiTheme="minorHAnsi"/>
        </w:rPr>
        <w:t>PD-L1-positive</w:t>
      </w:r>
      <w:r w:rsidRPr="006E5C4D">
        <w:rPr>
          <w:rFonts w:asciiTheme="minorHAnsi" w:hAnsiTheme="minorHAnsi"/>
        </w:rPr>
        <w:t xml:space="preserve"> population. </w:t>
      </w:r>
      <w:r w:rsidR="00514C00" w:rsidRPr="006E5C4D">
        <w:rPr>
          <w:rFonts w:asciiTheme="minorHAnsi" w:hAnsiTheme="minorHAnsi"/>
        </w:rPr>
        <w:t>T</w:t>
      </w:r>
      <w:r w:rsidRPr="006E5C4D">
        <w:rPr>
          <w:rFonts w:asciiTheme="minorHAnsi" w:hAnsiTheme="minorHAnsi"/>
        </w:rPr>
        <w:t xml:space="preserve">he requested listing for ATZ was amended to stipulate that ATZ must be administered in combination with nab-P. The resubmission claimed that the benefit-risk assessment of ATZ+nab-P has not changed in light of the IMpassion131 results, which it proposed may be related to the pairing of ATZ and paclitaxel. </w:t>
      </w:r>
      <w:r w:rsidRPr="006E5C4D">
        <w:rPr>
          <w:rFonts w:asciiTheme="minorHAnsi" w:hAnsiTheme="minorHAnsi"/>
          <w:iCs/>
        </w:rPr>
        <w:t>The IMpassion131 results are likely relevant to the interpretation of IMpassion130 results, and are further discussed below.</w:t>
      </w:r>
    </w:p>
    <w:p w:rsidR="00EA35CA" w:rsidRPr="008D797E" w:rsidRDefault="00EA35CA" w:rsidP="00EA35CA">
      <w:pPr>
        <w:numPr>
          <w:ilvl w:val="1"/>
          <w:numId w:val="1"/>
        </w:numPr>
        <w:spacing w:after="120"/>
        <w:rPr>
          <w:rFonts w:asciiTheme="minorHAnsi" w:hAnsiTheme="minorHAnsi"/>
          <w:snapToGrid w:val="0"/>
        </w:rPr>
      </w:pPr>
      <w:r w:rsidRPr="006E5C4D">
        <w:rPr>
          <w:rFonts w:asciiTheme="minorHAnsi" w:hAnsiTheme="minorHAnsi"/>
        </w:rPr>
        <w:t xml:space="preserve">Details of the trial presented in the </w:t>
      </w:r>
      <w:r w:rsidR="000B056A" w:rsidRPr="006E5C4D">
        <w:rPr>
          <w:rFonts w:asciiTheme="minorHAnsi" w:hAnsiTheme="minorHAnsi"/>
        </w:rPr>
        <w:t>re</w:t>
      </w:r>
      <w:r w:rsidRPr="006E5C4D">
        <w:rPr>
          <w:rFonts w:asciiTheme="minorHAnsi" w:hAnsiTheme="minorHAnsi"/>
        </w:rPr>
        <w:t xml:space="preserve">submission are provided in the table below. </w:t>
      </w:r>
    </w:p>
    <w:p w:rsidR="00EA35CA" w:rsidRPr="008D797E" w:rsidRDefault="00EA35CA" w:rsidP="00EA35CA">
      <w:pPr>
        <w:keepNext/>
        <w:jc w:val="left"/>
        <w:rPr>
          <w:rFonts w:ascii="Arial Narrow" w:eastAsiaTheme="majorEastAsia" w:hAnsi="Arial Narrow" w:cstheme="majorBidi"/>
          <w:b/>
          <w:bCs/>
          <w:sz w:val="20"/>
        </w:rPr>
      </w:pPr>
      <w:r w:rsidRPr="008D797E">
        <w:rPr>
          <w:rFonts w:ascii="Arial Narrow" w:eastAsiaTheme="majorEastAsia" w:hAnsi="Arial Narrow" w:cstheme="majorBidi"/>
          <w:b/>
          <w:bCs/>
          <w:sz w:val="20"/>
        </w:rPr>
        <w:lastRenderedPageBreak/>
        <w:t xml:space="preserve">Table </w:t>
      </w:r>
      <w:r w:rsidR="00232E9D" w:rsidRPr="006E5C4D">
        <w:rPr>
          <w:rFonts w:ascii="Arial Narrow" w:eastAsiaTheme="majorEastAsia" w:hAnsi="Arial Narrow" w:cstheme="majorBidi"/>
          <w:b/>
          <w:bCs/>
          <w:sz w:val="20"/>
        </w:rPr>
        <w:t>4</w:t>
      </w:r>
      <w:r w:rsidRPr="008D797E">
        <w:rPr>
          <w:rFonts w:ascii="Arial Narrow" w:eastAsiaTheme="majorEastAsia" w:hAnsi="Arial Narrow" w:cstheme="majorBidi"/>
          <w:b/>
          <w:bCs/>
          <w:sz w:val="20"/>
        </w:rPr>
        <w:t xml:space="preserve">: Trials and associated reports presented in the </w:t>
      </w:r>
      <w:r w:rsidR="000B056A" w:rsidRPr="008D797E">
        <w:rPr>
          <w:rFonts w:ascii="Arial Narrow" w:eastAsiaTheme="majorEastAsia" w:hAnsi="Arial Narrow" w:cstheme="majorBidi"/>
          <w:b/>
          <w:bCs/>
          <w:sz w:val="20"/>
        </w:rPr>
        <w:t>re</w:t>
      </w:r>
      <w:r w:rsidRPr="008D797E">
        <w:rPr>
          <w:rFonts w:ascii="Arial Narrow" w:eastAsiaTheme="majorEastAsia" w:hAnsi="Arial Narrow" w:cstheme="majorBidi"/>
          <w:b/>
          <w:bCs/>
          <w:sz w:val="20"/>
        </w:rPr>
        <w:t>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36"/>
        <w:gridCol w:w="5458"/>
        <w:gridCol w:w="2122"/>
      </w:tblGrid>
      <w:tr w:rsidR="00EA35CA" w:rsidRPr="008D797E" w:rsidTr="009228A4">
        <w:trPr>
          <w:tblHeader/>
        </w:trPr>
        <w:tc>
          <w:tcPr>
            <w:tcW w:w="796" w:type="pct"/>
            <w:tcBorders>
              <w:bottom w:val="single" w:sz="4" w:space="0" w:color="auto"/>
            </w:tcBorders>
            <w:vAlign w:val="center"/>
          </w:tcPr>
          <w:p w:rsidR="00EA35CA" w:rsidRPr="006E5C4D" w:rsidRDefault="00EA35CA" w:rsidP="00EA35CA">
            <w:pPr>
              <w:keepNext/>
              <w:jc w:val="left"/>
              <w:rPr>
                <w:rFonts w:ascii="Arial Narrow" w:eastAsiaTheme="majorEastAsia" w:hAnsi="Arial Narrow" w:cs="Times New Roman"/>
                <w:b/>
                <w:sz w:val="20"/>
              </w:rPr>
            </w:pPr>
            <w:r w:rsidRPr="006E5C4D">
              <w:rPr>
                <w:rFonts w:ascii="Arial Narrow" w:eastAsiaTheme="majorEastAsia" w:hAnsi="Arial Narrow" w:cs="Times New Roman"/>
                <w:b/>
                <w:sz w:val="20"/>
              </w:rPr>
              <w:t>Trial ID</w:t>
            </w:r>
          </w:p>
        </w:tc>
        <w:tc>
          <w:tcPr>
            <w:tcW w:w="3027" w:type="pct"/>
            <w:tcBorders>
              <w:bottom w:val="single" w:sz="4" w:space="0" w:color="auto"/>
            </w:tcBorders>
            <w:vAlign w:val="center"/>
          </w:tcPr>
          <w:p w:rsidR="00EA35CA" w:rsidRPr="006E5C4D" w:rsidRDefault="00EA35CA" w:rsidP="00EA35CA">
            <w:pPr>
              <w:keepNext/>
              <w:jc w:val="left"/>
              <w:rPr>
                <w:rFonts w:ascii="Arial Narrow" w:eastAsiaTheme="majorEastAsia" w:hAnsi="Arial Narrow" w:cs="Times New Roman"/>
                <w:b/>
                <w:sz w:val="20"/>
              </w:rPr>
            </w:pPr>
            <w:r w:rsidRPr="006E5C4D">
              <w:rPr>
                <w:rFonts w:ascii="Arial Narrow" w:eastAsiaTheme="majorEastAsia" w:hAnsi="Arial Narrow" w:cs="Times New Roman"/>
                <w:b/>
                <w:sz w:val="20"/>
              </w:rPr>
              <w:t>Protocol title/ Publication title</w:t>
            </w:r>
          </w:p>
        </w:tc>
        <w:tc>
          <w:tcPr>
            <w:tcW w:w="1177" w:type="pct"/>
            <w:tcBorders>
              <w:bottom w:val="single" w:sz="4" w:space="0" w:color="auto"/>
            </w:tcBorders>
            <w:vAlign w:val="center"/>
          </w:tcPr>
          <w:p w:rsidR="00EA35CA" w:rsidRPr="006E5C4D" w:rsidRDefault="00EA35CA" w:rsidP="00EA35CA">
            <w:pPr>
              <w:keepNext/>
              <w:jc w:val="left"/>
              <w:rPr>
                <w:rFonts w:ascii="Arial Narrow" w:eastAsiaTheme="majorEastAsia" w:hAnsi="Arial Narrow" w:cs="Times New Roman"/>
                <w:b/>
                <w:sz w:val="20"/>
              </w:rPr>
            </w:pPr>
            <w:r w:rsidRPr="006E5C4D">
              <w:rPr>
                <w:rFonts w:ascii="Arial Narrow" w:eastAsiaTheme="majorEastAsia" w:hAnsi="Arial Narrow" w:cs="Times New Roman"/>
                <w:b/>
                <w:sz w:val="20"/>
              </w:rPr>
              <w:t>Publication citation</w:t>
            </w:r>
          </w:p>
        </w:tc>
      </w:tr>
      <w:tr w:rsidR="00BC6C7A" w:rsidRPr="008D797E" w:rsidTr="00390008">
        <w:trPr>
          <w:tblHeader/>
        </w:trPr>
        <w:tc>
          <w:tcPr>
            <w:tcW w:w="796" w:type="pct"/>
            <w:vMerge w:val="restart"/>
            <w:vAlign w:val="center"/>
          </w:tcPr>
          <w:p w:rsidR="00BC6C7A" w:rsidRPr="008D797E" w:rsidRDefault="00BC6C7A" w:rsidP="004755B2">
            <w:pPr>
              <w:pStyle w:val="TableText0"/>
              <w:rPr>
                <w:lang w:eastAsia="zh-CN"/>
              </w:rPr>
            </w:pPr>
            <w:r w:rsidRPr="008D797E">
              <w:rPr>
                <w:lang w:eastAsia="zh-CN"/>
              </w:rPr>
              <w:t>IMpassion130</w:t>
            </w:r>
          </w:p>
          <w:p w:rsidR="00BC6C7A" w:rsidRPr="008D797E" w:rsidRDefault="00BC6C7A" w:rsidP="004755B2">
            <w:pPr>
              <w:pStyle w:val="TableText0"/>
              <w:rPr>
                <w:lang w:eastAsia="zh-CN"/>
              </w:rPr>
            </w:pPr>
            <w:r w:rsidRPr="008D797E">
              <w:rPr>
                <w:lang w:eastAsia="zh-CN"/>
              </w:rPr>
              <w:t>(NCT02425891)</w:t>
            </w:r>
          </w:p>
          <w:p w:rsidR="00BC6C7A" w:rsidRPr="008D797E" w:rsidRDefault="00BC6C7A" w:rsidP="004755B2">
            <w:pPr>
              <w:pStyle w:val="TableText0"/>
              <w:rPr>
                <w:lang w:eastAsia="zh-CN"/>
              </w:rPr>
            </w:pPr>
            <w:r w:rsidRPr="008D797E">
              <w:rPr>
                <w:lang w:eastAsia="zh-CN"/>
              </w:rPr>
              <w:t>(WO29522)</w:t>
            </w:r>
          </w:p>
          <w:p w:rsidR="00BC6C7A" w:rsidRPr="006E5C4D" w:rsidRDefault="00BC6C7A" w:rsidP="009228A4">
            <w:pPr>
              <w:pStyle w:val="TableText0"/>
            </w:pPr>
          </w:p>
        </w:tc>
        <w:tc>
          <w:tcPr>
            <w:tcW w:w="3027" w:type="pct"/>
            <w:tcBorders>
              <w:bottom w:val="nil"/>
            </w:tcBorders>
            <w:vAlign w:val="center"/>
          </w:tcPr>
          <w:p w:rsidR="00BC6C7A" w:rsidRPr="006E5C4D" w:rsidRDefault="00BC6C7A" w:rsidP="00BC6C7A">
            <w:pPr>
              <w:pStyle w:val="TableText0"/>
            </w:pPr>
            <w:r w:rsidRPr="008D797E">
              <w:t>Update CSR Study: A phase III, multicentre, randomized, placebo-controlled study of atezolizumab (anti-PD-L1 antibody) in combination with nab-paclitaxel compared with placebo with nab-paclitaxel for patients with previously untreated metastatic triple-negative breast cancer. Report No. 1100481. August, 2020.</w:t>
            </w:r>
          </w:p>
        </w:tc>
        <w:tc>
          <w:tcPr>
            <w:tcW w:w="1177" w:type="pct"/>
            <w:tcBorders>
              <w:bottom w:val="nil"/>
            </w:tcBorders>
            <w:vAlign w:val="center"/>
          </w:tcPr>
          <w:p w:rsidR="00BC6C7A" w:rsidRPr="00115C2F" w:rsidRDefault="00BC6C7A" w:rsidP="004755B2">
            <w:pPr>
              <w:pStyle w:val="TableText0"/>
              <w:rPr>
                <w:lang w:eastAsia="zh-CN"/>
              </w:rPr>
            </w:pPr>
            <w:r w:rsidRPr="008D797E">
              <w:rPr>
                <w:lang w:eastAsia="zh-CN"/>
              </w:rPr>
              <w:t>Updated primary CS</w:t>
            </w:r>
            <w:r w:rsidR="004755B2" w:rsidRPr="008D797E">
              <w:rPr>
                <w:lang w:eastAsia="zh-CN"/>
              </w:rPr>
              <w:t xml:space="preserve">R Study: </w:t>
            </w:r>
            <w:r w:rsidRPr="008D797E">
              <w:rPr>
                <w:lang w:eastAsia="zh-CN"/>
              </w:rPr>
              <w:t>Report No. 1100481, August 2020.</w:t>
            </w:r>
          </w:p>
          <w:p w:rsidR="00BC6C7A" w:rsidRPr="006E5C4D" w:rsidRDefault="00BC6C7A" w:rsidP="004755B2">
            <w:pPr>
              <w:pStyle w:val="TableText0"/>
            </w:pPr>
          </w:p>
        </w:tc>
      </w:tr>
      <w:tr w:rsidR="00BC6C7A" w:rsidRPr="008D797E" w:rsidTr="00390008">
        <w:trPr>
          <w:tblHeader/>
        </w:trPr>
        <w:tc>
          <w:tcPr>
            <w:tcW w:w="796" w:type="pct"/>
            <w:vMerge/>
            <w:vAlign w:val="center"/>
          </w:tcPr>
          <w:p w:rsidR="00BC6C7A" w:rsidRPr="008D797E" w:rsidRDefault="00BC6C7A" w:rsidP="009228A4">
            <w:pPr>
              <w:spacing w:before="20" w:after="20"/>
              <w:jc w:val="left"/>
              <w:rPr>
                <w:rFonts w:cs="Calibri"/>
                <w:bCs/>
                <w:sz w:val="20"/>
                <w:szCs w:val="20"/>
                <w:lang w:eastAsia="zh-CN"/>
              </w:rPr>
            </w:pPr>
          </w:p>
        </w:tc>
        <w:tc>
          <w:tcPr>
            <w:tcW w:w="3027" w:type="pct"/>
            <w:tcBorders>
              <w:top w:val="nil"/>
              <w:bottom w:val="nil"/>
            </w:tcBorders>
            <w:vAlign w:val="center"/>
          </w:tcPr>
          <w:p w:rsidR="00BC6C7A" w:rsidRPr="006E5C4D" w:rsidRDefault="00BC6C7A" w:rsidP="00BC6C7A">
            <w:pPr>
              <w:pStyle w:val="TableText0"/>
              <w:rPr>
                <w:rFonts w:cs="Calibri"/>
                <w:szCs w:val="20"/>
                <w:lang w:eastAsia="zh-CN"/>
              </w:rPr>
            </w:pPr>
            <w:r w:rsidRPr="008D797E">
              <w:rPr>
                <w:rFonts w:cs="Calibri"/>
                <w:szCs w:val="20"/>
                <w:lang w:eastAsia="zh-CN"/>
              </w:rPr>
              <w:t>Schmid P, Rugo HS, Adams S, et al. Atezolizumab plus nab-paclitaxel as first-line treatment for unresectable, locally advanced or metastatic triple-negative breast cancer (IMpassion130): updated efficacy results from a randomised, double-blind, placebo-controlled, phase 3 trial.</w:t>
            </w:r>
          </w:p>
        </w:tc>
        <w:tc>
          <w:tcPr>
            <w:tcW w:w="1177" w:type="pct"/>
            <w:tcBorders>
              <w:top w:val="nil"/>
              <w:bottom w:val="nil"/>
            </w:tcBorders>
            <w:vAlign w:val="center"/>
          </w:tcPr>
          <w:p w:rsidR="00BC6C7A" w:rsidRPr="006E5C4D" w:rsidRDefault="00BC6C7A" w:rsidP="004755B2">
            <w:pPr>
              <w:pStyle w:val="TableText0"/>
              <w:rPr>
                <w:lang w:eastAsia="zh-CN"/>
              </w:rPr>
            </w:pPr>
            <w:r w:rsidRPr="006E5C4D">
              <w:rPr>
                <w:i/>
                <w:lang w:eastAsia="zh-CN"/>
              </w:rPr>
              <w:t>The Lancet Oncology</w:t>
            </w:r>
            <w:r w:rsidRPr="006E5C4D">
              <w:rPr>
                <w:lang w:eastAsia="zh-CN"/>
              </w:rPr>
              <w:t>. 2020;21(1):44-59.</w:t>
            </w:r>
          </w:p>
          <w:p w:rsidR="00BC6C7A" w:rsidRPr="008D797E" w:rsidRDefault="00BC6C7A" w:rsidP="004755B2">
            <w:pPr>
              <w:pStyle w:val="TableText0"/>
              <w:rPr>
                <w:lang w:eastAsia="zh-CN"/>
              </w:rPr>
            </w:pPr>
          </w:p>
        </w:tc>
      </w:tr>
      <w:tr w:rsidR="00BC6C7A" w:rsidRPr="008D797E" w:rsidTr="00390008">
        <w:trPr>
          <w:tblHeader/>
        </w:trPr>
        <w:tc>
          <w:tcPr>
            <w:tcW w:w="796" w:type="pct"/>
            <w:vMerge/>
            <w:vAlign w:val="center"/>
          </w:tcPr>
          <w:p w:rsidR="00BC6C7A" w:rsidRPr="008D797E" w:rsidRDefault="00BC6C7A" w:rsidP="009228A4">
            <w:pPr>
              <w:spacing w:before="20" w:after="20"/>
              <w:jc w:val="left"/>
              <w:rPr>
                <w:rFonts w:cs="Calibri"/>
                <w:bCs/>
                <w:sz w:val="20"/>
                <w:szCs w:val="20"/>
                <w:lang w:eastAsia="zh-CN"/>
              </w:rPr>
            </w:pPr>
          </w:p>
        </w:tc>
        <w:tc>
          <w:tcPr>
            <w:tcW w:w="3027" w:type="pct"/>
            <w:tcBorders>
              <w:top w:val="nil"/>
              <w:bottom w:val="nil"/>
            </w:tcBorders>
            <w:vAlign w:val="center"/>
          </w:tcPr>
          <w:p w:rsidR="00BC6C7A" w:rsidRPr="008D797E" w:rsidRDefault="00BC6C7A" w:rsidP="00BC6C7A">
            <w:pPr>
              <w:pStyle w:val="TableText0"/>
              <w:rPr>
                <w:rFonts w:cs="Calibri"/>
                <w:szCs w:val="20"/>
                <w:lang w:eastAsia="zh-CN"/>
              </w:rPr>
            </w:pPr>
            <w:r w:rsidRPr="008D797E">
              <w:rPr>
                <w:rFonts w:cs="Calibri"/>
                <w:szCs w:val="20"/>
                <w:lang w:eastAsia="zh-CN"/>
              </w:rPr>
              <w:t>Adams S, Diéras V, Barrios CH, et al. Patient-reported outcomes from the phase III IMpassion130 trial of atezolizumab plus nab-paclitaxel in metastatic triple-negative breast cancer.</w:t>
            </w:r>
          </w:p>
        </w:tc>
        <w:tc>
          <w:tcPr>
            <w:tcW w:w="1177" w:type="pct"/>
            <w:tcBorders>
              <w:top w:val="nil"/>
              <w:bottom w:val="nil"/>
            </w:tcBorders>
            <w:vAlign w:val="center"/>
          </w:tcPr>
          <w:p w:rsidR="00BC6C7A" w:rsidRPr="008D797E" w:rsidRDefault="00BC6C7A" w:rsidP="004755B2">
            <w:pPr>
              <w:pStyle w:val="TableText0"/>
            </w:pPr>
            <w:r w:rsidRPr="008D797E">
              <w:rPr>
                <w:i/>
              </w:rPr>
              <w:t>Annals of Oncology</w:t>
            </w:r>
            <w:r w:rsidRPr="008D797E">
              <w:t xml:space="preserve"> 2020;31(5):582-89.</w:t>
            </w:r>
          </w:p>
        </w:tc>
      </w:tr>
      <w:tr w:rsidR="00BC6C7A" w:rsidRPr="008D797E" w:rsidTr="00390008">
        <w:trPr>
          <w:tblHeader/>
        </w:trPr>
        <w:tc>
          <w:tcPr>
            <w:tcW w:w="796" w:type="pct"/>
            <w:vMerge/>
            <w:vAlign w:val="center"/>
          </w:tcPr>
          <w:p w:rsidR="00BC6C7A" w:rsidRPr="008D797E" w:rsidRDefault="00BC6C7A" w:rsidP="009228A4">
            <w:pPr>
              <w:spacing w:before="20" w:after="20"/>
              <w:jc w:val="left"/>
              <w:rPr>
                <w:rFonts w:cs="Calibri"/>
                <w:bCs/>
                <w:sz w:val="20"/>
                <w:szCs w:val="20"/>
                <w:lang w:eastAsia="zh-CN"/>
              </w:rPr>
            </w:pPr>
          </w:p>
        </w:tc>
        <w:tc>
          <w:tcPr>
            <w:tcW w:w="3027" w:type="pct"/>
            <w:tcBorders>
              <w:top w:val="nil"/>
              <w:bottom w:val="single" w:sz="4" w:space="0" w:color="auto"/>
            </w:tcBorders>
            <w:vAlign w:val="center"/>
          </w:tcPr>
          <w:p w:rsidR="00BC6C7A" w:rsidRPr="008D797E" w:rsidRDefault="00BC6C7A" w:rsidP="00BC6C7A">
            <w:pPr>
              <w:pStyle w:val="TableText0"/>
              <w:rPr>
                <w:rFonts w:cs="Calibri"/>
                <w:szCs w:val="20"/>
                <w:lang w:eastAsia="zh-CN"/>
              </w:rPr>
            </w:pPr>
            <w:r w:rsidRPr="008D797E">
              <w:t>Iwata H, Inoue K, Kaneko K, et al. Subgroup analysis of Japanese patients in a Phase 3 study of atezolizumab in advanced triple-negative breast cancer (IMpassion130).</w:t>
            </w:r>
          </w:p>
        </w:tc>
        <w:tc>
          <w:tcPr>
            <w:tcW w:w="1177" w:type="pct"/>
            <w:tcBorders>
              <w:top w:val="nil"/>
              <w:bottom w:val="single" w:sz="4" w:space="0" w:color="auto"/>
            </w:tcBorders>
            <w:vAlign w:val="center"/>
          </w:tcPr>
          <w:p w:rsidR="00BC6C7A" w:rsidRPr="008D797E" w:rsidRDefault="00BC6C7A" w:rsidP="004755B2">
            <w:pPr>
              <w:pStyle w:val="TableText0"/>
            </w:pPr>
            <w:r w:rsidRPr="008D797E">
              <w:rPr>
                <w:i/>
              </w:rPr>
              <w:t xml:space="preserve">Japanese Journal of Clinical Oncology </w:t>
            </w:r>
            <w:r w:rsidRPr="008D797E">
              <w:t>2019;49(12):1083-91.</w:t>
            </w:r>
          </w:p>
        </w:tc>
      </w:tr>
    </w:tbl>
    <w:p w:rsidR="00EA35CA" w:rsidRPr="008D797E" w:rsidRDefault="00EA35CA" w:rsidP="00837953">
      <w:pPr>
        <w:pStyle w:val="TableFigureFooter"/>
        <w:rPr>
          <w:sz w:val="20"/>
        </w:rPr>
      </w:pPr>
      <w:r w:rsidRPr="008D797E">
        <w:t>Source: Table 2.3, p 27 of the resubmission.</w:t>
      </w:r>
    </w:p>
    <w:p w:rsidR="00EA35CA" w:rsidRPr="008D797E" w:rsidRDefault="00EA35CA" w:rsidP="00EA35CA">
      <w:pPr>
        <w:numPr>
          <w:ilvl w:val="1"/>
          <w:numId w:val="1"/>
        </w:numPr>
        <w:spacing w:after="120"/>
        <w:rPr>
          <w:rFonts w:asciiTheme="minorHAnsi" w:hAnsiTheme="minorHAnsi"/>
          <w:snapToGrid w:val="0"/>
          <w:color w:val="0066FF"/>
        </w:rPr>
      </w:pPr>
      <w:r w:rsidRPr="008D797E">
        <w:rPr>
          <w:rFonts w:asciiTheme="minorHAnsi" w:hAnsiTheme="minorHAnsi"/>
          <w:snapToGrid w:val="0"/>
        </w:rPr>
        <w:t>The key features of the direct randomised trial, IMpassion130, are summarised in the table below.</w:t>
      </w:r>
    </w:p>
    <w:p w:rsidR="00EA35CA" w:rsidRPr="008D797E" w:rsidRDefault="00EA35CA" w:rsidP="00EA35CA">
      <w:pPr>
        <w:keepNext/>
        <w:jc w:val="left"/>
        <w:rPr>
          <w:rFonts w:ascii="Arial Narrow" w:eastAsiaTheme="majorEastAsia" w:hAnsi="Arial Narrow" w:cstheme="majorBidi"/>
          <w:b/>
          <w:bCs/>
          <w:sz w:val="20"/>
        </w:rPr>
      </w:pPr>
      <w:r w:rsidRPr="008D797E">
        <w:rPr>
          <w:rFonts w:ascii="Arial Narrow" w:eastAsiaTheme="majorEastAsia" w:hAnsi="Arial Narrow" w:cstheme="majorBidi"/>
          <w:b/>
          <w:bCs/>
          <w:sz w:val="20"/>
        </w:rPr>
        <w:t xml:space="preserve">Table </w:t>
      </w:r>
      <w:r w:rsidR="00232E9D" w:rsidRPr="006E5C4D">
        <w:rPr>
          <w:rFonts w:ascii="Arial Narrow" w:eastAsiaTheme="majorEastAsia" w:hAnsi="Arial Narrow" w:cstheme="majorBidi"/>
          <w:b/>
          <w:bCs/>
          <w:sz w:val="20"/>
        </w:rPr>
        <w:t>5</w:t>
      </w:r>
      <w:r w:rsidRPr="008D797E">
        <w:rPr>
          <w:rFonts w:ascii="Arial Narrow" w:eastAsiaTheme="majorEastAsia" w:hAnsi="Arial Narrow" w:cstheme="majorBidi"/>
          <w:b/>
          <w:bCs/>
          <w:sz w:val="20"/>
        </w:rPr>
        <w:t>: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70"/>
        <w:gridCol w:w="1093"/>
        <w:gridCol w:w="1273"/>
        <w:gridCol w:w="1120"/>
        <w:gridCol w:w="1545"/>
        <w:gridCol w:w="1122"/>
        <w:gridCol w:w="1693"/>
      </w:tblGrid>
      <w:tr w:rsidR="00EA35CA" w:rsidRPr="008D797E" w:rsidTr="00EA35CA">
        <w:trPr>
          <w:cantSplit/>
          <w:tblHeader/>
        </w:trPr>
        <w:tc>
          <w:tcPr>
            <w:tcW w:w="649" w:type="pct"/>
            <w:shd w:val="clear" w:color="auto" w:fill="auto"/>
            <w:vAlign w:val="center"/>
          </w:tcPr>
          <w:p w:rsidR="00EA35CA" w:rsidRPr="006E5C4D" w:rsidRDefault="00EA35CA" w:rsidP="00EA35CA">
            <w:pPr>
              <w:keepNext/>
              <w:jc w:val="left"/>
              <w:rPr>
                <w:rFonts w:ascii="Arial Narrow" w:eastAsia="MS Gothic" w:hAnsi="Arial Narrow" w:cs="Times New Roman"/>
                <w:b/>
                <w:sz w:val="20"/>
              </w:rPr>
            </w:pPr>
            <w:r w:rsidRPr="006E5C4D">
              <w:rPr>
                <w:rFonts w:ascii="Arial Narrow" w:eastAsia="MS Gothic" w:hAnsi="Arial Narrow" w:cs="Times New Roman"/>
                <w:b/>
                <w:sz w:val="20"/>
              </w:rPr>
              <w:t>Trial</w:t>
            </w:r>
          </w:p>
        </w:tc>
        <w:tc>
          <w:tcPr>
            <w:tcW w:w="606" w:type="pct"/>
            <w:shd w:val="clear" w:color="auto" w:fill="auto"/>
            <w:vAlign w:val="center"/>
          </w:tcPr>
          <w:p w:rsidR="00EA35CA" w:rsidRPr="006E5C4D" w:rsidRDefault="00EA35CA" w:rsidP="00EA35CA">
            <w:pPr>
              <w:keepNext/>
              <w:jc w:val="center"/>
              <w:rPr>
                <w:rFonts w:ascii="Arial Narrow" w:eastAsia="MS Gothic" w:hAnsi="Arial Narrow" w:cs="Times New Roman"/>
                <w:b/>
                <w:sz w:val="20"/>
              </w:rPr>
            </w:pPr>
            <w:r w:rsidRPr="006E5C4D">
              <w:rPr>
                <w:rFonts w:ascii="Arial Narrow" w:eastAsia="MS Gothic" w:hAnsi="Arial Narrow" w:cs="Times New Roman"/>
                <w:b/>
                <w:sz w:val="20"/>
              </w:rPr>
              <w:t>N</w:t>
            </w:r>
          </w:p>
        </w:tc>
        <w:tc>
          <w:tcPr>
            <w:tcW w:w="706" w:type="pct"/>
            <w:shd w:val="clear" w:color="auto" w:fill="auto"/>
            <w:vAlign w:val="center"/>
          </w:tcPr>
          <w:p w:rsidR="00EA35CA" w:rsidRPr="006E5C4D" w:rsidRDefault="00EA35CA" w:rsidP="00EA35CA">
            <w:pPr>
              <w:keepNext/>
              <w:jc w:val="center"/>
              <w:rPr>
                <w:rFonts w:ascii="Arial Narrow" w:eastAsia="MS Gothic" w:hAnsi="Arial Narrow" w:cs="Times New Roman"/>
                <w:b/>
                <w:sz w:val="20"/>
              </w:rPr>
            </w:pPr>
            <w:r w:rsidRPr="006E5C4D">
              <w:rPr>
                <w:rFonts w:ascii="Arial Narrow" w:eastAsia="MS Gothic" w:hAnsi="Arial Narrow" w:cs="Times New Roman"/>
                <w:b/>
                <w:sz w:val="20"/>
              </w:rPr>
              <w:t>Design/ duration</w:t>
            </w:r>
          </w:p>
        </w:tc>
        <w:tc>
          <w:tcPr>
            <w:tcW w:w="621" w:type="pct"/>
            <w:shd w:val="clear" w:color="auto" w:fill="auto"/>
            <w:vAlign w:val="center"/>
          </w:tcPr>
          <w:p w:rsidR="00EA35CA" w:rsidRPr="006E5C4D" w:rsidRDefault="00EA35CA" w:rsidP="00EA35CA">
            <w:pPr>
              <w:keepNext/>
              <w:jc w:val="center"/>
              <w:rPr>
                <w:rFonts w:ascii="Arial Narrow" w:eastAsia="MS Gothic" w:hAnsi="Arial Narrow" w:cs="Times New Roman"/>
                <w:b/>
                <w:sz w:val="20"/>
              </w:rPr>
            </w:pPr>
            <w:r w:rsidRPr="006E5C4D">
              <w:rPr>
                <w:rFonts w:ascii="Arial Narrow" w:eastAsia="MS Gothic" w:hAnsi="Arial Narrow" w:cs="Times New Roman"/>
                <w:b/>
                <w:sz w:val="20"/>
              </w:rPr>
              <w:t>Risk of bias</w:t>
            </w:r>
          </w:p>
        </w:tc>
        <w:tc>
          <w:tcPr>
            <w:tcW w:w="857" w:type="pct"/>
            <w:shd w:val="clear" w:color="auto" w:fill="auto"/>
            <w:vAlign w:val="center"/>
          </w:tcPr>
          <w:p w:rsidR="00EA35CA" w:rsidRPr="006E5C4D" w:rsidRDefault="00EA35CA" w:rsidP="00EA35CA">
            <w:pPr>
              <w:keepNext/>
              <w:jc w:val="center"/>
              <w:rPr>
                <w:rFonts w:ascii="Arial Narrow" w:eastAsia="MS Gothic" w:hAnsi="Arial Narrow" w:cs="Times New Roman"/>
                <w:b/>
                <w:sz w:val="20"/>
              </w:rPr>
            </w:pPr>
            <w:r w:rsidRPr="006E5C4D">
              <w:rPr>
                <w:rFonts w:ascii="Arial Narrow" w:eastAsia="MS Gothic" w:hAnsi="Arial Narrow" w:cs="Times New Roman"/>
                <w:b/>
                <w:sz w:val="20"/>
              </w:rPr>
              <w:t>Patient population</w:t>
            </w:r>
          </w:p>
        </w:tc>
        <w:tc>
          <w:tcPr>
            <w:tcW w:w="622" w:type="pct"/>
            <w:shd w:val="clear" w:color="auto" w:fill="auto"/>
            <w:vAlign w:val="center"/>
          </w:tcPr>
          <w:p w:rsidR="00EA35CA" w:rsidRPr="006E5C4D" w:rsidRDefault="00EA35CA" w:rsidP="00EA35CA">
            <w:pPr>
              <w:keepNext/>
              <w:jc w:val="center"/>
              <w:rPr>
                <w:rFonts w:ascii="Arial Narrow" w:eastAsia="MS Gothic" w:hAnsi="Arial Narrow" w:cs="Times New Roman"/>
                <w:b/>
                <w:sz w:val="20"/>
              </w:rPr>
            </w:pPr>
            <w:r w:rsidRPr="006E5C4D">
              <w:rPr>
                <w:rFonts w:ascii="Arial Narrow" w:eastAsia="MS Gothic" w:hAnsi="Arial Narrow" w:cs="Times New Roman"/>
                <w:b/>
                <w:sz w:val="20"/>
              </w:rPr>
              <w:t>Outcomes</w:t>
            </w:r>
          </w:p>
        </w:tc>
        <w:tc>
          <w:tcPr>
            <w:tcW w:w="939" w:type="pct"/>
            <w:shd w:val="clear" w:color="auto" w:fill="auto"/>
            <w:vAlign w:val="center"/>
          </w:tcPr>
          <w:p w:rsidR="00EA35CA" w:rsidRPr="006E5C4D" w:rsidRDefault="00EA35CA" w:rsidP="00EA35CA">
            <w:pPr>
              <w:keepNext/>
              <w:jc w:val="center"/>
              <w:rPr>
                <w:rFonts w:ascii="Arial Narrow" w:eastAsia="MS Gothic" w:hAnsi="Arial Narrow" w:cs="Times New Roman"/>
                <w:b/>
                <w:sz w:val="20"/>
              </w:rPr>
            </w:pPr>
            <w:r w:rsidRPr="006E5C4D">
              <w:rPr>
                <w:rFonts w:ascii="Arial Narrow" w:eastAsia="MS Gothic" w:hAnsi="Arial Narrow" w:cs="Times New Roman"/>
                <w:b/>
                <w:sz w:val="20"/>
              </w:rPr>
              <w:t>Use in modelled evaluation</w:t>
            </w:r>
          </w:p>
        </w:tc>
      </w:tr>
      <w:tr w:rsidR="00EA35CA" w:rsidRPr="008D797E" w:rsidTr="00EA35CA">
        <w:trPr>
          <w:cantSplit/>
        </w:trPr>
        <w:tc>
          <w:tcPr>
            <w:tcW w:w="5000" w:type="pct"/>
            <w:gridSpan w:val="7"/>
            <w:shd w:val="clear" w:color="auto" w:fill="auto"/>
            <w:vAlign w:val="center"/>
          </w:tcPr>
          <w:p w:rsidR="00EA35CA" w:rsidRPr="006E5C4D" w:rsidRDefault="00EA35CA" w:rsidP="00EA35CA">
            <w:pPr>
              <w:keepNext/>
              <w:jc w:val="left"/>
              <w:rPr>
                <w:rFonts w:ascii="Arial Narrow" w:eastAsia="MS Gothic" w:hAnsi="Arial Narrow" w:cs="Times New Roman"/>
                <w:b/>
                <w:sz w:val="20"/>
              </w:rPr>
            </w:pPr>
            <w:r w:rsidRPr="006E5C4D">
              <w:rPr>
                <w:rFonts w:ascii="Arial Narrow" w:eastAsia="MS Gothic" w:hAnsi="Arial Narrow" w:cs="Times New Roman"/>
                <w:b/>
                <w:sz w:val="20"/>
              </w:rPr>
              <w:t>ATZ+nab-P vs. PBO+nab-P</w:t>
            </w:r>
          </w:p>
        </w:tc>
      </w:tr>
      <w:tr w:rsidR="00EA35CA" w:rsidRPr="008D797E" w:rsidTr="00EA35CA">
        <w:trPr>
          <w:cantSplit/>
        </w:trPr>
        <w:tc>
          <w:tcPr>
            <w:tcW w:w="649" w:type="pct"/>
            <w:shd w:val="clear" w:color="auto" w:fill="auto"/>
            <w:vAlign w:val="center"/>
          </w:tcPr>
          <w:p w:rsidR="00EA35CA" w:rsidRPr="006E5C4D" w:rsidRDefault="00EA35CA" w:rsidP="00EA35CA">
            <w:pPr>
              <w:keepNext/>
              <w:jc w:val="left"/>
              <w:rPr>
                <w:rFonts w:ascii="Arial Narrow" w:eastAsia="MS Gothic" w:hAnsi="Arial Narrow" w:cs="Times New Roman"/>
                <w:bCs/>
                <w:sz w:val="20"/>
              </w:rPr>
            </w:pPr>
            <w:r w:rsidRPr="006E5C4D">
              <w:rPr>
                <w:rFonts w:ascii="Arial Narrow" w:eastAsia="MS Gothic" w:hAnsi="Arial Narrow" w:cs="Times New Roman"/>
                <w:bCs/>
                <w:sz w:val="20"/>
              </w:rPr>
              <w:t>IMpassion130</w:t>
            </w:r>
          </w:p>
        </w:tc>
        <w:tc>
          <w:tcPr>
            <w:tcW w:w="606" w:type="pct"/>
            <w:shd w:val="clear" w:color="auto" w:fill="auto"/>
            <w:vAlign w:val="center"/>
          </w:tcPr>
          <w:p w:rsidR="00EA35CA" w:rsidRPr="006E5C4D" w:rsidRDefault="00EA35CA" w:rsidP="00EA35CA">
            <w:pPr>
              <w:keepNext/>
              <w:jc w:val="center"/>
              <w:rPr>
                <w:rFonts w:ascii="Arial Narrow" w:eastAsia="MS Gothic" w:hAnsi="Arial Narrow" w:cs="Times New Roman"/>
                <w:bCs/>
                <w:sz w:val="20"/>
              </w:rPr>
            </w:pPr>
            <w:r w:rsidRPr="006E5C4D">
              <w:rPr>
                <w:rFonts w:ascii="Arial Narrow" w:eastAsia="MS Gothic" w:hAnsi="Arial Narrow" w:cs="Times New Roman"/>
                <w:bCs/>
                <w:sz w:val="20"/>
              </w:rPr>
              <w:t>902 (ITT)</w:t>
            </w:r>
          </w:p>
          <w:p w:rsidR="00EA35CA" w:rsidRPr="006E5C4D" w:rsidRDefault="00EA35CA" w:rsidP="00EA35CA">
            <w:pPr>
              <w:keepNext/>
              <w:jc w:val="center"/>
              <w:rPr>
                <w:rFonts w:ascii="Arial Narrow" w:eastAsia="MS Gothic" w:hAnsi="Arial Narrow" w:cs="Times New Roman"/>
                <w:bCs/>
                <w:sz w:val="20"/>
              </w:rPr>
            </w:pPr>
            <w:r w:rsidRPr="006E5C4D">
              <w:rPr>
                <w:rFonts w:ascii="Arial Narrow" w:eastAsia="MS Gothic" w:hAnsi="Arial Narrow" w:cs="Times New Roman"/>
                <w:bCs/>
                <w:sz w:val="20"/>
              </w:rPr>
              <w:t>369 (PD-L1+ subgroup)</w:t>
            </w:r>
          </w:p>
        </w:tc>
        <w:tc>
          <w:tcPr>
            <w:tcW w:w="706" w:type="pct"/>
            <w:shd w:val="clear" w:color="auto" w:fill="auto"/>
            <w:vAlign w:val="center"/>
          </w:tcPr>
          <w:p w:rsidR="00EA35CA" w:rsidRPr="006E5C4D" w:rsidRDefault="00EA35CA" w:rsidP="00EA35CA">
            <w:pPr>
              <w:keepNext/>
              <w:jc w:val="center"/>
              <w:rPr>
                <w:rFonts w:ascii="Arial Narrow" w:eastAsia="MS Gothic" w:hAnsi="Arial Narrow" w:cs="Times New Roman"/>
                <w:bCs/>
                <w:sz w:val="20"/>
              </w:rPr>
            </w:pPr>
            <w:r w:rsidRPr="006E5C4D">
              <w:rPr>
                <w:rFonts w:ascii="Arial Narrow" w:eastAsia="MS Gothic" w:hAnsi="Arial Narrow" w:cs="Times New Roman"/>
                <w:bCs/>
                <w:sz w:val="20"/>
              </w:rPr>
              <w:t>R, DB</w:t>
            </w:r>
          </w:p>
          <w:p w:rsidR="00EA35CA" w:rsidRPr="006E5C4D" w:rsidRDefault="00EA35CA" w:rsidP="00514C00">
            <w:pPr>
              <w:keepNext/>
              <w:jc w:val="center"/>
              <w:rPr>
                <w:rFonts w:ascii="Arial Narrow" w:eastAsia="MS Gothic" w:hAnsi="Arial Narrow" w:cs="Times New Roman"/>
                <w:bCs/>
                <w:sz w:val="20"/>
              </w:rPr>
            </w:pPr>
            <w:r w:rsidRPr="006E5C4D">
              <w:rPr>
                <w:rFonts w:ascii="Arial Narrow" w:eastAsia="MS Gothic" w:hAnsi="Arial Narrow" w:cs="Times New Roman"/>
                <w:bCs/>
                <w:sz w:val="20"/>
              </w:rPr>
              <w:t>1</w:t>
            </w:r>
            <w:r w:rsidR="00514C00" w:rsidRPr="006E5C4D">
              <w:rPr>
                <w:rFonts w:ascii="Arial Narrow" w:eastAsia="MS Gothic" w:hAnsi="Arial Narrow" w:cs="Times New Roman"/>
                <w:bCs/>
                <w:sz w:val="20"/>
              </w:rPr>
              <w:t>9</w:t>
            </w:r>
            <w:r w:rsidRPr="006E5C4D">
              <w:rPr>
                <w:rFonts w:ascii="Arial Narrow" w:eastAsia="MS Gothic" w:hAnsi="Arial Narrow" w:cs="Times New Roman"/>
                <w:bCs/>
                <w:sz w:val="20"/>
              </w:rPr>
              <w:t xml:space="preserve"> m</w:t>
            </w:r>
            <w:r w:rsidR="00932818" w:rsidRPr="006E5C4D">
              <w:rPr>
                <w:rFonts w:ascii="Arial Narrow" w:eastAsia="MS Gothic" w:hAnsi="Arial Narrow" w:cs="Times New Roman"/>
                <w:bCs/>
                <w:sz w:val="20"/>
              </w:rPr>
              <w:t>on</w:t>
            </w:r>
            <w:r w:rsidRPr="006E5C4D">
              <w:rPr>
                <w:rFonts w:ascii="Arial Narrow" w:eastAsia="MS Gothic" w:hAnsi="Arial Narrow" w:cs="Times New Roman"/>
                <w:bCs/>
                <w:sz w:val="20"/>
              </w:rPr>
              <w:t>ths</w:t>
            </w:r>
            <w:r w:rsidRPr="006E5C4D">
              <w:rPr>
                <w:rFonts w:ascii="Arial Narrow" w:eastAsia="MS Gothic" w:hAnsi="Arial Narrow" w:cs="Times New Roman"/>
                <w:bCs/>
                <w:sz w:val="20"/>
                <w:vertAlign w:val="superscript"/>
              </w:rPr>
              <w:t>a</w:t>
            </w:r>
          </w:p>
        </w:tc>
        <w:tc>
          <w:tcPr>
            <w:tcW w:w="621" w:type="pct"/>
            <w:shd w:val="clear" w:color="auto" w:fill="auto"/>
            <w:vAlign w:val="center"/>
          </w:tcPr>
          <w:p w:rsidR="00EA35CA" w:rsidRPr="006E5C4D" w:rsidRDefault="00EA35CA" w:rsidP="00EA35CA">
            <w:pPr>
              <w:keepNext/>
              <w:jc w:val="center"/>
              <w:rPr>
                <w:rFonts w:ascii="Arial Narrow" w:eastAsia="MS Gothic" w:hAnsi="Arial Narrow" w:cs="Times New Roman"/>
                <w:bCs/>
                <w:sz w:val="20"/>
              </w:rPr>
            </w:pPr>
            <w:r w:rsidRPr="006E5C4D">
              <w:rPr>
                <w:rFonts w:ascii="Arial Narrow" w:eastAsia="MS Gothic" w:hAnsi="Arial Narrow" w:cs="Times New Roman"/>
                <w:bCs/>
                <w:sz w:val="20"/>
              </w:rPr>
              <w:t>Low</w:t>
            </w:r>
          </w:p>
        </w:tc>
        <w:tc>
          <w:tcPr>
            <w:tcW w:w="857" w:type="pct"/>
            <w:shd w:val="clear" w:color="auto" w:fill="auto"/>
            <w:vAlign w:val="center"/>
          </w:tcPr>
          <w:p w:rsidR="00EA35CA" w:rsidRPr="006E5C4D" w:rsidRDefault="00EA35CA" w:rsidP="00EA35CA">
            <w:pPr>
              <w:keepNext/>
              <w:jc w:val="center"/>
              <w:rPr>
                <w:rFonts w:ascii="Arial Narrow" w:eastAsia="MS Gothic" w:hAnsi="Arial Narrow" w:cs="Times New Roman"/>
                <w:bCs/>
                <w:sz w:val="20"/>
              </w:rPr>
            </w:pPr>
            <w:r w:rsidRPr="006E5C4D">
              <w:rPr>
                <w:rFonts w:ascii="Arial Narrow" w:eastAsia="MS Gothic" w:hAnsi="Arial Narrow" w:cs="Times New Roman"/>
                <w:bCs/>
                <w:sz w:val="20"/>
              </w:rPr>
              <w:t>Unresectable locally advanced or metastatic TNBC</w:t>
            </w:r>
          </w:p>
        </w:tc>
        <w:tc>
          <w:tcPr>
            <w:tcW w:w="622" w:type="pct"/>
            <w:shd w:val="clear" w:color="auto" w:fill="auto"/>
            <w:vAlign w:val="center"/>
          </w:tcPr>
          <w:p w:rsidR="00EA35CA" w:rsidRPr="006E5C4D" w:rsidRDefault="00EA35CA" w:rsidP="00EA35CA">
            <w:pPr>
              <w:keepNext/>
              <w:jc w:val="center"/>
              <w:rPr>
                <w:rFonts w:ascii="Arial Narrow" w:eastAsia="MS Gothic" w:hAnsi="Arial Narrow" w:cs="Times New Roman"/>
                <w:bCs/>
                <w:sz w:val="20"/>
              </w:rPr>
            </w:pPr>
            <w:r w:rsidRPr="006E5C4D">
              <w:rPr>
                <w:rFonts w:ascii="Arial Narrow" w:eastAsia="MS Gothic" w:hAnsi="Arial Narrow" w:cs="Times New Roman"/>
                <w:bCs/>
                <w:sz w:val="20"/>
              </w:rPr>
              <w:t>OS, PFS</w:t>
            </w:r>
          </w:p>
        </w:tc>
        <w:tc>
          <w:tcPr>
            <w:tcW w:w="939" w:type="pct"/>
            <w:shd w:val="clear" w:color="auto" w:fill="auto"/>
            <w:vAlign w:val="center"/>
          </w:tcPr>
          <w:p w:rsidR="00EA35CA" w:rsidRPr="006E5C4D" w:rsidRDefault="00EA35CA" w:rsidP="00EA35CA">
            <w:pPr>
              <w:keepNext/>
              <w:jc w:val="center"/>
              <w:rPr>
                <w:rFonts w:ascii="Arial Narrow" w:eastAsia="MS Gothic" w:hAnsi="Arial Narrow" w:cs="Times New Roman"/>
                <w:bCs/>
                <w:sz w:val="20"/>
              </w:rPr>
            </w:pPr>
            <w:r w:rsidRPr="006E5C4D">
              <w:rPr>
                <w:rFonts w:ascii="Arial Narrow" w:eastAsia="MS Gothic" w:hAnsi="Arial Narrow" w:cs="Times New Roman"/>
                <w:bCs/>
                <w:sz w:val="20"/>
              </w:rPr>
              <w:t>Used</w:t>
            </w:r>
          </w:p>
        </w:tc>
      </w:tr>
    </w:tbl>
    <w:p w:rsidR="00EA35CA" w:rsidRPr="008D797E" w:rsidRDefault="00EA35CA" w:rsidP="00F46F6B">
      <w:pPr>
        <w:pStyle w:val="TableFigureFooter"/>
      </w:pPr>
      <w:r w:rsidRPr="008D797E">
        <w:t>Source: Sections 2.3 and 2.4 of the original submission.</w:t>
      </w:r>
    </w:p>
    <w:p w:rsidR="00EA35CA" w:rsidRPr="008D797E" w:rsidRDefault="00EA35CA" w:rsidP="00F46F6B">
      <w:pPr>
        <w:pStyle w:val="TableFigureFooter"/>
      </w:pPr>
      <w:r w:rsidRPr="008D797E">
        <w:t>ATZ = atezolizumab; nab-P = nab-paclitaxel; PBO = placebo; ITT = intention to treat; DB = double blind; OS = overall survival; PFS = progression-free survival; R = randomised; TNBC = triple negative breast cancer.</w:t>
      </w:r>
    </w:p>
    <w:p w:rsidR="000028AB" w:rsidRPr="008D797E" w:rsidRDefault="000028AB" w:rsidP="000028AB">
      <w:pPr>
        <w:pStyle w:val="TableFigureFooter"/>
      </w:pPr>
      <w:r w:rsidRPr="008D797E">
        <w:rPr>
          <w:vertAlign w:val="superscript"/>
        </w:rPr>
        <w:t>a</w:t>
      </w:r>
      <w:r w:rsidRPr="008D797E">
        <w:t xml:space="preserve"> Median follow-up duration at </w:t>
      </w:r>
      <w:r w:rsidR="00514C00" w:rsidRPr="008D797E">
        <w:t>final data cut-off date, 14 April 2020.</w:t>
      </w:r>
    </w:p>
    <w:p w:rsidR="00EA35CA" w:rsidRPr="008D797E" w:rsidRDefault="00EA35CA" w:rsidP="00F172BC">
      <w:pPr>
        <w:pStyle w:val="4-SubsectionHeading"/>
      </w:pPr>
      <w:bookmarkStart w:id="19" w:name="_Toc22897641"/>
      <w:bookmarkStart w:id="20" w:name="_Toc58854759"/>
      <w:bookmarkStart w:id="21" w:name="_Toc61964999"/>
      <w:r w:rsidRPr="008D797E">
        <w:t>Comparative effectiveness</w:t>
      </w:r>
      <w:bookmarkEnd w:id="19"/>
      <w:bookmarkEnd w:id="20"/>
      <w:bookmarkEnd w:id="21"/>
    </w:p>
    <w:p w:rsidR="00EA35CA" w:rsidRPr="008D797E" w:rsidRDefault="00EA35CA" w:rsidP="003842AE">
      <w:pPr>
        <w:numPr>
          <w:ilvl w:val="1"/>
          <w:numId w:val="1"/>
        </w:numPr>
        <w:spacing w:after="120"/>
        <w:rPr>
          <w:rFonts w:asciiTheme="minorHAnsi" w:hAnsiTheme="minorHAnsi"/>
        </w:rPr>
      </w:pPr>
      <w:r w:rsidRPr="006E5C4D">
        <w:rPr>
          <w:rFonts w:asciiTheme="minorHAnsi" w:hAnsiTheme="minorHAnsi"/>
        </w:rPr>
        <w:t xml:space="preserve">Updated results from the final analysis (14 April 2020) for IMpassion130 were provided </w:t>
      </w:r>
      <w:r w:rsidR="00853711" w:rsidRPr="006E5C4D">
        <w:rPr>
          <w:rFonts w:asciiTheme="minorHAnsi" w:hAnsiTheme="minorHAnsi"/>
        </w:rPr>
        <w:t>in</w:t>
      </w:r>
      <w:r w:rsidRPr="006E5C4D">
        <w:rPr>
          <w:rFonts w:asciiTheme="minorHAnsi" w:hAnsiTheme="minorHAnsi"/>
        </w:rPr>
        <w:t xml:space="preserve"> the resubmission. These were consistent with the results previously considered by the PBAC, from the 2 January 2019 clinical cut-off date. The OS results remained non-significant in the ITT population (</w:t>
      </w:r>
      <w:r w:rsidR="00853711" w:rsidRPr="006E5C4D">
        <w:rPr>
          <w:rFonts w:asciiTheme="minorHAnsi" w:hAnsiTheme="minorHAnsi"/>
        </w:rPr>
        <w:t>hazard ratio (</w:t>
      </w:r>
      <w:r w:rsidRPr="006E5C4D">
        <w:rPr>
          <w:rFonts w:asciiTheme="minorHAnsi" w:hAnsiTheme="minorHAnsi"/>
        </w:rPr>
        <w:t>HR</w:t>
      </w:r>
      <w:r w:rsidR="00853711" w:rsidRPr="006E5C4D">
        <w:rPr>
          <w:rFonts w:asciiTheme="minorHAnsi" w:hAnsiTheme="minorHAnsi"/>
        </w:rPr>
        <w:t>)</w:t>
      </w:r>
      <w:r w:rsidRPr="006E5C4D">
        <w:rPr>
          <w:rFonts w:asciiTheme="minorHAnsi" w:hAnsiTheme="minorHAnsi"/>
        </w:rPr>
        <w:t xml:space="preserve"> 0.87; 95%</w:t>
      </w:r>
      <w:r w:rsidR="00853711" w:rsidRPr="006E5C4D">
        <w:rPr>
          <w:rFonts w:asciiTheme="minorHAnsi" w:hAnsiTheme="minorHAnsi"/>
        </w:rPr>
        <w:t xml:space="preserve"> confidence interval (</w:t>
      </w:r>
      <w:r w:rsidRPr="006E5C4D">
        <w:rPr>
          <w:rFonts w:asciiTheme="minorHAnsi" w:hAnsiTheme="minorHAnsi"/>
        </w:rPr>
        <w:t>CI</w:t>
      </w:r>
      <w:r w:rsidR="00853711" w:rsidRPr="006E5C4D">
        <w:rPr>
          <w:rFonts w:asciiTheme="minorHAnsi" w:hAnsiTheme="minorHAnsi"/>
        </w:rPr>
        <w:t>)</w:t>
      </w:r>
      <w:r w:rsidRPr="006E5C4D">
        <w:rPr>
          <w:rFonts w:asciiTheme="minorHAnsi" w:hAnsiTheme="minorHAnsi"/>
        </w:rPr>
        <w:t xml:space="preserve"> 0.75, 1.02), with the hierarchical study design precluding formal statistical testing of the PD-L1 subgroup. The results in the </w:t>
      </w:r>
      <w:r w:rsidR="00CD3CCD" w:rsidRPr="006E5C4D">
        <w:rPr>
          <w:rFonts w:asciiTheme="minorHAnsi" w:hAnsiTheme="minorHAnsi"/>
        </w:rPr>
        <w:t>PD-L1-positive</w:t>
      </w:r>
      <w:r w:rsidRPr="006E5C4D">
        <w:rPr>
          <w:rFonts w:asciiTheme="minorHAnsi" w:hAnsiTheme="minorHAnsi"/>
        </w:rPr>
        <w:t xml:space="preserve"> subgroup are summarised in </w:t>
      </w:r>
      <w:r w:rsidR="00232E9D" w:rsidRPr="008D797E">
        <w:t xml:space="preserve">Table </w:t>
      </w:r>
      <w:r w:rsidR="00232E9D" w:rsidRPr="006E5C4D">
        <w:t>6</w:t>
      </w:r>
      <w:r w:rsidR="00F46F6B" w:rsidRPr="006E5C4D">
        <w:rPr>
          <w:rFonts w:asciiTheme="minorHAnsi" w:hAnsiTheme="minorHAnsi"/>
        </w:rPr>
        <w:t xml:space="preserve"> </w:t>
      </w:r>
      <w:r w:rsidRPr="006E5C4D">
        <w:rPr>
          <w:rFonts w:asciiTheme="minorHAnsi" w:hAnsiTheme="minorHAnsi"/>
        </w:rPr>
        <w:t xml:space="preserve">and </w:t>
      </w:r>
      <w:r w:rsidR="00232E9D" w:rsidRPr="008D797E">
        <w:t xml:space="preserve">Figure </w:t>
      </w:r>
      <w:r w:rsidR="00232E9D" w:rsidRPr="006E5C4D">
        <w:t>1</w:t>
      </w:r>
      <w:r w:rsidR="00F46F6B" w:rsidRPr="006E5C4D">
        <w:rPr>
          <w:rFonts w:asciiTheme="minorHAnsi" w:hAnsiTheme="minorHAnsi"/>
        </w:rPr>
        <w:t xml:space="preserve">, </w:t>
      </w:r>
      <w:r w:rsidRPr="006E5C4D">
        <w:rPr>
          <w:rFonts w:asciiTheme="minorHAnsi" w:hAnsiTheme="minorHAnsi"/>
        </w:rPr>
        <w:t>below.</w:t>
      </w:r>
      <w:r w:rsidR="002A64E2" w:rsidRPr="006E5C4D">
        <w:rPr>
          <w:rFonts w:asciiTheme="minorHAnsi" w:hAnsiTheme="minorHAnsi"/>
        </w:rPr>
        <w:t xml:space="preserve"> It is unusual that median OS exceeds the median duration of follow-up; this phenomenon may be suggestive of</w:t>
      </w:r>
      <w:r w:rsidR="00010653" w:rsidRPr="006E5C4D">
        <w:rPr>
          <w:rFonts w:asciiTheme="minorHAnsi" w:hAnsiTheme="minorHAnsi"/>
        </w:rPr>
        <w:t xml:space="preserve"> instability in the Kaplan-Meier estimates, and</w:t>
      </w:r>
      <w:r w:rsidR="002A64E2" w:rsidRPr="006E5C4D">
        <w:rPr>
          <w:rFonts w:asciiTheme="minorHAnsi" w:hAnsiTheme="minorHAnsi"/>
        </w:rPr>
        <w:t xml:space="preserve"> outliers in the data</w:t>
      </w:r>
      <w:r w:rsidR="002A64E2" w:rsidRPr="006E5C4D">
        <w:rPr>
          <w:rStyle w:val="FootnoteReference"/>
          <w:rFonts w:asciiTheme="minorHAnsi" w:hAnsiTheme="minorHAnsi"/>
        </w:rPr>
        <w:footnoteReference w:id="7"/>
      </w:r>
      <w:r w:rsidR="002A64E2" w:rsidRPr="006E5C4D">
        <w:rPr>
          <w:rFonts w:asciiTheme="minorHAnsi" w:hAnsiTheme="minorHAnsi"/>
        </w:rPr>
        <w:t>.</w:t>
      </w:r>
      <w:r w:rsidR="003842AE" w:rsidRPr="006E5C4D">
        <w:rPr>
          <w:rFonts w:asciiTheme="minorHAnsi" w:hAnsiTheme="minorHAnsi"/>
        </w:rPr>
        <w:t xml:space="preserve"> </w:t>
      </w:r>
    </w:p>
    <w:p w:rsidR="00EA35CA" w:rsidRPr="008D797E" w:rsidRDefault="00F46F6B" w:rsidP="00F46F6B">
      <w:pPr>
        <w:pStyle w:val="TableFigureHeading"/>
      </w:pPr>
      <w:bookmarkStart w:id="22" w:name="_Ref59716051"/>
      <w:r w:rsidRPr="008D797E">
        <w:lastRenderedPageBreak/>
        <w:t xml:space="preserve">Table </w:t>
      </w:r>
      <w:r w:rsidR="00232E9D" w:rsidRPr="006E5C4D">
        <w:t>6</w:t>
      </w:r>
      <w:bookmarkEnd w:id="22"/>
      <w:r w:rsidR="00EA35CA" w:rsidRPr="008D797E">
        <w:t xml:space="preserve">: Comparison of updated efficacy data, </w:t>
      </w:r>
      <w:r w:rsidR="00CD3CCD" w:rsidRPr="008D797E">
        <w:t>PD-L1-positive</w:t>
      </w:r>
      <w:r w:rsidR="004A1343" w:rsidRPr="008D797E">
        <w:t xml:space="preserve"> population, IMpassion130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57" w:type="dxa"/>
          <w:right w:w="57" w:type="dxa"/>
        </w:tblCellMar>
        <w:tblLook w:val="04A0" w:firstRow="1" w:lastRow="0" w:firstColumn="1" w:lastColumn="0" w:noHBand="0" w:noVBand="1"/>
      </w:tblPr>
      <w:tblGrid>
        <w:gridCol w:w="2111"/>
        <w:gridCol w:w="1193"/>
        <w:gridCol w:w="1194"/>
        <w:gridCol w:w="1026"/>
        <w:gridCol w:w="1232"/>
        <w:gridCol w:w="1194"/>
        <w:gridCol w:w="1066"/>
      </w:tblGrid>
      <w:tr w:rsidR="007F057C" w:rsidRPr="008D797E" w:rsidTr="00C73EBC">
        <w:trPr>
          <w:cantSplit/>
          <w:tblHeader/>
        </w:trPr>
        <w:tc>
          <w:tcPr>
            <w:tcW w:w="1171" w:type="pct"/>
            <w:tcBorders>
              <w:bottom w:val="nil"/>
            </w:tcBorders>
            <w:shd w:val="clear" w:color="auto" w:fill="FFFFFF" w:themeFill="background1"/>
            <w:vAlign w:val="center"/>
          </w:tcPr>
          <w:p w:rsidR="007F057C" w:rsidRPr="006E5C4D" w:rsidRDefault="007F057C" w:rsidP="00C73EBC">
            <w:pPr>
              <w:keepNext/>
              <w:jc w:val="center"/>
              <w:rPr>
                <w:rFonts w:ascii="Arial Narrow" w:eastAsia="MS Gothic" w:hAnsi="Arial Narrow" w:cs="Times New Roman"/>
                <w:b/>
                <w:sz w:val="20"/>
              </w:rPr>
            </w:pPr>
          </w:p>
        </w:tc>
        <w:tc>
          <w:tcPr>
            <w:tcW w:w="1893" w:type="pct"/>
            <w:gridSpan w:val="3"/>
            <w:shd w:val="clear" w:color="auto" w:fill="DBE5F1" w:themeFill="accent1" w:themeFillTint="33"/>
            <w:vAlign w:val="center"/>
          </w:tcPr>
          <w:p w:rsidR="007F057C" w:rsidRPr="006E5C4D" w:rsidRDefault="007F057C" w:rsidP="00C73EBC">
            <w:pPr>
              <w:keepNext/>
              <w:jc w:val="center"/>
              <w:rPr>
                <w:rFonts w:ascii="Arial Narrow" w:eastAsia="MS Gothic" w:hAnsi="Arial Narrow" w:cs="Times New Roman"/>
                <w:b/>
                <w:sz w:val="20"/>
              </w:rPr>
            </w:pPr>
            <w:r w:rsidRPr="006E5C4D">
              <w:rPr>
                <w:rFonts w:ascii="Arial Narrow" w:eastAsia="MS Gothic" w:hAnsi="Arial Narrow" w:cs="Times New Roman"/>
                <w:b/>
                <w:sz w:val="20"/>
              </w:rPr>
              <w:t>CCOD: 2 Jan 2019</w:t>
            </w:r>
          </w:p>
        </w:tc>
        <w:tc>
          <w:tcPr>
            <w:tcW w:w="1937" w:type="pct"/>
            <w:gridSpan w:val="3"/>
            <w:shd w:val="clear" w:color="auto" w:fill="FFFFFF" w:themeFill="background1"/>
          </w:tcPr>
          <w:p w:rsidR="007F057C" w:rsidRPr="006E5C4D" w:rsidRDefault="007F057C" w:rsidP="00C73EBC">
            <w:pPr>
              <w:keepNext/>
              <w:jc w:val="center"/>
              <w:rPr>
                <w:rFonts w:ascii="Arial Narrow" w:eastAsia="MS Gothic" w:hAnsi="Arial Narrow" w:cs="Times New Roman"/>
                <w:b/>
                <w:sz w:val="20"/>
              </w:rPr>
            </w:pPr>
            <w:r w:rsidRPr="006E5C4D">
              <w:rPr>
                <w:rFonts w:ascii="Arial Narrow" w:eastAsia="MS Gothic" w:hAnsi="Arial Narrow" w:cs="Times New Roman"/>
                <w:b/>
                <w:sz w:val="20"/>
              </w:rPr>
              <w:t>CCOD: 14 April 2020</w:t>
            </w:r>
          </w:p>
        </w:tc>
      </w:tr>
      <w:tr w:rsidR="007F057C" w:rsidRPr="008D797E" w:rsidTr="00C73EBC">
        <w:trPr>
          <w:cantSplit/>
          <w:tblHeader/>
        </w:trPr>
        <w:tc>
          <w:tcPr>
            <w:tcW w:w="1171" w:type="pct"/>
            <w:tcBorders>
              <w:top w:val="nil"/>
            </w:tcBorders>
            <w:shd w:val="clear" w:color="auto" w:fill="FFFFFF" w:themeFill="background1"/>
            <w:vAlign w:val="center"/>
          </w:tcPr>
          <w:p w:rsidR="007F057C" w:rsidRPr="006E5C4D" w:rsidRDefault="007F057C" w:rsidP="00C73EBC">
            <w:pPr>
              <w:keepNext/>
              <w:jc w:val="center"/>
              <w:rPr>
                <w:rFonts w:ascii="Arial Narrow" w:eastAsia="MS Gothic" w:hAnsi="Arial Narrow" w:cs="Times New Roman"/>
                <w:b/>
                <w:sz w:val="20"/>
              </w:rPr>
            </w:pPr>
          </w:p>
        </w:tc>
        <w:tc>
          <w:tcPr>
            <w:tcW w:w="662" w:type="pct"/>
            <w:shd w:val="clear" w:color="auto" w:fill="DBE5F1" w:themeFill="accent1" w:themeFillTint="33"/>
            <w:vAlign w:val="center"/>
          </w:tcPr>
          <w:p w:rsidR="007F057C" w:rsidRPr="006E5C4D" w:rsidRDefault="007F057C" w:rsidP="00C73EBC">
            <w:pPr>
              <w:keepNext/>
              <w:jc w:val="center"/>
              <w:rPr>
                <w:rFonts w:ascii="Arial Narrow" w:eastAsia="MS Gothic" w:hAnsi="Arial Narrow" w:cs="Times New Roman"/>
                <w:b/>
                <w:sz w:val="20"/>
              </w:rPr>
            </w:pPr>
            <w:r w:rsidRPr="006E5C4D">
              <w:rPr>
                <w:rFonts w:ascii="Arial Narrow" w:eastAsia="MS Gothic" w:hAnsi="Arial Narrow" w:cs="Times New Roman"/>
                <w:b/>
                <w:sz w:val="20"/>
              </w:rPr>
              <w:t>ATZ+nab-P</w:t>
            </w:r>
          </w:p>
          <w:p w:rsidR="007F057C" w:rsidRPr="006E5C4D" w:rsidRDefault="007F057C" w:rsidP="00C73EBC">
            <w:pPr>
              <w:keepNext/>
              <w:jc w:val="center"/>
              <w:rPr>
                <w:rFonts w:ascii="Arial Narrow" w:eastAsia="MS Gothic" w:hAnsi="Arial Narrow" w:cs="Times New Roman"/>
                <w:b/>
                <w:sz w:val="20"/>
              </w:rPr>
            </w:pPr>
            <w:r w:rsidRPr="006E5C4D">
              <w:rPr>
                <w:rFonts w:ascii="Arial Narrow" w:eastAsia="MS Gothic" w:hAnsi="Arial Narrow" w:cs="Times New Roman"/>
                <w:b/>
                <w:sz w:val="20"/>
              </w:rPr>
              <w:t>n/N (%)</w:t>
            </w:r>
          </w:p>
        </w:tc>
        <w:tc>
          <w:tcPr>
            <w:tcW w:w="662" w:type="pct"/>
            <w:shd w:val="clear" w:color="auto" w:fill="DBE5F1" w:themeFill="accent1" w:themeFillTint="33"/>
            <w:vAlign w:val="center"/>
          </w:tcPr>
          <w:p w:rsidR="007F057C" w:rsidRPr="006E5C4D" w:rsidRDefault="007F057C" w:rsidP="00C73EBC">
            <w:pPr>
              <w:keepNext/>
              <w:jc w:val="center"/>
              <w:rPr>
                <w:rFonts w:ascii="Arial Narrow" w:eastAsia="MS Gothic" w:hAnsi="Arial Narrow" w:cs="Times New Roman"/>
                <w:b/>
                <w:sz w:val="20"/>
              </w:rPr>
            </w:pPr>
            <w:r w:rsidRPr="006E5C4D">
              <w:rPr>
                <w:rFonts w:ascii="Arial Narrow" w:eastAsia="MS Gothic" w:hAnsi="Arial Narrow" w:cs="Times New Roman"/>
                <w:b/>
                <w:sz w:val="20"/>
              </w:rPr>
              <w:t>PBO+nab-P</w:t>
            </w:r>
          </w:p>
          <w:p w:rsidR="007F057C" w:rsidRPr="006E5C4D" w:rsidRDefault="007F057C" w:rsidP="00C73EBC">
            <w:pPr>
              <w:keepNext/>
              <w:jc w:val="center"/>
              <w:rPr>
                <w:rFonts w:ascii="Arial Narrow" w:eastAsia="MS Gothic" w:hAnsi="Arial Narrow" w:cs="Times New Roman"/>
                <w:b/>
                <w:sz w:val="20"/>
              </w:rPr>
            </w:pPr>
            <w:r w:rsidRPr="006E5C4D">
              <w:rPr>
                <w:rFonts w:ascii="Arial Narrow" w:eastAsia="MS Gothic" w:hAnsi="Arial Narrow" w:cs="Times New Roman"/>
                <w:b/>
                <w:sz w:val="20"/>
              </w:rPr>
              <w:t>n/N (%)</w:t>
            </w:r>
          </w:p>
        </w:tc>
        <w:tc>
          <w:tcPr>
            <w:tcW w:w="569" w:type="pct"/>
            <w:shd w:val="clear" w:color="auto" w:fill="DBE5F1" w:themeFill="accent1" w:themeFillTint="33"/>
            <w:vAlign w:val="center"/>
          </w:tcPr>
          <w:p w:rsidR="007F057C" w:rsidRPr="006E5C4D" w:rsidRDefault="007F057C" w:rsidP="00C73EBC">
            <w:pPr>
              <w:keepNext/>
              <w:jc w:val="center"/>
              <w:rPr>
                <w:rFonts w:ascii="Arial Narrow" w:eastAsia="MS Gothic" w:hAnsi="Arial Narrow" w:cs="Times New Roman"/>
                <w:b/>
                <w:sz w:val="20"/>
              </w:rPr>
            </w:pPr>
            <w:r w:rsidRPr="006E5C4D">
              <w:rPr>
                <w:rFonts w:ascii="Arial Narrow" w:eastAsia="MS Gothic" w:hAnsi="Arial Narrow" w:cs="Times New Roman"/>
                <w:b/>
                <w:sz w:val="20"/>
              </w:rPr>
              <w:t>HR (95% CI)</w:t>
            </w:r>
          </w:p>
        </w:tc>
        <w:tc>
          <w:tcPr>
            <w:tcW w:w="683" w:type="pct"/>
            <w:shd w:val="clear" w:color="auto" w:fill="FFFFFF" w:themeFill="background1"/>
            <w:vAlign w:val="center"/>
          </w:tcPr>
          <w:p w:rsidR="007F057C" w:rsidRPr="006E5C4D" w:rsidRDefault="007F057C" w:rsidP="00C73EBC">
            <w:pPr>
              <w:keepNext/>
              <w:jc w:val="center"/>
              <w:rPr>
                <w:rFonts w:ascii="Arial Narrow" w:eastAsia="MS Gothic" w:hAnsi="Arial Narrow" w:cs="Times New Roman"/>
                <w:b/>
                <w:sz w:val="20"/>
              </w:rPr>
            </w:pPr>
            <w:r w:rsidRPr="006E5C4D">
              <w:rPr>
                <w:rFonts w:ascii="Arial Narrow" w:eastAsia="MS Gothic" w:hAnsi="Arial Narrow" w:cs="Times New Roman"/>
                <w:b/>
                <w:sz w:val="20"/>
              </w:rPr>
              <w:t>ATZ+nab-P</w:t>
            </w:r>
          </w:p>
          <w:p w:rsidR="007F057C" w:rsidRPr="006E5C4D" w:rsidRDefault="007F057C" w:rsidP="00C73EBC">
            <w:pPr>
              <w:keepNext/>
              <w:jc w:val="center"/>
              <w:rPr>
                <w:rFonts w:ascii="Arial Narrow" w:eastAsia="MS Gothic" w:hAnsi="Arial Narrow" w:cs="Times New Roman"/>
                <w:b/>
                <w:sz w:val="20"/>
              </w:rPr>
            </w:pPr>
            <w:r w:rsidRPr="006E5C4D">
              <w:rPr>
                <w:rFonts w:ascii="Arial Narrow" w:eastAsia="MS Gothic" w:hAnsi="Arial Narrow" w:cs="Times New Roman"/>
                <w:b/>
                <w:sz w:val="20"/>
              </w:rPr>
              <w:t>n/N (%)</w:t>
            </w:r>
          </w:p>
        </w:tc>
        <w:tc>
          <w:tcPr>
            <w:tcW w:w="662" w:type="pct"/>
            <w:shd w:val="clear" w:color="auto" w:fill="FFFFFF" w:themeFill="background1"/>
            <w:vAlign w:val="center"/>
          </w:tcPr>
          <w:p w:rsidR="007F057C" w:rsidRPr="006E5C4D" w:rsidRDefault="007F057C" w:rsidP="00C73EBC">
            <w:pPr>
              <w:keepNext/>
              <w:jc w:val="center"/>
              <w:rPr>
                <w:rFonts w:ascii="Arial Narrow" w:eastAsia="MS Gothic" w:hAnsi="Arial Narrow" w:cs="Times New Roman"/>
                <w:b/>
                <w:sz w:val="20"/>
              </w:rPr>
            </w:pPr>
            <w:r w:rsidRPr="006E5C4D">
              <w:rPr>
                <w:rFonts w:ascii="Arial Narrow" w:eastAsia="MS Gothic" w:hAnsi="Arial Narrow" w:cs="Times New Roman"/>
                <w:b/>
                <w:sz w:val="20"/>
              </w:rPr>
              <w:t>PBO+nab-P</w:t>
            </w:r>
          </w:p>
          <w:p w:rsidR="007F057C" w:rsidRPr="006E5C4D" w:rsidRDefault="007F057C" w:rsidP="00C73EBC">
            <w:pPr>
              <w:keepNext/>
              <w:jc w:val="center"/>
              <w:rPr>
                <w:rFonts w:ascii="Arial Narrow" w:eastAsia="MS Gothic" w:hAnsi="Arial Narrow" w:cs="Times New Roman"/>
                <w:b/>
                <w:sz w:val="20"/>
              </w:rPr>
            </w:pPr>
            <w:r w:rsidRPr="006E5C4D">
              <w:rPr>
                <w:rFonts w:ascii="Arial Narrow" w:eastAsia="MS Gothic" w:hAnsi="Arial Narrow" w:cs="Times New Roman"/>
                <w:b/>
                <w:sz w:val="20"/>
              </w:rPr>
              <w:t>n/N (%)</w:t>
            </w:r>
          </w:p>
        </w:tc>
        <w:tc>
          <w:tcPr>
            <w:tcW w:w="591" w:type="pct"/>
            <w:shd w:val="clear" w:color="auto" w:fill="FFFFFF" w:themeFill="background1"/>
            <w:vAlign w:val="center"/>
          </w:tcPr>
          <w:p w:rsidR="007F057C" w:rsidRPr="006E5C4D" w:rsidRDefault="007F057C" w:rsidP="00C73EBC">
            <w:pPr>
              <w:keepNext/>
              <w:jc w:val="center"/>
              <w:rPr>
                <w:rFonts w:ascii="Arial Narrow" w:eastAsia="MS Gothic" w:hAnsi="Arial Narrow" w:cs="Times New Roman"/>
                <w:b/>
                <w:sz w:val="20"/>
              </w:rPr>
            </w:pPr>
            <w:r w:rsidRPr="006E5C4D">
              <w:rPr>
                <w:rFonts w:ascii="Arial Narrow" w:eastAsia="MS Gothic" w:hAnsi="Arial Narrow" w:cs="Times New Roman"/>
                <w:b/>
                <w:sz w:val="20"/>
              </w:rPr>
              <w:t>HR (95% CI)</w:t>
            </w:r>
          </w:p>
        </w:tc>
      </w:tr>
      <w:tr w:rsidR="007F057C" w:rsidRPr="008D797E" w:rsidTr="00C73EBC">
        <w:trPr>
          <w:cantSplit/>
          <w:tblHeader/>
        </w:trPr>
        <w:tc>
          <w:tcPr>
            <w:tcW w:w="1171" w:type="pct"/>
            <w:shd w:val="clear" w:color="auto" w:fill="FFFFFF" w:themeFill="background1"/>
            <w:vAlign w:val="center"/>
          </w:tcPr>
          <w:p w:rsidR="007F057C" w:rsidRPr="006E5C4D" w:rsidRDefault="007F057C" w:rsidP="00C73EBC">
            <w:pPr>
              <w:keepNext/>
              <w:jc w:val="left"/>
              <w:rPr>
                <w:rFonts w:ascii="Arial Narrow" w:eastAsia="MS Gothic" w:hAnsi="Arial Narrow" w:cs="Times New Roman"/>
                <w:b/>
                <w:sz w:val="20"/>
              </w:rPr>
            </w:pPr>
            <w:r w:rsidRPr="006E5C4D">
              <w:rPr>
                <w:rFonts w:ascii="Arial Narrow" w:eastAsia="MS Gothic" w:hAnsi="Arial Narrow" w:cs="Times New Roman"/>
                <w:b/>
                <w:sz w:val="20"/>
              </w:rPr>
              <w:t>Median duration of follow-up, months</w:t>
            </w:r>
          </w:p>
        </w:tc>
        <w:tc>
          <w:tcPr>
            <w:tcW w:w="662" w:type="pct"/>
            <w:shd w:val="clear" w:color="auto" w:fill="DBE5F1" w:themeFill="accent1" w:themeFillTint="33"/>
            <w:vAlign w:val="center"/>
          </w:tcPr>
          <w:p w:rsidR="007F057C" w:rsidRPr="006E5C4D" w:rsidRDefault="007F057C" w:rsidP="00C73EBC">
            <w:pPr>
              <w:keepNext/>
              <w:jc w:val="center"/>
              <w:rPr>
                <w:rFonts w:ascii="Arial Narrow" w:eastAsia="MS Gothic" w:hAnsi="Arial Narrow" w:cs="Times New Roman"/>
                <w:b/>
                <w:sz w:val="20"/>
              </w:rPr>
            </w:pPr>
            <w:r w:rsidRPr="006E5C4D">
              <w:rPr>
                <w:rFonts w:ascii="Arial Narrow" w:eastAsia="MS Gothic" w:hAnsi="Arial Narrow" w:cs="Times New Roman"/>
                <w:b/>
                <w:sz w:val="20"/>
              </w:rPr>
              <w:t>19.42</w:t>
            </w:r>
          </w:p>
        </w:tc>
        <w:tc>
          <w:tcPr>
            <w:tcW w:w="662" w:type="pct"/>
            <w:shd w:val="clear" w:color="auto" w:fill="DBE5F1" w:themeFill="accent1" w:themeFillTint="33"/>
            <w:vAlign w:val="center"/>
          </w:tcPr>
          <w:p w:rsidR="007F057C" w:rsidRPr="006E5C4D" w:rsidRDefault="007F057C" w:rsidP="00C73EBC">
            <w:pPr>
              <w:keepNext/>
              <w:jc w:val="center"/>
              <w:rPr>
                <w:rFonts w:ascii="Arial Narrow" w:eastAsia="MS Gothic" w:hAnsi="Arial Narrow" w:cs="Times New Roman"/>
                <w:b/>
                <w:sz w:val="20"/>
              </w:rPr>
            </w:pPr>
            <w:r w:rsidRPr="006E5C4D">
              <w:rPr>
                <w:rFonts w:ascii="Arial Narrow" w:eastAsia="MS Gothic" w:hAnsi="Arial Narrow" w:cs="Times New Roman"/>
                <w:b/>
                <w:sz w:val="20"/>
              </w:rPr>
              <w:t>15.74</w:t>
            </w:r>
          </w:p>
        </w:tc>
        <w:tc>
          <w:tcPr>
            <w:tcW w:w="569" w:type="pct"/>
            <w:shd w:val="clear" w:color="auto" w:fill="DBE5F1" w:themeFill="accent1" w:themeFillTint="33"/>
            <w:vAlign w:val="center"/>
          </w:tcPr>
          <w:p w:rsidR="007F057C" w:rsidRPr="006E5C4D" w:rsidRDefault="007F057C" w:rsidP="00C73EBC">
            <w:pPr>
              <w:keepNext/>
              <w:jc w:val="center"/>
              <w:rPr>
                <w:rFonts w:ascii="Arial Narrow" w:eastAsia="MS Gothic" w:hAnsi="Arial Narrow" w:cs="Times New Roman"/>
                <w:b/>
                <w:sz w:val="20"/>
              </w:rPr>
            </w:pPr>
            <w:r w:rsidRPr="006E5C4D">
              <w:rPr>
                <w:rFonts w:ascii="Arial Narrow" w:eastAsia="MS Gothic" w:hAnsi="Arial Narrow" w:cs="Times New Roman"/>
                <w:b/>
                <w:sz w:val="20"/>
              </w:rPr>
              <w:t>-</w:t>
            </w:r>
          </w:p>
        </w:tc>
        <w:tc>
          <w:tcPr>
            <w:tcW w:w="683" w:type="pct"/>
            <w:shd w:val="clear" w:color="auto" w:fill="FFFFFF" w:themeFill="background1"/>
            <w:vAlign w:val="center"/>
          </w:tcPr>
          <w:p w:rsidR="007F057C" w:rsidRPr="006E5C4D" w:rsidRDefault="007F057C" w:rsidP="00C73EBC">
            <w:pPr>
              <w:keepNext/>
              <w:jc w:val="center"/>
              <w:rPr>
                <w:rFonts w:ascii="Arial Narrow" w:eastAsia="MS Gothic" w:hAnsi="Arial Narrow" w:cs="Times New Roman"/>
                <w:b/>
                <w:sz w:val="20"/>
              </w:rPr>
            </w:pPr>
            <w:r w:rsidRPr="006E5C4D">
              <w:rPr>
                <w:rFonts w:ascii="Arial Narrow" w:eastAsia="MS Gothic" w:hAnsi="Arial Narrow" w:cs="Times New Roman"/>
                <w:b/>
                <w:sz w:val="20"/>
              </w:rPr>
              <w:t>23.43</w:t>
            </w:r>
          </w:p>
        </w:tc>
        <w:tc>
          <w:tcPr>
            <w:tcW w:w="662" w:type="pct"/>
            <w:shd w:val="clear" w:color="auto" w:fill="FFFFFF" w:themeFill="background1"/>
            <w:vAlign w:val="center"/>
          </w:tcPr>
          <w:p w:rsidR="007F057C" w:rsidRPr="006E5C4D" w:rsidRDefault="007F057C" w:rsidP="00C73EBC">
            <w:pPr>
              <w:keepNext/>
              <w:jc w:val="center"/>
              <w:rPr>
                <w:rFonts w:ascii="Arial Narrow" w:eastAsia="MS Gothic" w:hAnsi="Arial Narrow" w:cs="Times New Roman"/>
                <w:b/>
                <w:sz w:val="20"/>
              </w:rPr>
            </w:pPr>
            <w:r w:rsidRPr="006E5C4D">
              <w:rPr>
                <w:rFonts w:ascii="Arial Narrow" w:eastAsia="MS Gothic" w:hAnsi="Arial Narrow" w:cs="Times New Roman"/>
                <w:b/>
                <w:sz w:val="20"/>
              </w:rPr>
              <w:t>16.26</w:t>
            </w:r>
          </w:p>
        </w:tc>
        <w:tc>
          <w:tcPr>
            <w:tcW w:w="591" w:type="pct"/>
            <w:shd w:val="clear" w:color="auto" w:fill="FFFFFF" w:themeFill="background1"/>
            <w:vAlign w:val="center"/>
          </w:tcPr>
          <w:p w:rsidR="007F057C" w:rsidRPr="006E5C4D" w:rsidRDefault="007F057C" w:rsidP="00C73EBC">
            <w:pPr>
              <w:keepNext/>
              <w:jc w:val="center"/>
              <w:rPr>
                <w:rFonts w:ascii="Arial Narrow" w:eastAsia="MS Gothic" w:hAnsi="Arial Narrow" w:cs="Times New Roman"/>
                <w:b/>
                <w:sz w:val="20"/>
              </w:rPr>
            </w:pPr>
            <w:r w:rsidRPr="006E5C4D">
              <w:rPr>
                <w:rFonts w:ascii="Arial Narrow" w:eastAsia="MS Gothic" w:hAnsi="Arial Narrow" w:cs="Times New Roman"/>
                <w:b/>
                <w:sz w:val="20"/>
              </w:rPr>
              <w:t>-</w:t>
            </w:r>
          </w:p>
        </w:tc>
      </w:tr>
      <w:tr w:rsidR="007F057C" w:rsidRPr="008D797E" w:rsidTr="00C73EB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108" w:type="dxa"/>
            <w:right w:w="108" w:type="dxa"/>
          </w:tblCellMar>
          <w:tblLook w:val="0000" w:firstRow="0" w:lastRow="0" w:firstColumn="0" w:lastColumn="0" w:noHBand="0" w:noVBand="0"/>
        </w:tblPrEx>
        <w:tc>
          <w:tcPr>
            <w:tcW w:w="1171" w:type="pct"/>
            <w:tcBorders>
              <w:top w:val="single" w:sz="4" w:space="0" w:color="auto"/>
              <w:left w:val="single" w:sz="4" w:space="0" w:color="auto"/>
              <w:right w:val="single" w:sz="4" w:space="0" w:color="auto"/>
            </w:tcBorders>
          </w:tcPr>
          <w:p w:rsidR="007F057C" w:rsidRPr="008D797E" w:rsidRDefault="007F057C" w:rsidP="00EC37D5">
            <w:pPr>
              <w:keepNext/>
              <w:jc w:val="left"/>
              <w:rPr>
                <w:rFonts w:ascii="Arial Narrow" w:eastAsia="MS Gothic" w:hAnsi="Arial Narrow" w:cs="Times New Roman"/>
                <w:b/>
                <w:bCs/>
                <w:sz w:val="20"/>
              </w:rPr>
            </w:pPr>
            <w:r w:rsidRPr="008D797E">
              <w:rPr>
                <w:rFonts w:ascii="Arial Narrow" w:eastAsia="MS Gothic" w:hAnsi="Arial Narrow" w:cs="Times New Roman"/>
                <w:b/>
                <w:bCs/>
                <w:sz w:val="20"/>
              </w:rPr>
              <w:t xml:space="preserve">Remain on treatment </w:t>
            </w:r>
            <w:r w:rsidR="009774AD" w:rsidRPr="008D797E">
              <w:rPr>
                <w:rFonts w:ascii="Arial Narrow" w:eastAsia="MS Gothic" w:hAnsi="Arial Narrow" w:cs="Times New Roman"/>
                <w:b/>
                <w:bCs/>
                <w:sz w:val="20"/>
              </w:rPr>
              <w:t>(</w:t>
            </w:r>
            <w:r w:rsidR="00EC37D5" w:rsidRPr="008D797E">
              <w:rPr>
                <w:rFonts w:ascii="Arial Narrow" w:eastAsia="MS Gothic" w:hAnsi="Arial Narrow" w:cs="Times New Roman"/>
                <w:b/>
                <w:bCs/>
                <w:sz w:val="20"/>
              </w:rPr>
              <w:t>n/N</w:t>
            </w:r>
            <w:r w:rsidR="009774AD" w:rsidRPr="008D797E">
              <w:rPr>
                <w:rFonts w:ascii="Arial Narrow" w:eastAsia="MS Gothic" w:hAnsi="Arial Narrow" w:cs="Times New Roman"/>
                <w:b/>
                <w:bCs/>
                <w:sz w:val="20"/>
              </w:rPr>
              <w:t>)</w:t>
            </w:r>
            <w:r w:rsidRPr="008D797E">
              <w:rPr>
                <w:rFonts w:ascii="Arial Narrow" w:eastAsia="MS Gothic" w:hAnsi="Arial Narrow" w:cs="Times New Roman"/>
                <w:b/>
                <w:bCs/>
                <w:sz w:val="20"/>
                <w:vertAlign w:val="superscript"/>
              </w:rPr>
              <w:t>a</w:t>
            </w:r>
          </w:p>
        </w:tc>
        <w:tc>
          <w:tcPr>
            <w:tcW w:w="662" w:type="pct"/>
            <w:tcBorders>
              <w:top w:val="single" w:sz="4" w:space="0" w:color="auto"/>
              <w:left w:val="nil"/>
              <w:right w:val="single" w:sz="4" w:space="0" w:color="auto"/>
            </w:tcBorders>
            <w:shd w:val="clear" w:color="auto" w:fill="DBE5F1" w:themeFill="accent1" w:themeFillTint="33"/>
          </w:tcPr>
          <w:p w:rsidR="007F057C" w:rsidRPr="008D797E" w:rsidRDefault="007F057C" w:rsidP="00C73EBC">
            <w:pPr>
              <w:keepNext/>
              <w:jc w:val="left"/>
              <w:rPr>
                <w:rFonts w:ascii="Arial Narrow" w:eastAsia="MS Gothic" w:hAnsi="Arial Narrow" w:cs="Times New Roman"/>
                <w:b/>
                <w:bCs/>
                <w:sz w:val="20"/>
              </w:rPr>
            </w:pPr>
          </w:p>
        </w:tc>
        <w:tc>
          <w:tcPr>
            <w:tcW w:w="662" w:type="pct"/>
            <w:tcBorders>
              <w:top w:val="single" w:sz="4" w:space="0" w:color="auto"/>
              <w:left w:val="nil"/>
              <w:right w:val="single" w:sz="4" w:space="0" w:color="auto"/>
            </w:tcBorders>
            <w:shd w:val="clear" w:color="auto" w:fill="DBE5F1" w:themeFill="accent1" w:themeFillTint="33"/>
          </w:tcPr>
          <w:p w:rsidR="007F057C" w:rsidRPr="008D797E" w:rsidRDefault="007F057C" w:rsidP="00C73EBC">
            <w:pPr>
              <w:keepNext/>
              <w:jc w:val="left"/>
              <w:rPr>
                <w:rFonts w:ascii="Arial Narrow" w:eastAsia="MS Gothic" w:hAnsi="Arial Narrow" w:cs="Times New Roman"/>
                <w:b/>
                <w:bCs/>
                <w:sz w:val="20"/>
              </w:rPr>
            </w:pPr>
          </w:p>
        </w:tc>
        <w:tc>
          <w:tcPr>
            <w:tcW w:w="569" w:type="pct"/>
            <w:vMerge w:val="restart"/>
            <w:tcBorders>
              <w:top w:val="single" w:sz="4" w:space="0" w:color="auto"/>
              <w:left w:val="single" w:sz="4" w:space="0" w:color="auto"/>
              <w:right w:val="single" w:sz="4" w:space="0" w:color="auto"/>
            </w:tcBorders>
            <w:shd w:val="clear" w:color="auto" w:fill="DBE5F1" w:themeFill="accent1" w:themeFillTint="33"/>
            <w:vAlign w:val="center"/>
          </w:tcPr>
          <w:p w:rsidR="007F057C" w:rsidRPr="008D797E" w:rsidRDefault="007F057C" w:rsidP="00C73EBC">
            <w:pPr>
              <w:keepNext/>
              <w:jc w:val="center"/>
              <w:rPr>
                <w:rFonts w:ascii="Arial Narrow" w:eastAsia="MS Gothic" w:hAnsi="Arial Narrow" w:cs="Times New Roman"/>
                <w:b/>
                <w:bCs/>
                <w:sz w:val="20"/>
              </w:rPr>
            </w:pPr>
            <w:r w:rsidRPr="008D797E">
              <w:rPr>
                <w:rFonts w:ascii="Arial Narrow" w:eastAsia="MS Gothic" w:hAnsi="Arial Narrow" w:cs="Times New Roman"/>
                <w:b/>
                <w:bCs/>
                <w:sz w:val="20"/>
              </w:rPr>
              <w:t>-</w:t>
            </w:r>
          </w:p>
        </w:tc>
        <w:tc>
          <w:tcPr>
            <w:tcW w:w="683" w:type="pct"/>
            <w:tcBorders>
              <w:top w:val="single" w:sz="4" w:space="0" w:color="auto"/>
              <w:left w:val="single" w:sz="4" w:space="0" w:color="auto"/>
              <w:right w:val="single" w:sz="4" w:space="0" w:color="auto"/>
            </w:tcBorders>
          </w:tcPr>
          <w:p w:rsidR="007F057C" w:rsidRPr="008D797E" w:rsidRDefault="007F057C" w:rsidP="00C73EBC">
            <w:pPr>
              <w:keepNext/>
              <w:jc w:val="center"/>
              <w:rPr>
                <w:rFonts w:ascii="Arial Narrow" w:eastAsia="MS Gothic" w:hAnsi="Arial Narrow" w:cs="Times New Roman"/>
                <w:b/>
                <w:bCs/>
                <w:sz w:val="20"/>
              </w:rPr>
            </w:pPr>
          </w:p>
        </w:tc>
        <w:tc>
          <w:tcPr>
            <w:tcW w:w="662" w:type="pct"/>
            <w:tcBorders>
              <w:top w:val="single" w:sz="4" w:space="0" w:color="auto"/>
              <w:left w:val="single" w:sz="4" w:space="0" w:color="auto"/>
              <w:right w:val="single" w:sz="4" w:space="0" w:color="auto"/>
            </w:tcBorders>
          </w:tcPr>
          <w:p w:rsidR="007F057C" w:rsidRPr="008D797E" w:rsidRDefault="007F057C" w:rsidP="00C73EBC">
            <w:pPr>
              <w:keepNext/>
              <w:jc w:val="center"/>
              <w:rPr>
                <w:rFonts w:ascii="Arial Narrow" w:eastAsia="MS Gothic" w:hAnsi="Arial Narrow" w:cs="Times New Roman"/>
                <w:b/>
                <w:bCs/>
                <w:sz w:val="20"/>
              </w:rPr>
            </w:pPr>
          </w:p>
        </w:tc>
        <w:tc>
          <w:tcPr>
            <w:tcW w:w="591" w:type="pct"/>
            <w:vMerge w:val="restart"/>
            <w:tcBorders>
              <w:top w:val="single" w:sz="4" w:space="0" w:color="auto"/>
              <w:left w:val="single" w:sz="4" w:space="0" w:color="auto"/>
              <w:right w:val="single" w:sz="4" w:space="0" w:color="auto"/>
            </w:tcBorders>
            <w:vAlign w:val="center"/>
          </w:tcPr>
          <w:p w:rsidR="007F057C" w:rsidRPr="008D797E" w:rsidRDefault="007F057C" w:rsidP="00C73EBC">
            <w:pPr>
              <w:keepNext/>
              <w:jc w:val="center"/>
              <w:rPr>
                <w:rFonts w:ascii="Arial Narrow" w:eastAsia="MS Gothic" w:hAnsi="Arial Narrow" w:cs="Times New Roman"/>
                <w:b/>
                <w:bCs/>
                <w:sz w:val="20"/>
              </w:rPr>
            </w:pPr>
            <w:r w:rsidRPr="008D797E">
              <w:rPr>
                <w:rFonts w:ascii="Arial Narrow" w:eastAsia="MS Gothic" w:hAnsi="Arial Narrow" w:cs="Times New Roman"/>
                <w:b/>
                <w:bCs/>
                <w:sz w:val="20"/>
              </w:rPr>
              <w:t>-</w:t>
            </w:r>
          </w:p>
        </w:tc>
      </w:tr>
      <w:tr w:rsidR="007F057C" w:rsidRPr="008D797E" w:rsidTr="00C73EB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108" w:type="dxa"/>
            <w:right w:w="108" w:type="dxa"/>
          </w:tblCellMar>
          <w:tblLook w:val="0000" w:firstRow="0" w:lastRow="0" w:firstColumn="0" w:lastColumn="0" w:noHBand="0" w:noVBand="0"/>
        </w:tblPrEx>
        <w:tc>
          <w:tcPr>
            <w:tcW w:w="1171" w:type="pct"/>
            <w:tcBorders>
              <w:left w:val="single" w:sz="4" w:space="0" w:color="auto"/>
              <w:right w:val="single" w:sz="4" w:space="0" w:color="auto"/>
            </w:tcBorders>
          </w:tcPr>
          <w:p w:rsidR="007F057C" w:rsidRPr="008D797E" w:rsidRDefault="007F057C" w:rsidP="00C73EBC">
            <w:pPr>
              <w:keepNext/>
              <w:jc w:val="left"/>
              <w:rPr>
                <w:rFonts w:ascii="Arial Narrow" w:eastAsia="MS Gothic" w:hAnsi="Arial Narrow" w:cs="Times New Roman"/>
                <w:bCs/>
                <w:sz w:val="20"/>
              </w:rPr>
            </w:pPr>
            <w:r w:rsidRPr="008D797E">
              <w:rPr>
                <w:rFonts w:ascii="Arial Narrow" w:eastAsia="MS Gothic" w:hAnsi="Arial Narrow" w:cs="Times New Roman"/>
                <w:bCs/>
                <w:sz w:val="20"/>
              </w:rPr>
              <w:t>ATZ</w:t>
            </w:r>
          </w:p>
        </w:tc>
        <w:tc>
          <w:tcPr>
            <w:tcW w:w="662" w:type="pct"/>
            <w:tcBorders>
              <w:left w:val="nil"/>
              <w:right w:val="single" w:sz="4" w:space="0" w:color="auto"/>
            </w:tcBorders>
            <w:shd w:val="clear" w:color="auto" w:fill="DBE5F1" w:themeFill="accent1" w:themeFillTint="33"/>
            <w:vAlign w:val="center"/>
          </w:tcPr>
          <w:p w:rsidR="007F057C" w:rsidRPr="008D797E" w:rsidRDefault="007F057C" w:rsidP="00C73EBC">
            <w:pPr>
              <w:keepNext/>
              <w:jc w:val="center"/>
              <w:rPr>
                <w:rFonts w:ascii="Arial Narrow" w:eastAsia="MS Gothic" w:hAnsi="Arial Narrow" w:cs="Times New Roman"/>
                <w:bCs/>
                <w:sz w:val="20"/>
              </w:rPr>
            </w:pPr>
            <w:r w:rsidRPr="008D797E">
              <w:rPr>
                <w:rFonts w:ascii="Arial Narrow" w:eastAsia="MS Gothic" w:hAnsi="Arial Narrow" w:cs="Times New Roman"/>
                <w:bCs/>
                <w:sz w:val="20"/>
              </w:rPr>
              <w:t>39</w:t>
            </w:r>
            <w:r w:rsidR="00EC37D5" w:rsidRPr="008D797E">
              <w:rPr>
                <w:rFonts w:ascii="Arial Narrow" w:eastAsia="MS Gothic" w:hAnsi="Arial Narrow" w:cs="Times New Roman"/>
                <w:bCs/>
                <w:sz w:val="20"/>
              </w:rPr>
              <w:t>/451</w:t>
            </w:r>
          </w:p>
        </w:tc>
        <w:tc>
          <w:tcPr>
            <w:tcW w:w="662" w:type="pct"/>
            <w:tcBorders>
              <w:left w:val="nil"/>
              <w:right w:val="single" w:sz="4" w:space="0" w:color="auto"/>
            </w:tcBorders>
            <w:shd w:val="clear" w:color="auto" w:fill="DBE5F1" w:themeFill="accent1" w:themeFillTint="33"/>
            <w:vAlign w:val="center"/>
          </w:tcPr>
          <w:p w:rsidR="007F057C" w:rsidRPr="008D797E" w:rsidRDefault="007F057C" w:rsidP="00C73EBC">
            <w:pPr>
              <w:keepNext/>
              <w:jc w:val="center"/>
              <w:rPr>
                <w:rFonts w:ascii="Arial Narrow" w:eastAsia="MS Gothic" w:hAnsi="Arial Narrow" w:cs="Times New Roman"/>
                <w:bCs/>
                <w:sz w:val="20"/>
              </w:rPr>
            </w:pPr>
            <w:r w:rsidRPr="008D797E">
              <w:rPr>
                <w:rFonts w:ascii="Arial Narrow" w:eastAsia="MS Gothic" w:hAnsi="Arial Narrow" w:cs="Times New Roman"/>
                <w:bCs/>
                <w:sz w:val="20"/>
              </w:rPr>
              <w:t>0</w:t>
            </w:r>
            <w:r w:rsidR="00EC37D5" w:rsidRPr="008D797E">
              <w:rPr>
                <w:rFonts w:ascii="Arial Narrow" w:eastAsia="MS Gothic" w:hAnsi="Arial Narrow" w:cs="Times New Roman"/>
                <w:bCs/>
                <w:sz w:val="20"/>
              </w:rPr>
              <w:t>/451</w:t>
            </w:r>
          </w:p>
        </w:tc>
        <w:tc>
          <w:tcPr>
            <w:tcW w:w="569" w:type="pct"/>
            <w:vMerge/>
            <w:tcBorders>
              <w:left w:val="single" w:sz="4" w:space="0" w:color="auto"/>
              <w:right w:val="single" w:sz="4" w:space="0" w:color="auto"/>
            </w:tcBorders>
            <w:shd w:val="clear" w:color="auto" w:fill="DBE5F1" w:themeFill="accent1" w:themeFillTint="33"/>
            <w:vAlign w:val="center"/>
          </w:tcPr>
          <w:p w:rsidR="007F057C" w:rsidRPr="008D797E" w:rsidRDefault="007F057C" w:rsidP="00C73EBC">
            <w:pPr>
              <w:keepNext/>
              <w:jc w:val="center"/>
              <w:rPr>
                <w:rFonts w:ascii="Arial Narrow" w:eastAsia="MS Gothic" w:hAnsi="Arial Narrow" w:cs="Times New Roman"/>
                <w:bCs/>
                <w:sz w:val="20"/>
              </w:rPr>
            </w:pPr>
          </w:p>
        </w:tc>
        <w:tc>
          <w:tcPr>
            <w:tcW w:w="683" w:type="pct"/>
            <w:tcBorders>
              <w:left w:val="single" w:sz="4" w:space="0" w:color="auto"/>
              <w:right w:val="single" w:sz="4" w:space="0" w:color="auto"/>
            </w:tcBorders>
            <w:vAlign w:val="center"/>
          </w:tcPr>
          <w:p w:rsidR="007F057C" w:rsidRPr="008D797E" w:rsidRDefault="007F057C" w:rsidP="00C73EBC">
            <w:pPr>
              <w:keepNext/>
              <w:jc w:val="center"/>
              <w:rPr>
                <w:rFonts w:ascii="Arial Narrow" w:eastAsia="MS Gothic" w:hAnsi="Arial Narrow" w:cs="Times New Roman"/>
                <w:bCs/>
                <w:sz w:val="20"/>
              </w:rPr>
            </w:pPr>
            <w:r w:rsidRPr="008D797E">
              <w:rPr>
                <w:rFonts w:ascii="Arial Narrow" w:eastAsia="MS Gothic" w:hAnsi="Arial Narrow" w:cs="Times New Roman"/>
                <w:bCs/>
                <w:sz w:val="20"/>
              </w:rPr>
              <w:t>26</w:t>
            </w:r>
            <w:r w:rsidR="00EC37D5" w:rsidRPr="008D797E">
              <w:rPr>
                <w:rFonts w:ascii="Arial Narrow" w:eastAsia="MS Gothic" w:hAnsi="Arial Narrow" w:cs="Times New Roman"/>
                <w:bCs/>
                <w:sz w:val="20"/>
              </w:rPr>
              <w:t>/451</w:t>
            </w:r>
          </w:p>
        </w:tc>
        <w:tc>
          <w:tcPr>
            <w:tcW w:w="662" w:type="pct"/>
            <w:tcBorders>
              <w:left w:val="single" w:sz="4" w:space="0" w:color="auto"/>
              <w:right w:val="single" w:sz="4" w:space="0" w:color="auto"/>
            </w:tcBorders>
            <w:vAlign w:val="center"/>
          </w:tcPr>
          <w:p w:rsidR="007F057C" w:rsidRPr="008D797E" w:rsidRDefault="007F057C" w:rsidP="00EC37D5">
            <w:pPr>
              <w:keepNext/>
              <w:jc w:val="center"/>
              <w:rPr>
                <w:rFonts w:ascii="Arial Narrow" w:eastAsia="MS Gothic" w:hAnsi="Arial Narrow" w:cs="Times New Roman"/>
                <w:bCs/>
                <w:sz w:val="20"/>
              </w:rPr>
            </w:pPr>
            <w:r w:rsidRPr="008D797E">
              <w:rPr>
                <w:rFonts w:ascii="Arial Narrow" w:eastAsia="MS Gothic" w:hAnsi="Arial Narrow" w:cs="Times New Roman"/>
                <w:bCs/>
                <w:sz w:val="20"/>
              </w:rPr>
              <w:t>5</w:t>
            </w:r>
            <w:r w:rsidR="00EC37D5" w:rsidRPr="008D797E">
              <w:rPr>
                <w:rFonts w:ascii="Arial Narrow" w:eastAsia="MS Gothic" w:hAnsi="Arial Narrow" w:cs="Times New Roman"/>
                <w:bCs/>
                <w:sz w:val="20"/>
              </w:rPr>
              <w:t>/451</w:t>
            </w:r>
            <w:r w:rsidRPr="008D797E">
              <w:rPr>
                <w:rFonts w:ascii="Arial Narrow" w:eastAsia="MS Gothic" w:hAnsi="Arial Narrow" w:cs="Times New Roman"/>
                <w:bCs/>
                <w:sz w:val="20"/>
                <w:vertAlign w:val="superscript"/>
              </w:rPr>
              <w:t>b</w:t>
            </w:r>
          </w:p>
        </w:tc>
        <w:tc>
          <w:tcPr>
            <w:tcW w:w="591" w:type="pct"/>
            <w:vMerge/>
            <w:tcBorders>
              <w:left w:val="single" w:sz="4" w:space="0" w:color="auto"/>
              <w:right w:val="single" w:sz="4" w:space="0" w:color="auto"/>
            </w:tcBorders>
          </w:tcPr>
          <w:p w:rsidR="007F057C" w:rsidRPr="008D797E" w:rsidRDefault="007F057C" w:rsidP="00C73EBC">
            <w:pPr>
              <w:keepNext/>
              <w:jc w:val="center"/>
              <w:rPr>
                <w:rFonts w:ascii="Arial Narrow" w:eastAsia="MS Gothic" w:hAnsi="Arial Narrow" w:cs="Times New Roman"/>
                <w:b/>
                <w:bCs/>
                <w:sz w:val="20"/>
              </w:rPr>
            </w:pPr>
          </w:p>
        </w:tc>
      </w:tr>
      <w:tr w:rsidR="007F057C" w:rsidRPr="008D797E" w:rsidTr="00C73EB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108" w:type="dxa"/>
            <w:right w:w="108" w:type="dxa"/>
          </w:tblCellMar>
          <w:tblLook w:val="0000" w:firstRow="0" w:lastRow="0" w:firstColumn="0" w:lastColumn="0" w:noHBand="0" w:noVBand="0"/>
        </w:tblPrEx>
        <w:tc>
          <w:tcPr>
            <w:tcW w:w="1171" w:type="pct"/>
            <w:tcBorders>
              <w:left w:val="single" w:sz="4" w:space="0" w:color="auto"/>
              <w:bottom w:val="single" w:sz="4" w:space="0" w:color="auto"/>
              <w:right w:val="single" w:sz="4" w:space="0" w:color="auto"/>
            </w:tcBorders>
          </w:tcPr>
          <w:p w:rsidR="007F057C" w:rsidRPr="008D797E" w:rsidRDefault="007F057C" w:rsidP="00C73EBC">
            <w:pPr>
              <w:keepNext/>
              <w:jc w:val="left"/>
              <w:rPr>
                <w:rFonts w:ascii="Arial Narrow" w:eastAsia="MS Gothic" w:hAnsi="Arial Narrow" w:cs="Times New Roman"/>
                <w:bCs/>
                <w:sz w:val="20"/>
              </w:rPr>
            </w:pPr>
            <w:r w:rsidRPr="008D797E">
              <w:rPr>
                <w:rFonts w:ascii="Arial Narrow" w:eastAsia="MS Gothic" w:hAnsi="Arial Narrow" w:cs="Times New Roman"/>
                <w:bCs/>
                <w:sz w:val="20"/>
              </w:rPr>
              <w:t>Nab-P</w:t>
            </w:r>
          </w:p>
        </w:tc>
        <w:tc>
          <w:tcPr>
            <w:tcW w:w="662" w:type="pct"/>
            <w:tcBorders>
              <w:left w:val="nil"/>
              <w:bottom w:val="single" w:sz="4" w:space="0" w:color="auto"/>
              <w:right w:val="single" w:sz="4" w:space="0" w:color="auto"/>
            </w:tcBorders>
            <w:shd w:val="clear" w:color="auto" w:fill="DBE5F1" w:themeFill="accent1" w:themeFillTint="33"/>
            <w:vAlign w:val="center"/>
          </w:tcPr>
          <w:p w:rsidR="007F057C" w:rsidRPr="008D797E" w:rsidRDefault="007F057C" w:rsidP="00C73EBC">
            <w:pPr>
              <w:keepNext/>
              <w:jc w:val="center"/>
              <w:rPr>
                <w:rFonts w:ascii="Arial Narrow" w:eastAsia="MS Gothic" w:hAnsi="Arial Narrow" w:cs="Times New Roman"/>
                <w:bCs/>
                <w:sz w:val="20"/>
              </w:rPr>
            </w:pPr>
            <w:r w:rsidRPr="008D797E">
              <w:rPr>
                <w:rFonts w:ascii="Arial Narrow" w:eastAsia="MS Gothic" w:hAnsi="Arial Narrow" w:cs="Times New Roman"/>
                <w:bCs/>
                <w:sz w:val="20"/>
              </w:rPr>
              <w:t>19</w:t>
            </w:r>
            <w:r w:rsidR="00EC37D5" w:rsidRPr="008D797E">
              <w:rPr>
                <w:rFonts w:ascii="Arial Narrow" w:eastAsia="MS Gothic" w:hAnsi="Arial Narrow" w:cs="Times New Roman"/>
                <w:bCs/>
                <w:sz w:val="20"/>
              </w:rPr>
              <w:t>/451</w:t>
            </w:r>
          </w:p>
        </w:tc>
        <w:tc>
          <w:tcPr>
            <w:tcW w:w="662" w:type="pct"/>
            <w:tcBorders>
              <w:left w:val="nil"/>
              <w:bottom w:val="single" w:sz="4" w:space="0" w:color="auto"/>
              <w:right w:val="single" w:sz="4" w:space="0" w:color="auto"/>
            </w:tcBorders>
            <w:shd w:val="clear" w:color="auto" w:fill="DBE5F1" w:themeFill="accent1" w:themeFillTint="33"/>
            <w:vAlign w:val="center"/>
          </w:tcPr>
          <w:p w:rsidR="007F057C" w:rsidRPr="008D797E" w:rsidRDefault="007F057C" w:rsidP="00C73EBC">
            <w:pPr>
              <w:keepNext/>
              <w:jc w:val="center"/>
              <w:rPr>
                <w:rFonts w:ascii="Arial Narrow" w:eastAsia="MS Gothic" w:hAnsi="Arial Narrow" w:cs="Times New Roman"/>
                <w:bCs/>
                <w:sz w:val="20"/>
              </w:rPr>
            </w:pPr>
            <w:r w:rsidRPr="008D797E">
              <w:rPr>
                <w:rFonts w:ascii="Arial Narrow" w:eastAsia="MS Gothic" w:hAnsi="Arial Narrow" w:cs="Times New Roman"/>
                <w:bCs/>
                <w:sz w:val="20"/>
              </w:rPr>
              <w:t>13</w:t>
            </w:r>
            <w:r w:rsidR="00EC37D5" w:rsidRPr="008D797E">
              <w:rPr>
                <w:rFonts w:ascii="Arial Narrow" w:eastAsia="MS Gothic" w:hAnsi="Arial Narrow" w:cs="Times New Roman"/>
                <w:bCs/>
                <w:sz w:val="20"/>
              </w:rPr>
              <w:t>/451</w:t>
            </w:r>
          </w:p>
        </w:tc>
        <w:tc>
          <w:tcPr>
            <w:tcW w:w="569" w:type="pct"/>
            <w:vMerge/>
            <w:tcBorders>
              <w:left w:val="single" w:sz="4" w:space="0" w:color="auto"/>
              <w:bottom w:val="single" w:sz="4" w:space="0" w:color="auto"/>
              <w:right w:val="single" w:sz="4" w:space="0" w:color="auto"/>
            </w:tcBorders>
            <w:shd w:val="clear" w:color="auto" w:fill="DBE5F1" w:themeFill="accent1" w:themeFillTint="33"/>
            <w:vAlign w:val="center"/>
          </w:tcPr>
          <w:p w:rsidR="007F057C" w:rsidRPr="008D797E" w:rsidRDefault="007F057C" w:rsidP="00C73EBC">
            <w:pPr>
              <w:keepNext/>
              <w:jc w:val="center"/>
              <w:rPr>
                <w:rFonts w:ascii="Arial Narrow" w:eastAsia="MS Gothic" w:hAnsi="Arial Narrow" w:cs="Times New Roman"/>
                <w:bCs/>
                <w:sz w:val="20"/>
              </w:rPr>
            </w:pPr>
          </w:p>
        </w:tc>
        <w:tc>
          <w:tcPr>
            <w:tcW w:w="683" w:type="pct"/>
            <w:tcBorders>
              <w:left w:val="single" w:sz="4" w:space="0" w:color="auto"/>
              <w:bottom w:val="single" w:sz="4" w:space="0" w:color="auto"/>
              <w:right w:val="single" w:sz="4" w:space="0" w:color="auto"/>
            </w:tcBorders>
            <w:vAlign w:val="center"/>
          </w:tcPr>
          <w:p w:rsidR="007F057C" w:rsidRPr="008D797E" w:rsidRDefault="007F057C" w:rsidP="00C73EBC">
            <w:pPr>
              <w:keepNext/>
              <w:jc w:val="center"/>
              <w:rPr>
                <w:rFonts w:ascii="Arial Narrow" w:eastAsia="MS Gothic" w:hAnsi="Arial Narrow" w:cs="Times New Roman"/>
                <w:bCs/>
                <w:sz w:val="20"/>
              </w:rPr>
            </w:pPr>
            <w:r w:rsidRPr="008D797E">
              <w:rPr>
                <w:rFonts w:ascii="Arial Narrow" w:eastAsia="MS Gothic" w:hAnsi="Arial Narrow" w:cs="Times New Roman"/>
                <w:bCs/>
                <w:sz w:val="20"/>
              </w:rPr>
              <w:t>7</w:t>
            </w:r>
            <w:r w:rsidR="00EC37D5" w:rsidRPr="008D797E">
              <w:rPr>
                <w:rFonts w:ascii="Arial Narrow" w:eastAsia="MS Gothic" w:hAnsi="Arial Narrow" w:cs="Times New Roman"/>
                <w:bCs/>
                <w:sz w:val="20"/>
              </w:rPr>
              <w:t>/451</w:t>
            </w:r>
          </w:p>
        </w:tc>
        <w:tc>
          <w:tcPr>
            <w:tcW w:w="662" w:type="pct"/>
            <w:tcBorders>
              <w:left w:val="single" w:sz="4" w:space="0" w:color="auto"/>
              <w:bottom w:val="single" w:sz="4" w:space="0" w:color="auto"/>
              <w:right w:val="single" w:sz="4" w:space="0" w:color="auto"/>
            </w:tcBorders>
            <w:vAlign w:val="center"/>
          </w:tcPr>
          <w:p w:rsidR="007F057C" w:rsidRPr="008D797E" w:rsidRDefault="007F057C" w:rsidP="00C73EBC">
            <w:pPr>
              <w:keepNext/>
              <w:jc w:val="center"/>
              <w:rPr>
                <w:rFonts w:ascii="Arial Narrow" w:eastAsia="MS Gothic" w:hAnsi="Arial Narrow" w:cs="Times New Roman"/>
                <w:bCs/>
                <w:sz w:val="20"/>
              </w:rPr>
            </w:pPr>
            <w:r w:rsidRPr="008D797E">
              <w:rPr>
                <w:rFonts w:ascii="Arial Narrow" w:eastAsia="MS Gothic" w:hAnsi="Arial Narrow" w:cs="Times New Roman"/>
                <w:bCs/>
                <w:sz w:val="20"/>
              </w:rPr>
              <w:t>6</w:t>
            </w:r>
            <w:r w:rsidR="00EC37D5" w:rsidRPr="008D797E">
              <w:rPr>
                <w:rFonts w:ascii="Arial Narrow" w:eastAsia="MS Gothic" w:hAnsi="Arial Narrow" w:cs="Times New Roman"/>
                <w:bCs/>
                <w:sz w:val="20"/>
              </w:rPr>
              <w:t>/451</w:t>
            </w:r>
          </w:p>
        </w:tc>
        <w:tc>
          <w:tcPr>
            <w:tcW w:w="591" w:type="pct"/>
            <w:vMerge/>
            <w:tcBorders>
              <w:left w:val="single" w:sz="4" w:space="0" w:color="auto"/>
              <w:bottom w:val="single" w:sz="4" w:space="0" w:color="auto"/>
              <w:right w:val="single" w:sz="4" w:space="0" w:color="auto"/>
            </w:tcBorders>
          </w:tcPr>
          <w:p w:rsidR="007F057C" w:rsidRPr="008D797E" w:rsidRDefault="007F057C" w:rsidP="00C73EBC">
            <w:pPr>
              <w:keepNext/>
              <w:jc w:val="left"/>
              <w:rPr>
                <w:rFonts w:ascii="Arial Narrow" w:eastAsia="MS Gothic" w:hAnsi="Arial Narrow" w:cs="Times New Roman"/>
                <w:b/>
                <w:bCs/>
                <w:sz w:val="20"/>
              </w:rPr>
            </w:pPr>
          </w:p>
        </w:tc>
      </w:tr>
      <w:tr w:rsidR="007F057C" w:rsidRPr="008D797E" w:rsidTr="00C73EBC">
        <w:trPr>
          <w:cantSplit/>
        </w:trPr>
        <w:tc>
          <w:tcPr>
            <w:tcW w:w="5000" w:type="pct"/>
            <w:gridSpan w:val="7"/>
            <w:shd w:val="clear" w:color="auto" w:fill="FFFFFF" w:themeFill="background1"/>
            <w:vAlign w:val="center"/>
          </w:tcPr>
          <w:p w:rsidR="007F057C" w:rsidRPr="006E5C4D" w:rsidRDefault="007F057C" w:rsidP="00C73EBC">
            <w:pPr>
              <w:keepNext/>
              <w:jc w:val="left"/>
              <w:rPr>
                <w:rFonts w:ascii="Arial Narrow" w:eastAsia="MS Gothic" w:hAnsi="Arial Narrow" w:cs="Times New Roman"/>
                <w:b/>
                <w:sz w:val="20"/>
              </w:rPr>
            </w:pPr>
            <w:r w:rsidRPr="006E5C4D">
              <w:rPr>
                <w:rFonts w:ascii="Arial Narrow" w:eastAsia="MS Gothic" w:hAnsi="Arial Narrow" w:cs="Times New Roman"/>
                <w:b/>
                <w:sz w:val="20"/>
              </w:rPr>
              <w:t>Investigator-assessed PFS</w:t>
            </w:r>
          </w:p>
        </w:tc>
      </w:tr>
      <w:tr w:rsidR="007F057C" w:rsidRPr="008D797E" w:rsidTr="00C73EBC">
        <w:trPr>
          <w:cantSplit/>
        </w:trPr>
        <w:tc>
          <w:tcPr>
            <w:tcW w:w="1171" w:type="pct"/>
            <w:shd w:val="clear" w:color="auto" w:fill="FFFFFF" w:themeFill="background1"/>
            <w:vAlign w:val="center"/>
          </w:tcPr>
          <w:p w:rsidR="007F057C" w:rsidRPr="008D797E" w:rsidRDefault="007F057C" w:rsidP="00C73EBC">
            <w:pPr>
              <w:keepNext/>
              <w:jc w:val="left"/>
              <w:rPr>
                <w:rFonts w:ascii="Arial Narrow" w:eastAsia="MS Gothic" w:hAnsi="Arial Narrow" w:cs="Times New Roman"/>
                <w:bCs/>
                <w:sz w:val="20"/>
              </w:rPr>
            </w:pPr>
            <w:r w:rsidRPr="008D797E">
              <w:rPr>
                <w:rFonts w:ascii="Arial Narrow" w:eastAsia="MS Gothic" w:hAnsi="Arial Narrow" w:cs="Times New Roman"/>
                <w:bCs/>
                <w:sz w:val="20"/>
              </w:rPr>
              <w:t>Progressed, n/N (%)</w:t>
            </w:r>
          </w:p>
        </w:tc>
        <w:tc>
          <w:tcPr>
            <w:tcW w:w="662" w:type="pct"/>
            <w:shd w:val="clear" w:color="auto" w:fill="DBE5F1" w:themeFill="accent1" w:themeFillTint="33"/>
            <w:vAlign w:val="center"/>
          </w:tcPr>
          <w:p w:rsidR="007F057C" w:rsidRPr="008D797E" w:rsidRDefault="007F057C" w:rsidP="00C73EBC">
            <w:pPr>
              <w:keepNext/>
              <w:jc w:val="center"/>
              <w:rPr>
                <w:rFonts w:ascii="Arial Narrow" w:eastAsia="MS Gothic" w:hAnsi="Arial Narrow"/>
                <w:bCs/>
                <w:sz w:val="20"/>
              </w:rPr>
            </w:pPr>
            <w:r w:rsidRPr="008D797E">
              <w:rPr>
                <w:rFonts w:ascii="Arial Narrow" w:eastAsia="MS Gothic" w:hAnsi="Arial Narrow"/>
                <w:bCs/>
                <w:sz w:val="20"/>
              </w:rPr>
              <w:t xml:space="preserve">149/185 </w:t>
            </w:r>
          </w:p>
          <w:p w:rsidR="007F057C" w:rsidRPr="008D797E" w:rsidRDefault="007F057C" w:rsidP="00C73EBC">
            <w:pPr>
              <w:keepNext/>
              <w:jc w:val="center"/>
              <w:rPr>
                <w:rFonts w:ascii="Arial Narrow" w:eastAsia="MS Gothic" w:hAnsi="Arial Narrow"/>
                <w:bCs/>
                <w:sz w:val="20"/>
              </w:rPr>
            </w:pPr>
            <w:r w:rsidRPr="008D797E">
              <w:rPr>
                <w:rFonts w:ascii="Arial Narrow" w:eastAsia="MS Gothic" w:hAnsi="Arial Narrow"/>
                <w:bCs/>
                <w:sz w:val="20"/>
              </w:rPr>
              <w:t>(80.5%)</w:t>
            </w:r>
          </w:p>
        </w:tc>
        <w:tc>
          <w:tcPr>
            <w:tcW w:w="662" w:type="pct"/>
            <w:shd w:val="clear" w:color="auto" w:fill="DBE5F1" w:themeFill="accent1" w:themeFillTint="33"/>
            <w:vAlign w:val="center"/>
          </w:tcPr>
          <w:p w:rsidR="007F057C" w:rsidRPr="008D797E" w:rsidRDefault="007F057C" w:rsidP="00C73EBC">
            <w:pPr>
              <w:keepNext/>
              <w:jc w:val="center"/>
              <w:rPr>
                <w:rFonts w:ascii="Arial Narrow" w:eastAsia="MS Gothic" w:hAnsi="Arial Narrow"/>
                <w:bCs/>
                <w:sz w:val="20"/>
              </w:rPr>
            </w:pPr>
            <w:r w:rsidRPr="008D797E">
              <w:rPr>
                <w:rFonts w:ascii="Arial Narrow" w:eastAsia="MS Gothic" w:hAnsi="Arial Narrow"/>
                <w:bCs/>
                <w:sz w:val="20"/>
              </w:rPr>
              <w:t xml:space="preserve">163/184 </w:t>
            </w:r>
          </w:p>
          <w:p w:rsidR="007F057C" w:rsidRPr="008D797E" w:rsidRDefault="007F057C" w:rsidP="00C73EBC">
            <w:pPr>
              <w:keepNext/>
              <w:jc w:val="center"/>
              <w:rPr>
                <w:rFonts w:ascii="Arial Narrow" w:eastAsia="MS Gothic" w:hAnsi="Arial Narrow"/>
                <w:bCs/>
                <w:sz w:val="20"/>
              </w:rPr>
            </w:pPr>
            <w:r w:rsidRPr="008D797E">
              <w:rPr>
                <w:rFonts w:ascii="Arial Narrow" w:eastAsia="MS Gothic" w:hAnsi="Arial Narrow"/>
                <w:bCs/>
                <w:sz w:val="20"/>
              </w:rPr>
              <w:t>(88.6%)</w:t>
            </w:r>
          </w:p>
        </w:tc>
        <w:tc>
          <w:tcPr>
            <w:tcW w:w="569" w:type="pct"/>
            <w:vMerge w:val="restart"/>
            <w:shd w:val="clear" w:color="auto" w:fill="DBE5F1" w:themeFill="accent1" w:themeFillTint="33"/>
            <w:vAlign w:val="center"/>
          </w:tcPr>
          <w:p w:rsidR="007F057C" w:rsidRPr="008D797E" w:rsidRDefault="007F057C" w:rsidP="00C73EBC">
            <w:pPr>
              <w:keepNext/>
              <w:jc w:val="center"/>
              <w:rPr>
                <w:rFonts w:ascii="Arial Narrow" w:eastAsia="MS Gothic" w:hAnsi="Arial Narrow"/>
                <w:b/>
                <w:bCs/>
                <w:sz w:val="20"/>
              </w:rPr>
            </w:pPr>
            <w:r w:rsidRPr="008D797E">
              <w:rPr>
                <w:rFonts w:ascii="Arial Narrow" w:eastAsia="MS Gothic" w:hAnsi="Arial Narrow"/>
                <w:b/>
                <w:bCs/>
                <w:sz w:val="20"/>
              </w:rPr>
              <w:t>0.63</w:t>
            </w:r>
            <w:r w:rsidRPr="008D797E">
              <w:rPr>
                <w:rFonts w:ascii="Arial Narrow" w:eastAsia="MS Gothic" w:hAnsi="Arial Narrow"/>
                <w:b/>
                <w:bCs/>
                <w:sz w:val="20"/>
                <w:shd w:val="clear" w:color="auto" w:fill="F2F2F2" w:themeFill="background1" w:themeFillShade="F2"/>
              </w:rPr>
              <w:t xml:space="preserve"> </w:t>
            </w:r>
          </w:p>
          <w:p w:rsidR="007F057C" w:rsidRPr="008D797E" w:rsidRDefault="007F057C" w:rsidP="00C73EBC">
            <w:pPr>
              <w:keepNext/>
              <w:jc w:val="center"/>
              <w:rPr>
                <w:rFonts w:ascii="Arial Narrow" w:eastAsia="MS Gothic" w:hAnsi="Arial Narrow"/>
                <w:bCs/>
                <w:sz w:val="20"/>
              </w:rPr>
            </w:pPr>
            <w:r w:rsidRPr="008D797E">
              <w:rPr>
                <w:rFonts w:ascii="Arial Narrow" w:eastAsia="MS Gothic" w:hAnsi="Arial Narrow"/>
                <w:b/>
                <w:bCs/>
                <w:sz w:val="20"/>
              </w:rPr>
              <w:t>(0.50, 0.80)</w:t>
            </w:r>
          </w:p>
        </w:tc>
        <w:tc>
          <w:tcPr>
            <w:tcW w:w="683" w:type="pct"/>
            <w:shd w:val="clear" w:color="auto" w:fill="FFFFFF" w:themeFill="background1"/>
            <w:vAlign w:val="center"/>
          </w:tcPr>
          <w:p w:rsidR="007F057C" w:rsidRPr="008D797E" w:rsidRDefault="007F057C" w:rsidP="00C73EBC">
            <w:pPr>
              <w:keepNext/>
              <w:jc w:val="center"/>
              <w:rPr>
                <w:rFonts w:ascii="Arial Narrow" w:eastAsia="MS Gothic" w:hAnsi="Arial Narrow"/>
                <w:bCs/>
                <w:sz w:val="20"/>
              </w:rPr>
            </w:pPr>
            <w:r w:rsidRPr="008D797E">
              <w:rPr>
                <w:rFonts w:ascii="Arial Narrow" w:eastAsia="MS Gothic" w:hAnsi="Arial Narrow"/>
                <w:bCs/>
                <w:sz w:val="20"/>
              </w:rPr>
              <w:t xml:space="preserve">154/185 </w:t>
            </w:r>
          </w:p>
          <w:p w:rsidR="007F057C" w:rsidRPr="008D797E" w:rsidRDefault="007F057C" w:rsidP="00C73EBC">
            <w:pPr>
              <w:keepNext/>
              <w:jc w:val="center"/>
              <w:rPr>
                <w:rFonts w:ascii="Arial Narrow" w:eastAsia="MS Gothic" w:hAnsi="Arial Narrow"/>
                <w:bCs/>
                <w:sz w:val="20"/>
              </w:rPr>
            </w:pPr>
            <w:r w:rsidRPr="008D797E">
              <w:rPr>
                <w:rFonts w:ascii="Arial Narrow" w:eastAsia="MS Gothic" w:hAnsi="Arial Narrow"/>
                <w:bCs/>
                <w:sz w:val="20"/>
              </w:rPr>
              <w:t>(83.2%)</w:t>
            </w:r>
          </w:p>
        </w:tc>
        <w:tc>
          <w:tcPr>
            <w:tcW w:w="662" w:type="pct"/>
            <w:shd w:val="clear" w:color="auto" w:fill="FFFFFF" w:themeFill="background1"/>
            <w:vAlign w:val="center"/>
          </w:tcPr>
          <w:p w:rsidR="007F057C" w:rsidRPr="008D797E" w:rsidRDefault="007F057C" w:rsidP="00C73EBC">
            <w:pPr>
              <w:keepNext/>
              <w:jc w:val="center"/>
              <w:rPr>
                <w:rFonts w:ascii="Arial Narrow" w:eastAsia="MS Gothic" w:hAnsi="Arial Narrow"/>
                <w:bCs/>
                <w:sz w:val="20"/>
              </w:rPr>
            </w:pPr>
            <w:r w:rsidRPr="008D797E">
              <w:rPr>
                <w:rFonts w:ascii="Arial Narrow" w:eastAsia="MS Gothic" w:hAnsi="Arial Narrow"/>
                <w:bCs/>
                <w:sz w:val="20"/>
              </w:rPr>
              <w:t xml:space="preserve">167/184 </w:t>
            </w:r>
          </w:p>
          <w:p w:rsidR="007F057C" w:rsidRPr="008D797E" w:rsidRDefault="007F057C" w:rsidP="00C73EBC">
            <w:pPr>
              <w:keepNext/>
              <w:jc w:val="center"/>
              <w:rPr>
                <w:rFonts w:ascii="Arial Narrow" w:eastAsia="MS Gothic" w:hAnsi="Arial Narrow"/>
                <w:bCs/>
                <w:sz w:val="20"/>
              </w:rPr>
            </w:pPr>
            <w:r w:rsidRPr="008D797E">
              <w:rPr>
                <w:rFonts w:ascii="Arial Narrow" w:eastAsia="MS Gothic" w:hAnsi="Arial Narrow"/>
                <w:bCs/>
                <w:sz w:val="20"/>
              </w:rPr>
              <w:t>(90.8%)</w:t>
            </w:r>
          </w:p>
        </w:tc>
        <w:tc>
          <w:tcPr>
            <w:tcW w:w="591" w:type="pct"/>
            <w:vMerge w:val="restart"/>
            <w:shd w:val="clear" w:color="auto" w:fill="FFFFFF" w:themeFill="background1"/>
            <w:vAlign w:val="center"/>
          </w:tcPr>
          <w:p w:rsidR="007F057C" w:rsidRPr="008D797E" w:rsidRDefault="007F057C" w:rsidP="00C73EBC">
            <w:pPr>
              <w:keepNext/>
              <w:jc w:val="center"/>
              <w:rPr>
                <w:rFonts w:ascii="Arial Narrow" w:eastAsia="MS Gothic" w:hAnsi="Arial Narrow"/>
                <w:b/>
                <w:bCs/>
                <w:sz w:val="20"/>
              </w:rPr>
            </w:pPr>
            <w:r w:rsidRPr="008D797E">
              <w:rPr>
                <w:rFonts w:ascii="Arial Narrow" w:eastAsia="MS Gothic" w:hAnsi="Arial Narrow"/>
                <w:b/>
                <w:bCs/>
                <w:sz w:val="20"/>
              </w:rPr>
              <w:t>0.63</w:t>
            </w:r>
          </w:p>
          <w:p w:rsidR="007F057C" w:rsidRPr="008D797E" w:rsidRDefault="007F057C" w:rsidP="00C73EBC">
            <w:pPr>
              <w:keepNext/>
              <w:jc w:val="center"/>
              <w:rPr>
                <w:rFonts w:ascii="Arial Narrow" w:eastAsia="MS Gothic" w:hAnsi="Arial Narrow"/>
                <w:bCs/>
                <w:sz w:val="20"/>
              </w:rPr>
            </w:pPr>
            <w:r w:rsidRPr="008D797E">
              <w:rPr>
                <w:rFonts w:ascii="Arial Narrow" w:eastAsia="MS Gothic" w:hAnsi="Arial Narrow"/>
                <w:b/>
                <w:bCs/>
                <w:sz w:val="20"/>
              </w:rPr>
              <w:t>(0.50, 0.79)</w:t>
            </w:r>
          </w:p>
        </w:tc>
      </w:tr>
      <w:tr w:rsidR="007F057C" w:rsidRPr="008D797E" w:rsidTr="00C73EBC">
        <w:trPr>
          <w:cantSplit/>
        </w:trPr>
        <w:tc>
          <w:tcPr>
            <w:tcW w:w="1171" w:type="pct"/>
            <w:shd w:val="clear" w:color="auto" w:fill="FFFFFF" w:themeFill="background1"/>
            <w:vAlign w:val="center"/>
          </w:tcPr>
          <w:p w:rsidR="007F057C" w:rsidRPr="008D797E" w:rsidRDefault="007F057C" w:rsidP="00C73EBC">
            <w:pPr>
              <w:keepNext/>
              <w:jc w:val="left"/>
              <w:rPr>
                <w:rFonts w:ascii="Arial Narrow" w:eastAsia="MS Gothic" w:hAnsi="Arial Narrow" w:cs="Times New Roman"/>
                <w:bCs/>
                <w:sz w:val="20"/>
              </w:rPr>
            </w:pPr>
            <w:r w:rsidRPr="008D797E">
              <w:rPr>
                <w:rFonts w:ascii="Arial Narrow" w:eastAsia="MS Gothic" w:hAnsi="Arial Narrow" w:cs="Times New Roman"/>
                <w:bCs/>
                <w:sz w:val="20"/>
              </w:rPr>
              <w:t>Median PFS, months (95% CI)</w:t>
            </w:r>
          </w:p>
        </w:tc>
        <w:tc>
          <w:tcPr>
            <w:tcW w:w="662" w:type="pct"/>
            <w:shd w:val="clear" w:color="auto" w:fill="DBE5F1" w:themeFill="accent1" w:themeFillTint="33"/>
            <w:vAlign w:val="center"/>
          </w:tcPr>
          <w:p w:rsidR="007F057C" w:rsidRPr="008D797E" w:rsidRDefault="007F057C" w:rsidP="00C73EBC">
            <w:pPr>
              <w:keepNext/>
              <w:jc w:val="center"/>
              <w:rPr>
                <w:rFonts w:ascii="Arial Narrow" w:eastAsia="MS Gothic" w:hAnsi="Arial Narrow"/>
                <w:bCs/>
                <w:sz w:val="20"/>
              </w:rPr>
            </w:pPr>
            <w:r w:rsidRPr="008D797E">
              <w:rPr>
                <w:rFonts w:ascii="Arial Narrow" w:eastAsia="MS Gothic" w:hAnsi="Arial Narrow"/>
                <w:bCs/>
                <w:sz w:val="20"/>
              </w:rPr>
              <w:t xml:space="preserve">7.46 </w:t>
            </w:r>
          </w:p>
          <w:p w:rsidR="007F057C" w:rsidRPr="008D797E" w:rsidRDefault="007F057C" w:rsidP="00C73EBC">
            <w:pPr>
              <w:keepNext/>
              <w:jc w:val="center"/>
              <w:rPr>
                <w:rFonts w:ascii="Arial Narrow" w:eastAsia="MS Gothic" w:hAnsi="Arial Narrow"/>
                <w:bCs/>
                <w:sz w:val="20"/>
              </w:rPr>
            </w:pPr>
            <w:r w:rsidRPr="008D797E">
              <w:rPr>
                <w:rFonts w:ascii="Arial Narrow" w:eastAsia="MS Gothic" w:hAnsi="Arial Narrow"/>
                <w:bCs/>
                <w:sz w:val="20"/>
              </w:rPr>
              <w:t>(6.7, 9.2)</w:t>
            </w:r>
          </w:p>
        </w:tc>
        <w:tc>
          <w:tcPr>
            <w:tcW w:w="662" w:type="pct"/>
            <w:shd w:val="clear" w:color="auto" w:fill="DBE5F1" w:themeFill="accent1" w:themeFillTint="33"/>
            <w:vAlign w:val="center"/>
          </w:tcPr>
          <w:p w:rsidR="007F057C" w:rsidRPr="008D797E" w:rsidRDefault="007F057C" w:rsidP="00C73EBC">
            <w:pPr>
              <w:keepNext/>
              <w:jc w:val="center"/>
              <w:rPr>
                <w:rFonts w:ascii="Arial Narrow" w:eastAsia="MS Gothic" w:hAnsi="Arial Narrow"/>
                <w:bCs/>
                <w:sz w:val="20"/>
              </w:rPr>
            </w:pPr>
            <w:r w:rsidRPr="008D797E">
              <w:rPr>
                <w:rFonts w:ascii="Arial Narrow" w:eastAsia="MS Gothic" w:hAnsi="Arial Narrow"/>
                <w:bCs/>
                <w:sz w:val="20"/>
              </w:rPr>
              <w:t xml:space="preserve">5.29 </w:t>
            </w:r>
          </w:p>
          <w:p w:rsidR="007F057C" w:rsidRPr="008D797E" w:rsidRDefault="007F057C" w:rsidP="00C73EBC">
            <w:pPr>
              <w:keepNext/>
              <w:jc w:val="center"/>
              <w:rPr>
                <w:rFonts w:ascii="Arial Narrow" w:eastAsia="MS Gothic" w:hAnsi="Arial Narrow"/>
                <w:bCs/>
                <w:sz w:val="20"/>
              </w:rPr>
            </w:pPr>
            <w:r w:rsidRPr="008D797E">
              <w:rPr>
                <w:rFonts w:ascii="Arial Narrow" w:eastAsia="MS Gothic" w:hAnsi="Arial Narrow"/>
                <w:bCs/>
                <w:sz w:val="20"/>
              </w:rPr>
              <w:t>(3.8, 5.6)</w:t>
            </w:r>
          </w:p>
        </w:tc>
        <w:tc>
          <w:tcPr>
            <w:tcW w:w="569" w:type="pct"/>
            <w:vMerge/>
            <w:shd w:val="clear" w:color="auto" w:fill="DBE5F1" w:themeFill="accent1" w:themeFillTint="33"/>
            <w:vAlign w:val="center"/>
          </w:tcPr>
          <w:p w:rsidR="007F057C" w:rsidRPr="008D797E" w:rsidRDefault="007F057C" w:rsidP="00C73EBC">
            <w:pPr>
              <w:keepNext/>
              <w:jc w:val="center"/>
              <w:rPr>
                <w:rFonts w:ascii="Arial Narrow" w:eastAsia="MS Gothic" w:hAnsi="Arial Narrow"/>
                <w:b/>
                <w:bCs/>
                <w:sz w:val="20"/>
              </w:rPr>
            </w:pPr>
          </w:p>
        </w:tc>
        <w:tc>
          <w:tcPr>
            <w:tcW w:w="683" w:type="pct"/>
            <w:shd w:val="clear" w:color="auto" w:fill="FFFFFF" w:themeFill="background1"/>
            <w:vAlign w:val="center"/>
          </w:tcPr>
          <w:p w:rsidR="007F057C" w:rsidRPr="008D797E" w:rsidRDefault="007F057C" w:rsidP="00C73EBC">
            <w:pPr>
              <w:keepNext/>
              <w:jc w:val="center"/>
              <w:rPr>
                <w:rFonts w:ascii="Arial Narrow" w:eastAsia="MS Gothic" w:hAnsi="Arial Narrow"/>
                <w:sz w:val="20"/>
              </w:rPr>
            </w:pPr>
            <w:r w:rsidRPr="008D797E">
              <w:rPr>
                <w:rFonts w:ascii="Arial Narrow" w:eastAsia="MS Gothic" w:hAnsi="Arial Narrow"/>
                <w:sz w:val="20"/>
              </w:rPr>
              <w:t>7.46</w:t>
            </w:r>
          </w:p>
          <w:p w:rsidR="007F057C" w:rsidRPr="008D797E" w:rsidRDefault="007F057C" w:rsidP="00C73EBC">
            <w:pPr>
              <w:keepNext/>
              <w:jc w:val="center"/>
              <w:rPr>
                <w:rFonts w:ascii="Arial Narrow" w:eastAsia="MS Gothic" w:hAnsi="Arial Narrow"/>
                <w:sz w:val="20"/>
              </w:rPr>
            </w:pPr>
            <w:r w:rsidRPr="008D797E">
              <w:rPr>
                <w:rFonts w:ascii="Arial Narrow" w:eastAsia="MS Gothic" w:hAnsi="Arial Narrow"/>
                <w:sz w:val="20"/>
              </w:rPr>
              <w:t>(6.7, 9.2)</w:t>
            </w:r>
          </w:p>
        </w:tc>
        <w:tc>
          <w:tcPr>
            <w:tcW w:w="662" w:type="pct"/>
            <w:shd w:val="clear" w:color="auto" w:fill="FFFFFF" w:themeFill="background1"/>
            <w:vAlign w:val="center"/>
          </w:tcPr>
          <w:p w:rsidR="007F057C" w:rsidRPr="008D797E" w:rsidRDefault="007F057C" w:rsidP="00C73EBC">
            <w:pPr>
              <w:keepNext/>
              <w:jc w:val="center"/>
              <w:rPr>
                <w:rFonts w:ascii="Arial Narrow" w:eastAsia="MS Gothic" w:hAnsi="Arial Narrow"/>
                <w:sz w:val="20"/>
              </w:rPr>
            </w:pPr>
            <w:r w:rsidRPr="008D797E">
              <w:rPr>
                <w:rFonts w:ascii="Arial Narrow" w:eastAsia="MS Gothic" w:hAnsi="Arial Narrow"/>
                <w:sz w:val="20"/>
              </w:rPr>
              <w:t>5.29</w:t>
            </w:r>
          </w:p>
          <w:p w:rsidR="007F057C" w:rsidRPr="008D797E" w:rsidRDefault="007F057C" w:rsidP="00C73EBC">
            <w:pPr>
              <w:keepNext/>
              <w:jc w:val="center"/>
              <w:rPr>
                <w:rFonts w:ascii="Arial Narrow" w:eastAsia="MS Gothic" w:hAnsi="Arial Narrow"/>
                <w:sz w:val="20"/>
              </w:rPr>
            </w:pPr>
            <w:r w:rsidRPr="008D797E">
              <w:rPr>
                <w:rFonts w:ascii="Arial Narrow" w:eastAsia="MS Gothic" w:hAnsi="Arial Narrow"/>
                <w:sz w:val="20"/>
              </w:rPr>
              <w:t>(3.8, 5.6)</w:t>
            </w:r>
          </w:p>
        </w:tc>
        <w:tc>
          <w:tcPr>
            <w:tcW w:w="591" w:type="pct"/>
            <w:vMerge/>
            <w:shd w:val="clear" w:color="auto" w:fill="FFFFFF" w:themeFill="background1"/>
            <w:vAlign w:val="center"/>
          </w:tcPr>
          <w:p w:rsidR="007F057C" w:rsidRPr="008D797E" w:rsidRDefault="007F057C" w:rsidP="00C73EBC">
            <w:pPr>
              <w:keepNext/>
              <w:jc w:val="center"/>
              <w:rPr>
                <w:rFonts w:ascii="Arial Narrow" w:eastAsia="MS Gothic" w:hAnsi="Arial Narrow"/>
                <w:b/>
                <w:bCs/>
                <w:sz w:val="20"/>
              </w:rPr>
            </w:pPr>
          </w:p>
        </w:tc>
      </w:tr>
      <w:tr w:rsidR="007F057C" w:rsidRPr="008D797E" w:rsidTr="00C73EBC">
        <w:trPr>
          <w:cantSplit/>
        </w:trPr>
        <w:tc>
          <w:tcPr>
            <w:tcW w:w="1171" w:type="pct"/>
            <w:shd w:val="clear" w:color="auto" w:fill="FFFFFF" w:themeFill="background1"/>
          </w:tcPr>
          <w:p w:rsidR="007F057C" w:rsidRPr="008D797E" w:rsidRDefault="007F057C" w:rsidP="00C73EBC">
            <w:pPr>
              <w:keepNext/>
              <w:jc w:val="left"/>
              <w:rPr>
                <w:rFonts w:ascii="Arial Narrow" w:eastAsia="MS Gothic" w:hAnsi="Arial Narrow" w:cs="Times New Roman"/>
                <w:bCs/>
                <w:sz w:val="20"/>
              </w:rPr>
            </w:pPr>
            <w:r w:rsidRPr="008D797E">
              <w:rPr>
                <w:rFonts w:ascii="Arial Narrow" w:eastAsia="MS Gothic" w:hAnsi="Arial Narrow" w:cs="Times New Roman"/>
                <w:bCs/>
                <w:sz w:val="20"/>
              </w:rPr>
              <w:t>% not progressed at 12 months (95% CI)</w:t>
            </w:r>
          </w:p>
        </w:tc>
        <w:tc>
          <w:tcPr>
            <w:tcW w:w="662" w:type="pct"/>
            <w:shd w:val="clear" w:color="auto" w:fill="DBE5F1" w:themeFill="accent1" w:themeFillTint="33"/>
            <w:vAlign w:val="center"/>
          </w:tcPr>
          <w:p w:rsidR="007F057C" w:rsidRPr="008D797E" w:rsidRDefault="007F057C" w:rsidP="00C73EBC">
            <w:pPr>
              <w:keepNext/>
              <w:jc w:val="center"/>
              <w:rPr>
                <w:rFonts w:ascii="Arial Narrow" w:eastAsia="MS Gothic" w:hAnsi="Arial Narrow"/>
                <w:bCs/>
                <w:sz w:val="20"/>
              </w:rPr>
            </w:pPr>
            <w:r w:rsidRPr="008D797E">
              <w:rPr>
                <w:rFonts w:ascii="Arial Narrow" w:eastAsia="MS Gothic" w:hAnsi="Arial Narrow"/>
                <w:bCs/>
                <w:sz w:val="20"/>
              </w:rPr>
              <w:t>30.31%</w:t>
            </w:r>
            <w:r w:rsidRPr="008D797E">
              <w:rPr>
                <w:rFonts w:ascii="Arial Narrow" w:eastAsia="MS Gothic" w:hAnsi="Arial Narrow"/>
                <w:bCs/>
                <w:sz w:val="20"/>
              </w:rPr>
              <w:br/>
              <w:t>(23.5, 37.2)</w:t>
            </w:r>
          </w:p>
        </w:tc>
        <w:tc>
          <w:tcPr>
            <w:tcW w:w="662" w:type="pct"/>
            <w:shd w:val="clear" w:color="auto" w:fill="DBE5F1" w:themeFill="accent1" w:themeFillTint="33"/>
            <w:vAlign w:val="center"/>
          </w:tcPr>
          <w:p w:rsidR="007F057C" w:rsidRPr="008D797E" w:rsidRDefault="007F057C" w:rsidP="00C73EBC">
            <w:pPr>
              <w:keepNext/>
              <w:jc w:val="center"/>
              <w:rPr>
                <w:rFonts w:ascii="Arial Narrow" w:eastAsia="MS Gothic" w:hAnsi="Arial Narrow"/>
                <w:bCs/>
                <w:sz w:val="20"/>
              </w:rPr>
            </w:pPr>
            <w:r w:rsidRPr="008D797E">
              <w:rPr>
                <w:rFonts w:ascii="Arial Narrow" w:eastAsia="MS Gothic" w:hAnsi="Arial Narrow"/>
                <w:bCs/>
                <w:sz w:val="20"/>
              </w:rPr>
              <w:t>17.32%</w:t>
            </w:r>
            <w:r w:rsidRPr="008D797E">
              <w:rPr>
                <w:rFonts w:ascii="Arial Narrow" w:eastAsia="MS Gothic" w:hAnsi="Arial Narrow"/>
                <w:bCs/>
                <w:sz w:val="20"/>
              </w:rPr>
              <w:br/>
              <w:t>(11.7, 22.9)</w:t>
            </w:r>
          </w:p>
        </w:tc>
        <w:tc>
          <w:tcPr>
            <w:tcW w:w="569" w:type="pct"/>
            <w:shd w:val="clear" w:color="auto" w:fill="DBE5F1" w:themeFill="accent1" w:themeFillTint="33"/>
            <w:vAlign w:val="center"/>
          </w:tcPr>
          <w:p w:rsidR="007F057C" w:rsidRPr="008D797E" w:rsidRDefault="007F057C" w:rsidP="00C73EBC">
            <w:pPr>
              <w:keepNext/>
              <w:jc w:val="center"/>
              <w:rPr>
                <w:rFonts w:ascii="Arial Narrow" w:eastAsia="MS Gothic" w:hAnsi="Arial Narrow"/>
                <w:b/>
                <w:bCs/>
                <w:sz w:val="20"/>
              </w:rPr>
            </w:pPr>
          </w:p>
        </w:tc>
        <w:tc>
          <w:tcPr>
            <w:tcW w:w="683" w:type="pct"/>
            <w:shd w:val="clear" w:color="auto" w:fill="FFFFFF" w:themeFill="background1"/>
            <w:vAlign w:val="center"/>
          </w:tcPr>
          <w:p w:rsidR="007F057C" w:rsidRPr="008D797E" w:rsidRDefault="007F057C" w:rsidP="00C73EBC">
            <w:pPr>
              <w:keepNext/>
              <w:jc w:val="center"/>
              <w:rPr>
                <w:rFonts w:ascii="Arial Narrow" w:eastAsia="MS Gothic" w:hAnsi="Arial Narrow"/>
                <w:sz w:val="20"/>
              </w:rPr>
            </w:pPr>
            <w:r w:rsidRPr="008D797E">
              <w:rPr>
                <w:rFonts w:ascii="Arial Narrow" w:eastAsia="MS Gothic" w:hAnsi="Arial Narrow"/>
                <w:sz w:val="20"/>
              </w:rPr>
              <w:t xml:space="preserve">30.77% </w:t>
            </w:r>
          </w:p>
          <w:p w:rsidR="007F057C" w:rsidRPr="008D797E" w:rsidRDefault="007F057C" w:rsidP="00C73EBC">
            <w:pPr>
              <w:keepNext/>
              <w:jc w:val="center"/>
              <w:rPr>
                <w:rFonts w:ascii="Arial Narrow" w:eastAsia="MS Gothic" w:hAnsi="Arial Narrow"/>
                <w:sz w:val="20"/>
              </w:rPr>
            </w:pPr>
            <w:r w:rsidRPr="008D797E">
              <w:rPr>
                <w:rFonts w:ascii="Arial Narrow" w:eastAsia="MS Gothic" w:hAnsi="Arial Narrow"/>
                <w:sz w:val="20"/>
              </w:rPr>
              <w:t>(24.0, 37.6)</w:t>
            </w:r>
          </w:p>
        </w:tc>
        <w:tc>
          <w:tcPr>
            <w:tcW w:w="662" w:type="pct"/>
            <w:shd w:val="clear" w:color="auto" w:fill="FFFFFF" w:themeFill="background1"/>
            <w:vAlign w:val="center"/>
          </w:tcPr>
          <w:p w:rsidR="007F057C" w:rsidRPr="008D797E" w:rsidRDefault="007F057C" w:rsidP="00C73EBC">
            <w:pPr>
              <w:keepNext/>
              <w:jc w:val="center"/>
              <w:rPr>
                <w:rFonts w:ascii="Arial Narrow" w:eastAsia="MS Gothic" w:hAnsi="Arial Narrow"/>
                <w:sz w:val="20"/>
              </w:rPr>
            </w:pPr>
            <w:r w:rsidRPr="008D797E">
              <w:rPr>
                <w:rFonts w:ascii="Arial Narrow" w:eastAsia="MS Gothic" w:hAnsi="Arial Narrow"/>
                <w:sz w:val="20"/>
              </w:rPr>
              <w:t>17.72%</w:t>
            </w:r>
          </w:p>
          <w:p w:rsidR="007F057C" w:rsidRPr="008D797E" w:rsidRDefault="007F057C" w:rsidP="00C73EBC">
            <w:pPr>
              <w:keepNext/>
              <w:jc w:val="center"/>
              <w:rPr>
                <w:rFonts w:ascii="Arial Narrow" w:eastAsia="MS Gothic" w:hAnsi="Arial Narrow"/>
                <w:sz w:val="20"/>
              </w:rPr>
            </w:pPr>
            <w:r w:rsidRPr="008D797E">
              <w:rPr>
                <w:rFonts w:ascii="Arial Narrow" w:eastAsia="MS Gothic" w:hAnsi="Arial Narrow"/>
                <w:sz w:val="20"/>
              </w:rPr>
              <w:t>(12.1, 23.4)</w:t>
            </w:r>
          </w:p>
        </w:tc>
        <w:tc>
          <w:tcPr>
            <w:tcW w:w="591" w:type="pct"/>
            <w:shd w:val="clear" w:color="auto" w:fill="FFFFFF" w:themeFill="background1"/>
            <w:vAlign w:val="center"/>
          </w:tcPr>
          <w:p w:rsidR="007F057C" w:rsidRPr="008D797E" w:rsidRDefault="007F057C" w:rsidP="00C73EBC">
            <w:pPr>
              <w:keepNext/>
              <w:jc w:val="center"/>
              <w:rPr>
                <w:rFonts w:ascii="Arial Narrow" w:eastAsia="MS Gothic" w:hAnsi="Arial Narrow"/>
                <w:b/>
                <w:bCs/>
                <w:sz w:val="20"/>
              </w:rPr>
            </w:pPr>
          </w:p>
        </w:tc>
      </w:tr>
      <w:tr w:rsidR="007F057C" w:rsidRPr="008D797E" w:rsidTr="00C73EBC">
        <w:trPr>
          <w:cantSplit/>
        </w:trPr>
        <w:tc>
          <w:tcPr>
            <w:tcW w:w="5000" w:type="pct"/>
            <w:gridSpan w:val="7"/>
            <w:shd w:val="clear" w:color="auto" w:fill="FFFFFF" w:themeFill="background1"/>
            <w:vAlign w:val="center"/>
          </w:tcPr>
          <w:p w:rsidR="007F057C" w:rsidRPr="008D797E" w:rsidRDefault="007F057C" w:rsidP="00C73EBC">
            <w:pPr>
              <w:keepNext/>
              <w:jc w:val="left"/>
              <w:rPr>
                <w:rFonts w:ascii="Arial Narrow" w:eastAsia="MS Gothic" w:hAnsi="Arial Narrow"/>
                <w:b/>
                <w:bCs/>
                <w:sz w:val="20"/>
              </w:rPr>
            </w:pPr>
            <w:r w:rsidRPr="008D797E">
              <w:rPr>
                <w:rFonts w:ascii="Arial Narrow" w:eastAsia="MS Gothic" w:hAnsi="Arial Narrow"/>
                <w:b/>
                <w:bCs/>
                <w:sz w:val="20"/>
              </w:rPr>
              <w:t>OS</w:t>
            </w:r>
          </w:p>
        </w:tc>
      </w:tr>
      <w:tr w:rsidR="007F057C" w:rsidRPr="008D797E" w:rsidTr="00C73EBC">
        <w:trPr>
          <w:cantSplit/>
        </w:trPr>
        <w:tc>
          <w:tcPr>
            <w:tcW w:w="1171" w:type="pct"/>
            <w:shd w:val="clear" w:color="auto" w:fill="FFFFFF" w:themeFill="background1"/>
            <w:vAlign w:val="center"/>
          </w:tcPr>
          <w:p w:rsidR="007F057C" w:rsidRPr="008D797E" w:rsidRDefault="007F057C" w:rsidP="00C73EBC">
            <w:pPr>
              <w:keepNext/>
              <w:jc w:val="left"/>
              <w:rPr>
                <w:rFonts w:ascii="Arial Narrow" w:eastAsia="MS Gothic" w:hAnsi="Arial Narrow" w:cs="Times New Roman"/>
                <w:bCs/>
                <w:sz w:val="20"/>
              </w:rPr>
            </w:pPr>
            <w:r w:rsidRPr="008D797E">
              <w:rPr>
                <w:rFonts w:ascii="Arial Narrow" w:eastAsia="MS Gothic" w:hAnsi="Arial Narrow" w:cs="Times New Roman"/>
                <w:bCs/>
                <w:sz w:val="20"/>
              </w:rPr>
              <w:t>Deaths, n/N (%)</w:t>
            </w:r>
          </w:p>
        </w:tc>
        <w:tc>
          <w:tcPr>
            <w:tcW w:w="662" w:type="pct"/>
            <w:shd w:val="clear" w:color="auto" w:fill="DBE5F1" w:themeFill="accent1" w:themeFillTint="33"/>
            <w:vAlign w:val="center"/>
          </w:tcPr>
          <w:p w:rsidR="007F057C" w:rsidRPr="008D797E" w:rsidRDefault="007F057C" w:rsidP="00C73EBC">
            <w:pPr>
              <w:keepNext/>
              <w:jc w:val="center"/>
              <w:rPr>
                <w:rFonts w:ascii="Arial Narrow" w:eastAsia="MS Gothic" w:hAnsi="Arial Narrow"/>
                <w:bCs/>
                <w:sz w:val="20"/>
              </w:rPr>
            </w:pPr>
            <w:r w:rsidRPr="008D797E">
              <w:rPr>
                <w:rFonts w:ascii="Arial Narrow" w:eastAsia="MS Gothic" w:hAnsi="Arial Narrow"/>
                <w:bCs/>
                <w:sz w:val="20"/>
              </w:rPr>
              <w:t xml:space="preserve">94/185 </w:t>
            </w:r>
          </w:p>
          <w:p w:rsidR="007F057C" w:rsidRPr="008D797E" w:rsidRDefault="007F057C" w:rsidP="00C73EBC">
            <w:pPr>
              <w:keepNext/>
              <w:jc w:val="center"/>
              <w:rPr>
                <w:rFonts w:ascii="Arial Narrow" w:eastAsia="MS Gothic" w:hAnsi="Arial Narrow"/>
                <w:bCs/>
                <w:sz w:val="20"/>
              </w:rPr>
            </w:pPr>
            <w:r w:rsidRPr="008D797E">
              <w:rPr>
                <w:rFonts w:ascii="Arial Narrow" w:eastAsia="MS Gothic" w:hAnsi="Arial Narrow"/>
                <w:bCs/>
                <w:sz w:val="20"/>
              </w:rPr>
              <w:t>(50.8%)</w:t>
            </w:r>
          </w:p>
        </w:tc>
        <w:tc>
          <w:tcPr>
            <w:tcW w:w="662" w:type="pct"/>
            <w:shd w:val="clear" w:color="auto" w:fill="DBE5F1" w:themeFill="accent1" w:themeFillTint="33"/>
            <w:vAlign w:val="center"/>
          </w:tcPr>
          <w:p w:rsidR="007F057C" w:rsidRPr="008D797E" w:rsidRDefault="007F057C" w:rsidP="00C73EBC">
            <w:pPr>
              <w:keepNext/>
              <w:jc w:val="center"/>
              <w:rPr>
                <w:rFonts w:ascii="Arial Narrow" w:eastAsia="MS Gothic" w:hAnsi="Arial Narrow"/>
                <w:bCs/>
                <w:sz w:val="20"/>
              </w:rPr>
            </w:pPr>
            <w:r w:rsidRPr="008D797E">
              <w:rPr>
                <w:rFonts w:ascii="Arial Narrow" w:eastAsia="MS Gothic" w:hAnsi="Arial Narrow"/>
                <w:bCs/>
                <w:sz w:val="20"/>
              </w:rPr>
              <w:t xml:space="preserve">110/184 </w:t>
            </w:r>
          </w:p>
          <w:p w:rsidR="007F057C" w:rsidRPr="008D797E" w:rsidRDefault="007F057C" w:rsidP="00C73EBC">
            <w:pPr>
              <w:keepNext/>
              <w:jc w:val="center"/>
              <w:rPr>
                <w:rFonts w:ascii="Arial Narrow" w:eastAsia="MS Gothic" w:hAnsi="Arial Narrow"/>
                <w:bCs/>
                <w:sz w:val="20"/>
              </w:rPr>
            </w:pPr>
            <w:r w:rsidRPr="008D797E">
              <w:rPr>
                <w:rFonts w:ascii="Arial Narrow" w:eastAsia="MS Gothic" w:hAnsi="Arial Narrow"/>
                <w:bCs/>
                <w:sz w:val="20"/>
              </w:rPr>
              <w:t>(59.8%)</w:t>
            </w:r>
          </w:p>
        </w:tc>
        <w:tc>
          <w:tcPr>
            <w:tcW w:w="569" w:type="pct"/>
            <w:vMerge w:val="restart"/>
            <w:shd w:val="clear" w:color="auto" w:fill="DBE5F1" w:themeFill="accent1" w:themeFillTint="33"/>
            <w:vAlign w:val="center"/>
          </w:tcPr>
          <w:p w:rsidR="007F057C" w:rsidRPr="008D797E" w:rsidRDefault="007F057C" w:rsidP="00C73EBC">
            <w:pPr>
              <w:keepNext/>
              <w:jc w:val="center"/>
              <w:rPr>
                <w:rFonts w:ascii="Arial Narrow" w:eastAsia="MS Gothic" w:hAnsi="Arial Narrow"/>
                <w:bCs/>
                <w:sz w:val="20"/>
              </w:rPr>
            </w:pPr>
            <w:r w:rsidRPr="008D797E">
              <w:rPr>
                <w:rFonts w:ascii="Arial Narrow" w:eastAsia="MS Gothic" w:hAnsi="Arial Narrow"/>
                <w:bCs/>
                <w:sz w:val="20"/>
              </w:rPr>
              <w:t xml:space="preserve">0.71 </w:t>
            </w:r>
          </w:p>
          <w:p w:rsidR="007F057C" w:rsidRPr="008D797E" w:rsidRDefault="007F057C" w:rsidP="00C73EBC">
            <w:pPr>
              <w:keepNext/>
              <w:jc w:val="center"/>
              <w:rPr>
                <w:rFonts w:ascii="Arial Narrow" w:eastAsia="MS Gothic" w:hAnsi="Arial Narrow"/>
                <w:bCs/>
                <w:sz w:val="20"/>
              </w:rPr>
            </w:pPr>
            <w:r w:rsidRPr="008D797E">
              <w:rPr>
                <w:rFonts w:ascii="Arial Narrow" w:eastAsia="MS Gothic" w:hAnsi="Arial Narrow"/>
                <w:bCs/>
                <w:sz w:val="20"/>
              </w:rPr>
              <w:t>(0.54, 0.93)</w:t>
            </w:r>
            <w:r w:rsidRPr="008D797E">
              <w:rPr>
                <w:rFonts w:ascii="Arial Narrow" w:eastAsia="MS Gothic" w:hAnsi="Arial Narrow"/>
                <w:bCs/>
                <w:sz w:val="20"/>
                <w:vertAlign w:val="superscript"/>
              </w:rPr>
              <w:t>c</w:t>
            </w:r>
          </w:p>
        </w:tc>
        <w:tc>
          <w:tcPr>
            <w:tcW w:w="683" w:type="pct"/>
            <w:shd w:val="clear" w:color="auto" w:fill="FFFFFF" w:themeFill="background1"/>
            <w:vAlign w:val="center"/>
          </w:tcPr>
          <w:p w:rsidR="007F057C" w:rsidRPr="008D797E" w:rsidRDefault="007F057C" w:rsidP="00C73EBC">
            <w:pPr>
              <w:keepNext/>
              <w:jc w:val="center"/>
              <w:rPr>
                <w:rFonts w:ascii="Arial Narrow" w:eastAsia="MS Gothic" w:hAnsi="Arial Narrow"/>
                <w:bCs/>
                <w:sz w:val="20"/>
              </w:rPr>
            </w:pPr>
            <w:r w:rsidRPr="008D797E">
              <w:rPr>
                <w:rFonts w:ascii="Arial Narrow" w:eastAsia="MS Gothic" w:hAnsi="Arial Narrow"/>
                <w:bCs/>
                <w:sz w:val="20"/>
              </w:rPr>
              <w:t xml:space="preserve">120/185 </w:t>
            </w:r>
          </w:p>
          <w:p w:rsidR="007F057C" w:rsidRPr="008D797E" w:rsidRDefault="007F057C" w:rsidP="00C73EBC">
            <w:pPr>
              <w:keepNext/>
              <w:jc w:val="center"/>
              <w:rPr>
                <w:rFonts w:ascii="Arial Narrow" w:eastAsia="MS Gothic" w:hAnsi="Arial Narrow"/>
                <w:bCs/>
                <w:sz w:val="20"/>
              </w:rPr>
            </w:pPr>
            <w:r w:rsidRPr="008D797E">
              <w:rPr>
                <w:rFonts w:ascii="Arial Narrow" w:eastAsia="MS Gothic" w:hAnsi="Arial Narrow"/>
                <w:bCs/>
                <w:sz w:val="20"/>
              </w:rPr>
              <w:t>(64.9%)</w:t>
            </w:r>
          </w:p>
        </w:tc>
        <w:tc>
          <w:tcPr>
            <w:tcW w:w="662" w:type="pct"/>
            <w:shd w:val="clear" w:color="auto" w:fill="FFFFFF" w:themeFill="background1"/>
            <w:vAlign w:val="center"/>
          </w:tcPr>
          <w:p w:rsidR="007F057C" w:rsidRPr="008D797E" w:rsidRDefault="007F057C" w:rsidP="00C73EBC">
            <w:pPr>
              <w:keepNext/>
              <w:jc w:val="center"/>
              <w:rPr>
                <w:rFonts w:ascii="Arial Narrow" w:eastAsia="MS Gothic" w:hAnsi="Arial Narrow"/>
                <w:bCs/>
                <w:sz w:val="20"/>
              </w:rPr>
            </w:pPr>
            <w:r w:rsidRPr="008D797E">
              <w:rPr>
                <w:rFonts w:ascii="Arial Narrow" w:eastAsia="MS Gothic" w:hAnsi="Arial Narrow"/>
                <w:bCs/>
                <w:sz w:val="20"/>
              </w:rPr>
              <w:t xml:space="preserve">139/184 </w:t>
            </w:r>
          </w:p>
          <w:p w:rsidR="007F057C" w:rsidRPr="008D797E" w:rsidRDefault="007F057C" w:rsidP="00C73EBC">
            <w:pPr>
              <w:keepNext/>
              <w:jc w:val="center"/>
              <w:rPr>
                <w:rFonts w:ascii="Arial Narrow" w:eastAsia="MS Gothic" w:hAnsi="Arial Narrow"/>
                <w:bCs/>
                <w:sz w:val="20"/>
              </w:rPr>
            </w:pPr>
            <w:r w:rsidRPr="008D797E">
              <w:rPr>
                <w:rFonts w:ascii="Arial Narrow" w:eastAsia="MS Gothic" w:hAnsi="Arial Narrow"/>
                <w:bCs/>
                <w:sz w:val="20"/>
              </w:rPr>
              <w:t>(75.5%)</w:t>
            </w:r>
          </w:p>
        </w:tc>
        <w:tc>
          <w:tcPr>
            <w:tcW w:w="591" w:type="pct"/>
            <w:vMerge w:val="restart"/>
            <w:shd w:val="clear" w:color="auto" w:fill="FFFFFF" w:themeFill="background1"/>
            <w:vAlign w:val="center"/>
          </w:tcPr>
          <w:p w:rsidR="007F057C" w:rsidRPr="008D797E" w:rsidRDefault="007F057C" w:rsidP="00C73EBC">
            <w:pPr>
              <w:keepNext/>
              <w:jc w:val="center"/>
              <w:rPr>
                <w:rFonts w:ascii="Arial Narrow" w:eastAsia="MS Gothic" w:hAnsi="Arial Narrow"/>
                <w:bCs/>
                <w:sz w:val="20"/>
              </w:rPr>
            </w:pPr>
            <w:r w:rsidRPr="008D797E">
              <w:rPr>
                <w:rFonts w:ascii="Arial Narrow" w:eastAsia="MS Gothic" w:hAnsi="Arial Narrow"/>
                <w:bCs/>
                <w:sz w:val="20"/>
              </w:rPr>
              <w:t>0.67</w:t>
            </w:r>
          </w:p>
          <w:p w:rsidR="007F057C" w:rsidRPr="008D797E" w:rsidRDefault="007F057C" w:rsidP="00C73EBC">
            <w:pPr>
              <w:keepNext/>
              <w:jc w:val="center"/>
              <w:rPr>
                <w:rFonts w:ascii="Arial Narrow" w:eastAsia="MS Gothic" w:hAnsi="Arial Narrow"/>
                <w:bCs/>
                <w:sz w:val="20"/>
                <w:vertAlign w:val="superscript"/>
              </w:rPr>
            </w:pPr>
            <w:r w:rsidRPr="008D797E">
              <w:rPr>
                <w:rFonts w:ascii="Arial Narrow" w:eastAsia="MS Gothic" w:hAnsi="Arial Narrow"/>
                <w:bCs/>
                <w:sz w:val="20"/>
              </w:rPr>
              <w:t>(0.53, 0.86)</w:t>
            </w:r>
            <w:r w:rsidRPr="008D797E">
              <w:rPr>
                <w:rFonts w:ascii="Arial Narrow" w:eastAsia="MS Gothic" w:hAnsi="Arial Narrow"/>
                <w:bCs/>
                <w:sz w:val="20"/>
                <w:vertAlign w:val="superscript"/>
              </w:rPr>
              <w:t>c</w:t>
            </w:r>
          </w:p>
        </w:tc>
      </w:tr>
      <w:tr w:rsidR="007F057C" w:rsidRPr="008D797E" w:rsidTr="00C73EBC">
        <w:trPr>
          <w:cantSplit/>
        </w:trPr>
        <w:tc>
          <w:tcPr>
            <w:tcW w:w="1171" w:type="pct"/>
            <w:shd w:val="clear" w:color="auto" w:fill="FFFFFF" w:themeFill="background1"/>
            <w:vAlign w:val="center"/>
          </w:tcPr>
          <w:p w:rsidR="007F057C" w:rsidRPr="008D797E" w:rsidRDefault="007F057C" w:rsidP="00C73EBC">
            <w:pPr>
              <w:keepNext/>
              <w:jc w:val="left"/>
              <w:rPr>
                <w:rFonts w:ascii="Arial Narrow" w:eastAsia="MS Gothic" w:hAnsi="Arial Narrow" w:cs="Times New Roman"/>
                <w:bCs/>
                <w:sz w:val="20"/>
              </w:rPr>
            </w:pPr>
            <w:r w:rsidRPr="008D797E">
              <w:rPr>
                <w:rFonts w:ascii="Arial Narrow" w:eastAsia="MS Gothic" w:hAnsi="Arial Narrow" w:cs="Times New Roman"/>
                <w:bCs/>
                <w:sz w:val="20"/>
              </w:rPr>
              <w:t>Median OS, months (95% CI)</w:t>
            </w:r>
          </w:p>
        </w:tc>
        <w:tc>
          <w:tcPr>
            <w:tcW w:w="662" w:type="pct"/>
            <w:shd w:val="clear" w:color="auto" w:fill="DBE5F1" w:themeFill="accent1" w:themeFillTint="33"/>
            <w:vAlign w:val="center"/>
          </w:tcPr>
          <w:p w:rsidR="007F057C" w:rsidRPr="008D797E" w:rsidRDefault="007F057C" w:rsidP="00C73EBC">
            <w:pPr>
              <w:keepNext/>
              <w:jc w:val="center"/>
              <w:rPr>
                <w:rFonts w:ascii="Arial Narrow" w:eastAsia="MS Gothic" w:hAnsi="Arial Narrow"/>
                <w:bCs/>
                <w:sz w:val="20"/>
              </w:rPr>
            </w:pPr>
            <w:r w:rsidRPr="008D797E">
              <w:rPr>
                <w:rFonts w:ascii="Arial Narrow" w:eastAsia="MS Gothic" w:hAnsi="Arial Narrow"/>
                <w:bCs/>
                <w:sz w:val="20"/>
              </w:rPr>
              <w:t xml:space="preserve">25.03 </w:t>
            </w:r>
          </w:p>
          <w:p w:rsidR="007F057C" w:rsidRPr="008D797E" w:rsidRDefault="007F057C" w:rsidP="00C73EBC">
            <w:pPr>
              <w:keepNext/>
              <w:jc w:val="center"/>
              <w:rPr>
                <w:rFonts w:ascii="Arial Narrow" w:eastAsia="MS Gothic" w:hAnsi="Arial Narrow"/>
                <w:bCs/>
                <w:sz w:val="20"/>
              </w:rPr>
            </w:pPr>
            <w:r w:rsidRPr="008D797E">
              <w:rPr>
                <w:rFonts w:ascii="Arial Narrow" w:eastAsia="MS Gothic" w:hAnsi="Arial Narrow"/>
                <w:bCs/>
                <w:sz w:val="20"/>
              </w:rPr>
              <w:t>(19.6, 30.7)</w:t>
            </w:r>
          </w:p>
        </w:tc>
        <w:tc>
          <w:tcPr>
            <w:tcW w:w="662" w:type="pct"/>
            <w:shd w:val="clear" w:color="auto" w:fill="DBE5F1" w:themeFill="accent1" w:themeFillTint="33"/>
            <w:vAlign w:val="center"/>
          </w:tcPr>
          <w:p w:rsidR="007F057C" w:rsidRPr="008D797E" w:rsidRDefault="007F057C" w:rsidP="00C73EBC">
            <w:pPr>
              <w:keepNext/>
              <w:jc w:val="center"/>
              <w:rPr>
                <w:rFonts w:ascii="Arial Narrow" w:eastAsia="MS Gothic" w:hAnsi="Arial Narrow"/>
                <w:bCs/>
                <w:sz w:val="20"/>
              </w:rPr>
            </w:pPr>
            <w:r w:rsidRPr="008D797E">
              <w:rPr>
                <w:rFonts w:ascii="Arial Narrow" w:eastAsia="MS Gothic" w:hAnsi="Arial Narrow"/>
                <w:bCs/>
                <w:sz w:val="20"/>
              </w:rPr>
              <w:t xml:space="preserve">17.97 </w:t>
            </w:r>
          </w:p>
          <w:p w:rsidR="007F057C" w:rsidRPr="008D797E" w:rsidRDefault="007F057C" w:rsidP="00C73EBC">
            <w:pPr>
              <w:keepNext/>
              <w:jc w:val="center"/>
              <w:rPr>
                <w:rFonts w:ascii="Arial Narrow" w:eastAsia="MS Gothic" w:hAnsi="Arial Narrow"/>
                <w:bCs/>
                <w:sz w:val="20"/>
              </w:rPr>
            </w:pPr>
            <w:r w:rsidRPr="008D797E">
              <w:rPr>
                <w:rFonts w:ascii="Arial Narrow" w:eastAsia="MS Gothic" w:hAnsi="Arial Narrow"/>
                <w:bCs/>
                <w:sz w:val="20"/>
              </w:rPr>
              <w:t>(13.6, 20.1)</w:t>
            </w:r>
          </w:p>
        </w:tc>
        <w:tc>
          <w:tcPr>
            <w:tcW w:w="569" w:type="pct"/>
            <w:vMerge/>
            <w:shd w:val="clear" w:color="auto" w:fill="DBE5F1" w:themeFill="accent1" w:themeFillTint="33"/>
            <w:vAlign w:val="center"/>
          </w:tcPr>
          <w:p w:rsidR="007F057C" w:rsidRPr="008D797E" w:rsidRDefault="007F057C" w:rsidP="00C73EBC">
            <w:pPr>
              <w:keepNext/>
              <w:jc w:val="center"/>
              <w:rPr>
                <w:rFonts w:ascii="Arial Narrow" w:eastAsia="MS Gothic" w:hAnsi="Arial Narrow"/>
                <w:bCs/>
                <w:sz w:val="20"/>
              </w:rPr>
            </w:pPr>
          </w:p>
        </w:tc>
        <w:tc>
          <w:tcPr>
            <w:tcW w:w="683" w:type="pct"/>
            <w:shd w:val="clear" w:color="auto" w:fill="FFFFFF" w:themeFill="background1"/>
            <w:vAlign w:val="center"/>
          </w:tcPr>
          <w:p w:rsidR="007F057C" w:rsidRPr="008D797E" w:rsidRDefault="007F057C" w:rsidP="00C73EBC">
            <w:pPr>
              <w:keepNext/>
              <w:jc w:val="center"/>
              <w:rPr>
                <w:rFonts w:ascii="Arial Narrow" w:eastAsia="MS Gothic" w:hAnsi="Arial Narrow"/>
                <w:bCs/>
                <w:sz w:val="20"/>
              </w:rPr>
            </w:pPr>
            <w:r w:rsidRPr="008D797E">
              <w:rPr>
                <w:rFonts w:ascii="Arial Narrow" w:eastAsia="MS Gothic" w:hAnsi="Arial Narrow"/>
                <w:bCs/>
                <w:sz w:val="20"/>
              </w:rPr>
              <w:t xml:space="preserve">25.43 </w:t>
            </w:r>
          </w:p>
          <w:p w:rsidR="007F057C" w:rsidRPr="008D797E" w:rsidRDefault="007F057C" w:rsidP="00C73EBC">
            <w:pPr>
              <w:keepNext/>
              <w:jc w:val="center"/>
              <w:rPr>
                <w:rFonts w:ascii="Arial Narrow" w:eastAsia="MS Gothic" w:hAnsi="Arial Narrow"/>
                <w:bCs/>
                <w:sz w:val="20"/>
              </w:rPr>
            </w:pPr>
            <w:r w:rsidRPr="008D797E">
              <w:rPr>
                <w:rFonts w:ascii="Arial Narrow" w:eastAsia="MS Gothic" w:hAnsi="Arial Narrow"/>
                <w:bCs/>
                <w:sz w:val="20"/>
              </w:rPr>
              <w:t>(19.6, 30.7)</w:t>
            </w:r>
          </w:p>
        </w:tc>
        <w:tc>
          <w:tcPr>
            <w:tcW w:w="662" w:type="pct"/>
            <w:shd w:val="clear" w:color="auto" w:fill="FFFFFF" w:themeFill="background1"/>
            <w:vAlign w:val="center"/>
          </w:tcPr>
          <w:p w:rsidR="007F057C" w:rsidRPr="008D797E" w:rsidRDefault="007F057C" w:rsidP="00C73EBC">
            <w:pPr>
              <w:keepNext/>
              <w:jc w:val="center"/>
              <w:rPr>
                <w:rFonts w:ascii="Arial Narrow" w:eastAsia="MS Gothic" w:hAnsi="Arial Narrow"/>
                <w:bCs/>
                <w:sz w:val="20"/>
              </w:rPr>
            </w:pPr>
            <w:r w:rsidRPr="008D797E">
              <w:rPr>
                <w:rFonts w:ascii="Arial Narrow" w:eastAsia="MS Gothic" w:hAnsi="Arial Narrow"/>
                <w:bCs/>
                <w:sz w:val="20"/>
              </w:rPr>
              <w:t>17.91</w:t>
            </w:r>
          </w:p>
          <w:p w:rsidR="007F057C" w:rsidRPr="008D797E" w:rsidRDefault="007F057C" w:rsidP="00C73EBC">
            <w:pPr>
              <w:keepNext/>
              <w:jc w:val="center"/>
              <w:rPr>
                <w:rFonts w:ascii="Arial Narrow" w:eastAsia="MS Gothic" w:hAnsi="Arial Narrow"/>
                <w:bCs/>
                <w:sz w:val="20"/>
              </w:rPr>
            </w:pPr>
            <w:r w:rsidRPr="008D797E">
              <w:rPr>
                <w:rFonts w:ascii="Arial Narrow" w:eastAsia="MS Gothic" w:hAnsi="Arial Narrow"/>
                <w:bCs/>
                <w:sz w:val="20"/>
              </w:rPr>
              <w:t>(13.6, 20.3)</w:t>
            </w:r>
          </w:p>
        </w:tc>
        <w:tc>
          <w:tcPr>
            <w:tcW w:w="591" w:type="pct"/>
            <w:vMerge/>
            <w:shd w:val="clear" w:color="auto" w:fill="FFFFFF" w:themeFill="background1"/>
          </w:tcPr>
          <w:p w:rsidR="007F057C" w:rsidRPr="008D797E" w:rsidRDefault="007F057C" w:rsidP="00C73EBC">
            <w:pPr>
              <w:keepNext/>
              <w:jc w:val="center"/>
              <w:rPr>
                <w:rFonts w:ascii="Arial Narrow" w:eastAsia="MS Gothic" w:hAnsi="Arial Narrow"/>
                <w:bCs/>
                <w:sz w:val="20"/>
              </w:rPr>
            </w:pPr>
          </w:p>
        </w:tc>
      </w:tr>
      <w:tr w:rsidR="007F057C" w:rsidRPr="008D797E" w:rsidTr="00C73EBC">
        <w:trPr>
          <w:cantSplit/>
        </w:trPr>
        <w:tc>
          <w:tcPr>
            <w:tcW w:w="1171" w:type="pct"/>
            <w:shd w:val="clear" w:color="auto" w:fill="FFFFFF" w:themeFill="background1"/>
          </w:tcPr>
          <w:p w:rsidR="007F057C" w:rsidRPr="008D797E" w:rsidRDefault="007F057C" w:rsidP="00C73EBC">
            <w:pPr>
              <w:keepNext/>
              <w:jc w:val="left"/>
              <w:rPr>
                <w:rFonts w:ascii="Arial Narrow" w:eastAsia="MS Gothic" w:hAnsi="Arial Narrow" w:cs="Times New Roman"/>
                <w:bCs/>
                <w:sz w:val="20"/>
              </w:rPr>
            </w:pPr>
            <w:r w:rsidRPr="008D797E">
              <w:rPr>
                <w:rFonts w:ascii="Arial Narrow" w:eastAsia="MS Gothic" w:hAnsi="Arial Narrow" w:cs="Times New Roman"/>
                <w:bCs/>
                <w:sz w:val="20"/>
              </w:rPr>
              <w:t>% alive at 24 months (95% CI)</w:t>
            </w:r>
          </w:p>
        </w:tc>
        <w:tc>
          <w:tcPr>
            <w:tcW w:w="662" w:type="pct"/>
            <w:shd w:val="clear" w:color="auto" w:fill="DBE5F1" w:themeFill="accent1" w:themeFillTint="33"/>
          </w:tcPr>
          <w:p w:rsidR="007F057C" w:rsidRPr="008D797E" w:rsidRDefault="007F057C" w:rsidP="00C73EBC">
            <w:pPr>
              <w:keepNext/>
              <w:jc w:val="center"/>
              <w:rPr>
                <w:rFonts w:ascii="Arial Narrow" w:eastAsia="MS Gothic" w:hAnsi="Arial Narrow"/>
                <w:bCs/>
                <w:sz w:val="20"/>
              </w:rPr>
            </w:pPr>
            <w:r w:rsidRPr="008D797E">
              <w:rPr>
                <w:rFonts w:ascii="Arial Narrow" w:eastAsia="MS Gothic" w:hAnsi="Arial Narrow"/>
                <w:bCs/>
                <w:sz w:val="20"/>
              </w:rPr>
              <w:t xml:space="preserve">50.70% </w:t>
            </w:r>
          </w:p>
          <w:p w:rsidR="007F057C" w:rsidRPr="008D797E" w:rsidRDefault="007F057C" w:rsidP="00C73EBC">
            <w:pPr>
              <w:keepNext/>
              <w:jc w:val="center"/>
              <w:rPr>
                <w:rFonts w:ascii="Arial Narrow" w:eastAsia="MS Gothic" w:hAnsi="Arial Narrow"/>
                <w:bCs/>
                <w:sz w:val="20"/>
              </w:rPr>
            </w:pPr>
            <w:r w:rsidRPr="008D797E">
              <w:rPr>
                <w:rFonts w:ascii="Arial Narrow" w:eastAsia="MS Gothic" w:hAnsi="Arial Narrow"/>
                <w:bCs/>
                <w:sz w:val="20"/>
              </w:rPr>
              <w:t>(42.9, 58.5)</w:t>
            </w:r>
          </w:p>
        </w:tc>
        <w:tc>
          <w:tcPr>
            <w:tcW w:w="662" w:type="pct"/>
            <w:shd w:val="clear" w:color="auto" w:fill="DBE5F1" w:themeFill="accent1" w:themeFillTint="33"/>
          </w:tcPr>
          <w:p w:rsidR="007F057C" w:rsidRPr="008D797E" w:rsidRDefault="007F057C" w:rsidP="00C73EBC">
            <w:pPr>
              <w:keepNext/>
              <w:jc w:val="center"/>
              <w:rPr>
                <w:rFonts w:ascii="Arial Narrow" w:eastAsia="MS Gothic" w:hAnsi="Arial Narrow"/>
                <w:bCs/>
                <w:sz w:val="20"/>
              </w:rPr>
            </w:pPr>
            <w:r w:rsidRPr="008D797E">
              <w:rPr>
                <w:rFonts w:ascii="Arial Narrow" w:eastAsia="MS Gothic" w:hAnsi="Arial Narrow"/>
                <w:bCs/>
                <w:sz w:val="20"/>
              </w:rPr>
              <w:t xml:space="preserve">36.90% </w:t>
            </w:r>
          </w:p>
          <w:p w:rsidR="007F057C" w:rsidRPr="008D797E" w:rsidRDefault="007F057C" w:rsidP="00C73EBC">
            <w:pPr>
              <w:keepNext/>
              <w:jc w:val="center"/>
              <w:rPr>
                <w:rFonts w:ascii="Arial Narrow" w:eastAsia="MS Gothic" w:hAnsi="Arial Narrow"/>
                <w:bCs/>
                <w:sz w:val="20"/>
              </w:rPr>
            </w:pPr>
            <w:r w:rsidRPr="008D797E">
              <w:rPr>
                <w:rFonts w:ascii="Arial Narrow" w:eastAsia="MS Gothic" w:hAnsi="Arial Narrow"/>
                <w:bCs/>
                <w:sz w:val="20"/>
              </w:rPr>
              <w:t>(29.0, 44.9)</w:t>
            </w:r>
          </w:p>
        </w:tc>
        <w:tc>
          <w:tcPr>
            <w:tcW w:w="569" w:type="pct"/>
            <w:shd w:val="clear" w:color="auto" w:fill="DBE5F1" w:themeFill="accent1" w:themeFillTint="33"/>
            <w:vAlign w:val="center"/>
          </w:tcPr>
          <w:p w:rsidR="007F057C" w:rsidRPr="008D797E" w:rsidRDefault="007F057C" w:rsidP="00C73EBC">
            <w:pPr>
              <w:keepNext/>
              <w:jc w:val="center"/>
              <w:rPr>
                <w:rFonts w:ascii="Arial Narrow" w:eastAsia="MS Gothic" w:hAnsi="Arial Narrow"/>
                <w:bCs/>
                <w:sz w:val="20"/>
              </w:rPr>
            </w:pPr>
          </w:p>
        </w:tc>
        <w:tc>
          <w:tcPr>
            <w:tcW w:w="683" w:type="pct"/>
            <w:shd w:val="clear" w:color="auto" w:fill="FFFFFF" w:themeFill="background1"/>
            <w:vAlign w:val="center"/>
          </w:tcPr>
          <w:p w:rsidR="007F057C" w:rsidRPr="008D797E" w:rsidRDefault="007F057C" w:rsidP="00C73EBC">
            <w:pPr>
              <w:keepNext/>
              <w:jc w:val="center"/>
              <w:rPr>
                <w:rFonts w:ascii="Arial Narrow" w:eastAsia="MS Gothic" w:hAnsi="Arial Narrow"/>
                <w:bCs/>
                <w:sz w:val="20"/>
              </w:rPr>
            </w:pPr>
            <w:r w:rsidRPr="008D797E">
              <w:rPr>
                <w:rFonts w:ascii="Arial Narrow" w:eastAsia="MS Gothic" w:hAnsi="Arial Narrow"/>
                <w:bCs/>
                <w:sz w:val="20"/>
              </w:rPr>
              <w:t xml:space="preserve">35.84% </w:t>
            </w:r>
          </w:p>
          <w:p w:rsidR="007F057C" w:rsidRPr="008D797E" w:rsidRDefault="007F057C" w:rsidP="00C73EBC">
            <w:pPr>
              <w:keepNext/>
              <w:jc w:val="center"/>
              <w:rPr>
                <w:rFonts w:ascii="Arial Narrow" w:eastAsia="MS Gothic" w:hAnsi="Arial Narrow"/>
                <w:bCs/>
                <w:sz w:val="20"/>
              </w:rPr>
            </w:pPr>
            <w:r w:rsidRPr="008D797E">
              <w:rPr>
                <w:rFonts w:ascii="Arial Narrow" w:eastAsia="MS Gothic" w:hAnsi="Arial Narrow"/>
                <w:bCs/>
                <w:sz w:val="20"/>
              </w:rPr>
              <w:t>(28.8, 42.9)</w:t>
            </w:r>
            <w:r w:rsidRPr="008D797E">
              <w:rPr>
                <w:rFonts w:ascii="Arial Narrow" w:eastAsia="MS Gothic" w:hAnsi="Arial Narrow" w:cs="Times New Roman"/>
                <w:bCs/>
                <w:sz w:val="20"/>
                <w:vertAlign w:val="superscript"/>
              </w:rPr>
              <w:t>d</w:t>
            </w:r>
          </w:p>
        </w:tc>
        <w:tc>
          <w:tcPr>
            <w:tcW w:w="662" w:type="pct"/>
            <w:shd w:val="clear" w:color="auto" w:fill="FFFFFF" w:themeFill="background1"/>
            <w:vAlign w:val="center"/>
          </w:tcPr>
          <w:p w:rsidR="007F057C" w:rsidRPr="008D797E" w:rsidRDefault="007F057C" w:rsidP="00C73EBC">
            <w:pPr>
              <w:keepNext/>
              <w:jc w:val="center"/>
              <w:rPr>
                <w:rFonts w:ascii="Arial Narrow" w:eastAsia="MS Gothic" w:hAnsi="Arial Narrow"/>
                <w:bCs/>
                <w:sz w:val="20"/>
              </w:rPr>
            </w:pPr>
            <w:r w:rsidRPr="008D797E">
              <w:rPr>
                <w:rFonts w:ascii="Arial Narrow" w:eastAsia="MS Gothic" w:hAnsi="Arial Narrow"/>
                <w:bCs/>
                <w:sz w:val="20"/>
              </w:rPr>
              <w:t xml:space="preserve">22.17% </w:t>
            </w:r>
          </w:p>
          <w:p w:rsidR="007F057C" w:rsidRPr="008D797E" w:rsidRDefault="007F057C" w:rsidP="00C73EBC">
            <w:pPr>
              <w:keepNext/>
              <w:jc w:val="center"/>
              <w:rPr>
                <w:rFonts w:ascii="Arial Narrow" w:eastAsia="MS Gothic" w:hAnsi="Arial Narrow"/>
                <w:bCs/>
                <w:sz w:val="20"/>
              </w:rPr>
            </w:pPr>
            <w:r w:rsidRPr="008D797E">
              <w:rPr>
                <w:rFonts w:ascii="Arial Narrow" w:eastAsia="MS Gothic" w:hAnsi="Arial Narrow"/>
                <w:bCs/>
                <w:sz w:val="20"/>
              </w:rPr>
              <w:t>(15.9, 28.5)</w:t>
            </w:r>
            <w:r w:rsidRPr="008D797E">
              <w:rPr>
                <w:rFonts w:ascii="Arial Narrow" w:eastAsia="MS Gothic" w:hAnsi="Arial Narrow" w:cs="Times New Roman"/>
                <w:bCs/>
                <w:sz w:val="20"/>
                <w:vertAlign w:val="superscript"/>
              </w:rPr>
              <w:t>d</w:t>
            </w:r>
          </w:p>
        </w:tc>
        <w:tc>
          <w:tcPr>
            <w:tcW w:w="591" w:type="pct"/>
            <w:shd w:val="clear" w:color="auto" w:fill="FFFFFF" w:themeFill="background1"/>
          </w:tcPr>
          <w:p w:rsidR="007F057C" w:rsidRPr="008D797E" w:rsidRDefault="007F057C" w:rsidP="00C73EBC">
            <w:pPr>
              <w:keepNext/>
              <w:jc w:val="center"/>
              <w:rPr>
                <w:rFonts w:ascii="Arial Narrow" w:eastAsia="MS Gothic" w:hAnsi="Arial Narrow"/>
                <w:bCs/>
                <w:sz w:val="20"/>
              </w:rPr>
            </w:pPr>
          </w:p>
        </w:tc>
      </w:tr>
    </w:tbl>
    <w:p w:rsidR="007F057C" w:rsidRPr="008D797E" w:rsidRDefault="007F057C" w:rsidP="007F057C">
      <w:pPr>
        <w:spacing w:after="120"/>
        <w:contextualSpacing/>
        <w:rPr>
          <w:rFonts w:ascii="Arial Narrow" w:hAnsi="Arial Narrow"/>
          <w:snapToGrid w:val="0"/>
          <w:sz w:val="18"/>
          <w:szCs w:val="22"/>
        </w:rPr>
      </w:pPr>
      <w:r w:rsidRPr="008D797E">
        <w:rPr>
          <w:rFonts w:ascii="Arial Narrow" w:hAnsi="Arial Narrow"/>
          <w:snapToGrid w:val="0"/>
          <w:sz w:val="18"/>
          <w:szCs w:val="22"/>
        </w:rPr>
        <w:t>Source: Data extracted from Table 28, PBAC 6.01.COM.101 and Table PBAC.7, PBAC 6.01.COM.39 from original submission commentary, Tables 1 and 2, p 12 of the IMpassion130 Feb2019 CSR; Table 2.4, p 30 of the resubmission and Figure 1, p 36 and unlabelled table, p 1176 of the IMpassion130 Aug2020 CSR.</w:t>
      </w:r>
    </w:p>
    <w:p w:rsidR="007F057C" w:rsidRPr="008D797E" w:rsidRDefault="007F057C" w:rsidP="007F057C">
      <w:pPr>
        <w:spacing w:after="120"/>
        <w:contextualSpacing/>
        <w:rPr>
          <w:rFonts w:ascii="Arial Narrow" w:hAnsi="Arial Narrow"/>
          <w:snapToGrid w:val="0"/>
          <w:sz w:val="18"/>
          <w:szCs w:val="22"/>
        </w:rPr>
      </w:pPr>
      <w:r w:rsidRPr="008D797E">
        <w:rPr>
          <w:rFonts w:ascii="Arial Narrow" w:hAnsi="Arial Narrow"/>
          <w:snapToGrid w:val="0"/>
          <w:sz w:val="18"/>
          <w:szCs w:val="22"/>
        </w:rPr>
        <w:t>ATZ+nab-P = atezolizumab + nanoparticle albumin-bound paclitaxel; CCOD = Clinical cut-off date; CI = confidence interval; HR = stratified hazard ratio; OS = overall survival; PBO+nab-P = placebo + nanoparticle albumin-bound paclitaxel; PFS = progression-free survival.</w:t>
      </w:r>
    </w:p>
    <w:p w:rsidR="007F057C" w:rsidRPr="008D797E" w:rsidRDefault="007F057C" w:rsidP="007F057C">
      <w:pPr>
        <w:spacing w:after="120"/>
        <w:contextualSpacing/>
        <w:rPr>
          <w:rFonts w:ascii="Arial Narrow" w:eastAsia="MS Gothic" w:hAnsi="Arial Narrow"/>
          <w:bCs/>
          <w:snapToGrid w:val="0"/>
          <w:sz w:val="18"/>
          <w:szCs w:val="22"/>
        </w:rPr>
      </w:pPr>
      <w:r w:rsidRPr="008D797E">
        <w:rPr>
          <w:rFonts w:ascii="Arial Narrow" w:eastAsia="MS Gothic" w:hAnsi="Arial Narrow"/>
          <w:snapToGrid w:val="0"/>
          <w:sz w:val="18"/>
          <w:szCs w:val="22"/>
          <w:vertAlign w:val="superscript"/>
        </w:rPr>
        <w:t>a</w:t>
      </w:r>
      <w:r w:rsidRPr="008D797E">
        <w:rPr>
          <w:rFonts w:ascii="Arial Narrow" w:eastAsia="MS Gothic" w:hAnsi="Arial Narrow"/>
          <w:snapToGrid w:val="0"/>
          <w:sz w:val="18"/>
          <w:szCs w:val="22"/>
        </w:rPr>
        <w:t xml:space="preserve"> </w:t>
      </w:r>
      <w:r w:rsidRPr="008D797E">
        <w:rPr>
          <w:rFonts w:ascii="Arial Narrow" w:eastAsia="MS Gothic" w:hAnsi="Arial Narrow"/>
          <w:bCs/>
          <w:snapToGrid w:val="0"/>
          <w:sz w:val="18"/>
          <w:szCs w:val="22"/>
        </w:rPr>
        <w:t>Data from the ITT population; data for the PD-L1-positive population could not be located in the resubmission.</w:t>
      </w:r>
    </w:p>
    <w:p w:rsidR="007F057C" w:rsidRPr="008D797E" w:rsidRDefault="007F057C" w:rsidP="007F057C">
      <w:pPr>
        <w:spacing w:after="120"/>
        <w:contextualSpacing/>
        <w:rPr>
          <w:rFonts w:ascii="Arial Narrow" w:eastAsia="MS Gothic" w:hAnsi="Arial Narrow"/>
          <w:snapToGrid w:val="0"/>
          <w:sz w:val="18"/>
          <w:szCs w:val="22"/>
        </w:rPr>
      </w:pPr>
      <w:r w:rsidRPr="008D797E">
        <w:rPr>
          <w:rFonts w:ascii="Arial Narrow" w:eastAsia="MS Gothic" w:hAnsi="Arial Narrow"/>
          <w:snapToGrid w:val="0"/>
          <w:sz w:val="18"/>
          <w:szCs w:val="22"/>
          <w:vertAlign w:val="superscript"/>
        </w:rPr>
        <w:t>b</w:t>
      </w:r>
      <w:r w:rsidRPr="008D797E">
        <w:rPr>
          <w:rFonts w:ascii="Arial Narrow" w:eastAsia="MS Gothic" w:hAnsi="Arial Narrow"/>
          <w:snapToGrid w:val="0"/>
          <w:sz w:val="18"/>
          <w:szCs w:val="22"/>
        </w:rPr>
        <w:t xml:space="preserve"> </w:t>
      </w:r>
      <w:r w:rsidRPr="008D797E">
        <w:rPr>
          <w:rFonts w:ascii="Arial Narrow" w:eastAsia="MS Gothic" w:hAnsi="Arial Narrow"/>
          <w:bCs/>
          <w:snapToGrid w:val="0"/>
          <w:sz w:val="18"/>
          <w:szCs w:val="22"/>
        </w:rPr>
        <w:t>These patients crossed over to active ATZ treatment.</w:t>
      </w:r>
    </w:p>
    <w:p w:rsidR="007F057C" w:rsidRPr="008D797E" w:rsidRDefault="007F057C" w:rsidP="007F057C">
      <w:pPr>
        <w:spacing w:after="120"/>
        <w:contextualSpacing/>
        <w:rPr>
          <w:rFonts w:ascii="Arial Narrow" w:eastAsia="MS Gothic" w:hAnsi="Arial Narrow"/>
          <w:bCs/>
          <w:snapToGrid w:val="0"/>
          <w:sz w:val="18"/>
          <w:szCs w:val="22"/>
        </w:rPr>
      </w:pPr>
      <w:r w:rsidRPr="008D797E">
        <w:rPr>
          <w:rFonts w:ascii="Arial Narrow" w:eastAsia="MS Gothic" w:hAnsi="Arial Narrow"/>
          <w:b/>
          <w:bCs/>
          <w:snapToGrid w:val="0"/>
          <w:sz w:val="18"/>
          <w:szCs w:val="22"/>
          <w:vertAlign w:val="superscript"/>
        </w:rPr>
        <w:t>c</w:t>
      </w:r>
      <w:r w:rsidRPr="008D797E">
        <w:rPr>
          <w:rFonts w:ascii="Arial Narrow" w:eastAsia="MS Gothic" w:hAnsi="Arial Narrow"/>
          <w:b/>
          <w:bCs/>
          <w:snapToGrid w:val="0"/>
          <w:sz w:val="18"/>
          <w:szCs w:val="22"/>
        </w:rPr>
        <w:t xml:space="preserve"> </w:t>
      </w:r>
      <w:r w:rsidRPr="008D797E">
        <w:rPr>
          <w:rFonts w:ascii="Arial Narrow" w:eastAsia="MS Gothic" w:hAnsi="Arial Narrow"/>
          <w:bCs/>
          <w:snapToGrid w:val="0"/>
          <w:sz w:val="18"/>
          <w:szCs w:val="22"/>
        </w:rPr>
        <w:t>No formal testing of OS was performed in the PD-L1-positive population because</w:t>
      </w:r>
      <w:r w:rsidR="00295EC7" w:rsidRPr="008D797E">
        <w:rPr>
          <w:rFonts w:ascii="Arial Narrow" w:eastAsia="MS Gothic" w:hAnsi="Arial Narrow"/>
          <w:bCs/>
          <w:snapToGrid w:val="0"/>
          <w:sz w:val="18"/>
          <w:szCs w:val="22"/>
        </w:rPr>
        <w:t xml:space="preserve"> study design dictated</w:t>
      </w:r>
      <w:r w:rsidRPr="008D797E">
        <w:rPr>
          <w:rFonts w:ascii="Arial Narrow" w:eastAsia="MS Gothic" w:hAnsi="Arial Narrow"/>
          <w:bCs/>
          <w:snapToGrid w:val="0"/>
          <w:sz w:val="18"/>
          <w:szCs w:val="22"/>
        </w:rPr>
        <w:t xml:space="preserve"> formal testing could only occur if OS was first statistically significant in the ITT population – which it was not.</w:t>
      </w:r>
    </w:p>
    <w:p w:rsidR="007F057C" w:rsidRPr="008D797E" w:rsidRDefault="007F057C" w:rsidP="007F057C">
      <w:pPr>
        <w:spacing w:after="120"/>
        <w:contextualSpacing/>
        <w:rPr>
          <w:rFonts w:ascii="Arial Narrow" w:eastAsia="MS Gothic" w:hAnsi="Arial Narrow"/>
          <w:snapToGrid w:val="0"/>
          <w:sz w:val="18"/>
          <w:szCs w:val="22"/>
        </w:rPr>
      </w:pPr>
      <w:r w:rsidRPr="008D797E">
        <w:rPr>
          <w:rFonts w:ascii="Arial Narrow" w:eastAsia="MS Gothic" w:hAnsi="Arial Narrow"/>
          <w:b/>
          <w:bCs/>
          <w:snapToGrid w:val="0"/>
          <w:sz w:val="18"/>
          <w:szCs w:val="22"/>
          <w:vertAlign w:val="superscript"/>
        </w:rPr>
        <w:t>d</w:t>
      </w:r>
      <w:r w:rsidRPr="008D797E">
        <w:rPr>
          <w:rFonts w:ascii="Arial Narrow" w:eastAsia="MS Gothic" w:hAnsi="Arial Narrow"/>
          <w:b/>
          <w:bCs/>
          <w:snapToGrid w:val="0"/>
          <w:sz w:val="18"/>
          <w:szCs w:val="22"/>
        </w:rPr>
        <w:t xml:space="preserve"> </w:t>
      </w:r>
      <w:r w:rsidRPr="008D797E">
        <w:rPr>
          <w:rFonts w:ascii="Arial Narrow" w:eastAsia="MS Gothic" w:hAnsi="Arial Narrow"/>
          <w:snapToGrid w:val="0"/>
          <w:sz w:val="18"/>
          <w:szCs w:val="22"/>
        </w:rPr>
        <w:t>Updated data only provided 36 months’ duration, not 24 months, which makes comparison difficult.</w:t>
      </w:r>
    </w:p>
    <w:p w:rsidR="007F057C" w:rsidRPr="008D797E" w:rsidRDefault="007F057C" w:rsidP="007F057C">
      <w:pPr>
        <w:spacing w:after="120"/>
        <w:contextualSpacing/>
        <w:rPr>
          <w:rFonts w:ascii="Arial Narrow" w:hAnsi="Arial Narrow"/>
          <w:snapToGrid w:val="0"/>
          <w:sz w:val="18"/>
          <w:szCs w:val="22"/>
        </w:rPr>
      </w:pPr>
      <w:r w:rsidRPr="008D797E">
        <w:rPr>
          <w:rFonts w:ascii="Arial Narrow" w:hAnsi="Arial Narrow"/>
          <w:snapToGrid w:val="0"/>
          <w:sz w:val="18"/>
          <w:szCs w:val="22"/>
        </w:rPr>
        <w:t>Statistically significant relative risks are bolded.</w:t>
      </w:r>
    </w:p>
    <w:p w:rsidR="00A5455C" w:rsidRPr="008D797E" w:rsidRDefault="00A5455C" w:rsidP="00EA35CA">
      <w:pPr>
        <w:spacing w:after="120"/>
        <w:contextualSpacing/>
        <w:rPr>
          <w:rFonts w:ascii="Arial Narrow" w:hAnsi="Arial Narrow"/>
          <w:snapToGrid w:val="0"/>
          <w:sz w:val="18"/>
          <w:szCs w:val="22"/>
        </w:rPr>
      </w:pPr>
      <w:r w:rsidRPr="008D797E">
        <w:rPr>
          <w:rFonts w:ascii="Arial Narrow" w:hAnsi="Arial Narrow"/>
          <w:snapToGrid w:val="0"/>
          <w:sz w:val="18"/>
          <w:szCs w:val="22"/>
        </w:rPr>
        <w:t>Blue shading indicates data previously seen by the PBAC.</w:t>
      </w:r>
    </w:p>
    <w:p w:rsidR="008807AE" w:rsidRPr="008D797E" w:rsidRDefault="008807AE" w:rsidP="00EA35CA">
      <w:pPr>
        <w:spacing w:after="120"/>
        <w:contextualSpacing/>
        <w:rPr>
          <w:rFonts w:ascii="Arial Narrow" w:hAnsi="Arial Narrow"/>
          <w:snapToGrid w:val="0"/>
          <w:sz w:val="18"/>
          <w:szCs w:val="22"/>
        </w:rPr>
      </w:pPr>
    </w:p>
    <w:p w:rsidR="008807AE" w:rsidRPr="008D797E" w:rsidRDefault="008807AE" w:rsidP="0069246C">
      <w:pPr>
        <w:pStyle w:val="3-BodyText"/>
        <w:rPr>
          <w:rFonts w:ascii="Arial Narrow" w:hAnsi="Arial Narrow"/>
          <w:sz w:val="18"/>
          <w:szCs w:val="22"/>
        </w:rPr>
      </w:pPr>
      <w:r w:rsidRPr="008D797E">
        <w:rPr>
          <w:lang w:eastAsia="en-US"/>
        </w:rPr>
        <w:t xml:space="preserve">As reported in the interim analysis of IMpassion130, </w:t>
      </w:r>
      <w:r w:rsidR="001769A6" w:rsidRPr="008D797E">
        <w:rPr>
          <w:lang w:eastAsia="en-US"/>
        </w:rPr>
        <w:t xml:space="preserve">in the final cut off </w:t>
      </w:r>
      <w:r w:rsidRPr="008D797E">
        <w:rPr>
          <w:lang w:eastAsia="en-US"/>
        </w:rPr>
        <w:t xml:space="preserve">no treatment effect was seen in PD-L1-negative patients (OS unstratified HR=1.05; 95% CI: 0.87, 1.28 and stratified HR= 1.02; 95% CI: 0.84, 1.24). </w:t>
      </w:r>
    </w:p>
    <w:p w:rsidR="003842AE" w:rsidRPr="008D797E" w:rsidRDefault="003842AE" w:rsidP="003842AE">
      <w:pPr>
        <w:rPr>
          <w:snapToGrid w:val="0"/>
        </w:rPr>
      </w:pPr>
    </w:p>
    <w:p w:rsidR="00EA35CA" w:rsidRPr="008D797E" w:rsidRDefault="00F46F6B" w:rsidP="00F46F6B">
      <w:pPr>
        <w:pStyle w:val="TableFigureHeading"/>
      </w:pPr>
      <w:bookmarkStart w:id="23" w:name="_Ref59716106"/>
      <w:r w:rsidRPr="008D797E">
        <w:lastRenderedPageBreak/>
        <w:t xml:space="preserve">Figure </w:t>
      </w:r>
      <w:r w:rsidR="00232E9D" w:rsidRPr="006E5C4D">
        <w:t>1</w:t>
      </w:r>
      <w:bookmarkEnd w:id="23"/>
      <w:r w:rsidR="00EA35CA" w:rsidRPr="008D797E">
        <w:t xml:space="preserve">: Kaplan-Meier Plot of Overall Survival in the </w:t>
      </w:r>
      <w:r w:rsidR="00CD3CCD" w:rsidRPr="008D797E">
        <w:t>PD-L1-positive</w:t>
      </w:r>
      <w:r w:rsidR="00EA35CA" w:rsidRPr="008D797E">
        <w:t xml:space="preserve"> population, IMpassion130, CCOD 14 April 2020</w:t>
      </w:r>
    </w:p>
    <w:p w:rsidR="00EA35CA" w:rsidRPr="006E5C4D" w:rsidRDefault="00EA35CA" w:rsidP="00F017E2">
      <w:pPr>
        <w:pStyle w:val="TableFigureFooter"/>
      </w:pPr>
      <w:r w:rsidRPr="00D1278A">
        <w:rPr>
          <w:noProof/>
        </w:rPr>
        <w:drawing>
          <wp:inline distT="0" distB="0" distL="0" distR="0" wp14:anchorId="52775904" wp14:editId="479EC3DF">
            <wp:extent cx="5934075" cy="4143375"/>
            <wp:effectExtent l="0" t="0" r="9525" b="9525"/>
            <wp:docPr id="24" name="Picture 24" title="Figure 1: Kaplan-Meier Plot of Overall Survival in the PD-L1-positive population, IMpassion130, CCOD 14 April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4075" cy="4143375"/>
                    </a:xfrm>
                    <a:prstGeom prst="rect">
                      <a:avLst/>
                    </a:prstGeom>
                  </pic:spPr>
                </pic:pic>
              </a:graphicData>
            </a:graphic>
          </wp:inline>
        </w:drawing>
      </w:r>
      <w:r w:rsidRPr="006E5C4D">
        <w:t>Source: Figure 2.4, p 32 of the resubmission.</w:t>
      </w:r>
    </w:p>
    <w:p w:rsidR="00EA35CA" w:rsidRPr="00115C2F" w:rsidRDefault="00EA35CA" w:rsidP="00F017E2">
      <w:pPr>
        <w:pStyle w:val="TableFigureFooter"/>
      </w:pPr>
      <w:r w:rsidRPr="008D797E">
        <w:t xml:space="preserve">CCOD = clinical cut-off date; IC 1/2/3 = </w:t>
      </w:r>
      <w:r w:rsidR="00CD3CCD" w:rsidRPr="008D797E">
        <w:t>PD-L1-positive</w:t>
      </w:r>
      <w:r w:rsidRPr="008D797E">
        <w:t xml:space="preserve"> patients</w:t>
      </w:r>
      <w:r w:rsidR="001F0792" w:rsidRPr="008D797E">
        <w:t>; PD-L</w:t>
      </w:r>
      <w:r w:rsidR="00E71F65" w:rsidRPr="008D797E">
        <w:t>1 = programmed cell death-</w:t>
      </w:r>
      <w:r w:rsidR="001F0792" w:rsidRPr="008D797E">
        <w:t>ligand</w:t>
      </w:r>
      <w:r w:rsidR="001F0792" w:rsidRPr="00115C2F">
        <w:t xml:space="preserve"> 1</w:t>
      </w:r>
      <w:r w:rsidRPr="00115C2F">
        <w:t>.</w:t>
      </w:r>
    </w:p>
    <w:p w:rsidR="003842AE" w:rsidRPr="006E5C4D" w:rsidRDefault="00FD37F5">
      <w:pPr>
        <w:numPr>
          <w:ilvl w:val="1"/>
          <w:numId w:val="1"/>
        </w:numPr>
        <w:spacing w:after="120"/>
        <w:rPr>
          <w:rFonts w:asciiTheme="minorHAnsi" w:hAnsiTheme="minorHAnsi"/>
        </w:rPr>
      </w:pPr>
      <w:r w:rsidRPr="006E5C4D">
        <w:rPr>
          <w:rFonts w:asciiTheme="minorHAnsi" w:hAnsiTheme="minorHAnsi"/>
        </w:rPr>
        <w:t>Patients in the ATZ+nab-P arm of IMpassion130 demonstrated an approximate PFS benefit of 2 months, and OS benefit of 7.5 months compared to the PBO+nab-P arm</w:t>
      </w:r>
      <w:r w:rsidR="008D797E">
        <w:rPr>
          <w:rFonts w:asciiTheme="minorHAnsi" w:hAnsiTheme="minorHAnsi"/>
        </w:rPr>
        <w:t xml:space="preserve">. </w:t>
      </w:r>
      <w:r w:rsidRPr="006E5C4D">
        <w:rPr>
          <w:rFonts w:asciiTheme="minorHAnsi" w:hAnsiTheme="minorHAnsi"/>
        </w:rPr>
        <w:t>Approximately 13% of the PD-L1-positive population</w:t>
      </w:r>
      <w:r w:rsidR="00FD5A23" w:rsidRPr="006E5C4D">
        <w:rPr>
          <w:rFonts w:asciiTheme="minorHAnsi" w:hAnsiTheme="minorHAnsi"/>
        </w:rPr>
        <w:t xml:space="preserve"> (n/N = 47/369) </w:t>
      </w:r>
      <w:r w:rsidRPr="006E5C4D">
        <w:rPr>
          <w:rFonts w:asciiTheme="minorHAnsi" w:hAnsiTheme="minorHAnsi"/>
        </w:rPr>
        <w:t>in IMpassion130 had locally advanced, unresectable disease; these patients are no longer part of the target Australian population</w:t>
      </w:r>
      <w:r w:rsidR="003842AE" w:rsidRPr="006E5C4D">
        <w:rPr>
          <w:rFonts w:asciiTheme="minorHAnsi" w:hAnsiTheme="minorHAnsi"/>
        </w:rPr>
        <w:t>, and ha</w:t>
      </w:r>
      <w:r w:rsidRPr="006E5C4D">
        <w:rPr>
          <w:rFonts w:asciiTheme="minorHAnsi" w:hAnsiTheme="minorHAnsi"/>
        </w:rPr>
        <w:t>ve</w:t>
      </w:r>
      <w:r w:rsidR="003842AE" w:rsidRPr="006E5C4D">
        <w:rPr>
          <w:rFonts w:asciiTheme="minorHAnsi" w:hAnsiTheme="minorHAnsi"/>
        </w:rPr>
        <w:t xml:space="preserve"> a favourable prognosis compared to mTNBC. The mTNBC PD-L1-positive </w:t>
      </w:r>
      <w:r w:rsidR="00FD5A23" w:rsidRPr="006E5C4D">
        <w:rPr>
          <w:rFonts w:asciiTheme="minorHAnsi" w:hAnsiTheme="minorHAnsi"/>
        </w:rPr>
        <w:t>subgrou</w:t>
      </w:r>
      <w:r w:rsidR="003842AE" w:rsidRPr="006E5C4D">
        <w:rPr>
          <w:rFonts w:asciiTheme="minorHAnsi" w:hAnsiTheme="minorHAnsi"/>
        </w:rPr>
        <w:t>p</w:t>
      </w:r>
      <w:r w:rsidR="00FD5A23" w:rsidRPr="006E5C4D">
        <w:rPr>
          <w:rFonts w:asciiTheme="minorHAnsi" w:hAnsiTheme="minorHAnsi"/>
        </w:rPr>
        <w:t xml:space="preserve"> (n/N = 321/369) </w:t>
      </w:r>
      <w:r w:rsidR="003842AE" w:rsidRPr="006E5C4D">
        <w:rPr>
          <w:rFonts w:asciiTheme="minorHAnsi" w:hAnsiTheme="minorHAnsi"/>
        </w:rPr>
        <w:t>of IMpassion130 generated a</w:t>
      </w:r>
      <w:r w:rsidR="00524E91" w:rsidRPr="006E5C4D">
        <w:rPr>
          <w:rFonts w:asciiTheme="minorHAnsi" w:hAnsiTheme="minorHAnsi"/>
        </w:rPr>
        <w:t>n</w:t>
      </w:r>
      <w:r w:rsidR="003842AE" w:rsidRPr="006E5C4D">
        <w:rPr>
          <w:rFonts w:asciiTheme="minorHAnsi" w:hAnsiTheme="minorHAnsi"/>
        </w:rPr>
        <w:t xml:space="preserve"> </w:t>
      </w:r>
      <w:r w:rsidR="00524E91" w:rsidRPr="006E5C4D">
        <w:rPr>
          <w:rFonts w:asciiTheme="minorHAnsi" w:hAnsiTheme="minorHAnsi"/>
        </w:rPr>
        <w:t xml:space="preserve">unstratified </w:t>
      </w:r>
      <w:r w:rsidR="003842AE" w:rsidRPr="006E5C4D">
        <w:rPr>
          <w:rFonts w:asciiTheme="minorHAnsi" w:hAnsiTheme="minorHAnsi"/>
        </w:rPr>
        <w:t>HR of 0.69 (95% CI 0.53, 0.89) at the 14 April 2020 clinical cut-off date.</w:t>
      </w:r>
      <w:r w:rsidR="00367249" w:rsidRPr="006E5C4D">
        <w:rPr>
          <w:rFonts w:asciiTheme="minorHAnsi" w:hAnsiTheme="minorHAnsi"/>
        </w:rPr>
        <w:t xml:space="preserve"> The </w:t>
      </w:r>
      <w:r w:rsidR="00524E91" w:rsidRPr="006E5C4D">
        <w:rPr>
          <w:rFonts w:asciiTheme="minorHAnsi" w:hAnsiTheme="minorHAnsi"/>
        </w:rPr>
        <w:t>PSCR</w:t>
      </w:r>
      <w:r w:rsidR="00367249" w:rsidRPr="006E5C4D">
        <w:rPr>
          <w:rFonts w:asciiTheme="minorHAnsi" w:hAnsiTheme="minorHAnsi"/>
        </w:rPr>
        <w:t xml:space="preserve"> noted that this was </w:t>
      </w:r>
      <w:r w:rsidR="00524E91" w:rsidRPr="006E5C4D">
        <w:rPr>
          <w:rFonts w:asciiTheme="minorHAnsi" w:hAnsiTheme="minorHAnsi"/>
        </w:rPr>
        <w:t>unchanged compared with the unstratified</w:t>
      </w:r>
      <w:r w:rsidR="00367249" w:rsidRPr="006E5C4D">
        <w:rPr>
          <w:rFonts w:asciiTheme="minorHAnsi" w:hAnsiTheme="minorHAnsi"/>
        </w:rPr>
        <w:t xml:space="preserve"> </w:t>
      </w:r>
      <w:r w:rsidR="00524E91" w:rsidRPr="006E5C4D">
        <w:rPr>
          <w:rFonts w:asciiTheme="minorHAnsi" w:hAnsiTheme="minorHAnsi"/>
        </w:rPr>
        <w:t xml:space="preserve">HR </w:t>
      </w:r>
      <w:r w:rsidR="00524E91" w:rsidRPr="008D797E">
        <w:rPr>
          <w:rFonts w:cs="Calibri"/>
          <w:bCs/>
          <w:lang w:eastAsia="en-US"/>
        </w:rPr>
        <w:t xml:space="preserve">of 0.69 (95%CI 0.54, 0.88) </w:t>
      </w:r>
      <w:r w:rsidR="00367249" w:rsidRPr="006E5C4D">
        <w:rPr>
          <w:rFonts w:asciiTheme="minorHAnsi" w:hAnsiTheme="minorHAnsi"/>
        </w:rPr>
        <w:t>for the full PD-L1 population</w:t>
      </w:r>
      <w:r w:rsidR="00524E91" w:rsidRPr="006E5C4D">
        <w:rPr>
          <w:rFonts w:asciiTheme="minorHAnsi" w:hAnsiTheme="minorHAnsi"/>
        </w:rPr>
        <w:t xml:space="preserve"> including patients with locally advanced disease</w:t>
      </w:r>
      <w:r w:rsidR="00367249" w:rsidRPr="006E5C4D">
        <w:rPr>
          <w:rFonts w:asciiTheme="minorHAnsi" w:hAnsiTheme="minorHAnsi"/>
        </w:rPr>
        <w:t>.</w:t>
      </w:r>
      <w:r w:rsidR="00EE4B54" w:rsidRPr="006E5C4D">
        <w:rPr>
          <w:rFonts w:asciiTheme="minorHAnsi" w:hAnsiTheme="minorHAnsi"/>
        </w:rPr>
        <w:t xml:space="preserve"> The pre-PBAC response noted f</w:t>
      </w:r>
      <w:r w:rsidR="00EE4B54" w:rsidRPr="008D797E">
        <w:rPr>
          <w:rFonts w:asciiTheme="minorHAnsi" w:hAnsiTheme="minorHAnsi" w:cstheme="minorHAnsi"/>
        </w:rPr>
        <w:t xml:space="preserve">rom the most recent data cut, the updated </w:t>
      </w:r>
      <w:r w:rsidR="00EE4B54" w:rsidRPr="00115C2F">
        <w:rPr>
          <w:rFonts w:asciiTheme="minorHAnsi" w:hAnsiTheme="minorHAnsi" w:cstheme="minorHAnsi"/>
        </w:rPr>
        <w:t xml:space="preserve">PFS data shows 13% of patients in the IMpassion130 trial are still responding and have not progressed after nearly 5 years (54 months), supporting the claim </w:t>
      </w:r>
      <w:r w:rsidR="00EE4B54" w:rsidRPr="006E5C4D">
        <w:rPr>
          <w:rFonts w:asciiTheme="minorHAnsi" w:hAnsiTheme="minorHAnsi"/>
        </w:rPr>
        <w:t xml:space="preserve">that there </w:t>
      </w:r>
      <w:r w:rsidR="00EE4B54" w:rsidRPr="008D797E">
        <w:rPr>
          <w:rFonts w:asciiTheme="minorHAnsi" w:hAnsiTheme="minorHAnsi" w:cstheme="minorHAnsi"/>
        </w:rPr>
        <w:t>are long term responders to this therapy.</w:t>
      </w:r>
    </w:p>
    <w:p w:rsidR="00EA35CA" w:rsidRPr="008D797E" w:rsidRDefault="00EA35CA" w:rsidP="00EA35CA">
      <w:pPr>
        <w:numPr>
          <w:ilvl w:val="1"/>
          <w:numId w:val="1"/>
        </w:numPr>
        <w:spacing w:after="120"/>
        <w:rPr>
          <w:rFonts w:asciiTheme="minorHAnsi" w:hAnsiTheme="minorHAnsi"/>
          <w:snapToGrid w:val="0"/>
        </w:rPr>
      </w:pPr>
      <w:r w:rsidRPr="006E5C4D">
        <w:rPr>
          <w:rFonts w:asciiTheme="minorHAnsi" w:hAnsiTheme="minorHAnsi"/>
        </w:rPr>
        <w:t xml:space="preserve">The study design of IMpassion131 was modelled on IMpassion130; they shared the same patient population/line of therapy, eligibility criteria and stratification factors. Patients in IMpassion131 had </w:t>
      </w:r>
      <w:r w:rsidR="00BC54E7" w:rsidRPr="006E5C4D">
        <w:rPr>
          <w:rFonts w:asciiTheme="minorHAnsi" w:hAnsiTheme="minorHAnsi"/>
        </w:rPr>
        <w:t>reasonably</w:t>
      </w:r>
      <w:r w:rsidRPr="006E5C4D">
        <w:rPr>
          <w:rFonts w:asciiTheme="minorHAnsi" w:hAnsiTheme="minorHAnsi"/>
        </w:rPr>
        <w:t xml:space="preserve"> similar baseline characteristics and prognostic factors compared </w:t>
      </w:r>
      <w:r w:rsidR="00BC54E7" w:rsidRPr="006E5C4D">
        <w:rPr>
          <w:rFonts w:asciiTheme="minorHAnsi" w:hAnsiTheme="minorHAnsi"/>
        </w:rPr>
        <w:t>with those in</w:t>
      </w:r>
      <w:r w:rsidRPr="006E5C4D">
        <w:rPr>
          <w:rFonts w:asciiTheme="minorHAnsi" w:hAnsiTheme="minorHAnsi"/>
        </w:rPr>
        <w:t xml:space="preserve"> IMpassion130. </w:t>
      </w:r>
      <w:r w:rsidR="00B919A4" w:rsidRPr="006E5C4D">
        <w:rPr>
          <w:rFonts w:asciiTheme="minorHAnsi" w:hAnsiTheme="minorHAnsi"/>
          <w:iCs/>
        </w:rPr>
        <w:t>As such</w:t>
      </w:r>
      <w:r w:rsidR="00BC54E7" w:rsidRPr="006E5C4D">
        <w:rPr>
          <w:rFonts w:asciiTheme="minorHAnsi" w:hAnsiTheme="minorHAnsi"/>
          <w:iCs/>
        </w:rPr>
        <w:t>,</w:t>
      </w:r>
      <w:r w:rsidRPr="006E5C4D">
        <w:rPr>
          <w:rFonts w:asciiTheme="minorHAnsi" w:hAnsiTheme="minorHAnsi"/>
          <w:iCs/>
        </w:rPr>
        <w:t xml:space="preserve"> based on the limited IMpassion131 data provided with the resubmission,</w:t>
      </w:r>
      <w:r w:rsidRPr="006E5C4D">
        <w:rPr>
          <w:rFonts w:asciiTheme="minorHAnsi" w:hAnsiTheme="minorHAnsi"/>
        </w:rPr>
        <w:t xml:space="preserve"> </w:t>
      </w:r>
      <w:r w:rsidRPr="008D797E">
        <w:rPr>
          <w:rFonts w:asciiTheme="minorHAnsi" w:hAnsiTheme="minorHAnsi"/>
          <w:iCs/>
          <w:snapToGrid w:val="0"/>
        </w:rPr>
        <w:t xml:space="preserve">transitivity issues for </w:t>
      </w:r>
      <w:r w:rsidRPr="008D797E">
        <w:rPr>
          <w:rFonts w:asciiTheme="minorHAnsi" w:hAnsiTheme="minorHAnsi"/>
          <w:iCs/>
          <w:snapToGrid w:val="0"/>
        </w:rPr>
        <w:lastRenderedPageBreak/>
        <w:t xml:space="preserve">inter-trial comparisons appear minimal. </w:t>
      </w:r>
      <w:r w:rsidRPr="006E5C4D">
        <w:rPr>
          <w:rFonts w:asciiTheme="minorHAnsi" w:hAnsiTheme="minorHAnsi"/>
        </w:rPr>
        <w:t xml:space="preserve">The </w:t>
      </w:r>
      <w:r w:rsidR="000C400A" w:rsidRPr="006E5C4D">
        <w:rPr>
          <w:rFonts w:asciiTheme="minorHAnsi" w:hAnsiTheme="minorHAnsi"/>
        </w:rPr>
        <w:t>main</w:t>
      </w:r>
      <w:r w:rsidRPr="006E5C4D">
        <w:rPr>
          <w:rFonts w:asciiTheme="minorHAnsi" w:hAnsiTheme="minorHAnsi"/>
        </w:rPr>
        <w:t xml:space="preserve"> difference between the trials was the selection of nab-P vs paclitaxel as the chemotherapy backbone. A comparison of key efficacy outcomes of the two trials is provided in </w:t>
      </w:r>
      <w:r w:rsidR="00232E9D" w:rsidRPr="008D797E">
        <w:t xml:space="preserve">Table </w:t>
      </w:r>
      <w:r w:rsidR="00232E9D" w:rsidRPr="006E5C4D">
        <w:t>7</w:t>
      </w:r>
      <w:r w:rsidR="00F46F6B" w:rsidRPr="006E5C4D">
        <w:rPr>
          <w:rFonts w:asciiTheme="minorHAnsi" w:hAnsiTheme="minorHAnsi"/>
        </w:rPr>
        <w:t xml:space="preserve"> </w:t>
      </w:r>
      <w:r w:rsidRPr="006E5C4D">
        <w:rPr>
          <w:rFonts w:asciiTheme="minorHAnsi" w:hAnsiTheme="minorHAnsi"/>
        </w:rPr>
        <w:t>below.</w:t>
      </w:r>
    </w:p>
    <w:p w:rsidR="00EA35CA" w:rsidRPr="008D797E" w:rsidRDefault="00F46F6B" w:rsidP="00F46F6B">
      <w:pPr>
        <w:pStyle w:val="TableFigureHeading"/>
      </w:pPr>
      <w:bookmarkStart w:id="24" w:name="_Ref59716155"/>
      <w:r w:rsidRPr="008D797E">
        <w:t xml:space="preserve">Table </w:t>
      </w:r>
      <w:r w:rsidR="00232E9D" w:rsidRPr="006E5C4D">
        <w:t>7</w:t>
      </w:r>
      <w:bookmarkEnd w:id="24"/>
      <w:r w:rsidR="00EA35CA" w:rsidRPr="008D797E">
        <w:t>: Comparison of overall survival between IMpassion130 and IMpassion131</w:t>
      </w:r>
    </w:p>
    <w:tbl>
      <w:tblPr>
        <w:tblStyle w:val="TableGrid"/>
        <w:tblW w:w="9067" w:type="dxa"/>
        <w:tblLook w:val="04A0" w:firstRow="1" w:lastRow="0" w:firstColumn="1" w:lastColumn="0" w:noHBand="0" w:noVBand="1"/>
        <w:tblCaption w:val="Table 7: Comparison of overall survival between IMpassion130 and IMpassion131"/>
      </w:tblPr>
      <w:tblGrid>
        <w:gridCol w:w="3823"/>
        <w:gridCol w:w="1701"/>
        <w:gridCol w:w="1701"/>
        <w:gridCol w:w="1842"/>
      </w:tblGrid>
      <w:tr w:rsidR="000D73F8" w:rsidRPr="008D797E" w:rsidTr="007316BD">
        <w:trPr>
          <w:tblHeader/>
        </w:trPr>
        <w:tc>
          <w:tcPr>
            <w:tcW w:w="3823" w:type="dxa"/>
            <w:shd w:val="clear" w:color="auto" w:fill="FFFFFF" w:themeFill="background1"/>
          </w:tcPr>
          <w:p w:rsidR="000D73F8" w:rsidRPr="00115C2F" w:rsidRDefault="000D73F8" w:rsidP="00901550">
            <w:pPr>
              <w:pStyle w:val="TableText1"/>
              <w:keepNext/>
              <w:keepLines/>
              <w:spacing w:before="40" w:after="40"/>
              <w:rPr>
                <w:rFonts w:ascii="Arial Narrow" w:hAnsi="Arial Narrow"/>
                <w:b/>
              </w:rPr>
            </w:pPr>
            <w:r w:rsidRPr="00115C2F">
              <w:rPr>
                <w:rFonts w:ascii="Arial Narrow" w:hAnsi="Arial Narrow"/>
                <w:b/>
              </w:rPr>
              <w:t>IMpassion130 median OS (months) at final analysis (14 April 2020)</w:t>
            </w:r>
          </w:p>
        </w:tc>
        <w:tc>
          <w:tcPr>
            <w:tcW w:w="1701" w:type="dxa"/>
            <w:shd w:val="clear" w:color="auto" w:fill="FFFFFF" w:themeFill="background1"/>
          </w:tcPr>
          <w:p w:rsidR="00BC54E7" w:rsidRPr="008D797E" w:rsidRDefault="000D73F8" w:rsidP="004A5FAF">
            <w:pPr>
              <w:pStyle w:val="TableText1"/>
              <w:keepNext/>
              <w:keepLines/>
              <w:spacing w:before="40" w:after="40"/>
              <w:jc w:val="center"/>
              <w:rPr>
                <w:rFonts w:ascii="Arial Narrow" w:hAnsi="Arial Narrow"/>
                <w:b/>
              </w:rPr>
            </w:pPr>
            <w:r w:rsidRPr="008D797E">
              <w:rPr>
                <w:rFonts w:ascii="Arial Narrow" w:hAnsi="Arial Narrow"/>
                <w:b/>
              </w:rPr>
              <w:t>ATZ+nab-P</w:t>
            </w:r>
          </w:p>
          <w:p w:rsidR="000D73F8" w:rsidRPr="008D797E" w:rsidRDefault="000D73F8" w:rsidP="004A5FAF">
            <w:pPr>
              <w:pStyle w:val="TableText1"/>
              <w:keepNext/>
              <w:keepLines/>
              <w:spacing w:before="40" w:after="40"/>
              <w:jc w:val="center"/>
              <w:rPr>
                <w:rFonts w:ascii="Arial Narrow" w:hAnsi="Arial Narrow"/>
                <w:b/>
              </w:rPr>
            </w:pPr>
            <w:r w:rsidRPr="008D797E">
              <w:rPr>
                <w:rFonts w:ascii="Arial Narrow" w:hAnsi="Arial Narrow"/>
                <w:b/>
              </w:rPr>
              <w:t>(95% CI)</w:t>
            </w:r>
          </w:p>
        </w:tc>
        <w:tc>
          <w:tcPr>
            <w:tcW w:w="1701" w:type="dxa"/>
            <w:shd w:val="clear" w:color="auto" w:fill="FFFFFF" w:themeFill="background1"/>
          </w:tcPr>
          <w:p w:rsidR="00BC54E7" w:rsidRPr="008D797E" w:rsidRDefault="000D73F8" w:rsidP="004A5FAF">
            <w:pPr>
              <w:pStyle w:val="TableText1"/>
              <w:keepNext/>
              <w:keepLines/>
              <w:spacing w:before="40" w:after="40"/>
              <w:jc w:val="center"/>
              <w:rPr>
                <w:rFonts w:ascii="Arial Narrow" w:hAnsi="Arial Narrow"/>
                <w:b/>
              </w:rPr>
            </w:pPr>
            <w:r w:rsidRPr="008D797E">
              <w:rPr>
                <w:rFonts w:ascii="Arial Narrow" w:hAnsi="Arial Narrow"/>
                <w:b/>
              </w:rPr>
              <w:t>PBO+nab-P</w:t>
            </w:r>
          </w:p>
          <w:p w:rsidR="000D73F8" w:rsidRPr="008D797E" w:rsidRDefault="000D73F8" w:rsidP="004A5FAF">
            <w:pPr>
              <w:pStyle w:val="TableText1"/>
              <w:keepNext/>
              <w:keepLines/>
              <w:spacing w:before="40" w:after="40"/>
              <w:jc w:val="center"/>
              <w:rPr>
                <w:rFonts w:ascii="Arial Narrow" w:hAnsi="Arial Narrow"/>
                <w:b/>
              </w:rPr>
            </w:pPr>
            <w:r w:rsidRPr="008D797E">
              <w:rPr>
                <w:rFonts w:ascii="Arial Narrow" w:hAnsi="Arial Narrow"/>
                <w:b/>
              </w:rPr>
              <w:t>(95% CI)</w:t>
            </w:r>
          </w:p>
        </w:tc>
        <w:tc>
          <w:tcPr>
            <w:tcW w:w="1842" w:type="dxa"/>
            <w:shd w:val="clear" w:color="auto" w:fill="FFFFFF" w:themeFill="background1"/>
          </w:tcPr>
          <w:p w:rsidR="00BC54E7" w:rsidRPr="008D797E" w:rsidRDefault="000D73F8" w:rsidP="004A5FAF">
            <w:pPr>
              <w:pStyle w:val="TableText1"/>
              <w:keepNext/>
              <w:keepLines/>
              <w:spacing w:before="40" w:after="40"/>
              <w:jc w:val="center"/>
              <w:rPr>
                <w:rFonts w:ascii="Arial Narrow" w:hAnsi="Arial Narrow"/>
                <w:b/>
              </w:rPr>
            </w:pPr>
            <w:r w:rsidRPr="008D797E">
              <w:rPr>
                <w:rFonts w:ascii="Arial Narrow" w:hAnsi="Arial Narrow"/>
                <w:b/>
              </w:rPr>
              <w:t>Stratified HR</w:t>
            </w:r>
          </w:p>
          <w:p w:rsidR="000D73F8" w:rsidRPr="008D797E" w:rsidRDefault="000D73F8" w:rsidP="004A5FAF">
            <w:pPr>
              <w:pStyle w:val="TableText1"/>
              <w:keepNext/>
              <w:keepLines/>
              <w:spacing w:before="40" w:after="40"/>
              <w:jc w:val="center"/>
              <w:rPr>
                <w:rFonts w:ascii="Arial Narrow" w:hAnsi="Arial Narrow"/>
                <w:b/>
              </w:rPr>
            </w:pPr>
            <w:r w:rsidRPr="008D797E">
              <w:rPr>
                <w:rFonts w:ascii="Arial Narrow" w:hAnsi="Arial Narrow"/>
                <w:b/>
              </w:rPr>
              <w:t>(95% CI)</w:t>
            </w:r>
          </w:p>
        </w:tc>
      </w:tr>
      <w:tr w:rsidR="000D73F8" w:rsidRPr="008D797E" w:rsidTr="00BC54E7">
        <w:tc>
          <w:tcPr>
            <w:tcW w:w="3823" w:type="dxa"/>
          </w:tcPr>
          <w:p w:rsidR="000D73F8" w:rsidRPr="008D797E" w:rsidRDefault="000D73F8" w:rsidP="00901550">
            <w:pPr>
              <w:pStyle w:val="TableText1"/>
              <w:keepNext/>
              <w:keepLines/>
              <w:spacing w:before="40" w:after="40"/>
              <w:rPr>
                <w:rFonts w:ascii="Arial Narrow" w:hAnsi="Arial Narrow"/>
              </w:rPr>
            </w:pPr>
            <w:r w:rsidRPr="008D797E">
              <w:rPr>
                <w:rFonts w:ascii="Arial Narrow" w:hAnsi="Arial Narrow"/>
              </w:rPr>
              <w:t>ITT Population (N=902)</w:t>
            </w:r>
          </w:p>
        </w:tc>
        <w:tc>
          <w:tcPr>
            <w:tcW w:w="1701" w:type="dxa"/>
          </w:tcPr>
          <w:p w:rsidR="000D73F8" w:rsidRPr="008D797E" w:rsidRDefault="00FA4B9E" w:rsidP="00FA4B9E">
            <w:pPr>
              <w:pStyle w:val="TableText1"/>
              <w:keepNext/>
              <w:keepLines/>
              <w:spacing w:before="40" w:after="40"/>
              <w:jc w:val="center"/>
              <w:rPr>
                <w:rFonts w:ascii="Arial Narrow" w:hAnsi="Arial Narrow"/>
              </w:rPr>
            </w:pPr>
            <w:r w:rsidRPr="008D797E">
              <w:rPr>
                <w:rFonts w:ascii="Arial Narrow" w:hAnsi="Arial Narrow"/>
              </w:rPr>
              <w:t>21.0 (19.0</w:t>
            </w:r>
            <w:r w:rsidR="000D73F8" w:rsidRPr="008D797E">
              <w:rPr>
                <w:rFonts w:ascii="Arial Narrow" w:hAnsi="Arial Narrow"/>
              </w:rPr>
              <w:t>, 23.</w:t>
            </w:r>
            <w:r w:rsidRPr="008D797E">
              <w:rPr>
                <w:rFonts w:ascii="Arial Narrow" w:hAnsi="Arial Narrow"/>
              </w:rPr>
              <w:t>4</w:t>
            </w:r>
            <w:r w:rsidR="000D73F8" w:rsidRPr="008D797E">
              <w:rPr>
                <w:rFonts w:ascii="Arial Narrow" w:hAnsi="Arial Narrow"/>
              </w:rPr>
              <w:t>)</w:t>
            </w:r>
          </w:p>
        </w:tc>
        <w:tc>
          <w:tcPr>
            <w:tcW w:w="1701" w:type="dxa"/>
          </w:tcPr>
          <w:p w:rsidR="000D73F8" w:rsidRPr="008D797E" w:rsidRDefault="000D73F8" w:rsidP="00FA4B9E">
            <w:pPr>
              <w:pStyle w:val="TableText1"/>
              <w:keepNext/>
              <w:keepLines/>
              <w:spacing w:before="40" w:after="40"/>
              <w:jc w:val="center"/>
              <w:rPr>
                <w:rFonts w:ascii="Arial Narrow" w:hAnsi="Arial Narrow"/>
              </w:rPr>
            </w:pPr>
            <w:r w:rsidRPr="008D797E">
              <w:rPr>
                <w:rFonts w:ascii="Arial Narrow" w:hAnsi="Arial Narrow"/>
              </w:rPr>
              <w:t>18.7</w:t>
            </w:r>
            <w:r w:rsidR="00FA4B9E" w:rsidRPr="008D797E">
              <w:rPr>
                <w:rFonts w:ascii="Arial Narrow" w:hAnsi="Arial Narrow"/>
              </w:rPr>
              <w:t xml:space="preserve"> (16.9</w:t>
            </w:r>
            <w:r w:rsidRPr="008D797E">
              <w:rPr>
                <w:rFonts w:ascii="Arial Narrow" w:hAnsi="Arial Narrow"/>
              </w:rPr>
              <w:t>, 20.</w:t>
            </w:r>
            <w:r w:rsidR="00FA4B9E" w:rsidRPr="008D797E">
              <w:rPr>
                <w:rFonts w:ascii="Arial Narrow" w:hAnsi="Arial Narrow"/>
              </w:rPr>
              <w:t>8</w:t>
            </w:r>
            <w:r w:rsidRPr="008D797E">
              <w:rPr>
                <w:rFonts w:ascii="Arial Narrow" w:hAnsi="Arial Narrow"/>
              </w:rPr>
              <w:t>)</w:t>
            </w:r>
          </w:p>
        </w:tc>
        <w:tc>
          <w:tcPr>
            <w:tcW w:w="1842" w:type="dxa"/>
          </w:tcPr>
          <w:p w:rsidR="000D73F8" w:rsidRPr="008D797E" w:rsidRDefault="000D73F8" w:rsidP="00901550">
            <w:pPr>
              <w:pStyle w:val="TableText1"/>
              <w:keepNext/>
              <w:keepLines/>
              <w:spacing w:before="40" w:after="40"/>
              <w:jc w:val="center"/>
              <w:rPr>
                <w:rFonts w:ascii="Arial Narrow" w:hAnsi="Arial Narrow"/>
              </w:rPr>
            </w:pPr>
            <w:r w:rsidRPr="008D797E">
              <w:rPr>
                <w:rFonts w:ascii="Arial Narrow" w:hAnsi="Arial Narrow"/>
              </w:rPr>
              <w:t>0.87 (0.75, 1.02)</w:t>
            </w:r>
          </w:p>
        </w:tc>
      </w:tr>
      <w:tr w:rsidR="000D73F8" w:rsidRPr="008D797E" w:rsidTr="00BC54E7">
        <w:tc>
          <w:tcPr>
            <w:tcW w:w="3823" w:type="dxa"/>
          </w:tcPr>
          <w:p w:rsidR="000D73F8" w:rsidRPr="008D797E" w:rsidRDefault="00CD3CCD" w:rsidP="00901550">
            <w:pPr>
              <w:pStyle w:val="TableText1"/>
              <w:keepNext/>
              <w:keepLines/>
              <w:spacing w:before="40" w:after="40"/>
              <w:rPr>
                <w:rFonts w:ascii="Arial Narrow" w:hAnsi="Arial Narrow"/>
              </w:rPr>
            </w:pPr>
            <w:r w:rsidRPr="008D797E">
              <w:rPr>
                <w:rFonts w:ascii="Arial Narrow" w:hAnsi="Arial Narrow"/>
              </w:rPr>
              <w:t>PD-L1-positive</w:t>
            </w:r>
            <w:r w:rsidR="000D73F8" w:rsidRPr="008D797E">
              <w:rPr>
                <w:rFonts w:ascii="Arial Narrow" w:hAnsi="Arial Narrow"/>
              </w:rPr>
              <w:t xml:space="preserve"> Population (N=369)</w:t>
            </w:r>
          </w:p>
        </w:tc>
        <w:tc>
          <w:tcPr>
            <w:tcW w:w="1701" w:type="dxa"/>
          </w:tcPr>
          <w:p w:rsidR="000D73F8" w:rsidRPr="008D797E" w:rsidRDefault="000D73F8" w:rsidP="00FA4B9E">
            <w:pPr>
              <w:pStyle w:val="TableText1"/>
              <w:keepNext/>
              <w:keepLines/>
              <w:spacing w:before="40" w:after="40"/>
              <w:jc w:val="center"/>
              <w:rPr>
                <w:rFonts w:ascii="Arial Narrow" w:hAnsi="Arial Narrow"/>
              </w:rPr>
            </w:pPr>
            <w:r w:rsidRPr="008D797E">
              <w:rPr>
                <w:rFonts w:ascii="Arial Narrow" w:hAnsi="Arial Narrow"/>
              </w:rPr>
              <w:t xml:space="preserve">25.4 </w:t>
            </w:r>
            <w:r w:rsidRPr="008D797E">
              <w:rPr>
                <w:rFonts w:ascii="Arial Narrow" w:eastAsia="MS Gothic" w:hAnsi="Arial Narrow"/>
                <w:bCs w:val="0"/>
              </w:rPr>
              <w:t>(19.</w:t>
            </w:r>
            <w:r w:rsidR="00FA4B9E" w:rsidRPr="008D797E">
              <w:rPr>
                <w:rFonts w:ascii="Arial Narrow" w:eastAsia="MS Gothic" w:hAnsi="Arial Narrow"/>
                <w:bCs w:val="0"/>
              </w:rPr>
              <w:t>6, 30.7</w:t>
            </w:r>
            <w:r w:rsidRPr="008D797E">
              <w:rPr>
                <w:rFonts w:ascii="Arial Narrow" w:eastAsia="MS Gothic" w:hAnsi="Arial Narrow"/>
                <w:bCs w:val="0"/>
              </w:rPr>
              <w:t>)</w:t>
            </w:r>
          </w:p>
        </w:tc>
        <w:tc>
          <w:tcPr>
            <w:tcW w:w="1701" w:type="dxa"/>
          </w:tcPr>
          <w:p w:rsidR="000D73F8" w:rsidRPr="008D797E" w:rsidRDefault="000D73F8" w:rsidP="00901550">
            <w:pPr>
              <w:pStyle w:val="TableText1"/>
              <w:keepNext/>
              <w:keepLines/>
              <w:spacing w:before="40" w:after="40"/>
              <w:jc w:val="center"/>
              <w:rPr>
                <w:rFonts w:ascii="Arial Narrow" w:hAnsi="Arial Narrow"/>
              </w:rPr>
            </w:pPr>
            <w:r w:rsidRPr="008D797E">
              <w:rPr>
                <w:rFonts w:ascii="Arial Narrow" w:hAnsi="Arial Narrow"/>
              </w:rPr>
              <w:t>1</w:t>
            </w:r>
            <w:r w:rsidR="00FA4B9E" w:rsidRPr="008D797E">
              <w:rPr>
                <w:rFonts w:ascii="Arial Narrow" w:hAnsi="Arial Narrow"/>
              </w:rPr>
              <w:t>7.9</w:t>
            </w:r>
            <w:r w:rsidRPr="008D797E">
              <w:rPr>
                <w:rFonts w:ascii="Arial Narrow" w:hAnsi="Arial Narrow"/>
              </w:rPr>
              <w:t xml:space="preserve"> </w:t>
            </w:r>
            <w:r w:rsidRPr="008D797E">
              <w:rPr>
                <w:rFonts w:ascii="Arial Narrow" w:eastAsia="MS Gothic" w:hAnsi="Arial Narrow"/>
                <w:bCs w:val="0"/>
              </w:rPr>
              <w:t>(13.6</w:t>
            </w:r>
            <w:r w:rsidR="00FA4B9E" w:rsidRPr="008D797E">
              <w:rPr>
                <w:rFonts w:ascii="Arial Narrow" w:eastAsia="MS Gothic" w:hAnsi="Arial Narrow"/>
                <w:bCs w:val="0"/>
              </w:rPr>
              <w:t>, 20.3</w:t>
            </w:r>
            <w:r w:rsidRPr="008D797E">
              <w:rPr>
                <w:rFonts w:ascii="Arial Narrow" w:eastAsia="MS Gothic" w:hAnsi="Arial Narrow"/>
                <w:bCs w:val="0"/>
              </w:rPr>
              <w:t>)</w:t>
            </w:r>
          </w:p>
        </w:tc>
        <w:tc>
          <w:tcPr>
            <w:tcW w:w="1842" w:type="dxa"/>
          </w:tcPr>
          <w:p w:rsidR="000D73F8" w:rsidRPr="008D797E" w:rsidRDefault="000D73F8" w:rsidP="00901550">
            <w:pPr>
              <w:pStyle w:val="TableText1"/>
              <w:keepNext/>
              <w:keepLines/>
              <w:spacing w:before="40" w:after="40"/>
              <w:jc w:val="center"/>
              <w:rPr>
                <w:rFonts w:ascii="Arial Narrow" w:hAnsi="Arial Narrow"/>
              </w:rPr>
            </w:pPr>
            <w:r w:rsidRPr="008D797E">
              <w:rPr>
                <w:rFonts w:ascii="Arial Narrow" w:hAnsi="Arial Narrow"/>
              </w:rPr>
              <w:t>0.67 (0.53, 0.86)</w:t>
            </w:r>
          </w:p>
        </w:tc>
      </w:tr>
      <w:tr w:rsidR="009B2C1D" w:rsidRPr="008D797E" w:rsidTr="00BC54E7">
        <w:tc>
          <w:tcPr>
            <w:tcW w:w="3823" w:type="dxa"/>
          </w:tcPr>
          <w:p w:rsidR="009B2C1D" w:rsidRPr="008D797E" w:rsidRDefault="009B2C1D" w:rsidP="00901550">
            <w:pPr>
              <w:pStyle w:val="TableText1"/>
              <w:keepNext/>
              <w:keepLines/>
              <w:spacing w:before="40" w:after="40"/>
              <w:rPr>
                <w:rFonts w:ascii="Arial Narrow" w:hAnsi="Arial Narrow"/>
              </w:rPr>
            </w:pPr>
            <w:r w:rsidRPr="008D797E">
              <w:rPr>
                <w:rFonts w:ascii="Arial Narrow" w:hAnsi="Arial Narrow"/>
              </w:rPr>
              <w:t>PD-L1-negative Population</w:t>
            </w:r>
          </w:p>
        </w:tc>
        <w:tc>
          <w:tcPr>
            <w:tcW w:w="1701" w:type="dxa"/>
          </w:tcPr>
          <w:p w:rsidR="009B2C1D" w:rsidRPr="008D797E" w:rsidRDefault="009B2C1D" w:rsidP="00FA4B9E">
            <w:pPr>
              <w:pStyle w:val="TableText1"/>
              <w:keepNext/>
              <w:keepLines/>
              <w:spacing w:before="40" w:after="40"/>
              <w:jc w:val="center"/>
              <w:rPr>
                <w:rFonts w:ascii="Arial Narrow" w:hAnsi="Arial Narrow"/>
              </w:rPr>
            </w:pPr>
            <w:r w:rsidRPr="008D797E">
              <w:rPr>
                <w:rFonts w:ascii="Arial Narrow" w:hAnsi="Arial Narrow"/>
              </w:rPr>
              <w:t>NR</w:t>
            </w:r>
          </w:p>
        </w:tc>
        <w:tc>
          <w:tcPr>
            <w:tcW w:w="1701" w:type="dxa"/>
          </w:tcPr>
          <w:p w:rsidR="009B2C1D" w:rsidRPr="008D797E" w:rsidRDefault="009B2C1D" w:rsidP="00901550">
            <w:pPr>
              <w:pStyle w:val="TableText1"/>
              <w:keepNext/>
              <w:keepLines/>
              <w:spacing w:before="40" w:after="40"/>
              <w:jc w:val="center"/>
              <w:rPr>
                <w:rFonts w:ascii="Arial Narrow" w:hAnsi="Arial Narrow"/>
              </w:rPr>
            </w:pPr>
            <w:r w:rsidRPr="008D797E">
              <w:rPr>
                <w:rFonts w:ascii="Arial Narrow" w:hAnsi="Arial Narrow"/>
              </w:rPr>
              <w:t>NR</w:t>
            </w:r>
          </w:p>
        </w:tc>
        <w:tc>
          <w:tcPr>
            <w:tcW w:w="1842" w:type="dxa"/>
          </w:tcPr>
          <w:p w:rsidR="009B2C1D" w:rsidRPr="008D797E" w:rsidRDefault="009B2C1D">
            <w:pPr>
              <w:pStyle w:val="TableText1"/>
              <w:keepNext/>
              <w:keepLines/>
              <w:spacing w:before="40" w:after="40"/>
              <w:jc w:val="center"/>
              <w:rPr>
                <w:rFonts w:ascii="Arial Narrow" w:hAnsi="Arial Narrow"/>
              </w:rPr>
            </w:pPr>
            <w:r w:rsidRPr="008D797E">
              <w:rPr>
                <w:rFonts w:ascii="Arial Narrow" w:hAnsi="Arial Narrow" w:cs="Arial"/>
                <w:bCs w:val="0"/>
                <w:lang w:eastAsia="en-US"/>
              </w:rPr>
              <w:t>1.02 (0.84, 1.24)</w:t>
            </w:r>
          </w:p>
        </w:tc>
      </w:tr>
      <w:tr w:rsidR="000D73F8" w:rsidRPr="008D797E" w:rsidTr="004A5FAF">
        <w:tc>
          <w:tcPr>
            <w:tcW w:w="3823" w:type="dxa"/>
            <w:shd w:val="clear" w:color="auto" w:fill="FFFFFF" w:themeFill="background1"/>
          </w:tcPr>
          <w:p w:rsidR="000D73F8" w:rsidRPr="008D797E" w:rsidRDefault="000D73F8" w:rsidP="00901550">
            <w:pPr>
              <w:pStyle w:val="TableText1"/>
              <w:keepNext/>
              <w:keepLines/>
              <w:spacing w:before="40" w:after="40"/>
              <w:rPr>
                <w:rFonts w:ascii="Arial Narrow" w:hAnsi="Arial Narrow"/>
                <w:b/>
              </w:rPr>
            </w:pPr>
            <w:r w:rsidRPr="008D797E">
              <w:rPr>
                <w:rFonts w:ascii="Arial Narrow" w:hAnsi="Arial Narrow"/>
                <w:b/>
              </w:rPr>
              <w:t>IMpassion131 median OS (months) at updated interim OS analysis (19 August 2020)</w:t>
            </w:r>
          </w:p>
        </w:tc>
        <w:tc>
          <w:tcPr>
            <w:tcW w:w="1701" w:type="dxa"/>
            <w:shd w:val="clear" w:color="auto" w:fill="FFFFFF" w:themeFill="background1"/>
            <w:vAlign w:val="center"/>
          </w:tcPr>
          <w:p w:rsidR="00BC54E7" w:rsidRPr="008D797E" w:rsidRDefault="000D73F8" w:rsidP="004A5FAF">
            <w:pPr>
              <w:pStyle w:val="TableText1"/>
              <w:keepNext/>
              <w:keepLines/>
              <w:spacing w:before="40" w:after="40"/>
              <w:jc w:val="center"/>
              <w:rPr>
                <w:rFonts w:ascii="Arial Narrow" w:hAnsi="Arial Narrow"/>
                <w:b/>
              </w:rPr>
            </w:pPr>
            <w:r w:rsidRPr="008D797E">
              <w:rPr>
                <w:rFonts w:ascii="Arial Narrow" w:hAnsi="Arial Narrow"/>
                <w:b/>
              </w:rPr>
              <w:t>ATZ+P</w:t>
            </w:r>
          </w:p>
          <w:p w:rsidR="000D73F8" w:rsidRPr="008D797E" w:rsidRDefault="000D73F8" w:rsidP="004A5FAF">
            <w:pPr>
              <w:pStyle w:val="TableText1"/>
              <w:keepNext/>
              <w:keepLines/>
              <w:spacing w:before="40" w:after="40"/>
              <w:jc w:val="center"/>
              <w:rPr>
                <w:rFonts w:ascii="Arial Narrow" w:hAnsi="Arial Narrow"/>
                <w:b/>
              </w:rPr>
            </w:pPr>
            <w:r w:rsidRPr="008D797E">
              <w:rPr>
                <w:rFonts w:ascii="Arial Narrow" w:hAnsi="Arial Narrow"/>
                <w:b/>
              </w:rPr>
              <w:t>(95% CI)</w:t>
            </w:r>
          </w:p>
        </w:tc>
        <w:tc>
          <w:tcPr>
            <w:tcW w:w="1701" w:type="dxa"/>
            <w:shd w:val="clear" w:color="auto" w:fill="FFFFFF" w:themeFill="background1"/>
            <w:vAlign w:val="center"/>
          </w:tcPr>
          <w:p w:rsidR="00BC54E7" w:rsidRPr="008D797E" w:rsidRDefault="000D73F8" w:rsidP="004A5FAF">
            <w:pPr>
              <w:pStyle w:val="TableText1"/>
              <w:keepNext/>
              <w:keepLines/>
              <w:spacing w:before="40" w:after="40"/>
              <w:jc w:val="center"/>
              <w:rPr>
                <w:rFonts w:ascii="Arial Narrow" w:hAnsi="Arial Narrow"/>
                <w:b/>
              </w:rPr>
            </w:pPr>
            <w:r w:rsidRPr="008D797E">
              <w:rPr>
                <w:rFonts w:ascii="Arial Narrow" w:hAnsi="Arial Narrow"/>
                <w:b/>
              </w:rPr>
              <w:t>PBO+P</w:t>
            </w:r>
          </w:p>
          <w:p w:rsidR="000D73F8" w:rsidRPr="008D797E" w:rsidRDefault="000D73F8" w:rsidP="004A5FAF">
            <w:pPr>
              <w:pStyle w:val="TableText1"/>
              <w:keepNext/>
              <w:keepLines/>
              <w:spacing w:before="40" w:after="40"/>
              <w:jc w:val="center"/>
              <w:rPr>
                <w:rFonts w:ascii="Arial Narrow" w:hAnsi="Arial Narrow"/>
                <w:b/>
              </w:rPr>
            </w:pPr>
            <w:r w:rsidRPr="008D797E">
              <w:rPr>
                <w:rFonts w:ascii="Arial Narrow" w:hAnsi="Arial Narrow"/>
                <w:b/>
              </w:rPr>
              <w:t>(95% CI)</w:t>
            </w:r>
          </w:p>
        </w:tc>
        <w:tc>
          <w:tcPr>
            <w:tcW w:w="1842" w:type="dxa"/>
            <w:shd w:val="clear" w:color="auto" w:fill="FFFFFF" w:themeFill="background1"/>
            <w:vAlign w:val="center"/>
          </w:tcPr>
          <w:p w:rsidR="00BC54E7" w:rsidRPr="008D797E" w:rsidRDefault="000D73F8" w:rsidP="004A5FAF">
            <w:pPr>
              <w:pStyle w:val="TableText1"/>
              <w:keepNext/>
              <w:keepLines/>
              <w:spacing w:before="40" w:after="40"/>
              <w:jc w:val="center"/>
              <w:rPr>
                <w:rFonts w:ascii="Arial Narrow" w:hAnsi="Arial Narrow"/>
                <w:b/>
              </w:rPr>
            </w:pPr>
            <w:r w:rsidRPr="008D797E">
              <w:rPr>
                <w:rFonts w:ascii="Arial Narrow" w:hAnsi="Arial Narrow"/>
                <w:b/>
              </w:rPr>
              <w:t>Stratified HR</w:t>
            </w:r>
          </w:p>
          <w:p w:rsidR="000D73F8" w:rsidRPr="008D797E" w:rsidRDefault="000D73F8" w:rsidP="004A5FAF">
            <w:pPr>
              <w:pStyle w:val="TableText1"/>
              <w:keepNext/>
              <w:keepLines/>
              <w:spacing w:before="40" w:after="40"/>
              <w:jc w:val="center"/>
              <w:rPr>
                <w:rFonts w:ascii="Arial Narrow" w:hAnsi="Arial Narrow"/>
                <w:b/>
              </w:rPr>
            </w:pPr>
            <w:r w:rsidRPr="008D797E">
              <w:rPr>
                <w:rFonts w:ascii="Arial Narrow" w:hAnsi="Arial Narrow"/>
                <w:b/>
              </w:rPr>
              <w:t>(95% CI)</w:t>
            </w:r>
          </w:p>
        </w:tc>
      </w:tr>
      <w:tr w:rsidR="000D73F8" w:rsidRPr="008D797E" w:rsidTr="00BC54E7">
        <w:tc>
          <w:tcPr>
            <w:tcW w:w="3823" w:type="dxa"/>
          </w:tcPr>
          <w:p w:rsidR="000D73F8" w:rsidRPr="008D797E" w:rsidRDefault="000D73F8" w:rsidP="00901550">
            <w:pPr>
              <w:pStyle w:val="TableText1"/>
              <w:keepNext/>
              <w:keepLines/>
              <w:spacing w:before="40" w:after="40"/>
              <w:rPr>
                <w:rFonts w:ascii="Arial Narrow" w:hAnsi="Arial Narrow"/>
              </w:rPr>
            </w:pPr>
            <w:r w:rsidRPr="008D797E">
              <w:rPr>
                <w:rFonts w:ascii="Arial Narrow" w:hAnsi="Arial Narrow"/>
              </w:rPr>
              <w:t>ITT Population (N=651)</w:t>
            </w:r>
          </w:p>
        </w:tc>
        <w:tc>
          <w:tcPr>
            <w:tcW w:w="1701" w:type="dxa"/>
          </w:tcPr>
          <w:p w:rsidR="000D73F8" w:rsidRPr="008D797E" w:rsidRDefault="000D73F8" w:rsidP="00901550">
            <w:pPr>
              <w:pStyle w:val="TableText1"/>
              <w:keepNext/>
              <w:keepLines/>
              <w:spacing w:before="40" w:after="40"/>
              <w:jc w:val="center"/>
              <w:rPr>
                <w:rFonts w:ascii="Arial Narrow" w:hAnsi="Arial Narrow"/>
              </w:rPr>
            </w:pPr>
            <w:r w:rsidRPr="008D797E">
              <w:rPr>
                <w:rFonts w:ascii="Arial Narrow" w:hAnsi="Arial Narrow"/>
              </w:rPr>
              <w:t xml:space="preserve">19.2 (16.8, 22.5) </w:t>
            </w:r>
          </w:p>
        </w:tc>
        <w:tc>
          <w:tcPr>
            <w:tcW w:w="1701" w:type="dxa"/>
          </w:tcPr>
          <w:p w:rsidR="000D73F8" w:rsidRPr="008D797E" w:rsidRDefault="000D73F8" w:rsidP="00901550">
            <w:pPr>
              <w:pStyle w:val="TableText1"/>
              <w:keepNext/>
              <w:keepLines/>
              <w:spacing w:before="40" w:after="40"/>
              <w:jc w:val="center"/>
              <w:rPr>
                <w:rFonts w:ascii="Arial Narrow" w:hAnsi="Arial Narrow"/>
              </w:rPr>
            </w:pPr>
            <w:r w:rsidRPr="008D797E">
              <w:rPr>
                <w:rFonts w:ascii="Arial Narrow" w:hAnsi="Arial Narrow"/>
              </w:rPr>
              <w:t xml:space="preserve">22.8 (17.1, 28.3) </w:t>
            </w:r>
          </w:p>
        </w:tc>
        <w:tc>
          <w:tcPr>
            <w:tcW w:w="1842" w:type="dxa"/>
          </w:tcPr>
          <w:p w:rsidR="000D73F8" w:rsidRPr="008D797E" w:rsidRDefault="000D73F8" w:rsidP="00901550">
            <w:pPr>
              <w:pStyle w:val="TableText1"/>
              <w:keepNext/>
              <w:keepLines/>
              <w:spacing w:before="40" w:after="40"/>
              <w:jc w:val="center"/>
              <w:rPr>
                <w:rFonts w:ascii="Arial Narrow" w:hAnsi="Arial Narrow"/>
              </w:rPr>
            </w:pPr>
            <w:r w:rsidRPr="008D797E">
              <w:rPr>
                <w:rFonts w:ascii="Arial Narrow" w:hAnsi="Arial Narrow"/>
              </w:rPr>
              <w:t>1.11 (0.87, 1.42)</w:t>
            </w:r>
          </w:p>
        </w:tc>
      </w:tr>
      <w:tr w:rsidR="000D73F8" w:rsidRPr="008D797E" w:rsidTr="00BC54E7">
        <w:tc>
          <w:tcPr>
            <w:tcW w:w="3823" w:type="dxa"/>
          </w:tcPr>
          <w:p w:rsidR="000D73F8" w:rsidRPr="008D797E" w:rsidRDefault="00CD3CCD" w:rsidP="00901550">
            <w:pPr>
              <w:pStyle w:val="TableText1"/>
              <w:keepNext/>
              <w:keepLines/>
              <w:spacing w:before="40" w:after="40"/>
              <w:rPr>
                <w:rFonts w:ascii="Arial Narrow" w:hAnsi="Arial Narrow"/>
              </w:rPr>
            </w:pPr>
            <w:r w:rsidRPr="008D797E">
              <w:rPr>
                <w:rFonts w:ascii="Arial Narrow" w:hAnsi="Arial Narrow"/>
              </w:rPr>
              <w:t>PD-L1-positive</w:t>
            </w:r>
            <w:r w:rsidR="000D73F8" w:rsidRPr="008D797E">
              <w:rPr>
                <w:rFonts w:ascii="Arial Narrow" w:hAnsi="Arial Narrow"/>
              </w:rPr>
              <w:t xml:space="preserve"> Population (N=292)</w:t>
            </w:r>
          </w:p>
        </w:tc>
        <w:tc>
          <w:tcPr>
            <w:tcW w:w="1701" w:type="dxa"/>
          </w:tcPr>
          <w:p w:rsidR="000D73F8" w:rsidRPr="008D797E" w:rsidRDefault="000D73F8" w:rsidP="00901550">
            <w:pPr>
              <w:pStyle w:val="TableText1"/>
              <w:keepNext/>
              <w:keepLines/>
              <w:spacing w:before="40" w:after="40"/>
              <w:jc w:val="center"/>
              <w:rPr>
                <w:rFonts w:ascii="Arial Narrow" w:hAnsi="Arial Narrow"/>
              </w:rPr>
            </w:pPr>
            <w:r w:rsidRPr="008D797E">
              <w:rPr>
                <w:rFonts w:ascii="Arial Narrow" w:hAnsi="Arial Narrow"/>
              </w:rPr>
              <w:t>22.1 (19.2, 30.5)</w:t>
            </w:r>
          </w:p>
        </w:tc>
        <w:tc>
          <w:tcPr>
            <w:tcW w:w="1701" w:type="dxa"/>
          </w:tcPr>
          <w:p w:rsidR="000D73F8" w:rsidRPr="008D797E" w:rsidRDefault="000D73F8" w:rsidP="00901550">
            <w:pPr>
              <w:pStyle w:val="TableText1"/>
              <w:keepNext/>
              <w:keepLines/>
              <w:spacing w:before="40" w:after="40"/>
              <w:jc w:val="center"/>
              <w:rPr>
                <w:rFonts w:ascii="Arial Narrow" w:hAnsi="Arial Narrow"/>
              </w:rPr>
            </w:pPr>
            <w:r w:rsidRPr="008D797E">
              <w:rPr>
                <w:rFonts w:ascii="Arial Narrow" w:hAnsi="Arial Narrow"/>
              </w:rPr>
              <w:t xml:space="preserve">28.3 (19.1, NE) </w:t>
            </w:r>
          </w:p>
        </w:tc>
        <w:tc>
          <w:tcPr>
            <w:tcW w:w="1842" w:type="dxa"/>
          </w:tcPr>
          <w:p w:rsidR="000D73F8" w:rsidRPr="008D797E" w:rsidRDefault="000D73F8" w:rsidP="00901550">
            <w:pPr>
              <w:pStyle w:val="TableText1"/>
              <w:keepNext/>
              <w:keepLines/>
              <w:spacing w:before="40" w:after="40"/>
              <w:jc w:val="center"/>
              <w:rPr>
                <w:rFonts w:ascii="Arial Narrow" w:hAnsi="Arial Narrow"/>
              </w:rPr>
            </w:pPr>
            <w:r w:rsidRPr="008D797E">
              <w:rPr>
                <w:rFonts w:ascii="Arial Narrow" w:hAnsi="Arial Narrow"/>
              </w:rPr>
              <w:t>1.12 (0.76, 1.65)</w:t>
            </w:r>
          </w:p>
        </w:tc>
      </w:tr>
      <w:tr w:rsidR="009B2C1D" w:rsidRPr="008D797E" w:rsidTr="00BC54E7">
        <w:tc>
          <w:tcPr>
            <w:tcW w:w="3823" w:type="dxa"/>
          </w:tcPr>
          <w:p w:rsidR="009B2C1D" w:rsidRPr="008D797E" w:rsidRDefault="009B2C1D" w:rsidP="00901550">
            <w:pPr>
              <w:pStyle w:val="TableText1"/>
              <w:keepNext/>
              <w:keepLines/>
              <w:spacing w:before="40" w:after="40"/>
              <w:rPr>
                <w:rFonts w:ascii="Arial Narrow" w:hAnsi="Arial Narrow"/>
              </w:rPr>
            </w:pPr>
            <w:r w:rsidRPr="008D797E">
              <w:rPr>
                <w:rFonts w:ascii="Arial Narrow" w:hAnsi="Arial Narrow"/>
              </w:rPr>
              <w:t>PD-L1-negative Population</w:t>
            </w:r>
          </w:p>
        </w:tc>
        <w:tc>
          <w:tcPr>
            <w:tcW w:w="1701" w:type="dxa"/>
          </w:tcPr>
          <w:p w:rsidR="009B2C1D" w:rsidRPr="008D797E" w:rsidRDefault="009B2C1D" w:rsidP="00901550">
            <w:pPr>
              <w:pStyle w:val="TableText1"/>
              <w:keepNext/>
              <w:keepLines/>
              <w:spacing w:before="40" w:after="40"/>
              <w:jc w:val="center"/>
              <w:rPr>
                <w:rFonts w:ascii="Arial Narrow" w:hAnsi="Arial Narrow"/>
              </w:rPr>
            </w:pPr>
            <w:r w:rsidRPr="008D797E">
              <w:rPr>
                <w:rFonts w:ascii="Arial Narrow" w:hAnsi="Arial Narrow"/>
              </w:rPr>
              <w:t>NR</w:t>
            </w:r>
          </w:p>
        </w:tc>
        <w:tc>
          <w:tcPr>
            <w:tcW w:w="1701" w:type="dxa"/>
          </w:tcPr>
          <w:p w:rsidR="009B2C1D" w:rsidRPr="008D797E" w:rsidRDefault="009B2C1D" w:rsidP="00901550">
            <w:pPr>
              <w:pStyle w:val="TableText1"/>
              <w:keepNext/>
              <w:keepLines/>
              <w:spacing w:before="40" w:after="40"/>
              <w:jc w:val="center"/>
              <w:rPr>
                <w:rFonts w:ascii="Arial Narrow" w:hAnsi="Arial Narrow"/>
              </w:rPr>
            </w:pPr>
            <w:r w:rsidRPr="008D797E">
              <w:rPr>
                <w:rFonts w:ascii="Arial Narrow" w:hAnsi="Arial Narrow"/>
              </w:rPr>
              <w:t>NR</w:t>
            </w:r>
          </w:p>
        </w:tc>
        <w:tc>
          <w:tcPr>
            <w:tcW w:w="1842" w:type="dxa"/>
          </w:tcPr>
          <w:p w:rsidR="009B2C1D" w:rsidRPr="008D797E" w:rsidRDefault="009B2C1D" w:rsidP="00901550">
            <w:pPr>
              <w:pStyle w:val="TableText1"/>
              <w:keepNext/>
              <w:keepLines/>
              <w:spacing w:before="40" w:after="40"/>
              <w:jc w:val="center"/>
              <w:rPr>
                <w:rFonts w:ascii="Arial Narrow" w:hAnsi="Arial Narrow"/>
              </w:rPr>
            </w:pPr>
            <w:r w:rsidRPr="008D797E">
              <w:rPr>
                <w:rFonts w:ascii="Arial Narrow" w:hAnsi="Arial Narrow"/>
              </w:rPr>
              <w:t>NR</w:t>
            </w:r>
          </w:p>
        </w:tc>
      </w:tr>
    </w:tbl>
    <w:p w:rsidR="00EA35CA" w:rsidRPr="008D797E" w:rsidRDefault="00EA35CA" w:rsidP="00EA35CA">
      <w:pPr>
        <w:spacing w:after="120"/>
        <w:contextualSpacing/>
        <w:rPr>
          <w:rFonts w:ascii="Arial Narrow" w:hAnsi="Arial Narrow"/>
          <w:snapToGrid w:val="0"/>
          <w:sz w:val="18"/>
          <w:szCs w:val="22"/>
        </w:rPr>
      </w:pPr>
      <w:r w:rsidRPr="008D797E">
        <w:rPr>
          <w:rFonts w:ascii="Arial Narrow" w:hAnsi="Arial Narrow"/>
          <w:snapToGrid w:val="0"/>
          <w:sz w:val="18"/>
          <w:szCs w:val="22"/>
        </w:rPr>
        <w:t xml:space="preserve">Source: Constructed during the evaluation from data in Table 2.4, p 30 of the resubmission, and p 12 of </w:t>
      </w:r>
      <w:r w:rsidR="00390008" w:rsidRPr="008D797E">
        <w:rPr>
          <w:rFonts w:ascii="Arial Narrow" w:hAnsi="Arial Narrow"/>
          <w:snapToGrid w:val="0"/>
          <w:sz w:val="18"/>
          <w:szCs w:val="22"/>
        </w:rPr>
        <w:t>M</w:t>
      </w:r>
      <w:r w:rsidRPr="008D797E">
        <w:rPr>
          <w:rFonts w:ascii="Arial Narrow" w:hAnsi="Arial Narrow"/>
          <w:snapToGrid w:val="0"/>
          <w:sz w:val="18"/>
          <w:szCs w:val="22"/>
        </w:rPr>
        <w:t>iles 2020</w:t>
      </w:r>
      <w:r w:rsidR="00390008" w:rsidRPr="008D797E">
        <w:rPr>
          <w:rStyle w:val="FootnoteReference"/>
          <w:rFonts w:ascii="Arial Narrow" w:hAnsi="Arial Narrow"/>
          <w:snapToGrid w:val="0"/>
          <w:sz w:val="18"/>
          <w:szCs w:val="22"/>
        </w:rPr>
        <w:footnoteReference w:id="8"/>
      </w:r>
      <w:r w:rsidRPr="008D797E">
        <w:rPr>
          <w:rFonts w:ascii="Arial Narrow" w:hAnsi="Arial Narrow"/>
          <w:snapToGrid w:val="0"/>
          <w:sz w:val="18"/>
          <w:szCs w:val="22"/>
        </w:rPr>
        <w:t xml:space="preserve">. </w:t>
      </w:r>
    </w:p>
    <w:p w:rsidR="00EA35CA" w:rsidRPr="008D797E" w:rsidRDefault="00EA35CA" w:rsidP="00EA35CA">
      <w:pPr>
        <w:spacing w:after="120"/>
        <w:contextualSpacing/>
        <w:rPr>
          <w:rFonts w:ascii="Arial Narrow" w:hAnsi="Arial Narrow"/>
          <w:snapToGrid w:val="0"/>
          <w:sz w:val="18"/>
          <w:szCs w:val="22"/>
        </w:rPr>
      </w:pPr>
      <w:r w:rsidRPr="00115C2F">
        <w:rPr>
          <w:rFonts w:ascii="Arial Narrow" w:hAnsi="Arial Narrow"/>
          <w:snapToGrid w:val="0"/>
          <w:sz w:val="18"/>
          <w:szCs w:val="22"/>
        </w:rPr>
        <w:t xml:space="preserve">ATZ+nab-P = atezolizumab + </w:t>
      </w:r>
      <w:r w:rsidR="008905D5" w:rsidRPr="00115C2F">
        <w:rPr>
          <w:rFonts w:ascii="Arial Narrow" w:hAnsi="Arial Narrow"/>
          <w:sz w:val="18"/>
        </w:rPr>
        <w:t>nanoparticle albumin–bound paclitaxel</w:t>
      </w:r>
      <w:r w:rsidRPr="008D797E">
        <w:rPr>
          <w:rFonts w:ascii="Arial Narrow" w:hAnsi="Arial Narrow"/>
          <w:snapToGrid w:val="0"/>
          <w:sz w:val="18"/>
          <w:szCs w:val="22"/>
        </w:rPr>
        <w:t>; ATZ+P = atezolizumab + paclitaxel; CI = confidence interval; HR = hazard ratio</w:t>
      </w:r>
      <w:r w:rsidR="00FA4B9E" w:rsidRPr="008D797E">
        <w:rPr>
          <w:rFonts w:ascii="Arial Narrow" w:hAnsi="Arial Narrow"/>
          <w:snapToGrid w:val="0"/>
          <w:sz w:val="18"/>
          <w:szCs w:val="22"/>
        </w:rPr>
        <w:t xml:space="preserve">; </w:t>
      </w:r>
      <w:r w:rsidR="00122B36" w:rsidRPr="008D797E">
        <w:rPr>
          <w:rFonts w:ascii="Arial Narrow" w:hAnsi="Arial Narrow"/>
          <w:snapToGrid w:val="0"/>
          <w:sz w:val="18"/>
          <w:szCs w:val="22"/>
        </w:rPr>
        <w:t xml:space="preserve">NE = not evaluable; </w:t>
      </w:r>
      <w:r w:rsidRPr="008D797E">
        <w:rPr>
          <w:rFonts w:ascii="Arial Narrow" w:hAnsi="Arial Narrow"/>
          <w:snapToGrid w:val="0"/>
          <w:sz w:val="18"/>
          <w:szCs w:val="22"/>
        </w:rPr>
        <w:t xml:space="preserve">OS = overall survival; PBO+nab-P = placebo + </w:t>
      </w:r>
      <w:r w:rsidR="008905D5" w:rsidRPr="008D797E">
        <w:rPr>
          <w:rFonts w:ascii="Arial Narrow" w:hAnsi="Arial Narrow"/>
          <w:sz w:val="18"/>
        </w:rPr>
        <w:t>nanoparticle albumin–bound paclitaxel</w:t>
      </w:r>
      <w:r w:rsidRPr="008D797E">
        <w:rPr>
          <w:rFonts w:ascii="Arial Narrow" w:hAnsi="Arial Narrow"/>
          <w:snapToGrid w:val="0"/>
          <w:sz w:val="18"/>
          <w:szCs w:val="22"/>
        </w:rPr>
        <w:t>; PBO+P = placebo + pacli</w:t>
      </w:r>
      <w:r w:rsidR="007C431D" w:rsidRPr="008D797E">
        <w:rPr>
          <w:rFonts w:ascii="Arial Narrow" w:hAnsi="Arial Narrow"/>
          <w:snapToGrid w:val="0"/>
          <w:sz w:val="18"/>
          <w:szCs w:val="22"/>
        </w:rPr>
        <w:t>taxel; PD-L1 = programmed death-</w:t>
      </w:r>
      <w:r w:rsidRPr="008D797E">
        <w:rPr>
          <w:rFonts w:ascii="Arial Narrow" w:hAnsi="Arial Narrow"/>
          <w:snapToGrid w:val="0"/>
          <w:sz w:val="18"/>
          <w:szCs w:val="22"/>
        </w:rPr>
        <w:t>ligand 1.</w:t>
      </w:r>
    </w:p>
    <w:p w:rsidR="000D73F8" w:rsidRPr="008D797E" w:rsidRDefault="000D73F8" w:rsidP="00EA35CA">
      <w:pPr>
        <w:spacing w:after="120"/>
        <w:contextualSpacing/>
        <w:rPr>
          <w:rFonts w:ascii="Arial Narrow" w:hAnsi="Arial Narrow"/>
          <w:snapToGrid w:val="0"/>
          <w:sz w:val="18"/>
          <w:szCs w:val="22"/>
        </w:rPr>
      </w:pPr>
    </w:p>
    <w:p w:rsidR="00F02C22" w:rsidRPr="00115C2F" w:rsidRDefault="00F02C22" w:rsidP="00EA35CA">
      <w:pPr>
        <w:numPr>
          <w:ilvl w:val="1"/>
          <w:numId w:val="1"/>
        </w:numPr>
        <w:spacing w:after="120"/>
        <w:rPr>
          <w:rFonts w:asciiTheme="minorHAnsi" w:hAnsiTheme="minorHAnsi"/>
          <w:snapToGrid w:val="0"/>
        </w:rPr>
      </w:pPr>
      <w:r w:rsidRPr="008D797E">
        <w:t xml:space="preserve">In the IMpassion131 trial the PBO+P </w:t>
      </w:r>
      <w:r w:rsidR="00693C5F" w:rsidRPr="008D797E">
        <w:t xml:space="preserve">arm </w:t>
      </w:r>
      <w:r w:rsidRPr="008D797E">
        <w:t xml:space="preserve">demonstrated greater median OS than the ATZ+P arm (28.3 vs 22.1 months respectively) in the PD-L1-positive subgroup. In addition, the PD-L1-positive subgroups in both arms had greater survival than the ITT population, consistent with other studies suggesting that PD-L1 positivity is a positive prognostic marker (para 6.17, atezolizumab PSD, March 2020 PBAC meeting). In contrast, the PBO + nab-P PD-L1-positive group in IMpassion130 had lower survival than the PBO + nab-P PD-L1-negative group. Given the similarity between IMpassion130 and IMpassion131 cohorts, </w:t>
      </w:r>
      <w:r w:rsidR="00693C5F" w:rsidRPr="008D797E">
        <w:t xml:space="preserve">the ESC considered </w:t>
      </w:r>
      <w:r w:rsidRPr="008D797E">
        <w:t>this inconsistency raises internal validity concerns and increases uncertainty of the replicability of OS results observed in the PD-L1 subgroup in IMpassion130.</w:t>
      </w:r>
      <w:r w:rsidR="00693C5F" w:rsidRPr="008D797E">
        <w:t xml:space="preserve"> The pre-PBAC response argued that the IMpassion131 trial results do not discredit the </w:t>
      </w:r>
      <w:r w:rsidR="008D797E">
        <w:t>I</w:t>
      </w:r>
      <w:r w:rsidR="00693C5F" w:rsidRPr="008D797E">
        <w:t>Mpassion130 results as they were designed to answer two distinct questions.</w:t>
      </w:r>
    </w:p>
    <w:p w:rsidR="00EA35CA" w:rsidRPr="008D797E" w:rsidRDefault="00EA35CA" w:rsidP="00EA35CA">
      <w:pPr>
        <w:numPr>
          <w:ilvl w:val="1"/>
          <w:numId w:val="1"/>
        </w:numPr>
        <w:spacing w:after="120"/>
        <w:rPr>
          <w:rFonts w:asciiTheme="minorHAnsi" w:hAnsiTheme="minorHAnsi"/>
          <w:snapToGrid w:val="0"/>
        </w:rPr>
      </w:pPr>
      <w:r w:rsidRPr="006E5C4D">
        <w:rPr>
          <w:rFonts w:asciiTheme="minorHAnsi" w:hAnsiTheme="minorHAnsi"/>
        </w:rPr>
        <w:t xml:space="preserve">The resubmission stated </w:t>
      </w:r>
      <w:r w:rsidR="00AC35B4" w:rsidRPr="006E5C4D">
        <w:rPr>
          <w:rFonts w:asciiTheme="minorHAnsi" w:hAnsiTheme="minorHAnsi"/>
        </w:rPr>
        <w:t xml:space="preserve">that </w:t>
      </w:r>
      <w:r w:rsidRPr="006E5C4D">
        <w:rPr>
          <w:rFonts w:asciiTheme="minorHAnsi" w:hAnsiTheme="minorHAnsi"/>
        </w:rPr>
        <w:t xml:space="preserve">a review of </w:t>
      </w:r>
      <w:r w:rsidR="00AC35B4" w:rsidRPr="006E5C4D">
        <w:rPr>
          <w:rFonts w:asciiTheme="minorHAnsi" w:hAnsiTheme="minorHAnsi"/>
        </w:rPr>
        <w:t xml:space="preserve">the </w:t>
      </w:r>
      <w:r w:rsidRPr="006E5C4D">
        <w:rPr>
          <w:rFonts w:asciiTheme="minorHAnsi" w:hAnsiTheme="minorHAnsi"/>
        </w:rPr>
        <w:t>trial data is ongoing</w:t>
      </w:r>
      <w:r w:rsidR="00AC35B4" w:rsidRPr="006E5C4D">
        <w:rPr>
          <w:rFonts w:asciiTheme="minorHAnsi" w:hAnsiTheme="minorHAnsi"/>
        </w:rPr>
        <w:t xml:space="preserve">. </w:t>
      </w:r>
      <w:r w:rsidR="008E1AAA" w:rsidRPr="006E5C4D">
        <w:rPr>
          <w:rFonts w:asciiTheme="minorHAnsi" w:hAnsiTheme="minorHAnsi"/>
        </w:rPr>
        <w:t>H</w:t>
      </w:r>
      <w:r w:rsidRPr="006E5C4D">
        <w:rPr>
          <w:rFonts w:asciiTheme="minorHAnsi" w:hAnsiTheme="minorHAnsi"/>
        </w:rPr>
        <w:t>ypotheses</w:t>
      </w:r>
      <w:r w:rsidR="008E1AAA" w:rsidRPr="006E5C4D">
        <w:rPr>
          <w:rFonts w:asciiTheme="minorHAnsi" w:hAnsiTheme="minorHAnsi"/>
        </w:rPr>
        <w:t>,</w:t>
      </w:r>
      <w:r w:rsidRPr="006E5C4D">
        <w:rPr>
          <w:rFonts w:asciiTheme="minorHAnsi" w:hAnsiTheme="minorHAnsi"/>
        </w:rPr>
        <w:t xml:space="preserve"> </w:t>
      </w:r>
      <w:r w:rsidR="008E1AAA" w:rsidRPr="006E5C4D">
        <w:rPr>
          <w:rFonts w:asciiTheme="minorHAnsi" w:hAnsiTheme="minorHAnsi"/>
        </w:rPr>
        <w:t xml:space="preserve">suggested by the sponsor, </w:t>
      </w:r>
      <w:r w:rsidR="00AC35B4" w:rsidRPr="006E5C4D">
        <w:rPr>
          <w:rFonts w:asciiTheme="minorHAnsi" w:hAnsiTheme="minorHAnsi"/>
        </w:rPr>
        <w:t>for the difference in the outcomes between the two trials include: a</w:t>
      </w:r>
      <w:r w:rsidRPr="006E5C4D">
        <w:rPr>
          <w:rFonts w:asciiTheme="minorHAnsi" w:hAnsiTheme="minorHAnsi"/>
        </w:rPr>
        <w:t xml:space="preserve"> different synergy between ATZ a</w:t>
      </w:r>
      <w:r w:rsidR="00AC35B4" w:rsidRPr="006E5C4D">
        <w:rPr>
          <w:rFonts w:asciiTheme="minorHAnsi" w:hAnsiTheme="minorHAnsi"/>
        </w:rPr>
        <w:t>nd nab-P compared to paclitaxel;</w:t>
      </w:r>
      <w:r w:rsidRPr="006E5C4D">
        <w:rPr>
          <w:rFonts w:asciiTheme="minorHAnsi" w:hAnsiTheme="minorHAnsi"/>
        </w:rPr>
        <w:t xml:space="preserve"> steroid premedication administered with pacl</w:t>
      </w:r>
      <w:r w:rsidR="00AC35B4" w:rsidRPr="006E5C4D">
        <w:rPr>
          <w:rFonts w:asciiTheme="minorHAnsi" w:hAnsiTheme="minorHAnsi"/>
        </w:rPr>
        <w:t>itaxel hampered efficacy of AT</w:t>
      </w:r>
      <w:r w:rsidR="00AD0B68" w:rsidRPr="006E5C4D">
        <w:rPr>
          <w:rFonts w:asciiTheme="minorHAnsi" w:hAnsiTheme="minorHAnsi"/>
        </w:rPr>
        <w:t>Z</w:t>
      </w:r>
      <w:r w:rsidR="00AC35B4" w:rsidRPr="006E5C4D">
        <w:rPr>
          <w:rFonts w:asciiTheme="minorHAnsi" w:hAnsiTheme="minorHAnsi"/>
        </w:rPr>
        <w:t>;</w:t>
      </w:r>
      <w:r w:rsidRPr="006E5C4D">
        <w:rPr>
          <w:rFonts w:asciiTheme="minorHAnsi" w:hAnsiTheme="minorHAnsi"/>
        </w:rPr>
        <w:t xml:space="preserve"> and direct </w:t>
      </w:r>
      <w:r w:rsidR="00AC35B4" w:rsidRPr="006E5C4D">
        <w:rPr>
          <w:rFonts w:asciiTheme="minorHAnsi" w:hAnsiTheme="minorHAnsi"/>
        </w:rPr>
        <w:t xml:space="preserve">differences in the efficacy of </w:t>
      </w:r>
      <w:r w:rsidRPr="006E5C4D">
        <w:rPr>
          <w:rFonts w:asciiTheme="minorHAnsi" w:hAnsiTheme="minorHAnsi"/>
        </w:rPr>
        <w:t>nab</w:t>
      </w:r>
      <w:r w:rsidR="00036D64" w:rsidRPr="006E5C4D">
        <w:rPr>
          <w:rFonts w:asciiTheme="minorHAnsi" w:hAnsiTheme="minorHAnsi"/>
        </w:rPr>
        <w:noBreakHyphen/>
      </w:r>
      <w:r w:rsidRPr="006E5C4D">
        <w:rPr>
          <w:rFonts w:asciiTheme="minorHAnsi" w:hAnsiTheme="minorHAnsi"/>
        </w:rPr>
        <w:t xml:space="preserve">P and paclitaxel. </w:t>
      </w:r>
      <w:r w:rsidR="00AC35B4" w:rsidRPr="006E5C4D">
        <w:rPr>
          <w:rFonts w:asciiTheme="minorHAnsi" w:hAnsiTheme="minorHAnsi"/>
          <w:iCs/>
        </w:rPr>
        <w:t>H</w:t>
      </w:r>
      <w:r w:rsidRPr="006E5C4D">
        <w:rPr>
          <w:rFonts w:asciiTheme="minorHAnsi" w:hAnsiTheme="minorHAnsi"/>
          <w:iCs/>
        </w:rPr>
        <w:t>owever</w:t>
      </w:r>
      <w:r w:rsidR="00AC35B4" w:rsidRPr="006E5C4D">
        <w:rPr>
          <w:rFonts w:asciiTheme="minorHAnsi" w:hAnsiTheme="minorHAnsi"/>
          <w:iCs/>
        </w:rPr>
        <w:t>,</w:t>
      </w:r>
      <w:r w:rsidRPr="006E5C4D">
        <w:rPr>
          <w:rFonts w:asciiTheme="minorHAnsi" w:hAnsiTheme="minorHAnsi"/>
          <w:iCs/>
        </w:rPr>
        <w:t xml:space="preserve"> the most striking difference between the two trials </w:t>
      </w:r>
      <w:r w:rsidR="00AC35B4" w:rsidRPr="006E5C4D">
        <w:rPr>
          <w:rFonts w:asciiTheme="minorHAnsi" w:hAnsiTheme="minorHAnsi"/>
          <w:iCs/>
        </w:rPr>
        <w:t>was the results in the comparator arms</w:t>
      </w:r>
      <w:r w:rsidR="00FA4B9E" w:rsidRPr="006E5C4D">
        <w:rPr>
          <w:rFonts w:asciiTheme="minorHAnsi" w:hAnsiTheme="minorHAnsi"/>
          <w:iCs/>
        </w:rPr>
        <w:t xml:space="preserve"> of the </w:t>
      </w:r>
      <w:r w:rsidR="00CD3CCD" w:rsidRPr="006E5C4D">
        <w:rPr>
          <w:rFonts w:asciiTheme="minorHAnsi" w:hAnsiTheme="minorHAnsi"/>
          <w:iCs/>
        </w:rPr>
        <w:t>PD-</w:t>
      </w:r>
      <w:r w:rsidR="00CD3CCD" w:rsidRPr="006E5C4D">
        <w:rPr>
          <w:rFonts w:asciiTheme="minorHAnsi" w:hAnsiTheme="minorHAnsi"/>
          <w:iCs/>
        </w:rPr>
        <w:lastRenderedPageBreak/>
        <w:t>L1-positive</w:t>
      </w:r>
      <w:r w:rsidR="00FA4B9E" w:rsidRPr="006E5C4D">
        <w:rPr>
          <w:rFonts w:asciiTheme="minorHAnsi" w:hAnsiTheme="minorHAnsi"/>
          <w:iCs/>
        </w:rPr>
        <w:t xml:space="preserve"> subgroups</w:t>
      </w:r>
      <w:r w:rsidR="00AC35B4" w:rsidRPr="006E5C4D">
        <w:rPr>
          <w:rFonts w:asciiTheme="minorHAnsi" w:hAnsiTheme="minorHAnsi"/>
          <w:iCs/>
        </w:rPr>
        <w:t>, with a median OS of 17.9 months in the PBO+nab-P arm of IMpassion130 compared with 2</w:t>
      </w:r>
      <w:r w:rsidR="00FA4B9E" w:rsidRPr="006E5C4D">
        <w:rPr>
          <w:rFonts w:asciiTheme="minorHAnsi" w:hAnsiTheme="minorHAnsi"/>
          <w:iCs/>
        </w:rPr>
        <w:t>8</w:t>
      </w:r>
      <w:r w:rsidR="00AC35B4" w:rsidRPr="006E5C4D">
        <w:rPr>
          <w:rFonts w:asciiTheme="minorHAnsi" w:hAnsiTheme="minorHAnsi"/>
          <w:iCs/>
        </w:rPr>
        <w:t xml:space="preserve">.3 months in the PBO+P arm of IMpassion131. </w:t>
      </w:r>
      <w:r w:rsidR="00D749D6" w:rsidRPr="006E5C4D">
        <w:rPr>
          <w:rFonts w:asciiTheme="minorHAnsi" w:hAnsiTheme="minorHAnsi"/>
          <w:iCs/>
        </w:rPr>
        <w:t xml:space="preserve">In contrast, the outcomes in the ATZ+nab-P and ATZ+P arms were similar in the </w:t>
      </w:r>
      <w:r w:rsidR="00CD3CCD" w:rsidRPr="006E5C4D">
        <w:rPr>
          <w:rFonts w:asciiTheme="minorHAnsi" w:hAnsiTheme="minorHAnsi"/>
          <w:iCs/>
        </w:rPr>
        <w:t>PD-L1-positive</w:t>
      </w:r>
      <w:r w:rsidR="00D749D6" w:rsidRPr="006E5C4D">
        <w:rPr>
          <w:rFonts w:asciiTheme="minorHAnsi" w:hAnsiTheme="minorHAnsi"/>
          <w:iCs/>
        </w:rPr>
        <w:t xml:space="preserve"> subgroups of both trials (median OS 25.4 and 22.1 months, respectively).</w:t>
      </w:r>
    </w:p>
    <w:p w:rsidR="00EA35CA" w:rsidRPr="008D797E" w:rsidRDefault="00EA35CA" w:rsidP="00EA35CA">
      <w:pPr>
        <w:numPr>
          <w:ilvl w:val="1"/>
          <w:numId w:val="1"/>
        </w:numPr>
        <w:spacing w:after="120"/>
        <w:rPr>
          <w:rFonts w:asciiTheme="minorHAnsi" w:hAnsiTheme="minorHAnsi"/>
          <w:iCs/>
          <w:snapToGrid w:val="0"/>
        </w:rPr>
      </w:pPr>
      <w:r w:rsidRPr="008D797E">
        <w:rPr>
          <w:rFonts w:asciiTheme="minorHAnsi" w:hAnsiTheme="minorHAnsi"/>
          <w:iCs/>
          <w:snapToGrid w:val="0"/>
        </w:rPr>
        <w:t>It is unlikely that differences in the direct effects of nab-P and paclitaxel monotherapies would account for the increase in median OS observed between the PBO+nab-P and PBO+P arms. A recent observational study of 200 patients which compared first-line nab-P with paclit</w:t>
      </w:r>
      <w:r w:rsidRPr="00115C2F">
        <w:rPr>
          <w:rFonts w:asciiTheme="minorHAnsi" w:hAnsiTheme="minorHAnsi"/>
          <w:iCs/>
          <w:snapToGrid w:val="0"/>
        </w:rPr>
        <w:t>axel in mTNBC found similar efficacy, concluding the two agents could be used interchangeably (HR 0.98; 95%CI: 0.67–1.44)</w:t>
      </w:r>
      <w:r w:rsidRPr="008D797E">
        <w:rPr>
          <w:rFonts w:asciiTheme="minorHAnsi" w:hAnsiTheme="minorHAnsi"/>
          <w:iCs/>
          <w:snapToGrid w:val="0"/>
          <w:vertAlign w:val="superscript"/>
        </w:rPr>
        <w:footnoteReference w:id="9"/>
      </w:r>
      <w:r w:rsidRPr="008D797E">
        <w:rPr>
          <w:rFonts w:asciiTheme="minorHAnsi" w:hAnsiTheme="minorHAnsi"/>
          <w:iCs/>
          <w:snapToGrid w:val="0"/>
        </w:rPr>
        <w:t xml:space="preserve">. This is consistent with head-to-head RCTs of nab-P and paclitaxel, considered in the nab-P PSD (Nov 2008), which found no significant difference in efficacy in the advanced breast cancer population. </w:t>
      </w:r>
      <w:r w:rsidR="004F14D7" w:rsidRPr="008D797E">
        <w:rPr>
          <w:rFonts w:asciiTheme="minorHAnsi" w:hAnsiTheme="minorHAnsi"/>
          <w:iCs/>
          <w:snapToGrid w:val="0"/>
        </w:rPr>
        <w:t>The ESC agreed with the commentary that the TNBC subgroup analysis of PFS and OS results for the ITT population in Rugo et. al. (2015)</w:t>
      </w:r>
      <w:r w:rsidR="004F14D7" w:rsidRPr="008D797E">
        <w:rPr>
          <w:rFonts w:asciiTheme="minorHAnsi" w:hAnsiTheme="minorHAnsi"/>
          <w:iCs/>
          <w:snapToGrid w:val="0"/>
          <w:vertAlign w:val="superscript"/>
        </w:rPr>
        <w:footnoteReference w:id="10"/>
      </w:r>
      <w:r w:rsidR="004F14D7" w:rsidRPr="008D797E">
        <w:rPr>
          <w:rFonts w:asciiTheme="minorHAnsi" w:hAnsiTheme="minorHAnsi"/>
          <w:iCs/>
          <w:snapToGrid w:val="0"/>
        </w:rPr>
        <w:t xml:space="preserve"> did not</w:t>
      </w:r>
      <w:r w:rsidR="009B2C1D" w:rsidRPr="008D797E">
        <w:rPr>
          <w:rFonts w:asciiTheme="minorHAnsi" w:hAnsiTheme="minorHAnsi"/>
          <w:iCs/>
          <w:snapToGrid w:val="0"/>
        </w:rPr>
        <w:t>, in fact,</w:t>
      </w:r>
      <w:r w:rsidR="004F14D7" w:rsidRPr="008D797E">
        <w:rPr>
          <w:rFonts w:asciiTheme="minorHAnsi" w:hAnsiTheme="minorHAnsi"/>
          <w:iCs/>
          <w:snapToGrid w:val="0"/>
        </w:rPr>
        <w:t xml:space="preserve"> support the conclusion that nab-P is less effective than paclitaxel. The ESC also noted that </w:t>
      </w:r>
      <w:r w:rsidR="00AB3B2B" w:rsidRPr="00115C2F">
        <w:rPr>
          <w:rFonts w:asciiTheme="minorHAnsi" w:hAnsiTheme="minorHAnsi"/>
          <w:iCs/>
          <w:snapToGrid w:val="0"/>
        </w:rPr>
        <w:t xml:space="preserve">in contrast to this submission </w:t>
      </w:r>
      <w:r w:rsidR="004F14D7" w:rsidRPr="00115C2F">
        <w:rPr>
          <w:rFonts w:asciiTheme="minorHAnsi" w:hAnsiTheme="minorHAnsi"/>
          <w:iCs/>
          <w:snapToGrid w:val="0"/>
        </w:rPr>
        <w:t xml:space="preserve">the previous submission for atezolizumab argued that </w:t>
      </w:r>
      <w:r w:rsidR="009B2C1D" w:rsidRPr="008D797E">
        <w:rPr>
          <w:lang w:eastAsia="zh-CN"/>
        </w:rPr>
        <w:t>nab-P and paclitaxel may be considered interchangeable as 1L treatments for patients with mTNBC</w:t>
      </w:r>
      <w:r w:rsidR="008D797E">
        <w:rPr>
          <w:lang w:eastAsia="zh-CN"/>
        </w:rPr>
        <w:t xml:space="preserve">. </w:t>
      </w:r>
    </w:p>
    <w:p w:rsidR="00EA35CA" w:rsidRPr="008D797E" w:rsidRDefault="00EA35CA" w:rsidP="0006701E">
      <w:pPr>
        <w:pStyle w:val="3-BodyText"/>
      </w:pPr>
      <w:r w:rsidRPr="00115C2F">
        <w:t>The fact that PD-L1 expression appears to be a positive prognostic factor</w:t>
      </w:r>
      <w:r w:rsidR="006C4136" w:rsidRPr="008D797E">
        <w:t xml:space="preserve">, which </w:t>
      </w:r>
      <w:r w:rsidR="00E7029D" w:rsidRPr="008D797E">
        <w:t>was not observed in IMpassion130</w:t>
      </w:r>
      <w:r w:rsidR="006C4136" w:rsidRPr="008D797E">
        <w:t>,</w:t>
      </w:r>
      <w:r w:rsidRPr="008D797E">
        <w:t xml:space="preserve"> was</w:t>
      </w:r>
      <w:r w:rsidR="00693C5F" w:rsidRPr="008D797E">
        <w:t xml:space="preserve"> previously noted (paragraph </w:t>
      </w:r>
      <w:r w:rsidRPr="008D797E">
        <w:t>6.17</w:t>
      </w:r>
      <w:r w:rsidR="00693C5F" w:rsidRPr="008D797E">
        <w:t>,</w:t>
      </w:r>
      <w:r w:rsidRPr="008D797E">
        <w:t xml:space="preserve"> </w:t>
      </w:r>
      <w:r w:rsidR="00AC1010" w:rsidRPr="008D797E">
        <w:rPr>
          <w:iCs/>
        </w:rPr>
        <w:t>atezolizumab PSD</w:t>
      </w:r>
      <w:r w:rsidR="006B0F4D" w:rsidRPr="008D797E">
        <w:rPr>
          <w:iCs/>
        </w:rPr>
        <w:t>, March 2020 PBAC meeting</w:t>
      </w:r>
      <w:r w:rsidR="00693C5F" w:rsidRPr="008D797E">
        <w:rPr>
          <w:iCs/>
        </w:rPr>
        <w:t>)</w:t>
      </w:r>
      <w:r w:rsidRPr="008D797E">
        <w:t>. The results from IM</w:t>
      </w:r>
      <w:r w:rsidR="006C4136" w:rsidRPr="008D797E">
        <w:t>passion131 amplify this concern</w:t>
      </w:r>
      <w:r w:rsidR="0006701E" w:rsidRPr="008D797E">
        <w:t xml:space="preserve">; of the four treatment arms across the two trials, as described in </w:t>
      </w:r>
      <w:r w:rsidR="00232E9D" w:rsidRPr="008D797E">
        <w:t xml:space="preserve">Table </w:t>
      </w:r>
      <w:r w:rsidR="00232E9D" w:rsidRPr="006E5C4D">
        <w:t>7</w:t>
      </w:r>
      <w:r w:rsidR="0006701E" w:rsidRPr="008D797E">
        <w:t xml:space="preserve"> above, only the PBO+nab-P arm of IMpassion130 recorded a decrease in </w:t>
      </w:r>
      <w:r w:rsidR="00313210" w:rsidRPr="008D797E">
        <w:t xml:space="preserve">median </w:t>
      </w:r>
      <w:r w:rsidR="0006701E" w:rsidRPr="008D797E">
        <w:t>survival from the ITT to the PD-L1-positive population.</w:t>
      </w:r>
      <w:r w:rsidR="00313210" w:rsidRPr="00115C2F">
        <w:t xml:space="preserve"> The available data cannot preclude the possibility that the performance of this control arm was aberrant, which increases uncertainty about the benefit of ATZ+nab-P described by IMpassion130. </w:t>
      </w:r>
      <w:r w:rsidR="006C4136" w:rsidRPr="008D797E">
        <w:t xml:space="preserve">The resubmission did not address this concern, and data </w:t>
      </w:r>
      <w:r w:rsidR="00F5209E" w:rsidRPr="008D797E">
        <w:t xml:space="preserve">for the PD-L1-negative subgroup in </w:t>
      </w:r>
      <w:r w:rsidR="006C4136" w:rsidRPr="008D797E">
        <w:t>IMpassion131 were not provided.</w:t>
      </w:r>
      <w:r w:rsidR="00BE21E7" w:rsidRPr="008D797E">
        <w:t xml:space="preserve"> </w:t>
      </w:r>
      <w:r w:rsidR="00BE21E7" w:rsidRPr="008D797E">
        <w:rPr>
          <w:iCs/>
        </w:rPr>
        <w:t>To reduce this uncertainty, the performance of the PBO+P arm of IMpassion131 needs to be reconciled with the performance of the PBO+nab-P arm of IMpassion130.</w:t>
      </w:r>
      <w:r w:rsidR="00501084" w:rsidRPr="008D797E">
        <w:rPr>
          <w:iCs/>
        </w:rPr>
        <w:t xml:space="preserve"> The </w:t>
      </w:r>
      <w:r w:rsidR="00E22EA5" w:rsidRPr="008D797E">
        <w:rPr>
          <w:iCs/>
        </w:rPr>
        <w:t>PBAC considered</w:t>
      </w:r>
      <w:r w:rsidR="00501084" w:rsidRPr="008D797E">
        <w:rPr>
          <w:iCs/>
        </w:rPr>
        <w:t xml:space="preserve"> this issue would need to be addressed to provide confidence in</w:t>
      </w:r>
      <w:r w:rsidR="00501084" w:rsidRPr="008D797E">
        <w:t xml:space="preserve"> the replicability of OS results observed in the PD-L1 subgroup in IMpassion130.</w:t>
      </w:r>
    </w:p>
    <w:p w:rsidR="00EA35CA" w:rsidRPr="008D797E" w:rsidRDefault="00EA35CA" w:rsidP="00F172BC">
      <w:pPr>
        <w:pStyle w:val="4-SubsectionHeading"/>
      </w:pPr>
      <w:bookmarkStart w:id="25" w:name="_Toc22897642"/>
      <w:bookmarkStart w:id="26" w:name="_Toc58854760"/>
      <w:bookmarkStart w:id="27" w:name="_Toc61965000"/>
      <w:r w:rsidRPr="008D797E">
        <w:t>Comparative harms</w:t>
      </w:r>
      <w:bookmarkEnd w:id="25"/>
      <w:bookmarkEnd w:id="26"/>
      <w:bookmarkEnd w:id="27"/>
    </w:p>
    <w:p w:rsidR="00D749D6" w:rsidRPr="008D797E" w:rsidRDefault="00D749D6" w:rsidP="006C4136">
      <w:pPr>
        <w:pStyle w:val="3-BodyText"/>
      </w:pPr>
      <w:bookmarkStart w:id="28" w:name="_Ref59716366"/>
      <w:r w:rsidRPr="006E5C4D">
        <w:t xml:space="preserve">The updated safety data from the final data cut-off for IMpassion130 were consistent with the safety profile for ATZ+nab-P presented in the previous submission. </w:t>
      </w:r>
      <w:r w:rsidR="00871B2B" w:rsidRPr="006E5C4D">
        <w:t>A summary of t</w:t>
      </w:r>
      <w:r w:rsidRPr="006E5C4D">
        <w:t xml:space="preserve">he comparative </w:t>
      </w:r>
      <w:r w:rsidR="00871B2B" w:rsidRPr="006E5C4D">
        <w:t xml:space="preserve">safety </w:t>
      </w:r>
      <w:r w:rsidRPr="006E5C4D">
        <w:t xml:space="preserve">data </w:t>
      </w:r>
      <w:r w:rsidR="00BB06BE" w:rsidRPr="006E5C4D">
        <w:t xml:space="preserve">is </w:t>
      </w:r>
      <w:r w:rsidRPr="006E5C4D">
        <w:t xml:space="preserve">presented in </w:t>
      </w:r>
      <w:r w:rsidR="00232E9D" w:rsidRPr="008D797E">
        <w:t xml:space="preserve">Table </w:t>
      </w:r>
      <w:r w:rsidR="00232E9D" w:rsidRPr="006E5C4D">
        <w:t>8</w:t>
      </w:r>
      <w:r w:rsidR="00871B2B" w:rsidRPr="006E5C4D">
        <w:t xml:space="preserve"> </w:t>
      </w:r>
      <w:r w:rsidRPr="006E5C4D">
        <w:t xml:space="preserve">below. Patients in </w:t>
      </w:r>
      <w:r w:rsidRPr="006E5C4D">
        <w:rPr>
          <w:iCs/>
        </w:rPr>
        <w:t xml:space="preserve">the </w:t>
      </w:r>
      <w:r w:rsidRPr="006E5C4D">
        <w:rPr>
          <w:iCs/>
        </w:rPr>
        <w:lastRenderedPageBreak/>
        <w:t>ATZ+nab-P arm continued to experience more grade 3-4 adverse events (AEs), serious adverse events (SAEs), adverse events of special interest (AESIs) and discontinuations than those in the PBO+nab-P arm.</w:t>
      </w:r>
      <w:r w:rsidR="006C4136" w:rsidRPr="006E5C4D">
        <w:rPr>
          <w:iCs/>
        </w:rPr>
        <w:t xml:space="preserve"> </w:t>
      </w:r>
      <w:r w:rsidR="00F51306" w:rsidRPr="006E5C4D">
        <w:rPr>
          <w:iCs/>
          <w:snapToGrid/>
        </w:rPr>
        <w:t xml:space="preserve">The ESC noted that </w:t>
      </w:r>
      <w:r w:rsidR="00AB3B2B" w:rsidRPr="006E5C4D">
        <w:rPr>
          <w:iCs/>
          <w:snapToGrid/>
        </w:rPr>
        <w:t xml:space="preserve">some of </w:t>
      </w:r>
      <w:r w:rsidR="00F51306" w:rsidRPr="006E5C4D">
        <w:rPr>
          <w:iCs/>
          <w:snapToGrid/>
        </w:rPr>
        <w:t xml:space="preserve">point estimates of relative risk had increased slightly but </w:t>
      </w:r>
      <w:r w:rsidR="00AB3B2B" w:rsidRPr="006E5C4D">
        <w:rPr>
          <w:iCs/>
          <w:snapToGrid/>
        </w:rPr>
        <w:t xml:space="preserve">noting the confidence intervals, </w:t>
      </w:r>
      <w:r w:rsidR="00F51306" w:rsidRPr="006E5C4D">
        <w:rPr>
          <w:iCs/>
          <w:snapToGrid/>
        </w:rPr>
        <w:t xml:space="preserve">considered that the changes </w:t>
      </w:r>
      <w:r w:rsidR="00B82D3D" w:rsidRPr="006E5C4D">
        <w:rPr>
          <w:iCs/>
          <w:snapToGrid/>
        </w:rPr>
        <w:t>were not substantial.</w:t>
      </w:r>
      <w:r w:rsidR="00F51306" w:rsidRPr="006E5C4D">
        <w:rPr>
          <w:iCs/>
          <w:snapToGrid/>
        </w:rPr>
        <w:t xml:space="preserve"> </w:t>
      </w:r>
    </w:p>
    <w:p w:rsidR="00CD3CCD" w:rsidRPr="008D797E" w:rsidRDefault="00CD3CCD" w:rsidP="00740D61">
      <w:pPr>
        <w:jc w:val="left"/>
        <w:rPr>
          <w:rFonts w:ascii="Arial Narrow" w:eastAsia="MS Mincho" w:hAnsi="Arial Narrow"/>
          <w:snapToGrid w:val="0"/>
          <w:sz w:val="18"/>
          <w:szCs w:val="22"/>
        </w:rPr>
      </w:pPr>
    </w:p>
    <w:p w:rsidR="00EA35CA" w:rsidRPr="00115C2F" w:rsidRDefault="00F017E2" w:rsidP="00A74C01">
      <w:pPr>
        <w:pStyle w:val="TableFigureHeading"/>
        <w:keepLines/>
      </w:pPr>
      <w:bookmarkStart w:id="29" w:name="_Ref60817284"/>
      <w:r w:rsidRPr="008D797E">
        <w:t xml:space="preserve">Table </w:t>
      </w:r>
      <w:r w:rsidR="00232E9D" w:rsidRPr="006E5C4D">
        <w:t>8</w:t>
      </w:r>
      <w:bookmarkEnd w:id="28"/>
      <w:bookmarkEnd w:id="29"/>
      <w:r w:rsidR="00EA35CA" w:rsidRPr="008D797E">
        <w:t xml:space="preserve">: Comparison of key adverse events, IMpassion130, </w:t>
      </w:r>
      <w:r w:rsidR="00CD3CCD" w:rsidRPr="008D797E">
        <w:t>s</w:t>
      </w:r>
      <w:r w:rsidR="00EA35CA" w:rsidRPr="008D797E">
        <w:t>afety evaluable population, CCOD 17 April 2018 vs 14 April 2020</w:t>
      </w:r>
    </w:p>
    <w:tbl>
      <w:tblPr>
        <w:tblW w:w="5000" w:type="pct"/>
        <w:tblLook w:val="0000" w:firstRow="0" w:lastRow="0" w:firstColumn="0" w:lastColumn="0" w:noHBand="0" w:noVBand="0"/>
      </w:tblPr>
      <w:tblGrid>
        <w:gridCol w:w="1856"/>
        <w:gridCol w:w="1004"/>
        <w:gridCol w:w="1031"/>
        <w:gridCol w:w="1544"/>
        <w:gridCol w:w="1057"/>
        <w:gridCol w:w="1004"/>
        <w:gridCol w:w="1520"/>
      </w:tblGrid>
      <w:tr w:rsidR="00EA35CA" w:rsidRPr="008D797E" w:rsidTr="007C431D">
        <w:trPr>
          <w:cantSplit/>
          <w:trHeight w:val="70"/>
          <w:tblHeader/>
        </w:trPr>
        <w:tc>
          <w:tcPr>
            <w:tcW w:w="1029" w:type="pct"/>
            <w:tcBorders>
              <w:top w:val="single" w:sz="4" w:space="0" w:color="auto"/>
              <w:left w:val="single" w:sz="4" w:space="0" w:color="auto"/>
              <w:right w:val="single" w:sz="4" w:space="0" w:color="auto"/>
            </w:tcBorders>
            <w:vAlign w:val="center"/>
          </w:tcPr>
          <w:p w:rsidR="00EA35CA" w:rsidRPr="008D797E" w:rsidRDefault="00EA35CA" w:rsidP="00A74C01">
            <w:pPr>
              <w:keepNext/>
              <w:keepLines/>
              <w:widowControl w:val="0"/>
              <w:spacing w:before="20" w:after="20"/>
              <w:jc w:val="left"/>
              <w:rPr>
                <w:rFonts w:ascii="Arial Narrow" w:hAnsi="Arial Narrow" w:cs="Calibri"/>
                <w:b/>
                <w:sz w:val="20"/>
                <w:szCs w:val="20"/>
              </w:rPr>
            </w:pPr>
            <w:bookmarkStart w:id="30" w:name="_Hlk59693028"/>
          </w:p>
        </w:tc>
        <w:tc>
          <w:tcPr>
            <w:tcW w:w="1985" w:type="pct"/>
            <w:gridSpan w:val="3"/>
            <w:tcBorders>
              <w:top w:val="single" w:sz="4" w:space="0" w:color="auto"/>
              <w:left w:val="nil"/>
              <w:bottom w:val="single" w:sz="4" w:space="0" w:color="auto"/>
              <w:right w:val="single" w:sz="4" w:space="0" w:color="auto"/>
            </w:tcBorders>
            <w:shd w:val="clear" w:color="auto" w:fill="DBE5F1" w:themeFill="accent1" w:themeFillTint="33"/>
            <w:vAlign w:val="center"/>
          </w:tcPr>
          <w:p w:rsidR="00EA35CA" w:rsidRPr="006E5C4D" w:rsidRDefault="00EA35CA" w:rsidP="00A74C01">
            <w:pPr>
              <w:keepNext/>
              <w:keepLines/>
              <w:widowControl w:val="0"/>
              <w:spacing w:before="20" w:after="20"/>
              <w:jc w:val="center"/>
              <w:rPr>
                <w:rFonts w:ascii="Arial Narrow" w:hAnsi="Arial Narrow" w:cs="Calibri"/>
                <w:b/>
                <w:sz w:val="20"/>
                <w:szCs w:val="20"/>
              </w:rPr>
            </w:pPr>
            <w:r w:rsidRPr="006E5C4D">
              <w:rPr>
                <w:rFonts w:ascii="Arial Narrow" w:hAnsi="Arial Narrow" w:cs="Calibri"/>
                <w:b/>
                <w:sz w:val="20"/>
                <w:szCs w:val="20"/>
              </w:rPr>
              <w:t>CCOD: 17 April 2018</w:t>
            </w:r>
          </w:p>
        </w:tc>
        <w:tc>
          <w:tcPr>
            <w:tcW w:w="1986" w:type="pct"/>
            <w:gridSpan w:val="3"/>
            <w:tcBorders>
              <w:top w:val="single" w:sz="4" w:space="0" w:color="auto"/>
              <w:left w:val="single" w:sz="4" w:space="0" w:color="auto"/>
              <w:bottom w:val="single" w:sz="4" w:space="0" w:color="auto"/>
              <w:right w:val="single" w:sz="4" w:space="0" w:color="auto"/>
            </w:tcBorders>
            <w:vAlign w:val="center"/>
          </w:tcPr>
          <w:p w:rsidR="00EA35CA" w:rsidRPr="006E5C4D" w:rsidRDefault="00EA35CA" w:rsidP="00A74C01">
            <w:pPr>
              <w:keepNext/>
              <w:keepLines/>
              <w:widowControl w:val="0"/>
              <w:spacing w:before="20" w:after="20"/>
              <w:jc w:val="center"/>
              <w:rPr>
                <w:rFonts w:ascii="Arial Narrow" w:hAnsi="Arial Narrow" w:cs="Calibri"/>
                <w:b/>
                <w:sz w:val="20"/>
                <w:szCs w:val="20"/>
              </w:rPr>
            </w:pPr>
            <w:r w:rsidRPr="006E5C4D">
              <w:rPr>
                <w:rFonts w:ascii="Arial Narrow" w:hAnsi="Arial Narrow" w:cs="Calibri"/>
                <w:b/>
                <w:sz w:val="20"/>
                <w:szCs w:val="20"/>
              </w:rPr>
              <w:t>CCOD: 14 April 2020</w:t>
            </w:r>
          </w:p>
        </w:tc>
      </w:tr>
      <w:tr w:rsidR="00EA35CA" w:rsidRPr="008D797E" w:rsidTr="007C431D">
        <w:trPr>
          <w:cantSplit/>
          <w:trHeight w:val="1028"/>
          <w:tblHeader/>
        </w:trPr>
        <w:tc>
          <w:tcPr>
            <w:tcW w:w="1029" w:type="pct"/>
            <w:tcBorders>
              <w:top w:val="single" w:sz="4" w:space="0" w:color="auto"/>
              <w:left w:val="single" w:sz="4" w:space="0" w:color="auto"/>
              <w:right w:val="single" w:sz="4" w:space="0" w:color="auto"/>
            </w:tcBorders>
            <w:vAlign w:val="center"/>
          </w:tcPr>
          <w:p w:rsidR="00EA35CA" w:rsidRPr="008D797E" w:rsidRDefault="00EA35CA" w:rsidP="00A74C01">
            <w:pPr>
              <w:keepNext/>
              <w:keepLines/>
              <w:widowControl w:val="0"/>
              <w:spacing w:before="20" w:after="20"/>
              <w:jc w:val="left"/>
              <w:rPr>
                <w:rFonts w:ascii="Arial Narrow" w:hAnsi="Arial Narrow" w:cs="Calibri"/>
                <w:b/>
                <w:sz w:val="20"/>
                <w:szCs w:val="20"/>
              </w:rPr>
            </w:pPr>
            <w:r w:rsidRPr="008D797E">
              <w:rPr>
                <w:rFonts w:ascii="Arial Narrow" w:hAnsi="Arial Narrow" w:cs="Calibri"/>
                <w:b/>
                <w:sz w:val="20"/>
                <w:szCs w:val="20"/>
              </w:rPr>
              <w:t>Adverse event</w:t>
            </w:r>
          </w:p>
        </w:tc>
        <w:tc>
          <w:tcPr>
            <w:tcW w:w="557" w:type="pct"/>
            <w:tcBorders>
              <w:top w:val="single" w:sz="4" w:space="0" w:color="auto"/>
              <w:left w:val="nil"/>
              <w:right w:val="single" w:sz="4" w:space="0" w:color="auto"/>
            </w:tcBorders>
            <w:shd w:val="clear" w:color="auto" w:fill="DBE5F1" w:themeFill="accent1" w:themeFillTint="33"/>
            <w:vAlign w:val="center"/>
          </w:tcPr>
          <w:p w:rsidR="00EA35CA" w:rsidRPr="008D797E" w:rsidRDefault="00EA35CA" w:rsidP="00A74C01">
            <w:pPr>
              <w:keepNext/>
              <w:keepLines/>
              <w:widowControl w:val="0"/>
              <w:spacing w:before="20" w:after="20"/>
              <w:jc w:val="center"/>
              <w:rPr>
                <w:rFonts w:ascii="Arial Narrow" w:hAnsi="Arial Narrow" w:cs="Calibri"/>
                <w:b/>
                <w:sz w:val="20"/>
                <w:szCs w:val="20"/>
              </w:rPr>
            </w:pPr>
            <w:r w:rsidRPr="008D797E">
              <w:rPr>
                <w:rFonts w:ascii="Arial Narrow" w:hAnsi="Arial Narrow" w:cs="Calibri"/>
                <w:b/>
                <w:sz w:val="20"/>
                <w:szCs w:val="20"/>
              </w:rPr>
              <w:t>ATZ+</w:t>
            </w:r>
            <w:r w:rsidR="007C431D" w:rsidRPr="008D797E">
              <w:rPr>
                <w:rFonts w:ascii="Arial Narrow" w:hAnsi="Arial Narrow" w:cs="Calibri"/>
                <w:b/>
                <w:sz w:val="20"/>
                <w:szCs w:val="20"/>
              </w:rPr>
              <w:br/>
            </w:r>
            <w:r w:rsidRPr="008D797E">
              <w:rPr>
                <w:rFonts w:ascii="Arial Narrow" w:hAnsi="Arial Narrow" w:cs="Calibri"/>
                <w:b/>
                <w:sz w:val="20"/>
                <w:szCs w:val="20"/>
              </w:rPr>
              <w:t>nab-P</w:t>
            </w:r>
            <w:r w:rsidRPr="008D797E">
              <w:rPr>
                <w:rFonts w:ascii="Arial Narrow" w:hAnsi="Arial Narrow" w:cs="Calibri"/>
                <w:b/>
                <w:sz w:val="20"/>
                <w:szCs w:val="20"/>
              </w:rPr>
              <w:br/>
              <w:t>(N=452)</w:t>
            </w:r>
          </w:p>
          <w:p w:rsidR="00EA35CA" w:rsidRPr="008D797E" w:rsidRDefault="00EA35CA" w:rsidP="00A74C01">
            <w:pPr>
              <w:keepNext/>
              <w:keepLines/>
              <w:widowControl w:val="0"/>
              <w:spacing w:before="20" w:after="20"/>
              <w:jc w:val="center"/>
              <w:rPr>
                <w:rFonts w:ascii="Arial Narrow" w:hAnsi="Arial Narrow" w:cs="Calibri"/>
                <w:b/>
                <w:sz w:val="20"/>
                <w:szCs w:val="20"/>
              </w:rPr>
            </w:pPr>
            <w:r w:rsidRPr="008D797E">
              <w:rPr>
                <w:rFonts w:ascii="Arial Narrow" w:hAnsi="Arial Narrow" w:cs="Calibri"/>
                <w:b/>
                <w:sz w:val="20"/>
                <w:szCs w:val="20"/>
              </w:rPr>
              <w:t>n (%)</w:t>
            </w:r>
          </w:p>
        </w:tc>
        <w:tc>
          <w:tcPr>
            <w:tcW w:w="572" w:type="pct"/>
            <w:tcBorders>
              <w:top w:val="single" w:sz="4" w:space="0" w:color="auto"/>
              <w:left w:val="nil"/>
              <w:right w:val="single" w:sz="4" w:space="0" w:color="auto"/>
            </w:tcBorders>
            <w:shd w:val="clear" w:color="auto" w:fill="DBE5F1" w:themeFill="accent1" w:themeFillTint="33"/>
            <w:vAlign w:val="center"/>
          </w:tcPr>
          <w:p w:rsidR="00EA35CA" w:rsidRPr="008D797E" w:rsidRDefault="00EA35CA" w:rsidP="00A74C01">
            <w:pPr>
              <w:keepNext/>
              <w:keepLines/>
              <w:widowControl w:val="0"/>
              <w:spacing w:before="20" w:after="20"/>
              <w:jc w:val="center"/>
              <w:rPr>
                <w:rFonts w:ascii="Arial Narrow" w:hAnsi="Arial Narrow" w:cs="Calibri"/>
                <w:b/>
                <w:sz w:val="20"/>
                <w:szCs w:val="20"/>
              </w:rPr>
            </w:pPr>
            <w:r w:rsidRPr="008D797E">
              <w:rPr>
                <w:rFonts w:ascii="Arial Narrow" w:hAnsi="Arial Narrow" w:cs="Calibri"/>
                <w:b/>
                <w:sz w:val="20"/>
                <w:szCs w:val="20"/>
              </w:rPr>
              <w:t>PBO+</w:t>
            </w:r>
            <w:r w:rsidR="007C431D" w:rsidRPr="008D797E">
              <w:rPr>
                <w:rFonts w:ascii="Arial Narrow" w:hAnsi="Arial Narrow" w:cs="Calibri"/>
                <w:b/>
                <w:sz w:val="20"/>
                <w:szCs w:val="20"/>
              </w:rPr>
              <w:br/>
            </w:r>
            <w:r w:rsidRPr="008D797E">
              <w:rPr>
                <w:rFonts w:ascii="Arial Narrow" w:hAnsi="Arial Narrow" w:cs="Calibri"/>
                <w:b/>
                <w:sz w:val="20"/>
                <w:szCs w:val="20"/>
              </w:rPr>
              <w:t>nab-P</w:t>
            </w:r>
            <w:r w:rsidRPr="008D797E">
              <w:rPr>
                <w:rFonts w:ascii="Arial Narrow" w:hAnsi="Arial Narrow" w:cs="Calibri"/>
                <w:b/>
                <w:sz w:val="20"/>
                <w:szCs w:val="20"/>
              </w:rPr>
              <w:br/>
              <w:t>(N=438)</w:t>
            </w:r>
          </w:p>
          <w:p w:rsidR="00EA35CA" w:rsidRPr="008D797E" w:rsidRDefault="00EA35CA" w:rsidP="00A74C01">
            <w:pPr>
              <w:keepNext/>
              <w:keepLines/>
              <w:widowControl w:val="0"/>
              <w:spacing w:before="20" w:after="20"/>
              <w:jc w:val="center"/>
              <w:rPr>
                <w:rFonts w:ascii="Arial Narrow" w:hAnsi="Arial Narrow" w:cs="Calibri"/>
                <w:b/>
                <w:sz w:val="20"/>
                <w:szCs w:val="20"/>
              </w:rPr>
            </w:pPr>
            <w:r w:rsidRPr="008D797E">
              <w:rPr>
                <w:rFonts w:ascii="Arial Narrow" w:hAnsi="Arial Narrow" w:cs="Calibri"/>
                <w:b/>
                <w:sz w:val="20"/>
                <w:szCs w:val="20"/>
              </w:rPr>
              <w:t>n (%)</w:t>
            </w:r>
          </w:p>
        </w:tc>
        <w:tc>
          <w:tcPr>
            <w:tcW w:w="856" w:type="pct"/>
            <w:tcBorders>
              <w:top w:val="single" w:sz="4" w:space="0" w:color="auto"/>
              <w:left w:val="single" w:sz="4" w:space="0" w:color="auto"/>
              <w:right w:val="single" w:sz="4" w:space="0" w:color="auto"/>
            </w:tcBorders>
            <w:shd w:val="clear" w:color="auto" w:fill="DBE5F1" w:themeFill="accent1" w:themeFillTint="33"/>
            <w:vAlign w:val="center"/>
          </w:tcPr>
          <w:p w:rsidR="00EA35CA" w:rsidRPr="006E5C4D" w:rsidRDefault="00EA35CA" w:rsidP="00A74C01">
            <w:pPr>
              <w:keepNext/>
              <w:keepLines/>
              <w:widowControl w:val="0"/>
              <w:spacing w:before="20" w:after="20"/>
              <w:jc w:val="center"/>
              <w:rPr>
                <w:rFonts w:ascii="Arial Narrow" w:hAnsi="Arial Narrow" w:cs="Calibri"/>
                <w:b/>
                <w:sz w:val="20"/>
                <w:szCs w:val="20"/>
              </w:rPr>
            </w:pPr>
            <w:r w:rsidRPr="006E5C4D">
              <w:rPr>
                <w:rFonts w:ascii="Arial Narrow" w:hAnsi="Arial Narrow" w:cs="Calibri"/>
                <w:b/>
                <w:sz w:val="20"/>
                <w:szCs w:val="20"/>
              </w:rPr>
              <w:t>RR (95% CI)</w:t>
            </w:r>
          </w:p>
          <w:p w:rsidR="00EA35CA" w:rsidRPr="006E5C4D" w:rsidRDefault="00EA35CA" w:rsidP="00A74C01">
            <w:pPr>
              <w:keepNext/>
              <w:keepLines/>
              <w:widowControl w:val="0"/>
              <w:spacing w:before="20" w:after="20"/>
              <w:jc w:val="center"/>
              <w:rPr>
                <w:rFonts w:ascii="Arial Narrow" w:hAnsi="Arial Narrow" w:cs="Calibri"/>
                <w:b/>
                <w:sz w:val="20"/>
                <w:szCs w:val="20"/>
              </w:rPr>
            </w:pPr>
          </w:p>
        </w:tc>
        <w:tc>
          <w:tcPr>
            <w:tcW w:w="586" w:type="pct"/>
            <w:tcBorders>
              <w:top w:val="single" w:sz="4" w:space="0" w:color="auto"/>
              <w:left w:val="single" w:sz="4" w:space="0" w:color="auto"/>
              <w:right w:val="single" w:sz="4" w:space="0" w:color="auto"/>
            </w:tcBorders>
            <w:vAlign w:val="center"/>
          </w:tcPr>
          <w:p w:rsidR="00EA35CA" w:rsidRPr="008D797E" w:rsidRDefault="00EA35CA" w:rsidP="00A74C01">
            <w:pPr>
              <w:keepNext/>
              <w:keepLines/>
              <w:widowControl w:val="0"/>
              <w:spacing w:before="20" w:after="20"/>
              <w:jc w:val="center"/>
              <w:rPr>
                <w:rFonts w:ascii="Arial Narrow" w:hAnsi="Arial Narrow" w:cs="Calibri"/>
                <w:b/>
                <w:sz w:val="20"/>
                <w:szCs w:val="20"/>
                <w:vertAlign w:val="superscript"/>
              </w:rPr>
            </w:pPr>
            <w:r w:rsidRPr="008D797E">
              <w:rPr>
                <w:rFonts w:ascii="Arial Narrow" w:hAnsi="Arial Narrow" w:cs="Calibri"/>
                <w:b/>
                <w:sz w:val="20"/>
                <w:szCs w:val="20"/>
              </w:rPr>
              <w:t>ATZ+</w:t>
            </w:r>
            <w:r w:rsidR="007C431D" w:rsidRPr="008D797E">
              <w:rPr>
                <w:rFonts w:ascii="Arial Narrow" w:hAnsi="Arial Narrow" w:cs="Calibri"/>
                <w:b/>
                <w:sz w:val="20"/>
                <w:szCs w:val="20"/>
              </w:rPr>
              <w:br/>
            </w:r>
            <w:r w:rsidRPr="00115C2F">
              <w:rPr>
                <w:rFonts w:ascii="Arial Narrow" w:hAnsi="Arial Narrow" w:cs="Calibri"/>
                <w:b/>
                <w:sz w:val="20"/>
                <w:szCs w:val="20"/>
              </w:rPr>
              <w:t>nab-P</w:t>
            </w:r>
            <w:r w:rsidRPr="00115C2F">
              <w:rPr>
                <w:rFonts w:ascii="Arial Narrow" w:hAnsi="Arial Narrow" w:cs="Calibri"/>
                <w:b/>
                <w:sz w:val="20"/>
                <w:szCs w:val="20"/>
              </w:rPr>
              <w:br/>
              <w:t>(N=460)</w:t>
            </w:r>
            <w:r w:rsidR="00E028E4" w:rsidRPr="00115C2F">
              <w:rPr>
                <w:rFonts w:ascii="Arial Narrow" w:hAnsi="Arial Narrow" w:cs="Calibri"/>
                <w:b/>
                <w:sz w:val="20"/>
                <w:szCs w:val="20"/>
                <w:vertAlign w:val="superscript"/>
              </w:rPr>
              <w:t>a</w:t>
            </w:r>
          </w:p>
          <w:p w:rsidR="00EA35CA" w:rsidRPr="006E5C4D" w:rsidRDefault="00EA35CA" w:rsidP="00A74C01">
            <w:pPr>
              <w:keepNext/>
              <w:keepLines/>
              <w:widowControl w:val="0"/>
              <w:spacing w:before="20" w:after="20"/>
              <w:jc w:val="center"/>
              <w:rPr>
                <w:rFonts w:ascii="Arial Narrow" w:hAnsi="Arial Narrow" w:cs="Calibri"/>
                <w:b/>
                <w:sz w:val="20"/>
                <w:szCs w:val="20"/>
              </w:rPr>
            </w:pPr>
            <w:r w:rsidRPr="008D797E">
              <w:rPr>
                <w:rFonts w:ascii="Arial Narrow" w:hAnsi="Arial Narrow" w:cs="Calibri"/>
                <w:b/>
                <w:sz w:val="20"/>
                <w:szCs w:val="20"/>
              </w:rPr>
              <w:t>n (%)</w:t>
            </w:r>
          </w:p>
        </w:tc>
        <w:tc>
          <w:tcPr>
            <w:tcW w:w="557" w:type="pct"/>
            <w:tcBorders>
              <w:top w:val="single" w:sz="4" w:space="0" w:color="auto"/>
              <w:left w:val="single" w:sz="4" w:space="0" w:color="auto"/>
              <w:right w:val="single" w:sz="4" w:space="0" w:color="auto"/>
            </w:tcBorders>
            <w:vAlign w:val="center"/>
          </w:tcPr>
          <w:p w:rsidR="00EA35CA" w:rsidRPr="008D797E" w:rsidRDefault="00EA35CA" w:rsidP="00A74C01">
            <w:pPr>
              <w:keepNext/>
              <w:keepLines/>
              <w:widowControl w:val="0"/>
              <w:spacing w:before="20" w:after="20"/>
              <w:jc w:val="center"/>
              <w:rPr>
                <w:rFonts w:ascii="Arial Narrow" w:hAnsi="Arial Narrow" w:cs="Calibri"/>
                <w:b/>
                <w:sz w:val="20"/>
                <w:szCs w:val="20"/>
              </w:rPr>
            </w:pPr>
            <w:r w:rsidRPr="008D797E">
              <w:rPr>
                <w:rFonts w:ascii="Arial Narrow" w:hAnsi="Arial Narrow" w:cs="Calibri"/>
                <w:b/>
                <w:sz w:val="20"/>
                <w:szCs w:val="20"/>
              </w:rPr>
              <w:t>PBO+</w:t>
            </w:r>
            <w:r w:rsidR="007C431D" w:rsidRPr="008D797E">
              <w:rPr>
                <w:rFonts w:ascii="Arial Narrow" w:hAnsi="Arial Narrow" w:cs="Calibri"/>
                <w:b/>
                <w:sz w:val="20"/>
                <w:szCs w:val="20"/>
              </w:rPr>
              <w:br/>
            </w:r>
            <w:r w:rsidRPr="00115C2F">
              <w:rPr>
                <w:rFonts w:ascii="Arial Narrow" w:hAnsi="Arial Narrow" w:cs="Calibri"/>
                <w:b/>
                <w:sz w:val="20"/>
                <w:szCs w:val="20"/>
              </w:rPr>
              <w:t>nab-P</w:t>
            </w:r>
            <w:r w:rsidRPr="00115C2F">
              <w:rPr>
                <w:rFonts w:ascii="Arial Narrow" w:hAnsi="Arial Narrow" w:cs="Calibri"/>
                <w:b/>
                <w:sz w:val="20"/>
                <w:szCs w:val="20"/>
              </w:rPr>
              <w:br/>
              <w:t>(N=430)</w:t>
            </w:r>
            <w:r w:rsidR="00E028E4" w:rsidRPr="00115C2F">
              <w:rPr>
                <w:rFonts w:ascii="Arial Narrow" w:hAnsi="Arial Narrow" w:cs="Calibri"/>
                <w:b/>
                <w:sz w:val="20"/>
                <w:szCs w:val="20"/>
                <w:vertAlign w:val="superscript"/>
              </w:rPr>
              <w:t>a</w:t>
            </w:r>
          </w:p>
          <w:p w:rsidR="00EA35CA" w:rsidRPr="006E5C4D" w:rsidRDefault="00EA35CA" w:rsidP="00A74C01">
            <w:pPr>
              <w:keepNext/>
              <w:keepLines/>
              <w:widowControl w:val="0"/>
              <w:spacing w:before="20" w:after="20"/>
              <w:jc w:val="center"/>
              <w:rPr>
                <w:rFonts w:ascii="Arial Narrow" w:hAnsi="Arial Narrow" w:cs="Calibri"/>
                <w:b/>
                <w:sz w:val="20"/>
                <w:szCs w:val="20"/>
              </w:rPr>
            </w:pPr>
            <w:r w:rsidRPr="008D797E">
              <w:rPr>
                <w:rFonts w:ascii="Arial Narrow" w:hAnsi="Arial Narrow" w:cs="Calibri"/>
                <w:b/>
                <w:sz w:val="20"/>
                <w:szCs w:val="20"/>
              </w:rPr>
              <w:t>n (%)</w:t>
            </w:r>
          </w:p>
        </w:tc>
        <w:tc>
          <w:tcPr>
            <w:tcW w:w="844" w:type="pct"/>
            <w:tcBorders>
              <w:top w:val="single" w:sz="4" w:space="0" w:color="auto"/>
              <w:left w:val="single" w:sz="4" w:space="0" w:color="auto"/>
              <w:right w:val="single" w:sz="4" w:space="0" w:color="auto"/>
            </w:tcBorders>
            <w:vAlign w:val="center"/>
          </w:tcPr>
          <w:p w:rsidR="00EA35CA" w:rsidRPr="006E5C4D" w:rsidRDefault="00EA35CA" w:rsidP="00A74C01">
            <w:pPr>
              <w:keepNext/>
              <w:keepLines/>
              <w:widowControl w:val="0"/>
              <w:spacing w:before="20" w:after="20"/>
              <w:jc w:val="center"/>
              <w:rPr>
                <w:rFonts w:ascii="Arial Narrow" w:hAnsi="Arial Narrow" w:cs="Calibri"/>
                <w:b/>
                <w:sz w:val="20"/>
                <w:szCs w:val="20"/>
              </w:rPr>
            </w:pPr>
            <w:r w:rsidRPr="006E5C4D">
              <w:rPr>
                <w:rFonts w:ascii="Arial Narrow" w:hAnsi="Arial Narrow" w:cs="Calibri"/>
                <w:b/>
                <w:sz w:val="20"/>
                <w:szCs w:val="20"/>
              </w:rPr>
              <w:t>RR (95% CI)</w:t>
            </w:r>
          </w:p>
          <w:p w:rsidR="00EA35CA" w:rsidRPr="006E5C4D" w:rsidRDefault="00EA35CA" w:rsidP="00A74C01">
            <w:pPr>
              <w:keepNext/>
              <w:keepLines/>
              <w:widowControl w:val="0"/>
              <w:spacing w:before="20" w:after="20"/>
              <w:jc w:val="center"/>
              <w:rPr>
                <w:rFonts w:ascii="Arial Narrow" w:hAnsi="Arial Narrow" w:cs="Calibri"/>
                <w:b/>
                <w:sz w:val="20"/>
                <w:szCs w:val="20"/>
              </w:rPr>
            </w:pPr>
          </w:p>
        </w:tc>
      </w:tr>
      <w:tr w:rsidR="00EA35CA" w:rsidRPr="008D797E" w:rsidTr="007C431D">
        <w:tc>
          <w:tcPr>
            <w:tcW w:w="1029" w:type="pct"/>
            <w:tcBorders>
              <w:top w:val="single" w:sz="4" w:space="0" w:color="auto"/>
              <w:left w:val="single" w:sz="4" w:space="0" w:color="auto"/>
              <w:right w:val="single" w:sz="4" w:space="0" w:color="auto"/>
            </w:tcBorders>
          </w:tcPr>
          <w:p w:rsidR="00EA35CA" w:rsidRPr="008D797E" w:rsidRDefault="00EA35CA" w:rsidP="00A74C01">
            <w:pPr>
              <w:keepNext/>
              <w:keepLines/>
              <w:widowControl w:val="0"/>
              <w:spacing w:before="40" w:after="40"/>
              <w:jc w:val="left"/>
              <w:rPr>
                <w:rFonts w:ascii="Arial Narrow" w:hAnsi="Arial Narrow" w:cs="Calibri"/>
                <w:bCs/>
                <w:sz w:val="20"/>
                <w:szCs w:val="20"/>
              </w:rPr>
            </w:pPr>
            <w:r w:rsidRPr="008D797E">
              <w:rPr>
                <w:rFonts w:ascii="Arial Narrow" w:hAnsi="Arial Narrow" w:cs="Calibri"/>
                <w:bCs/>
                <w:sz w:val="20"/>
                <w:szCs w:val="20"/>
              </w:rPr>
              <w:t>Any AE</w:t>
            </w:r>
          </w:p>
        </w:tc>
        <w:tc>
          <w:tcPr>
            <w:tcW w:w="557" w:type="pct"/>
            <w:tcBorders>
              <w:top w:val="single" w:sz="4" w:space="0" w:color="auto"/>
              <w:left w:val="nil"/>
              <w:right w:val="single" w:sz="4" w:space="0" w:color="auto"/>
            </w:tcBorders>
            <w:shd w:val="clear" w:color="auto" w:fill="DBE5F1" w:themeFill="accent1" w:themeFillTint="33"/>
          </w:tcPr>
          <w:p w:rsidR="00EA35CA" w:rsidRPr="008D797E" w:rsidRDefault="00EA35CA" w:rsidP="00A74C01">
            <w:pPr>
              <w:keepNext/>
              <w:keepLines/>
              <w:widowControl w:val="0"/>
              <w:spacing w:before="40" w:after="40"/>
              <w:jc w:val="center"/>
              <w:rPr>
                <w:rFonts w:ascii="Arial Narrow" w:hAnsi="Arial Narrow" w:cs="Calibri"/>
                <w:bCs/>
                <w:sz w:val="20"/>
                <w:szCs w:val="20"/>
              </w:rPr>
            </w:pPr>
            <w:r w:rsidRPr="008D797E">
              <w:rPr>
                <w:rFonts w:ascii="Arial Narrow" w:hAnsi="Arial Narrow" w:cs="Calibri"/>
                <w:bCs/>
                <w:sz w:val="20"/>
                <w:szCs w:val="20"/>
              </w:rPr>
              <w:t>449 (99.3)</w:t>
            </w:r>
          </w:p>
        </w:tc>
        <w:tc>
          <w:tcPr>
            <w:tcW w:w="572" w:type="pct"/>
            <w:tcBorders>
              <w:top w:val="single" w:sz="4" w:space="0" w:color="auto"/>
              <w:left w:val="nil"/>
              <w:right w:val="single" w:sz="4" w:space="0" w:color="auto"/>
            </w:tcBorders>
            <w:shd w:val="clear" w:color="auto" w:fill="DBE5F1" w:themeFill="accent1" w:themeFillTint="33"/>
          </w:tcPr>
          <w:p w:rsidR="00EA35CA" w:rsidRPr="008D797E" w:rsidRDefault="00EA35CA" w:rsidP="00A74C01">
            <w:pPr>
              <w:keepNext/>
              <w:keepLines/>
              <w:widowControl w:val="0"/>
              <w:spacing w:before="40" w:after="40"/>
              <w:jc w:val="center"/>
              <w:rPr>
                <w:rFonts w:ascii="Arial Narrow" w:hAnsi="Arial Narrow" w:cs="Calibri"/>
                <w:bCs/>
                <w:sz w:val="20"/>
                <w:szCs w:val="20"/>
              </w:rPr>
            </w:pPr>
            <w:r w:rsidRPr="008D797E">
              <w:rPr>
                <w:rFonts w:ascii="Arial Narrow" w:hAnsi="Arial Narrow" w:cs="Calibri"/>
                <w:bCs/>
                <w:sz w:val="20"/>
                <w:szCs w:val="20"/>
              </w:rPr>
              <w:t>429 (97.9)</w:t>
            </w:r>
          </w:p>
        </w:tc>
        <w:tc>
          <w:tcPr>
            <w:tcW w:w="856" w:type="pct"/>
            <w:tcBorders>
              <w:top w:val="single" w:sz="4" w:space="0" w:color="auto"/>
              <w:left w:val="single" w:sz="4" w:space="0" w:color="auto"/>
              <w:right w:val="single" w:sz="4" w:space="0" w:color="auto"/>
            </w:tcBorders>
            <w:shd w:val="clear" w:color="auto" w:fill="DBE5F1" w:themeFill="accent1" w:themeFillTint="33"/>
          </w:tcPr>
          <w:p w:rsidR="00EA35CA" w:rsidRPr="008D797E" w:rsidRDefault="00EA35CA" w:rsidP="00A74C01">
            <w:pPr>
              <w:keepNext/>
              <w:keepLines/>
              <w:widowControl w:val="0"/>
              <w:spacing w:before="40" w:after="40"/>
              <w:jc w:val="center"/>
              <w:rPr>
                <w:rFonts w:ascii="Arial Narrow" w:hAnsi="Arial Narrow" w:cs="Calibri"/>
                <w:b/>
                <w:bCs/>
                <w:sz w:val="20"/>
                <w:szCs w:val="20"/>
              </w:rPr>
            </w:pPr>
            <w:r w:rsidRPr="008D797E">
              <w:rPr>
                <w:rFonts w:ascii="Arial Narrow" w:hAnsi="Arial Narrow" w:cs="Calibri"/>
                <w:b/>
                <w:bCs/>
                <w:sz w:val="20"/>
                <w:szCs w:val="20"/>
              </w:rPr>
              <w:t>1.01 (1.00, 1.03)</w:t>
            </w:r>
          </w:p>
        </w:tc>
        <w:tc>
          <w:tcPr>
            <w:tcW w:w="586" w:type="pct"/>
            <w:tcBorders>
              <w:top w:val="single" w:sz="4" w:space="0" w:color="auto"/>
              <w:left w:val="single" w:sz="4" w:space="0" w:color="auto"/>
              <w:right w:val="single" w:sz="4" w:space="0" w:color="auto"/>
            </w:tcBorders>
          </w:tcPr>
          <w:p w:rsidR="00EA35CA" w:rsidRPr="008D797E" w:rsidRDefault="00EA35CA" w:rsidP="00A74C01">
            <w:pPr>
              <w:keepNext/>
              <w:keepLines/>
              <w:widowControl w:val="0"/>
              <w:spacing w:before="40" w:after="40"/>
              <w:jc w:val="center"/>
              <w:rPr>
                <w:rFonts w:ascii="Arial Narrow" w:hAnsi="Arial Narrow" w:cs="Calibri"/>
                <w:b/>
                <w:bCs/>
                <w:sz w:val="20"/>
                <w:szCs w:val="20"/>
              </w:rPr>
            </w:pPr>
            <w:r w:rsidRPr="008D797E">
              <w:rPr>
                <w:rFonts w:ascii="Arial Narrow" w:hAnsi="Arial Narrow" w:cs="Calibri"/>
                <w:bCs/>
                <w:sz w:val="20"/>
                <w:szCs w:val="20"/>
              </w:rPr>
              <w:t>457 (99.3)</w:t>
            </w:r>
          </w:p>
        </w:tc>
        <w:tc>
          <w:tcPr>
            <w:tcW w:w="557" w:type="pct"/>
            <w:tcBorders>
              <w:top w:val="single" w:sz="4" w:space="0" w:color="auto"/>
              <w:left w:val="single" w:sz="4" w:space="0" w:color="auto"/>
              <w:right w:val="single" w:sz="4" w:space="0" w:color="auto"/>
            </w:tcBorders>
          </w:tcPr>
          <w:p w:rsidR="00EA35CA" w:rsidRPr="008D797E" w:rsidRDefault="00EA35CA" w:rsidP="00A74C01">
            <w:pPr>
              <w:keepNext/>
              <w:keepLines/>
              <w:widowControl w:val="0"/>
              <w:spacing w:before="40" w:after="40"/>
              <w:jc w:val="center"/>
              <w:rPr>
                <w:rFonts w:ascii="Arial Narrow" w:hAnsi="Arial Narrow" w:cs="Calibri"/>
                <w:b/>
                <w:bCs/>
                <w:sz w:val="20"/>
                <w:szCs w:val="20"/>
              </w:rPr>
            </w:pPr>
            <w:r w:rsidRPr="008D797E">
              <w:rPr>
                <w:rFonts w:ascii="Arial Narrow" w:hAnsi="Arial Narrow" w:cs="Calibri"/>
                <w:bCs/>
                <w:sz w:val="20"/>
                <w:szCs w:val="20"/>
              </w:rPr>
              <w:t>421 (97.9)</w:t>
            </w:r>
          </w:p>
        </w:tc>
        <w:tc>
          <w:tcPr>
            <w:tcW w:w="844" w:type="pct"/>
            <w:tcBorders>
              <w:top w:val="single" w:sz="4" w:space="0" w:color="auto"/>
              <w:left w:val="single" w:sz="4" w:space="0" w:color="auto"/>
              <w:right w:val="single" w:sz="4" w:space="0" w:color="auto"/>
            </w:tcBorders>
          </w:tcPr>
          <w:p w:rsidR="00EA35CA" w:rsidRPr="008D797E" w:rsidRDefault="00EA35CA" w:rsidP="00A74C01">
            <w:pPr>
              <w:keepNext/>
              <w:keepLines/>
              <w:widowControl w:val="0"/>
              <w:spacing w:before="40" w:after="40"/>
              <w:jc w:val="center"/>
              <w:rPr>
                <w:rFonts w:ascii="Arial Narrow" w:hAnsi="Arial Narrow" w:cs="Calibri"/>
                <w:b/>
                <w:bCs/>
                <w:sz w:val="20"/>
                <w:szCs w:val="20"/>
              </w:rPr>
            </w:pPr>
            <w:r w:rsidRPr="008D797E">
              <w:rPr>
                <w:rFonts w:ascii="Arial Narrow" w:hAnsi="Arial Narrow" w:cs="Calibri"/>
                <w:b/>
                <w:bCs/>
                <w:sz w:val="20"/>
                <w:szCs w:val="20"/>
              </w:rPr>
              <w:t>1.01 (1.00, 1.03)</w:t>
            </w:r>
          </w:p>
        </w:tc>
      </w:tr>
      <w:tr w:rsidR="00EA35CA" w:rsidRPr="008D797E" w:rsidTr="007C431D">
        <w:tc>
          <w:tcPr>
            <w:tcW w:w="1029" w:type="pct"/>
            <w:tcBorders>
              <w:left w:val="single" w:sz="4" w:space="0" w:color="auto"/>
              <w:right w:val="single" w:sz="4" w:space="0" w:color="auto"/>
            </w:tcBorders>
          </w:tcPr>
          <w:p w:rsidR="00EA35CA" w:rsidRPr="008D797E" w:rsidRDefault="00EA35CA" w:rsidP="00A74C01">
            <w:pPr>
              <w:keepNext/>
              <w:keepLines/>
              <w:widowControl w:val="0"/>
              <w:spacing w:before="40" w:after="40"/>
              <w:jc w:val="left"/>
              <w:rPr>
                <w:rFonts w:ascii="Arial Narrow" w:hAnsi="Arial Narrow" w:cs="Calibri"/>
                <w:bCs/>
                <w:sz w:val="20"/>
                <w:szCs w:val="20"/>
              </w:rPr>
            </w:pPr>
            <w:r w:rsidRPr="008D797E">
              <w:rPr>
                <w:rFonts w:ascii="Arial Narrow" w:hAnsi="Arial Narrow" w:cs="Calibri"/>
                <w:bCs/>
                <w:sz w:val="20"/>
                <w:szCs w:val="20"/>
              </w:rPr>
              <w:t xml:space="preserve">No. of patients with at least one: </w:t>
            </w:r>
          </w:p>
        </w:tc>
        <w:tc>
          <w:tcPr>
            <w:tcW w:w="557" w:type="pct"/>
            <w:tcBorders>
              <w:left w:val="nil"/>
              <w:right w:val="single" w:sz="4" w:space="0" w:color="auto"/>
            </w:tcBorders>
            <w:shd w:val="clear" w:color="auto" w:fill="DBE5F1" w:themeFill="accent1" w:themeFillTint="33"/>
          </w:tcPr>
          <w:p w:rsidR="00EA35CA" w:rsidRPr="008D797E" w:rsidRDefault="00EA35CA" w:rsidP="00A74C01">
            <w:pPr>
              <w:keepNext/>
              <w:keepLines/>
              <w:widowControl w:val="0"/>
              <w:spacing w:before="40" w:after="40"/>
              <w:jc w:val="center"/>
              <w:rPr>
                <w:rFonts w:ascii="Arial Narrow" w:hAnsi="Arial Narrow" w:cs="Calibri"/>
                <w:bCs/>
                <w:sz w:val="20"/>
                <w:szCs w:val="20"/>
              </w:rPr>
            </w:pPr>
          </w:p>
        </w:tc>
        <w:tc>
          <w:tcPr>
            <w:tcW w:w="572" w:type="pct"/>
            <w:tcBorders>
              <w:left w:val="nil"/>
              <w:right w:val="single" w:sz="4" w:space="0" w:color="auto"/>
            </w:tcBorders>
            <w:shd w:val="clear" w:color="auto" w:fill="DBE5F1" w:themeFill="accent1" w:themeFillTint="33"/>
          </w:tcPr>
          <w:p w:rsidR="00EA35CA" w:rsidRPr="008D797E" w:rsidRDefault="00EA35CA" w:rsidP="00A74C01">
            <w:pPr>
              <w:keepNext/>
              <w:keepLines/>
              <w:widowControl w:val="0"/>
              <w:spacing w:before="40" w:after="40"/>
              <w:jc w:val="center"/>
              <w:rPr>
                <w:rFonts w:ascii="Arial Narrow" w:hAnsi="Arial Narrow" w:cs="Calibri"/>
                <w:bCs/>
                <w:sz w:val="20"/>
                <w:szCs w:val="20"/>
              </w:rPr>
            </w:pPr>
          </w:p>
        </w:tc>
        <w:tc>
          <w:tcPr>
            <w:tcW w:w="856" w:type="pct"/>
            <w:tcBorders>
              <w:left w:val="single" w:sz="4" w:space="0" w:color="auto"/>
              <w:right w:val="single" w:sz="4" w:space="0" w:color="auto"/>
            </w:tcBorders>
            <w:shd w:val="clear" w:color="auto" w:fill="DBE5F1" w:themeFill="accent1" w:themeFillTint="33"/>
          </w:tcPr>
          <w:p w:rsidR="00EA35CA" w:rsidRPr="008D797E" w:rsidRDefault="00EA35CA" w:rsidP="00A74C01">
            <w:pPr>
              <w:keepNext/>
              <w:keepLines/>
              <w:widowControl w:val="0"/>
              <w:spacing w:before="40" w:after="40"/>
              <w:jc w:val="center"/>
              <w:rPr>
                <w:rFonts w:ascii="Arial Narrow" w:hAnsi="Arial Narrow" w:cs="Calibri"/>
                <w:bCs/>
                <w:sz w:val="20"/>
                <w:szCs w:val="20"/>
              </w:rPr>
            </w:pPr>
          </w:p>
        </w:tc>
        <w:tc>
          <w:tcPr>
            <w:tcW w:w="586" w:type="pct"/>
            <w:tcBorders>
              <w:left w:val="single" w:sz="4" w:space="0" w:color="auto"/>
              <w:right w:val="single" w:sz="4" w:space="0" w:color="auto"/>
            </w:tcBorders>
          </w:tcPr>
          <w:p w:rsidR="00EA35CA" w:rsidRPr="008D797E" w:rsidRDefault="00EA35CA" w:rsidP="00A74C01">
            <w:pPr>
              <w:keepNext/>
              <w:keepLines/>
              <w:widowControl w:val="0"/>
              <w:spacing w:before="40" w:after="40"/>
              <w:jc w:val="center"/>
              <w:rPr>
                <w:rFonts w:ascii="Arial Narrow" w:hAnsi="Arial Narrow" w:cs="Calibri"/>
                <w:bCs/>
                <w:sz w:val="20"/>
                <w:szCs w:val="20"/>
              </w:rPr>
            </w:pPr>
          </w:p>
        </w:tc>
        <w:tc>
          <w:tcPr>
            <w:tcW w:w="557" w:type="pct"/>
            <w:tcBorders>
              <w:left w:val="single" w:sz="4" w:space="0" w:color="auto"/>
              <w:right w:val="single" w:sz="4" w:space="0" w:color="auto"/>
            </w:tcBorders>
          </w:tcPr>
          <w:p w:rsidR="00EA35CA" w:rsidRPr="008D797E" w:rsidRDefault="00EA35CA" w:rsidP="00A74C01">
            <w:pPr>
              <w:keepNext/>
              <w:keepLines/>
              <w:widowControl w:val="0"/>
              <w:spacing w:before="40" w:after="40"/>
              <w:jc w:val="center"/>
              <w:rPr>
                <w:rFonts w:ascii="Arial Narrow" w:hAnsi="Arial Narrow" w:cs="Calibri"/>
                <w:bCs/>
                <w:sz w:val="20"/>
                <w:szCs w:val="20"/>
              </w:rPr>
            </w:pPr>
          </w:p>
        </w:tc>
        <w:tc>
          <w:tcPr>
            <w:tcW w:w="844" w:type="pct"/>
            <w:tcBorders>
              <w:left w:val="single" w:sz="4" w:space="0" w:color="auto"/>
              <w:right w:val="single" w:sz="4" w:space="0" w:color="auto"/>
            </w:tcBorders>
          </w:tcPr>
          <w:p w:rsidR="00EA35CA" w:rsidRPr="008D797E" w:rsidRDefault="00EA35CA" w:rsidP="00A74C01">
            <w:pPr>
              <w:keepNext/>
              <w:keepLines/>
              <w:widowControl w:val="0"/>
              <w:spacing w:before="40" w:after="40"/>
              <w:jc w:val="center"/>
              <w:rPr>
                <w:rFonts w:ascii="Arial Narrow" w:hAnsi="Arial Narrow" w:cs="Calibri"/>
                <w:b/>
                <w:sz w:val="20"/>
                <w:szCs w:val="20"/>
              </w:rPr>
            </w:pPr>
          </w:p>
        </w:tc>
      </w:tr>
      <w:tr w:rsidR="00EA35CA" w:rsidRPr="008D797E" w:rsidTr="007C431D">
        <w:tc>
          <w:tcPr>
            <w:tcW w:w="1029" w:type="pct"/>
            <w:tcBorders>
              <w:left w:val="single" w:sz="4" w:space="0" w:color="auto"/>
              <w:right w:val="single" w:sz="4" w:space="0" w:color="auto"/>
            </w:tcBorders>
          </w:tcPr>
          <w:p w:rsidR="00EA35CA" w:rsidRPr="008D797E" w:rsidRDefault="00EA35CA" w:rsidP="00A74C01">
            <w:pPr>
              <w:keepNext/>
              <w:keepLines/>
              <w:widowControl w:val="0"/>
              <w:spacing w:before="40" w:after="40"/>
              <w:ind w:left="284"/>
              <w:jc w:val="left"/>
              <w:rPr>
                <w:rFonts w:ascii="Arial Narrow" w:hAnsi="Arial Narrow" w:cs="Calibri"/>
                <w:bCs/>
                <w:sz w:val="20"/>
                <w:szCs w:val="20"/>
              </w:rPr>
            </w:pPr>
            <w:r w:rsidRPr="008D797E">
              <w:rPr>
                <w:rFonts w:ascii="Arial Narrow" w:hAnsi="Arial Narrow" w:cs="Calibri"/>
                <w:bCs/>
                <w:sz w:val="20"/>
                <w:szCs w:val="20"/>
              </w:rPr>
              <w:t>Grade 5 AE</w:t>
            </w:r>
          </w:p>
          <w:p w:rsidR="00EA35CA" w:rsidRPr="008D797E" w:rsidRDefault="00EA35CA" w:rsidP="00A74C01">
            <w:pPr>
              <w:keepNext/>
              <w:keepLines/>
              <w:widowControl w:val="0"/>
              <w:spacing w:before="40" w:after="40"/>
              <w:ind w:left="284"/>
              <w:jc w:val="left"/>
              <w:rPr>
                <w:rFonts w:ascii="Arial Narrow" w:hAnsi="Arial Narrow" w:cs="Calibri"/>
                <w:bCs/>
                <w:sz w:val="20"/>
                <w:szCs w:val="20"/>
              </w:rPr>
            </w:pPr>
            <w:r w:rsidRPr="008D797E">
              <w:rPr>
                <w:rFonts w:ascii="Arial Narrow" w:hAnsi="Arial Narrow" w:cs="Calibri"/>
                <w:bCs/>
                <w:sz w:val="20"/>
                <w:szCs w:val="20"/>
              </w:rPr>
              <w:t>Related Grade 5 AE</w:t>
            </w:r>
          </w:p>
        </w:tc>
        <w:tc>
          <w:tcPr>
            <w:tcW w:w="557" w:type="pct"/>
            <w:tcBorders>
              <w:left w:val="nil"/>
              <w:right w:val="single" w:sz="4" w:space="0" w:color="auto"/>
            </w:tcBorders>
            <w:shd w:val="clear" w:color="auto" w:fill="DBE5F1" w:themeFill="accent1" w:themeFillTint="33"/>
          </w:tcPr>
          <w:p w:rsidR="00EA35CA" w:rsidRPr="008D797E" w:rsidRDefault="00EA35CA" w:rsidP="00A74C01">
            <w:pPr>
              <w:keepNext/>
              <w:keepLines/>
              <w:widowControl w:val="0"/>
              <w:spacing w:before="40" w:after="40"/>
              <w:jc w:val="center"/>
              <w:rPr>
                <w:rFonts w:ascii="Arial Narrow" w:hAnsi="Arial Narrow" w:cs="Calibri"/>
                <w:bCs/>
                <w:sz w:val="20"/>
                <w:szCs w:val="20"/>
              </w:rPr>
            </w:pPr>
            <w:r w:rsidRPr="008D797E">
              <w:rPr>
                <w:rFonts w:ascii="Arial Narrow" w:hAnsi="Arial Narrow" w:cs="Calibri"/>
                <w:bCs/>
                <w:sz w:val="20"/>
                <w:szCs w:val="20"/>
              </w:rPr>
              <w:t>6 (1.3)</w:t>
            </w:r>
          </w:p>
          <w:p w:rsidR="00EA35CA" w:rsidRPr="008D797E" w:rsidRDefault="00EA35CA" w:rsidP="00A74C01">
            <w:pPr>
              <w:keepNext/>
              <w:keepLines/>
              <w:widowControl w:val="0"/>
              <w:spacing w:before="40" w:after="40"/>
              <w:jc w:val="center"/>
              <w:rPr>
                <w:rFonts w:ascii="Arial Narrow" w:hAnsi="Arial Narrow" w:cs="Calibri"/>
                <w:bCs/>
                <w:sz w:val="20"/>
                <w:szCs w:val="20"/>
              </w:rPr>
            </w:pPr>
            <w:r w:rsidRPr="008D797E">
              <w:rPr>
                <w:rFonts w:ascii="Arial Narrow" w:hAnsi="Arial Narrow" w:cs="Calibri"/>
                <w:bCs/>
                <w:sz w:val="20"/>
                <w:szCs w:val="20"/>
              </w:rPr>
              <w:t>3 (0.7)</w:t>
            </w:r>
          </w:p>
        </w:tc>
        <w:tc>
          <w:tcPr>
            <w:tcW w:w="572" w:type="pct"/>
            <w:tcBorders>
              <w:left w:val="nil"/>
              <w:right w:val="single" w:sz="4" w:space="0" w:color="auto"/>
            </w:tcBorders>
            <w:shd w:val="clear" w:color="auto" w:fill="DBE5F1" w:themeFill="accent1" w:themeFillTint="33"/>
          </w:tcPr>
          <w:p w:rsidR="00EA35CA" w:rsidRPr="008D797E" w:rsidRDefault="00EA35CA" w:rsidP="00A74C01">
            <w:pPr>
              <w:keepNext/>
              <w:keepLines/>
              <w:widowControl w:val="0"/>
              <w:spacing w:before="40" w:after="40"/>
              <w:jc w:val="center"/>
              <w:rPr>
                <w:rFonts w:ascii="Arial Narrow" w:hAnsi="Arial Narrow" w:cs="Calibri"/>
                <w:bCs/>
                <w:sz w:val="20"/>
                <w:szCs w:val="20"/>
              </w:rPr>
            </w:pPr>
            <w:r w:rsidRPr="008D797E">
              <w:rPr>
                <w:rFonts w:ascii="Arial Narrow" w:hAnsi="Arial Narrow" w:cs="Calibri"/>
                <w:bCs/>
                <w:sz w:val="20"/>
                <w:szCs w:val="20"/>
              </w:rPr>
              <w:t>3 (0.7)</w:t>
            </w:r>
          </w:p>
          <w:p w:rsidR="00EA35CA" w:rsidRPr="008D797E" w:rsidRDefault="00EA35CA" w:rsidP="00A74C01">
            <w:pPr>
              <w:keepNext/>
              <w:keepLines/>
              <w:widowControl w:val="0"/>
              <w:spacing w:before="40" w:after="40"/>
              <w:jc w:val="center"/>
              <w:rPr>
                <w:rFonts w:ascii="Arial Narrow" w:hAnsi="Arial Narrow" w:cs="Calibri"/>
                <w:bCs/>
                <w:sz w:val="20"/>
                <w:szCs w:val="20"/>
              </w:rPr>
            </w:pPr>
            <w:r w:rsidRPr="008D797E">
              <w:rPr>
                <w:rFonts w:ascii="Arial Narrow" w:hAnsi="Arial Narrow" w:cs="Calibri"/>
                <w:bCs/>
                <w:sz w:val="20"/>
                <w:szCs w:val="20"/>
              </w:rPr>
              <w:t>1(0.2)</w:t>
            </w:r>
          </w:p>
          <w:p w:rsidR="00EA35CA" w:rsidRPr="008D797E" w:rsidRDefault="00EA35CA" w:rsidP="00A74C01">
            <w:pPr>
              <w:keepNext/>
              <w:keepLines/>
              <w:widowControl w:val="0"/>
              <w:spacing w:before="40" w:after="40"/>
              <w:jc w:val="center"/>
              <w:rPr>
                <w:rFonts w:ascii="Arial Narrow" w:hAnsi="Arial Narrow" w:cs="Calibri"/>
                <w:bCs/>
                <w:sz w:val="20"/>
                <w:szCs w:val="20"/>
              </w:rPr>
            </w:pPr>
          </w:p>
        </w:tc>
        <w:tc>
          <w:tcPr>
            <w:tcW w:w="856" w:type="pct"/>
            <w:tcBorders>
              <w:left w:val="single" w:sz="4" w:space="0" w:color="auto"/>
              <w:right w:val="single" w:sz="4" w:space="0" w:color="auto"/>
            </w:tcBorders>
            <w:shd w:val="clear" w:color="auto" w:fill="DBE5F1" w:themeFill="accent1" w:themeFillTint="33"/>
          </w:tcPr>
          <w:p w:rsidR="00EA35CA" w:rsidRPr="008D797E" w:rsidRDefault="00EA35CA" w:rsidP="00A74C01">
            <w:pPr>
              <w:keepNext/>
              <w:keepLines/>
              <w:widowControl w:val="0"/>
              <w:spacing w:before="40" w:after="40"/>
              <w:jc w:val="center"/>
              <w:rPr>
                <w:rFonts w:ascii="Arial Narrow" w:hAnsi="Arial Narrow" w:cs="Calibri"/>
                <w:bCs/>
                <w:sz w:val="20"/>
                <w:szCs w:val="20"/>
              </w:rPr>
            </w:pPr>
            <w:r w:rsidRPr="008D797E">
              <w:rPr>
                <w:rFonts w:ascii="Arial Narrow" w:hAnsi="Arial Narrow" w:cs="Calibri"/>
                <w:bCs/>
                <w:sz w:val="20"/>
                <w:szCs w:val="20"/>
              </w:rPr>
              <w:t>1.94 (0.49, 7.70)</w:t>
            </w:r>
          </w:p>
          <w:p w:rsidR="00EA35CA" w:rsidRPr="008D797E" w:rsidRDefault="00EA35CA" w:rsidP="00A74C01">
            <w:pPr>
              <w:keepNext/>
              <w:keepLines/>
              <w:widowControl w:val="0"/>
              <w:spacing w:before="40" w:after="40"/>
              <w:jc w:val="center"/>
              <w:rPr>
                <w:rFonts w:ascii="Arial Narrow" w:hAnsi="Arial Narrow" w:cs="Calibri"/>
                <w:bCs/>
                <w:sz w:val="20"/>
                <w:szCs w:val="20"/>
              </w:rPr>
            </w:pPr>
            <w:r w:rsidRPr="008D797E">
              <w:rPr>
                <w:rFonts w:ascii="Arial Narrow" w:hAnsi="Arial Narrow" w:cs="Calibri"/>
                <w:bCs/>
                <w:sz w:val="20"/>
                <w:szCs w:val="20"/>
              </w:rPr>
              <w:t>2.91 (0.30, 27.84)</w:t>
            </w:r>
          </w:p>
        </w:tc>
        <w:tc>
          <w:tcPr>
            <w:tcW w:w="586" w:type="pct"/>
            <w:tcBorders>
              <w:left w:val="single" w:sz="4" w:space="0" w:color="auto"/>
              <w:right w:val="single" w:sz="4" w:space="0" w:color="auto"/>
            </w:tcBorders>
          </w:tcPr>
          <w:p w:rsidR="00EA35CA" w:rsidRPr="008D797E" w:rsidRDefault="00EA35CA" w:rsidP="00A74C01">
            <w:pPr>
              <w:keepNext/>
              <w:keepLines/>
              <w:widowControl w:val="0"/>
              <w:spacing w:before="40" w:after="40"/>
              <w:jc w:val="center"/>
              <w:rPr>
                <w:rFonts w:ascii="Arial Narrow" w:hAnsi="Arial Narrow" w:cs="Calibri"/>
                <w:bCs/>
                <w:sz w:val="20"/>
                <w:szCs w:val="20"/>
              </w:rPr>
            </w:pPr>
            <w:r w:rsidRPr="008D797E">
              <w:rPr>
                <w:rFonts w:ascii="Arial Narrow" w:hAnsi="Arial Narrow" w:cs="Calibri"/>
                <w:bCs/>
                <w:sz w:val="20"/>
                <w:szCs w:val="20"/>
              </w:rPr>
              <w:t>6 (1.3)</w:t>
            </w:r>
          </w:p>
          <w:p w:rsidR="00EA35CA" w:rsidRPr="008D797E" w:rsidRDefault="00EA35CA" w:rsidP="00A74C01">
            <w:pPr>
              <w:keepNext/>
              <w:keepLines/>
              <w:widowControl w:val="0"/>
              <w:spacing w:before="40" w:after="40"/>
              <w:jc w:val="center"/>
              <w:rPr>
                <w:rFonts w:ascii="Arial Narrow" w:hAnsi="Arial Narrow" w:cs="Calibri"/>
                <w:bCs/>
                <w:sz w:val="20"/>
                <w:szCs w:val="20"/>
              </w:rPr>
            </w:pPr>
            <w:r w:rsidRPr="008D797E">
              <w:rPr>
                <w:rFonts w:ascii="Arial Narrow" w:hAnsi="Arial Narrow" w:cs="Calibri"/>
                <w:bCs/>
                <w:sz w:val="20"/>
                <w:szCs w:val="20"/>
              </w:rPr>
              <w:t>2 (0.4)</w:t>
            </w:r>
          </w:p>
        </w:tc>
        <w:tc>
          <w:tcPr>
            <w:tcW w:w="557" w:type="pct"/>
            <w:tcBorders>
              <w:left w:val="single" w:sz="4" w:space="0" w:color="auto"/>
              <w:right w:val="single" w:sz="4" w:space="0" w:color="auto"/>
            </w:tcBorders>
          </w:tcPr>
          <w:p w:rsidR="00EA35CA" w:rsidRPr="008D797E" w:rsidRDefault="00EA35CA" w:rsidP="00A74C01">
            <w:pPr>
              <w:keepNext/>
              <w:keepLines/>
              <w:widowControl w:val="0"/>
              <w:spacing w:before="40" w:after="40"/>
              <w:jc w:val="center"/>
              <w:rPr>
                <w:rFonts w:ascii="Arial Narrow" w:hAnsi="Arial Narrow" w:cs="Calibri"/>
                <w:bCs/>
                <w:sz w:val="20"/>
                <w:szCs w:val="20"/>
              </w:rPr>
            </w:pPr>
            <w:r w:rsidRPr="008D797E">
              <w:rPr>
                <w:rFonts w:ascii="Arial Narrow" w:hAnsi="Arial Narrow" w:cs="Calibri"/>
                <w:bCs/>
                <w:sz w:val="20"/>
                <w:szCs w:val="20"/>
              </w:rPr>
              <w:t>3 (0.7)</w:t>
            </w:r>
          </w:p>
          <w:p w:rsidR="00EA35CA" w:rsidRPr="008D797E" w:rsidRDefault="00EA35CA" w:rsidP="00A74C01">
            <w:pPr>
              <w:keepNext/>
              <w:keepLines/>
              <w:widowControl w:val="0"/>
              <w:spacing w:before="40" w:after="40"/>
              <w:jc w:val="center"/>
              <w:rPr>
                <w:rFonts w:ascii="Arial Narrow" w:hAnsi="Arial Narrow" w:cs="Calibri"/>
                <w:bCs/>
                <w:sz w:val="20"/>
                <w:szCs w:val="20"/>
              </w:rPr>
            </w:pPr>
            <w:r w:rsidRPr="008D797E">
              <w:rPr>
                <w:rFonts w:ascii="Arial Narrow" w:hAnsi="Arial Narrow" w:cs="Calibri"/>
                <w:bCs/>
                <w:sz w:val="20"/>
                <w:szCs w:val="20"/>
              </w:rPr>
              <w:t>1 (0.2)</w:t>
            </w:r>
          </w:p>
        </w:tc>
        <w:tc>
          <w:tcPr>
            <w:tcW w:w="844" w:type="pct"/>
            <w:tcBorders>
              <w:left w:val="single" w:sz="4" w:space="0" w:color="auto"/>
              <w:right w:val="single" w:sz="4" w:space="0" w:color="auto"/>
            </w:tcBorders>
          </w:tcPr>
          <w:p w:rsidR="00EA35CA" w:rsidRPr="008D797E" w:rsidRDefault="00EA35CA" w:rsidP="00A74C01">
            <w:pPr>
              <w:keepNext/>
              <w:keepLines/>
              <w:widowControl w:val="0"/>
              <w:spacing w:before="40" w:after="40"/>
              <w:jc w:val="center"/>
              <w:rPr>
                <w:rFonts w:ascii="Arial Narrow" w:hAnsi="Arial Narrow" w:cs="Calibri"/>
                <w:bCs/>
                <w:sz w:val="20"/>
                <w:szCs w:val="20"/>
              </w:rPr>
            </w:pPr>
            <w:r w:rsidRPr="008D797E">
              <w:rPr>
                <w:rFonts w:ascii="Arial Narrow" w:hAnsi="Arial Narrow" w:cs="Calibri"/>
                <w:bCs/>
                <w:sz w:val="20"/>
                <w:szCs w:val="20"/>
              </w:rPr>
              <w:t>1.87 (0.47, 7.43)</w:t>
            </w:r>
          </w:p>
          <w:p w:rsidR="00EA35CA" w:rsidRPr="008D797E" w:rsidRDefault="00EA35CA" w:rsidP="00A74C01">
            <w:pPr>
              <w:keepNext/>
              <w:keepLines/>
              <w:widowControl w:val="0"/>
              <w:spacing w:before="40" w:after="40"/>
              <w:jc w:val="center"/>
              <w:rPr>
                <w:rFonts w:ascii="Arial Narrow" w:hAnsi="Arial Narrow" w:cs="Calibri"/>
                <w:bCs/>
                <w:sz w:val="20"/>
                <w:szCs w:val="20"/>
              </w:rPr>
            </w:pPr>
            <w:r w:rsidRPr="008D797E">
              <w:rPr>
                <w:rFonts w:ascii="Arial Narrow" w:hAnsi="Arial Narrow" w:cs="Calibri"/>
                <w:bCs/>
                <w:sz w:val="20"/>
                <w:szCs w:val="20"/>
              </w:rPr>
              <w:t>1.87 (0.17, 20.54)</w:t>
            </w:r>
          </w:p>
          <w:p w:rsidR="00EA35CA" w:rsidRPr="008D797E" w:rsidRDefault="00EA35CA" w:rsidP="00A74C01">
            <w:pPr>
              <w:keepNext/>
              <w:keepLines/>
              <w:widowControl w:val="0"/>
              <w:spacing w:before="40" w:after="40"/>
              <w:jc w:val="center"/>
              <w:rPr>
                <w:rFonts w:ascii="Arial Narrow" w:hAnsi="Arial Narrow" w:cs="Calibri"/>
                <w:bCs/>
                <w:sz w:val="20"/>
                <w:szCs w:val="20"/>
              </w:rPr>
            </w:pPr>
          </w:p>
        </w:tc>
      </w:tr>
      <w:tr w:rsidR="00EA35CA" w:rsidRPr="008D797E" w:rsidTr="007C431D">
        <w:tc>
          <w:tcPr>
            <w:tcW w:w="1029" w:type="pct"/>
            <w:tcBorders>
              <w:left w:val="single" w:sz="4" w:space="0" w:color="auto"/>
              <w:right w:val="single" w:sz="4" w:space="0" w:color="auto"/>
            </w:tcBorders>
          </w:tcPr>
          <w:p w:rsidR="00EA35CA" w:rsidRPr="008D797E" w:rsidRDefault="00EA35CA" w:rsidP="00A74C01">
            <w:pPr>
              <w:keepNext/>
              <w:keepLines/>
              <w:widowControl w:val="0"/>
              <w:spacing w:before="40" w:after="40"/>
              <w:ind w:left="284"/>
              <w:jc w:val="left"/>
              <w:rPr>
                <w:rFonts w:ascii="Arial Narrow" w:hAnsi="Arial Narrow" w:cs="Calibri"/>
                <w:bCs/>
                <w:sz w:val="20"/>
                <w:szCs w:val="20"/>
              </w:rPr>
            </w:pPr>
            <w:r w:rsidRPr="008D797E">
              <w:rPr>
                <w:rFonts w:ascii="Arial Narrow" w:hAnsi="Arial Narrow" w:cs="Calibri"/>
                <w:bCs/>
                <w:sz w:val="20"/>
                <w:szCs w:val="20"/>
              </w:rPr>
              <w:t>Grade 3-4 AE</w:t>
            </w:r>
          </w:p>
        </w:tc>
        <w:tc>
          <w:tcPr>
            <w:tcW w:w="557" w:type="pct"/>
            <w:tcBorders>
              <w:left w:val="nil"/>
              <w:right w:val="single" w:sz="4" w:space="0" w:color="auto"/>
            </w:tcBorders>
            <w:shd w:val="clear" w:color="auto" w:fill="DBE5F1" w:themeFill="accent1" w:themeFillTint="33"/>
          </w:tcPr>
          <w:p w:rsidR="00EA35CA" w:rsidRPr="008D797E" w:rsidRDefault="00EA35CA" w:rsidP="00A74C01">
            <w:pPr>
              <w:keepNext/>
              <w:keepLines/>
              <w:widowControl w:val="0"/>
              <w:spacing w:before="40" w:after="40"/>
              <w:jc w:val="center"/>
              <w:rPr>
                <w:rFonts w:ascii="Arial Narrow" w:hAnsi="Arial Narrow" w:cs="Calibri"/>
                <w:bCs/>
                <w:sz w:val="20"/>
                <w:szCs w:val="20"/>
              </w:rPr>
            </w:pPr>
            <w:r w:rsidRPr="008D797E">
              <w:rPr>
                <w:rFonts w:ascii="Arial Narrow" w:hAnsi="Arial Narrow" w:cs="Calibri"/>
                <w:bCs/>
                <w:sz w:val="20"/>
                <w:szCs w:val="20"/>
              </w:rPr>
              <w:t>220 (48.7)</w:t>
            </w:r>
          </w:p>
        </w:tc>
        <w:tc>
          <w:tcPr>
            <w:tcW w:w="572" w:type="pct"/>
            <w:tcBorders>
              <w:left w:val="nil"/>
              <w:right w:val="single" w:sz="4" w:space="0" w:color="auto"/>
            </w:tcBorders>
            <w:shd w:val="clear" w:color="auto" w:fill="DBE5F1" w:themeFill="accent1" w:themeFillTint="33"/>
          </w:tcPr>
          <w:p w:rsidR="00EA35CA" w:rsidRPr="008D797E" w:rsidRDefault="00EA35CA" w:rsidP="00A74C01">
            <w:pPr>
              <w:keepNext/>
              <w:keepLines/>
              <w:widowControl w:val="0"/>
              <w:spacing w:before="40" w:after="40"/>
              <w:jc w:val="center"/>
              <w:rPr>
                <w:rFonts w:ascii="Arial Narrow" w:hAnsi="Arial Narrow" w:cs="Calibri"/>
                <w:bCs/>
                <w:sz w:val="20"/>
                <w:szCs w:val="20"/>
              </w:rPr>
            </w:pPr>
            <w:r w:rsidRPr="008D797E">
              <w:rPr>
                <w:rFonts w:ascii="Arial Narrow" w:hAnsi="Arial Narrow" w:cs="Calibri"/>
                <w:bCs/>
                <w:sz w:val="20"/>
                <w:szCs w:val="20"/>
              </w:rPr>
              <w:t>185 (42.2)</w:t>
            </w:r>
          </w:p>
        </w:tc>
        <w:tc>
          <w:tcPr>
            <w:tcW w:w="856" w:type="pct"/>
            <w:tcBorders>
              <w:left w:val="single" w:sz="4" w:space="0" w:color="auto"/>
              <w:right w:val="single" w:sz="4" w:space="0" w:color="auto"/>
            </w:tcBorders>
            <w:shd w:val="clear" w:color="auto" w:fill="DBE5F1" w:themeFill="accent1" w:themeFillTint="33"/>
          </w:tcPr>
          <w:p w:rsidR="00EA35CA" w:rsidRPr="008D797E" w:rsidRDefault="00EA35CA" w:rsidP="00A74C01">
            <w:pPr>
              <w:keepNext/>
              <w:keepLines/>
              <w:widowControl w:val="0"/>
              <w:spacing w:before="40" w:after="40"/>
              <w:jc w:val="center"/>
              <w:rPr>
                <w:rFonts w:ascii="Arial Narrow" w:hAnsi="Arial Narrow" w:cs="Calibri"/>
                <w:b/>
                <w:bCs/>
                <w:sz w:val="20"/>
                <w:szCs w:val="20"/>
              </w:rPr>
            </w:pPr>
            <w:r w:rsidRPr="008D797E">
              <w:rPr>
                <w:rFonts w:ascii="Arial Narrow" w:hAnsi="Arial Narrow" w:cs="Calibri"/>
                <w:b/>
                <w:bCs/>
                <w:sz w:val="20"/>
                <w:szCs w:val="20"/>
              </w:rPr>
              <w:t>1.15 (1.00, 1.33)</w:t>
            </w:r>
          </w:p>
        </w:tc>
        <w:tc>
          <w:tcPr>
            <w:tcW w:w="586" w:type="pct"/>
            <w:tcBorders>
              <w:left w:val="single" w:sz="4" w:space="0" w:color="auto"/>
              <w:right w:val="single" w:sz="4" w:space="0" w:color="auto"/>
            </w:tcBorders>
          </w:tcPr>
          <w:p w:rsidR="00EA35CA" w:rsidRPr="008D797E" w:rsidRDefault="00EA35CA" w:rsidP="00A74C01">
            <w:pPr>
              <w:keepNext/>
              <w:keepLines/>
              <w:widowControl w:val="0"/>
              <w:spacing w:before="40" w:after="40"/>
              <w:jc w:val="center"/>
              <w:rPr>
                <w:rFonts w:ascii="Arial Narrow" w:hAnsi="Arial Narrow" w:cs="Calibri"/>
                <w:b/>
                <w:bCs/>
                <w:sz w:val="20"/>
                <w:szCs w:val="20"/>
              </w:rPr>
            </w:pPr>
            <w:r w:rsidRPr="008D797E">
              <w:rPr>
                <w:rFonts w:ascii="Arial Narrow" w:hAnsi="Arial Narrow" w:cs="Calibri"/>
                <w:bCs/>
                <w:sz w:val="20"/>
                <w:szCs w:val="20"/>
              </w:rPr>
              <w:t>233 (50.7)</w:t>
            </w:r>
          </w:p>
        </w:tc>
        <w:tc>
          <w:tcPr>
            <w:tcW w:w="557" w:type="pct"/>
            <w:tcBorders>
              <w:left w:val="single" w:sz="4" w:space="0" w:color="auto"/>
              <w:right w:val="single" w:sz="4" w:space="0" w:color="auto"/>
            </w:tcBorders>
          </w:tcPr>
          <w:p w:rsidR="00EA35CA" w:rsidRPr="008D797E" w:rsidRDefault="00EA35CA" w:rsidP="00A74C01">
            <w:pPr>
              <w:keepNext/>
              <w:keepLines/>
              <w:widowControl w:val="0"/>
              <w:spacing w:before="40" w:after="40"/>
              <w:jc w:val="center"/>
              <w:rPr>
                <w:rFonts w:ascii="Arial Narrow" w:hAnsi="Arial Narrow" w:cs="Calibri"/>
                <w:b/>
                <w:bCs/>
                <w:sz w:val="20"/>
                <w:szCs w:val="20"/>
              </w:rPr>
            </w:pPr>
            <w:r w:rsidRPr="008D797E">
              <w:rPr>
                <w:rFonts w:ascii="Arial Narrow" w:hAnsi="Arial Narrow" w:cs="Calibri"/>
                <w:bCs/>
                <w:sz w:val="20"/>
                <w:szCs w:val="20"/>
              </w:rPr>
              <w:t>183 (42.6)</w:t>
            </w:r>
          </w:p>
        </w:tc>
        <w:tc>
          <w:tcPr>
            <w:tcW w:w="844" w:type="pct"/>
            <w:tcBorders>
              <w:right w:val="single" w:sz="4" w:space="0" w:color="auto"/>
            </w:tcBorders>
          </w:tcPr>
          <w:p w:rsidR="00EA35CA" w:rsidRPr="008D797E" w:rsidRDefault="00EA35CA" w:rsidP="00A74C01">
            <w:pPr>
              <w:keepNext/>
              <w:keepLines/>
              <w:widowControl w:val="0"/>
              <w:spacing w:before="40" w:after="40"/>
              <w:jc w:val="center"/>
              <w:rPr>
                <w:rFonts w:ascii="Arial Narrow" w:hAnsi="Arial Narrow" w:cs="Calibri"/>
                <w:b/>
                <w:sz w:val="20"/>
                <w:szCs w:val="20"/>
              </w:rPr>
            </w:pPr>
            <w:r w:rsidRPr="008D797E">
              <w:rPr>
                <w:rFonts w:ascii="Arial Narrow" w:hAnsi="Arial Narrow" w:cs="Calibri"/>
                <w:b/>
                <w:sz w:val="20"/>
                <w:szCs w:val="20"/>
              </w:rPr>
              <w:t>1.19 (1.03, 1.37)</w:t>
            </w:r>
          </w:p>
        </w:tc>
      </w:tr>
      <w:tr w:rsidR="00EA35CA" w:rsidRPr="008D797E" w:rsidTr="007C431D">
        <w:tc>
          <w:tcPr>
            <w:tcW w:w="1029" w:type="pct"/>
            <w:tcBorders>
              <w:left w:val="single" w:sz="4" w:space="0" w:color="auto"/>
              <w:right w:val="single" w:sz="4" w:space="0" w:color="auto"/>
            </w:tcBorders>
          </w:tcPr>
          <w:p w:rsidR="00EA35CA" w:rsidRPr="008D797E" w:rsidRDefault="00EA35CA" w:rsidP="00A74C01">
            <w:pPr>
              <w:keepNext/>
              <w:keepLines/>
              <w:widowControl w:val="0"/>
              <w:spacing w:before="40" w:after="40"/>
              <w:ind w:left="284"/>
              <w:jc w:val="left"/>
              <w:rPr>
                <w:rFonts w:ascii="Arial Narrow" w:hAnsi="Arial Narrow" w:cs="Calibri"/>
                <w:bCs/>
                <w:sz w:val="20"/>
                <w:szCs w:val="20"/>
              </w:rPr>
            </w:pPr>
            <w:r w:rsidRPr="008D797E">
              <w:rPr>
                <w:rFonts w:ascii="Arial Narrow" w:hAnsi="Arial Narrow" w:cs="Calibri"/>
                <w:bCs/>
                <w:sz w:val="20"/>
                <w:szCs w:val="20"/>
              </w:rPr>
              <w:t>Related Grade 3-4 AE</w:t>
            </w:r>
          </w:p>
        </w:tc>
        <w:tc>
          <w:tcPr>
            <w:tcW w:w="557" w:type="pct"/>
            <w:tcBorders>
              <w:left w:val="nil"/>
              <w:right w:val="single" w:sz="4" w:space="0" w:color="auto"/>
            </w:tcBorders>
            <w:shd w:val="clear" w:color="auto" w:fill="DBE5F1" w:themeFill="accent1" w:themeFillTint="33"/>
          </w:tcPr>
          <w:p w:rsidR="00EA35CA" w:rsidRPr="008D797E" w:rsidRDefault="00EA35CA" w:rsidP="00A74C01">
            <w:pPr>
              <w:keepNext/>
              <w:keepLines/>
              <w:widowControl w:val="0"/>
              <w:spacing w:before="40" w:after="40"/>
              <w:jc w:val="center"/>
              <w:rPr>
                <w:rFonts w:ascii="Arial Narrow" w:hAnsi="Arial Narrow" w:cs="Calibri"/>
                <w:bCs/>
                <w:sz w:val="20"/>
                <w:szCs w:val="20"/>
              </w:rPr>
            </w:pPr>
            <w:r w:rsidRPr="008D797E">
              <w:rPr>
                <w:rFonts w:ascii="Arial Narrow" w:hAnsi="Arial Narrow" w:cs="Calibri"/>
                <w:bCs/>
                <w:sz w:val="20"/>
                <w:szCs w:val="20"/>
              </w:rPr>
              <w:t>179 (39.6)</w:t>
            </w:r>
          </w:p>
        </w:tc>
        <w:tc>
          <w:tcPr>
            <w:tcW w:w="572" w:type="pct"/>
            <w:tcBorders>
              <w:left w:val="nil"/>
              <w:right w:val="single" w:sz="4" w:space="0" w:color="auto"/>
            </w:tcBorders>
            <w:shd w:val="clear" w:color="auto" w:fill="DBE5F1" w:themeFill="accent1" w:themeFillTint="33"/>
          </w:tcPr>
          <w:p w:rsidR="00EA35CA" w:rsidRPr="008D797E" w:rsidRDefault="00EA35CA" w:rsidP="00A74C01">
            <w:pPr>
              <w:keepNext/>
              <w:keepLines/>
              <w:widowControl w:val="0"/>
              <w:spacing w:before="40" w:after="40"/>
              <w:jc w:val="center"/>
              <w:rPr>
                <w:rFonts w:ascii="Arial Narrow" w:hAnsi="Arial Narrow" w:cs="Calibri"/>
                <w:bCs/>
                <w:sz w:val="20"/>
                <w:szCs w:val="20"/>
              </w:rPr>
            </w:pPr>
            <w:r w:rsidRPr="008D797E">
              <w:rPr>
                <w:rFonts w:ascii="Arial Narrow" w:hAnsi="Arial Narrow" w:cs="Calibri"/>
                <w:bCs/>
                <w:sz w:val="20"/>
                <w:szCs w:val="20"/>
              </w:rPr>
              <w:t>132 (30.1)</w:t>
            </w:r>
          </w:p>
        </w:tc>
        <w:tc>
          <w:tcPr>
            <w:tcW w:w="856" w:type="pct"/>
            <w:tcBorders>
              <w:left w:val="single" w:sz="4" w:space="0" w:color="auto"/>
              <w:right w:val="single" w:sz="4" w:space="0" w:color="auto"/>
            </w:tcBorders>
            <w:shd w:val="clear" w:color="auto" w:fill="DBE5F1" w:themeFill="accent1" w:themeFillTint="33"/>
          </w:tcPr>
          <w:p w:rsidR="00EA35CA" w:rsidRPr="008D797E" w:rsidRDefault="00EA35CA" w:rsidP="00A74C01">
            <w:pPr>
              <w:keepNext/>
              <w:keepLines/>
              <w:widowControl w:val="0"/>
              <w:spacing w:before="40" w:after="40"/>
              <w:jc w:val="center"/>
              <w:rPr>
                <w:rFonts w:ascii="Arial Narrow" w:hAnsi="Arial Narrow" w:cs="Calibri"/>
                <w:b/>
                <w:bCs/>
                <w:sz w:val="20"/>
                <w:szCs w:val="20"/>
              </w:rPr>
            </w:pPr>
            <w:r w:rsidRPr="008D797E">
              <w:rPr>
                <w:rFonts w:ascii="Arial Narrow" w:hAnsi="Arial Narrow" w:cs="Calibri"/>
                <w:b/>
                <w:bCs/>
                <w:sz w:val="20"/>
                <w:szCs w:val="20"/>
              </w:rPr>
              <w:t>1.31 (1.09, 1.58)</w:t>
            </w:r>
          </w:p>
        </w:tc>
        <w:tc>
          <w:tcPr>
            <w:tcW w:w="586" w:type="pct"/>
            <w:tcBorders>
              <w:left w:val="single" w:sz="4" w:space="0" w:color="auto"/>
              <w:right w:val="single" w:sz="4" w:space="0" w:color="auto"/>
            </w:tcBorders>
          </w:tcPr>
          <w:p w:rsidR="00EA35CA" w:rsidRPr="008D797E" w:rsidRDefault="00EA35CA" w:rsidP="00A74C01">
            <w:pPr>
              <w:keepNext/>
              <w:keepLines/>
              <w:widowControl w:val="0"/>
              <w:spacing w:before="40" w:after="40"/>
              <w:jc w:val="center"/>
              <w:rPr>
                <w:rFonts w:ascii="Arial Narrow" w:hAnsi="Arial Narrow" w:cs="Calibri"/>
                <w:b/>
                <w:bCs/>
                <w:sz w:val="20"/>
                <w:szCs w:val="20"/>
              </w:rPr>
            </w:pPr>
            <w:r w:rsidRPr="008D797E">
              <w:rPr>
                <w:rFonts w:ascii="Arial Narrow" w:hAnsi="Arial Narrow" w:cs="Calibri"/>
                <w:bCs/>
                <w:sz w:val="20"/>
                <w:szCs w:val="20"/>
              </w:rPr>
              <w:t>191 (41.5)</w:t>
            </w:r>
          </w:p>
        </w:tc>
        <w:tc>
          <w:tcPr>
            <w:tcW w:w="557" w:type="pct"/>
            <w:tcBorders>
              <w:left w:val="single" w:sz="4" w:space="0" w:color="auto"/>
              <w:right w:val="single" w:sz="4" w:space="0" w:color="auto"/>
            </w:tcBorders>
          </w:tcPr>
          <w:p w:rsidR="00EA35CA" w:rsidRPr="008D797E" w:rsidRDefault="00EA35CA" w:rsidP="00A74C01">
            <w:pPr>
              <w:keepNext/>
              <w:keepLines/>
              <w:widowControl w:val="0"/>
              <w:spacing w:before="40" w:after="40"/>
              <w:jc w:val="center"/>
              <w:rPr>
                <w:rFonts w:ascii="Arial Narrow" w:hAnsi="Arial Narrow" w:cs="Calibri"/>
                <w:b/>
                <w:bCs/>
                <w:sz w:val="20"/>
                <w:szCs w:val="20"/>
              </w:rPr>
            </w:pPr>
            <w:r w:rsidRPr="008D797E">
              <w:rPr>
                <w:rFonts w:ascii="Arial Narrow" w:hAnsi="Arial Narrow" w:cs="Calibri"/>
                <w:bCs/>
                <w:sz w:val="20"/>
                <w:szCs w:val="20"/>
              </w:rPr>
              <w:t>129 (30.0)</w:t>
            </w:r>
          </w:p>
        </w:tc>
        <w:tc>
          <w:tcPr>
            <w:tcW w:w="844" w:type="pct"/>
            <w:tcBorders>
              <w:left w:val="single" w:sz="4" w:space="0" w:color="auto"/>
              <w:right w:val="single" w:sz="4" w:space="0" w:color="auto"/>
            </w:tcBorders>
          </w:tcPr>
          <w:p w:rsidR="00EA35CA" w:rsidRPr="008D797E" w:rsidRDefault="00EA35CA" w:rsidP="00A74C01">
            <w:pPr>
              <w:keepNext/>
              <w:keepLines/>
              <w:widowControl w:val="0"/>
              <w:spacing w:before="40" w:after="40"/>
              <w:jc w:val="center"/>
              <w:rPr>
                <w:rFonts w:ascii="Arial Narrow" w:hAnsi="Arial Narrow" w:cs="Calibri"/>
                <w:b/>
                <w:bCs/>
                <w:sz w:val="20"/>
                <w:szCs w:val="20"/>
              </w:rPr>
            </w:pPr>
            <w:r w:rsidRPr="008D797E">
              <w:rPr>
                <w:rFonts w:ascii="Arial Narrow" w:hAnsi="Arial Narrow" w:cs="Calibri"/>
                <w:b/>
                <w:bCs/>
                <w:sz w:val="20"/>
                <w:szCs w:val="20"/>
              </w:rPr>
              <w:t>1.38 (1.16, 1.66)</w:t>
            </w:r>
          </w:p>
        </w:tc>
      </w:tr>
      <w:tr w:rsidR="00EA35CA" w:rsidRPr="008D797E" w:rsidTr="007C431D">
        <w:tc>
          <w:tcPr>
            <w:tcW w:w="1029" w:type="pct"/>
            <w:tcBorders>
              <w:left w:val="single" w:sz="4" w:space="0" w:color="auto"/>
              <w:right w:val="single" w:sz="4" w:space="0" w:color="auto"/>
            </w:tcBorders>
          </w:tcPr>
          <w:p w:rsidR="00EA35CA" w:rsidRPr="008D797E" w:rsidRDefault="00EA35CA" w:rsidP="00A74C01">
            <w:pPr>
              <w:keepNext/>
              <w:keepLines/>
              <w:widowControl w:val="0"/>
              <w:spacing w:before="40" w:after="40"/>
              <w:jc w:val="left"/>
              <w:rPr>
                <w:rFonts w:ascii="Arial Narrow" w:hAnsi="Arial Narrow" w:cs="Calibri"/>
                <w:bCs/>
                <w:sz w:val="20"/>
                <w:szCs w:val="20"/>
              </w:rPr>
            </w:pPr>
            <w:r w:rsidRPr="008D797E">
              <w:rPr>
                <w:rFonts w:ascii="Arial Narrow" w:hAnsi="Arial Narrow" w:cs="Calibri"/>
                <w:bCs/>
                <w:sz w:val="20"/>
                <w:szCs w:val="20"/>
              </w:rPr>
              <w:t>SAE</w:t>
            </w:r>
          </w:p>
        </w:tc>
        <w:tc>
          <w:tcPr>
            <w:tcW w:w="557" w:type="pct"/>
            <w:tcBorders>
              <w:left w:val="nil"/>
              <w:right w:val="single" w:sz="4" w:space="0" w:color="auto"/>
            </w:tcBorders>
            <w:shd w:val="clear" w:color="auto" w:fill="DBE5F1" w:themeFill="accent1" w:themeFillTint="33"/>
          </w:tcPr>
          <w:p w:rsidR="00EA35CA" w:rsidRPr="008D797E" w:rsidRDefault="00EA35CA" w:rsidP="00A74C01">
            <w:pPr>
              <w:keepNext/>
              <w:keepLines/>
              <w:widowControl w:val="0"/>
              <w:spacing w:before="40" w:after="40"/>
              <w:jc w:val="center"/>
              <w:rPr>
                <w:rFonts w:ascii="Arial Narrow" w:hAnsi="Arial Narrow" w:cs="Calibri"/>
                <w:bCs/>
                <w:sz w:val="20"/>
                <w:szCs w:val="20"/>
              </w:rPr>
            </w:pPr>
            <w:r w:rsidRPr="008D797E">
              <w:rPr>
                <w:rFonts w:ascii="Arial Narrow" w:hAnsi="Arial Narrow" w:cs="Calibri"/>
                <w:bCs/>
                <w:sz w:val="20"/>
                <w:szCs w:val="20"/>
              </w:rPr>
              <w:t>103 (22.8)</w:t>
            </w:r>
          </w:p>
        </w:tc>
        <w:tc>
          <w:tcPr>
            <w:tcW w:w="572" w:type="pct"/>
            <w:tcBorders>
              <w:left w:val="nil"/>
              <w:right w:val="single" w:sz="4" w:space="0" w:color="auto"/>
            </w:tcBorders>
            <w:shd w:val="clear" w:color="auto" w:fill="DBE5F1" w:themeFill="accent1" w:themeFillTint="33"/>
          </w:tcPr>
          <w:p w:rsidR="00EA35CA" w:rsidRPr="008D797E" w:rsidRDefault="00EA35CA" w:rsidP="00A74C01">
            <w:pPr>
              <w:keepNext/>
              <w:keepLines/>
              <w:widowControl w:val="0"/>
              <w:spacing w:before="40" w:after="40"/>
              <w:jc w:val="center"/>
              <w:rPr>
                <w:rFonts w:ascii="Arial Narrow" w:hAnsi="Arial Narrow" w:cs="Calibri"/>
                <w:bCs/>
                <w:sz w:val="20"/>
                <w:szCs w:val="20"/>
              </w:rPr>
            </w:pPr>
            <w:r w:rsidRPr="008D797E">
              <w:rPr>
                <w:rFonts w:ascii="Arial Narrow" w:hAnsi="Arial Narrow" w:cs="Calibri"/>
                <w:bCs/>
                <w:sz w:val="20"/>
                <w:szCs w:val="20"/>
              </w:rPr>
              <w:t>80 (18.3)</w:t>
            </w:r>
          </w:p>
        </w:tc>
        <w:tc>
          <w:tcPr>
            <w:tcW w:w="856" w:type="pct"/>
            <w:tcBorders>
              <w:left w:val="single" w:sz="4" w:space="0" w:color="auto"/>
              <w:right w:val="single" w:sz="4" w:space="0" w:color="auto"/>
            </w:tcBorders>
            <w:shd w:val="clear" w:color="auto" w:fill="DBE5F1" w:themeFill="accent1" w:themeFillTint="33"/>
          </w:tcPr>
          <w:p w:rsidR="00EA35CA" w:rsidRPr="008D797E" w:rsidRDefault="00EA35CA" w:rsidP="00A74C01">
            <w:pPr>
              <w:keepNext/>
              <w:keepLines/>
              <w:widowControl w:val="0"/>
              <w:spacing w:before="40" w:after="40"/>
              <w:jc w:val="center"/>
              <w:rPr>
                <w:rFonts w:ascii="Arial Narrow" w:hAnsi="Arial Narrow" w:cs="Calibri"/>
                <w:bCs/>
                <w:sz w:val="20"/>
                <w:szCs w:val="20"/>
              </w:rPr>
            </w:pPr>
            <w:r w:rsidRPr="008D797E">
              <w:rPr>
                <w:rFonts w:ascii="Arial Narrow" w:hAnsi="Arial Narrow" w:cs="Calibri"/>
                <w:bCs/>
                <w:sz w:val="20"/>
                <w:szCs w:val="20"/>
              </w:rPr>
              <w:t>1.25 (0.96, 1.62)</w:t>
            </w:r>
          </w:p>
        </w:tc>
        <w:tc>
          <w:tcPr>
            <w:tcW w:w="586" w:type="pct"/>
            <w:tcBorders>
              <w:left w:val="single" w:sz="4" w:space="0" w:color="auto"/>
              <w:right w:val="single" w:sz="4" w:space="0" w:color="auto"/>
            </w:tcBorders>
          </w:tcPr>
          <w:p w:rsidR="00EA35CA" w:rsidRPr="008D797E" w:rsidRDefault="00EA35CA" w:rsidP="00A74C01">
            <w:pPr>
              <w:keepNext/>
              <w:keepLines/>
              <w:widowControl w:val="0"/>
              <w:spacing w:before="40" w:after="40"/>
              <w:jc w:val="center"/>
              <w:rPr>
                <w:rFonts w:ascii="Arial Narrow" w:hAnsi="Arial Narrow" w:cs="Calibri"/>
                <w:bCs/>
                <w:sz w:val="20"/>
                <w:szCs w:val="20"/>
              </w:rPr>
            </w:pPr>
            <w:r w:rsidRPr="008D797E">
              <w:rPr>
                <w:rFonts w:ascii="Arial Narrow" w:hAnsi="Arial Narrow" w:cs="Calibri"/>
                <w:bCs/>
                <w:sz w:val="20"/>
                <w:szCs w:val="20"/>
              </w:rPr>
              <w:t>110 (23.9)</w:t>
            </w:r>
          </w:p>
        </w:tc>
        <w:tc>
          <w:tcPr>
            <w:tcW w:w="557" w:type="pct"/>
            <w:tcBorders>
              <w:left w:val="single" w:sz="4" w:space="0" w:color="auto"/>
              <w:right w:val="single" w:sz="4" w:space="0" w:color="auto"/>
            </w:tcBorders>
          </w:tcPr>
          <w:p w:rsidR="00EA35CA" w:rsidRPr="008D797E" w:rsidRDefault="00EA35CA" w:rsidP="00A74C01">
            <w:pPr>
              <w:keepNext/>
              <w:keepLines/>
              <w:widowControl w:val="0"/>
              <w:spacing w:before="40" w:after="40"/>
              <w:jc w:val="center"/>
              <w:rPr>
                <w:rFonts w:ascii="Arial Narrow" w:hAnsi="Arial Narrow" w:cs="Calibri"/>
                <w:bCs/>
                <w:sz w:val="20"/>
                <w:szCs w:val="20"/>
              </w:rPr>
            </w:pPr>
            <w:r w:rsidRPr="008D797E">
              <w:rPr>
                <w:rFonts w:ascii="Arial Narrow" w:hAnsi="Arial Narrow" w:cs="Calibri"/>
                <w:bCs/>
                <w:sz w:val="20"/>
                <w:szCs w:val="20"/>
              </w:rPr>
              <w:t>80 (18.6)</w:t>
            </w:r>
          </w:p>
        </w:tc>
        <w:tc>
          <w:tcPr>
            <w:tcW w:w="844" w:type="pct"/>
            <w:tcBorders>
              <w:left w:val="single" w:sz="4" w:space="0" w:color="auto"/>
              <w:right w:val="single" w:sz="4" w:space="0" w:color="auto"/>
            </w:tcBorders>
          </w:tcPr>
          <w:p w:rsidR="00EA35CA" w:rsidRPr="008D797E" w:rsidRDefault="00EA35CA" w:rsidP="00A74C01">
            <w:pPr>
              <w:keepNext/>
              <w:keepLines/>
              <w:widowControl w:val="0"/>
              <w:spacing w:before="40" w:after="40"/>
              <w:jc w:val="center"/>
              <w:rPr>
                <w:rFonts w:ascii="Arial Narrow" w:hAnsi="Arial Narrow" w:cs="Calibri"/>
                <w:sz w:val="20"/>
                <w:szCs w:val="20"/>
              </w:rPr>
            </w:pPr>
            <w:r w:rsidRPr="008D797E">
              <w:rPr>
                <w:rFonts w:ascii="Arial Narrow" w:hAnsi="Arial Narrow" w:cs="Calibri"/>
                <w:sz w:val="20"/>
                <w:szCs w:val="20"/>
              </w:rPr>
              <w:t>1.29 (0.99, 1.66)</w:t>
            </w:r>
          </w:p>
        </w:tc>
      </w:tr>
      <w:tr w:rsidR="00EA35CA" w:rsidRPr="008D797E" w:rsidTr="007C431D">
        <w:tc>
          <w:tcPr>
            <w:tcW w:w="1029" w:type="pct"/>
            <w:tcBorders>
              <w:left w:val="single" w:sz="4" w:space="0" w:color="auto"/>
              <w:right w:val="single" w:sz="4" w:space="0" w:color="auto"/>
            </w:tcBorders>
          </w:tcPr>
          <w:p w:rsidR="00EA35CA" w:rsidRPr="008D797E" w:rsidRDefault="00EA35CA" w:rsidP="00A74C01">
            <w:pPr>
              <w:keepNext/>
              <w:keepLines/>
              <w:widowControl w:val="0"/>
              <w:spacing w:before="40" w:after="40"/>
              <w:ind w:left="284"/>
              <w:jc w:val="left"/>
              <w:rPr>
                <w:rFonts w:ascii="Arial Narrow" w:hAnsi="Arial Narrow" w:cs="Calibri"/>
                <w:bCs/>
                <w:sz w:val="20"/>
                <w:szCs w:val="20"/>
              </w:rPr>
            </w:pPr>
            <w:r w:rsidRPr="008D797E">
              <w:rPr>
                <w:rFonts w:ascii="Arial Narrow" w:hAnsi="Arial Narrow" w:cs="Calibri"/>
                <w:bCs/>
                <w:sz w:val="20"/>
                <w:szCs w:val="20"/>
              </w:rPr>
              <w:t>Related SAE</w:t>
            </w:r>
          </w:p>
        </w:tc>
        <w:tc>
          <w:tcPr>
            <w:tcW w:w="557" w:type="pct"/>
            <w:tcBorders>
              <w:left w:val="nil"/>
              <w:right w:val="single" w:sz="4" w:space="0" w:color="auto"/>
            </w:tcBorders>
            <w:shd w:val="clear" w:color="auto" w:fill="DBE5F1" w:themeFill="accent1" w:themeFillTint="33"/>
          </w:tcPr>
          <w:p w:rsidR="00EA35CA" w:rsidRPr="008D797E" w:rsidRDefault="00EA35CA" w:rsidP="00A74C01">
            <w:pPr>
              <w:keepNext/>
              <w:keepLines/>
              <w:widowControl w:val="0"/>
              <w:spacing w:before="40" w:after="40"/>
              <w:jc w:val="center"/>
              <w:rPr>
                <w:rFonts w:ascii="Arial Narrow" w:hAnsi="Arial Narrow" w:cs="Calibri"/>
                <w:bCs/>
                <w:sz w:val="20"/>
                <w:szCs w:val="20"/>
              </w:rPr>
            </w:pPr>
            <w:r w:rsidRPr="008D797E">
              <w:rPr>
                <w:rFonts w:ascii="Arial Narrow" w:hAnsi="Arial Narrow" w:cs="Calibri"/>
                <w:bCs/>
                <w:sz w:val="20"/>
                <w:szCs w:val="20"/>
              </w:rPr>
              <w:t>56 (12.4)</w:t>
            </w:r>
          </w:p>
        </w:tc>
        <w:tc>
          <w:tcPr>
            <w:tcW w:w="572" w:type="pct"/>
            <w:tcBorders>
              <w:left w:val="nil"/>
              <w:right w:val="single" w:sz="4" w:space="0" w:color="auto"/>
            </w:tcBorders>
            <w:shd w:val="clear" w:color="auto" w:fill="DBE5F1" w:themeFill="accent1" w:themeFillTint="33"/>
          </w:tcPr>
          <w:p w:rsidR="00EA35CA" w:rsidRPr="008D797E" w:rsidRDefault="00EA35CA" w:rsidP="00A74C01">
            <w:pPr>
              <w:keepNext/>
              <w:keepLines/>
              <w:widowControl w:val="0"/>
              <w:spacing w:before="40" w:after="40"/>
              <w:jc w:val="center"/>
              <w:rPr>
                <w:rFonts w:ascii="Arial Narrow" w:hAnsi="Arial Narrow" w:cs="Calibri"/>
                <w:bCs/>
                <w:sz w:val="20"/>
                <w:szCs w:val="20"/>
              </w:rPr>
            </w:pPr>
            <w:r w:rsidRPr="008D797E">
              <w:rPr>
                <w:rFonts w:ascii="Arial Narrow" w:hAnsi="Arial Narrow" w:cs="Calibri"/>
                <w:bCs/>
                <w:sz w:val="20"/>
                <w:szCs w:val="20"/>
              </w:rPr>
              <w:t>32 (7.3)</w:t>
            </w:r>
          </w:p>
        </w:tc>
        <w:tc>
          <w:tcPr>
            <w:tcW w:w="856" w:type="pct"/>
            <w:tcBorders>
              <w:left w:val="single" w:sz="4" w:space="0" w:color="auto"/>
              <w:right w:val="single" w:sz="4" w:space="0" w:color="auto"/>
            </w:tcBorders>
            <w:shd w:val="clear" w:color="auto" w:fill="DBE5F1" w:themeFill="accent1" w:themeFillTint="33"/>
          </w:tcPr>
          <w:p w:rsidR="00EA35CA" w:rsidRPr="008D797E" w:rsidRDefault="00EA35CA" w:rsidP="00A74C01">
            <w:pPr>
              <w:keepNext/>
              <w:keepLines/>
              <w:widowControl w:val="0"/>
              <w:spacing w:before="40" w:after="40"/>
              <w:jc w:val="center"/>
              <w:rPr>
                <w:rFonts w:ascii="Arial Narrow" w:hAnsi="Arial Narrow" w:cs="Calibri"/>
                <w:b/>
                <w:bCs/>
                <w:sz w:val="20"/>
                <w:szCs w:val="20"/>
              </w:rPr>
            </w:pPr>
            <w:r w:rsidRPr="008D797E">
              <w:rPr>
                <w:rFonts w:ascii="Arial Narrow" w:hAnsi="Arial Narrow" w:cs="Calibri"/>
                <w:b/>
                <w:bCs/>
                <w:sz w:val="20"/>
                <w:szCs w:val="20"/>
              </w:rPr>
              <w:t>1.70 (1.12, 2.57)</w:t>
            </w:r>
          </w:p>
        </w:tc>
        <w:tc>
          <w:tcPr>
            <w:tcW w:w="586" w:type="pct"/>
            <w:tcBorders>
              <w:left w:val="single" w:sz="4" w:space="0" w:color="auto"/>
              <w:right w:val="single" w:sz="4" w:space="0" w:color="auto"/>
            </w:tcBorders>
          </w:tcPr>
          <w:p w:rsidR="00EA35CA" w:rsidRPr="008D797E" w:rsidRDefault="00EA35CA" w:rsidP="00A74C01">
            <w:pPr>
              <w:keepNext/>
              <w:keepLines/>
              <w:widowControl w:val="0"/>
              <w:spacing w:before="40" w:after="40"/>
              <w:jc w:val="center"/>
              <w:rPr>
                <w:rFonts w:ascii="Arial Narrow" w:hAnsi="Arial Narrow" w:cs="Calibri"/>
                <w:b/>
                <w:bCs/>
                <w:sz w:val="20"/>
                <w:szCs w:val="20"/>
              </w:rPr>
            </w:pPr>
            <w:r w:rsidRPr="008D797E">
              <w:rPr>
                <w:rFonts w:ascii="Arial Narrow" w:hAnsi="Arial Narrow" w:cs="Calibri"/>
                <w:bCs/>
                <w:sz w:val="20"/>
                <w:szCs w:val="20"/>
              </w:rPr>
              <w:t>58 (12.6)</w:t>
            </w:r>
          </w:p>
        </w:tc>
        <w:tc>
          <w:tcPr>
            <w:tcW w:w="557" w:type="pct"/>
            <w:tcBorders>
              <w:left w:val="single" w:sz="4" w:space="0" w:color="auto"/>
              <w:right w:val="single" w:sz="4" w:space="0" w:color="auto"/>
            </w:tcBorders>
          </w:tcPr>
          <w:p w:rsidR="00EA35CA" w:rsidRPr="008D797E" w:rsidRDefault="00EA35CA" w:rsidP="00A74C01">
            <w:pPr>
              <w:keepNext/>
              <w:keepLines/>
              <w:widowControl w:val="0"/>
              <w:spacing w:before="40" w:after="40"/>
              <w:jc w:val="center"/>
              <w:rPr>
                <w:rFonts w:ascii="Arial Narrow" w:hAnsi="Arial Narrow" w:cs="Calibri"/>
                <w:b/>
                <w:bCs/>
                <w:sz w:val="20"/>
                <w:szCs w:val="20"/>
              </w:rPr>
            </w:pPr>
            <w:r w:rsidRPr="008D797E">
              <w:rPr>
                <w:rFonts w:ascii="Arial Narrow" w:hAnsi="Arial Narrow" w:cs="Calibri"/>
                <w:bCs/>
                <w:sz w:val="20"/>
                <w:szCs w:val="20"/>
              </w:rPr>
              <w:t>31 (7.2)</w:t>
            </w:r>
          </w:p>
        </w:tc>
        <w:tc>
          <w:tcPr>
            <w:tcW w:w="844" w:type="pct"/>
            <w:tcBorders>
              <w:left w:val="single" w:sz="4" w:space="0" w:color="auto"/>
              <w:right w:val="single" w:sz="4" w:space="0" w:color="auto"/>
            </w:tcBorders>
          </w:tcPr>
          <w:p w:rsidR="00EA35CA" w:rsidRPr="008D797E" w:rsidRDefault="00EA35CA" w:rsidP="00A74C01">
            <w:pPr>
              <w:keepNext/>
              <w:keepLines/>
              <w:widowControl w:val="0"/>
              <w:spacing w:before="40" w:after="40"/>
              <w:jc w:val="center"/>
              <w:rPr>
                <w:rFonts w:ascii="Arial Narrow" w:hAnsi="Arial Narrow" w:cs="Calibri"/>
                <w:b/>
                <w:sz w:val="20"/>
                <w:szCs w:val="20"/>
              </w:rPr>
            </w:pPr>
            <w:r w:rsidRPr="008D797E">
              <w:rPr>
                <w:rFonts w:ascii="Arial Narrow" w:hAnsi="Arial Narrow" w:cs="Calibri"/>
                <w:b/>
                <w:sz w:val="20"/>
                <w:szCs w:val="20"/>
              </w:rPr>
              <w:t>1.75 (1.15, 2.65)</w:t>
            </w:r>
          </w:p>
        </w:tc>
      </w:tr>
      <w:tr w:rsidR="00EA35CA" w:rsidRPr="008D797E" w:rsidTr="007C431D">
        <w:tc>
          <w:tcPr>
            <w:tcW w:w="1029" w:type="pct"/>
            <w:tcBorders>
              <w:left w:val="single" w:sz="4" w:space="0" w:color="auto"/>
              <w:right w:val="single" w:sz="4" w:space="0" w:color="auto"/>
            </w:tcBorders>
          </w:tcPr>
          <w:p w:rsidR="00EA35CA" w:rsidRPr="008D797E" w:rsidRDefault="00EA35CA" w:rsidP="00A74C01">
            <w:pPr>
              <w:keepNext/>
              <w:keepLines/>
              <w:widowControl w:val="0"/>
              <w:spacing w:before="40" w:after="40"/>
              <w:jc w:val="left"/>
              <w:rPr>
                <w:rFonts w:ascii="Arial Narrow" w:hAnsi="Arial Narrow" w:cs="Calibri"/>
                <w:bCs/>
                <w:sz w:val="20"/>
                <w:szCs w:val="20"/>
              </w:rPr>
            </w:pPr>
            <w:r w:rsidRPr="008D797E">
              <w:rPr>
                <w:rFonts w:ascii="Arial Narrow" w:hAnsi="Arial Narrow" w:cs="Calibri"/>
                <w:bCs/>
                <w:sz w:val="20"/>
                <w:szCs w:val="20"/>
              </w:rPr>
              <w:t>AE leading to discontinuation of any study treatment</w:t>
            </w:r>
          </w:p>
        </w:tc>
        <w:tc>
          <w:tcPr>
            <w:tcW w:w="557" w:type="pct"/>
            <w:tcBorders>
              <w:left w:val="nil"/>
              <w:right w:val="single" w:sz="4" w:space="0" w:color="auto"/>
            </w:tcBorders>
            <w:shd w:val="clear" w:color="auto" w:fill="DBE5F1" w:themeFill="accent1" w:themeFillTint="33"/>
          </w:tcPr>
          <w:p w:rsidR="00EA35CA" w:rsidRPr="008D797E" w:rsidRDefault="00EA35CA" w:rsidP="00A74C01">
            <w:pPr>
              <w:keepNext/>
              <w:keepLines/>
              <w:widowControl w:val="0"/>
              <w:spacing w:before="40" w:after="40"/>
              <w:jc w:val="center"/>
              <w:rPr>
                <w:rFonts w:ascii="Arial Narrow" w:hAnsi="Arial Narrow" w:cs="Calibri"/>
                <w:bCs/>
                <w:sz w:val="20"/>
                <w:szCs w:val="20"/>
              </w:rPr>
            </w:pPr>
          </w:p>
          <w:p w:rsidR="00EA35CA" w:rsidRPr="008D797E" w:rsidRDefault="00EA35CA" w:rsidP="00A74C01">
            <w:pPr>
              <w:keepNext/>
              <w:keepLines/>
              <w:widowControl w:val="0"/>
              <w:spacing w:before="40" w:after="40"/>
              <w:jc w:val="center"/>
              <w:rPr>
                <w:rFonts w:ascii="Arial Narrow" w:hAnsi="Arial Narrow" w:cs="Calibri"/>
                <w:bCs/>
                <w:sz w:val="20"/>
                <w:szCs w:val="20"/>
              </w:rPr>
            </w:pPr>
            <w:r w:rsidRPr="008D797E">
              <w:rPr>
                <w:rFonts w:ascii="Arial Narrow" w:hAnsi="Arial Narrow" w:cs="Calibri"/>
                <w:bCs/>
                <w:sz w:val="20"/>
                <w:szCs w:val="20"/>
              </w:rPr>
              <w:t>72 (15.9)</w:t>
            </w:r>
          </w:p>
        </w:tc>
        <w:tc>
          <w:tcPr>
            <w:tcW w:w="572" w:type="pct"/>
            <w:tcBorders>
              <w:left w:val="nil"/>
              <w:right w:val="single" w:sz="4" w:space="0" w:color="auto"/>
            </w:tcBorders>
            <w:shd w:val="clear" w:color="auto" w:fill="DBE5F1" w:themeFill="accent1" w:themeFillTint="33"/>
          </w:tcPr>
          <w:p w:rsidR="00EA35CA" w:rsidRPr="008D797E" w:rsidRDefault="00EA35CA" w:rsidP="00A74C01">
            <w:pPr>
              <w:keepNext/>
              <w:keepLines/>
              <w:widowControl w:val="0"/>
              <w:spacing w:before="40" w:after="40"/>
              <w:jc w:val="center"/>
              <w:rPr>
                <w:rFonts w:ascii="Arial Narrow" w:hAnsi="Arial Narrow" w:cs="Calibri"/>
                <w:bCs/>
                <w:sz w:val="20"/>
                <w:szCs w:val="20"/>
              </w:rPr>
            </w:pPr>
          </w:p>
          <w:p w:rsidR="00EA35CA" w:rsidRPr="008D797E" w:rsidRDefault="00EA35CA" w:rsidP="00A74C01">
            <w:pPr>
              <w:keepNext/>
              <w:keepLines/>
              <w:widowControl w:val="0"/>
              <w:spacing w:before="40" w:after="40"/>
              <w:jc w:val="center"/>
              <w:rPr>
                <w:rFonts w:ascii="Arial Narrow" w:hAnsi="Arial Narrow" w:cs="Calibri"/>
                <w:bCs/>
                <w:sz w:val="20"/>
                <w:szCs w:val="20"/>
              </w:rPr>
            </w:pPr>
            <w:r w:rsidRPr="008D797E">
              <w:rPr>
                <w:rFonts w:ascii="Arial Narrow" w:hAnsi="Arial Narrow" w:cs="Calibri"/>
                <w:bCs/>
                <w:sz w:val="20"/>
                <w:szCs w:val="20"/>
              </w:rPr>
              <w:t>36 (8.2)</w:t>
            </w:r>
          </w:p>
        </w:tc>
        <w:tc>
          <w:tcPr>
            <w:tcW w:w="856" w:type="pct"/>
            <w:tcBorders>
              <w:left w:val="single" w:sz="4" w:space="0" w:color="auto"/>
              <w:right w:val="single" w:sz="4" w:space="0" w:color="auto"/>
            </w:tcBorders>
            <w:shd w:val="clear" w:color="auto" w:fill="DBE5F1" w:themeFill="accent1" w:themeFillTint="33"/>
          </w:tcPr>
          <w:p w:rsidR="00EA35CA" w:rsidRPr="008D797E" w:rsidRDefault="00EA35CA" w:rsidP="00A74C01">
            <w:pPr>
              <w:keepNext/>
              <w:keepLines/>
              <w:widowControl w:val="0"/>
              <w:spacing w:before="40" w:after="40"/>
              <w:jc w:val="center"/>
              <w:rPr>
                <w:rFonts w:ascii="Arial Narrow" w:hAnsi="Arial Narrow" w:cs="Calibri"/>
                <w:b/>
                <w:bCs/>
                <w:sz w:val="20"/>
                <w:szCs w:val="20"/>
              </w:rPr>
            </w:pPr>
          </w:p>
          <w:p w:rsidR="00EA35CA" w:rsidRPr="008D797E" w:rsidRDefault="00EA35CA" w:rsidP="00A74C01">
            <w:pPr>
              <w:keepNext/>
              <w:keepLines/>
              <w:widowControl w:val="0"/>
              <w:spacing w:before="40" w:after="40"/>
              <w:jc w:val="center"/>
              <w:rPr>
                <w:rFonts w:ascii="Arial Narrow" w:hAnsi="Arial Narrow" w:cs="Calibri"/>
                <w:b/>
                <w:bCs/>
                <w:sz w:val="20"/>
                <w:szCs w:val="20"/>
              </w:rPr>
            </w:pPr>
            <w:r w:rsidRPr="008D797E">
              <w:rPr>
                <w:rFonts w:ascii="Arial Narrow" w:hAnsi="Arial Narrow" w:cs="Calibri"/>
                <w:b/>
                <w:bCs/>
                <w:sz w:val="20"/>
                <w:szCs w:val="20"/>
              </w:rPr>
              <w:t>1.94 (1.33, 2.83)</w:t>
            </w:r>
          </w:p>
        </w:tc>
        <w:tc>
          <w:tcPr>
            <w:tcW w:w="586" w:type="pct"/>
            <w:tcBorders>
              <w:left w:val="single" w:sz="4" w:space="0" w:color="auto"/>
              <w:right w:val="single" w:sz="4" w:space="0" w:color="auto"/>
            </w:tcBorders>
          </w:tcPr>
          <w:p w:rsidR="00EA35CA" w:rsidRPr="008D797E" w:rsidRDefault="00EA35CA" w:rsidP="00A74C01">
            <w:pPr>
              <w:keepNext/>
              <w:keepLines/>
              <w:widowControl w:val="0"/>
              <w:spacing w:before="40" w:after="40"/>
              <w:jc w:val="center"/>
              <w:rPr>
                <w:rFonts w:ascii="Arial Narrow" w:hAnsi="Arial Narrow" w:cs="Calibri"/>
                <w:bCs/>
                <w:sz w:val="20"/>
                <w:szCs w:val="20"/>
              </w:rPr>
            </w:pPr>
          </w:p>
          <w:p w:rsidR="00EA35CA" w:rsidRPr="008D797E" w:rsidRDefault="00EA35CA" w:rsidP="00A74C01">
            <w:pPr>
              <w:keepNext/>
              <w:keepLines/>
              <w:widowControl w:val="0"/>
              <w:spacing w:before="40" w:after="40"/>
              <w:jc w:val="center"/>
              <w:rPr>
                <w:rFonts w:ascii="Arial Narrow" w:hAnsi="Arial Narrow" w:cs="Calibri"/>
                <w:b/>
                <w:bCs/>
                <w:sz w:val="20"/>
                <w:szCs w:val="20"/>
              </w:rPr>
            </w:pPr>
            <w:r w:rsidRPr="008D797E">
              <w:rPr>
                <w:rFonts w:ascii="Arial Narrow" w:hAnsi="Arial Narrow" w:cs="Calibri"/>
                <w:bCs/>
                <w:sz w:val="20"/>
                <w:szCs w:val="20"/>
              </w:rPr>
              <w:t>88 (19.1)</w:t>
            </w:r>
          </w:p>
        </w:tc>
        <w:tc>
          <w:tcPr>
            <w:tcW w:w="557" w:type="pct"/>
            <w:tcBorders>
              <w:left w:val="single" w:sz="4" w:space="0" w:color="auto"/>
              <w:right w:val="single" w:sz="4" w:space="0" w:color="auto"/>
            </w:tcBorders>
          </w:tcPr>
          <w:p w:rsidR="00EA35CA" w:rsidRPr="008D797E" w:rsidRDefault="00EA35CA" w:rsidP="00A74C01">
            <w:pPr>
              <w:keepNext/>
              <w:keepLines/>
              <w:widowControl w:val="0"/>
              <w:spacing w:before="40" w:after="40"/>
              <w:jc w:val="center"/>
              <w:rPr>
                <w:rFonts w:ascii="Arial Narrow" w:hAnsi="Arial Narrow" w:cs="Calibri"/>
                <w:bCs/>
                <w:sz w:val="20"/>
                <w:szCs w:val="20"/>
              </w:rPr>
            </w:pPr>
          </w:p>
          <w:p w:rsidR="00EA35CA" w:rsidRPr="008D797E" w:rsidRDefault="00EA35CA" w:rsidP="00A74C01">
            <w:pPr>
              <w:keepNext/>
              <w:keepLines/>
              <w:widowControl w:val="0"/>
              <w:spacing w:before="40" w:after="40"/>
              <w:jc w:val="center"/>
              <w:rPr>
                <w:rFonts w:ascii="Arial Narrow" w:hAnsi="Arial Narrow" w:cs="Calibri"/>
                <w:b/>
                <w:bCs/>
                <w:sz w:val="20"/>
                <w:szCs w:val="20"/>
              </w:rPr>
            </w:pPr>
            <w:r w:rsidRPr="008D797E">
              <w:rPr>
                <w:rFonts w:ascii="Arial Narrow" w:hAnsi="Arial Narrow" w:cs="Calibri"/>
                <w:bCs/>
                <w:sz w:val="20"/>
                <w:szCs w:val="20"/>
              </w:rPr>
              <w:t>36 (8.4)</w:t>
            </w:r>
          </w:p>
        </w:tc>
        <w:tc>
          <w:tcPr>
            <w:tcW w:w="844" w:type="pct"/>
            <w:tcBorders>
              <w:left w:val="single" w:sz="4" w:space="0" w:color="auto"/>
              <w:right w:val="single" w:sz="4" w:space="0" w:color="auto"/>
            </w:tcBorders>
          </w:tcPr>
          <w:p w:rsidR="00EA35CA" w:rsidRPr="008D797E" w:rsidRDefault="00EA35CA" w:rsidP="00A74C01">
            <w:pPr>
              <w:keepNext/>
              <w:keepLines/>
              <w:widowControl w:val="0"/>
              <w:spacing w:before="40" w:after="40"/>
              <w:jc w:val="center"/>
              <w:rPr>
                <w:rFonts w:ascii="Arial Narrow" w:hAnsi="Arial Narrow" w:cs="Calibri"/>
                <w:b/>
                <w:bCs/>
                <w:sz w:val="20"/>
                <w:szCs w:val="20"/>
              </w:rPr>
            </w:pPr>
          </w:p>
          <w:p w:rsidR="00EA35CA" w:rsidRPr="008D797E" w:rsidRDefault="00EA35CA" w:rsidP="00A74C01">
            <w:pPr>
              <w:keepNext/>
              <w:keepLines/>
              <w:widowControl w:val="0"/>
              <w:spacing w:before="40" w:after="40"/>
              <w:jc w:val="center"/>
              <w:rPr>
                <w:rFonts w:ascii="Arial Narrow" w:hAnsi="Arial Narrow" w:cs="Calibri"/>
                <w:b/>
                <w:bCs/>
                <w:sz w:val="20"/>
                <w:szCs w:val="20"/>
              </w:rPr>
            </w:pPr>
            <w:r w:rsidRPr="008D797E">
              <w:rPr>
                <w:rFonts w:ascii="Arial Narrow" w:hAnsi="Arial Narrow" w:cs="Calibri"/>
                <w:b/>
                <w:bCs/>
                <w:sz w:val="20"/>
                <w:szCs w:val="20"/>
              </w:rPr>
              <w:t>2.29 (1.59, 3.29)</w:t>
            </w:r>
          </w:p>
        </w:tc>
      </w:tr>
      <w:tr w:rsidR="00EA35CA" w:rsidRPr="008D797E" w:rsidTr="007C431D">
        <w:tc>
          <w:tcPr>
            <w:tcW w:w="1029" w:type="pct"/>
            <w:tcBorders>
              <w:left w:val="single" w:sz="4" w:space="0" w:color="auto"/>
              <w:right w:val="single" w:sz="4" w:space="0" w:color="auto"/>
            </w:tcBorders>
          </w:tcPr>
          <w:p w:rsidR="00EA35CA" w:rsidRPr="008D797E" w:rsidRDefault="00EA35CA" w:rsidP="00A74C01">
            <w:pPr>
              <w:keepNext/>
              <w:keepLines/>
              <w:widowControl w:val="0"/>
              <w:spacing w:before="40" w:after="40"/>
              <w:ind w:left="284"/>
              <w:jc w:val="left"/>
              <w:rPr>
                <w:rFonts w:ascii="Arial Narrow" w:hAnsi="Arial Narrow" w:cs="Calibri"/>
                <w:bCs/>
                <w:sz w:val="20"/>
                <w:szCs w:val="20"/>
              </w:rPr>
            </w:pPr>
            <w:r w:rsidRPr="008D797E">
              <w:rPr>
                <w:rFonts w:ascii="Arial Narrow" w:hAnsi="Arial Narrow" w:cs="Calibri"/>
                <w:bCs/>
                <w:sz w:val="20"/>
                <w:szCs w:val="20"/>
              </w:rPr>
              <w:t>ATZ/PBO</w:t>
            </w:r>
          </w:p>
        </w:tc>
        <w:tc>
          <w:tcPr>
            <w:tcW w:w="557" w:type="pct"/>
            <w:tcBorders>
              <w:left w:val="nil"/>
              <w:right w:val="single" w:sz="4" w:space="0" w:color="auto"/>
            </w:tcBorders>
            <w:shd w:val="clear" w:color="auto" w:fill="DBE5F1" w:themeFill="accent1" w:themeFillTint="33"/>
          </w:tcPr>
          <w:p w:rsidR="00EA35CA" w:rsidRPr="008D797E" w:rsidRDefault="00EA35CA" w:rsidP="00A74C01">
            <w:pPr>
              <w:keepNext/>
              <w:keepLines/>
              <w:widowControl w:val="0"/>
              <w:spacing w:before="40" w:after="40"/>
              <w:jc w:val="center"/>
              <w:rPr>
                <w:rFonts w:ascii="Arial Narrow" w:hAnsi="Arial Narrow" w:cs="Calibri"/>
                <w:bCs/>
                <w:sz w:val="20"/>
                <w:szCs w:val="20"/>
              </w:rPr>
            </w:pPr>
            <w:r w:rsidRPr="008D797E">
              <w:rPr>
                <w:rFonts w:ascii="Arial Narrow" w:hAnsi="Arial Narrow" w:cs="Calibri"/>
                <w:bCs/>
                <w:sz w:val="20"/>
                <w:szCs w:val="20"/>
              </w:rPr>
              <w:t>29 (6.4)</w:t>
            </w:r>
          </w:p>
        </w:tc>
        <w:tc>
          <w:tcPr>
            <w:tcW w:w="572" w:type="pct"/>
            <w:tcBorders>
              <w:left w:val="nil"/>
              <w:right w:val="single" w:sz="4" w:space="0" w:color="auto"/>
            </w:tcBorders>
            <w:shd w:val="clear" w:color="auto" w:fill="DBE5F1" w:themeFill="accent1" w:themeFillTint="33"/>
          </w:tcPr>
          <w:p w:rsidR="00EA35CA" w:rsidRPr="008D797E" w:rsidRDefault="00EA35CA" w:rsidP="00A74C01">
            <w:pPr>
              <w:keepNext/>
              <w:keepLines/>
              <w:widowControl w:val="0"/>
              <w:spacing w:before="40" w:after="40"/>
              <w:jc w:val="center"/>
              <w:rPr>
                <w:rFonts w:ascii="Arial Narrow" w:hAnsi="Arial Narrow" w:cs="Calibri"/>
                <w:bCs/>
                <w:sz w:val="20"/>
                <w:szCs w:val="20"/>
              </w:rPr>
            </w:pPr>
            <w:r w:rsidRPr="008D797E">
              <w:rPr>
                <w:rFonts w:ascii="Arial Narrow" w:hAnsi="Arial Narrow" w:cs="Calibri"/>
                <w:bCs/>
                <w:sz w:val="20"/>
                <w:szCs w:val="20"/>
              </w:rPr>
              <w:t>6 (1.4)</w:t>
            </w:r>
          </w:p>
        </w:tc>
        <w:tc>
          <w:tcPr>
            <w:tcW w:w="856" w:type="pct"/>
            <w:tcBorders>
              <w:left w:val="single" w:sz="4" w:space="0" w:color="auto"/>
              <w:right w:val="single" w:sz="4" w:space="0" w:color="auto"/>
            </w:tcBorders>
            <w:shd w:val="clear" w:color="auto" w:fill="DBE5F1" w:themeFill="accent1" w:themeFillTint="33"/>
          </w:tcPr>
          <w:p w:rsidR="00EA35CA" w:rsidRPr="008D797E" w:rsidRDefault="00EA35CA" w:rsidP="00A74C01">
            <w:pPr>
              <w:keepNext/>
              <w:keepLines/>
              <w:widowControl w:val="0"/>
              <w:spacing w:before="40" w:after="40"/>
              <w:jc w:val="center"/>
              <w:rPr>
                <w:rFonts w:ascii="Arial Narrow" w:hAnsi="Arial Narrow" w:cs="Calibri"/>
                <w:b/>
                <w:bCs/>
                <w:sz w:val="20"/>
                <w:szCs w:val="20"/>
              </w:rPr>
            </w:pPr>
            <w:r w:rsidRPr="008D797E">
              <w:rPr>
                <w:rFonts w:ascii="Arial Narrow" w:hAnsi="Arial Narrow" w:cs="Calibri"/>
                <w:b/>
                <w:bCs/>
                <w:sz w:val="20"/>
                <w:szCs w:val="20"/>
              </w:rPr>
              <w:t>4.68 (1.96, 11.17)</w:t>
            </w:r>
          </w:p>
        </w:tc>
        <w:tc>
          <w:tcPr>
            <w:tcW w:w="586" w:type="pct"/>
            <w:tcBorders>
              <w:left w:val="single" w:sz="4" w:space="0" w:color="auto"/>
              <w:right w:val="single" w:sz="4" w:space="0" w:color="auto"/>
            </w:tcBorders>
          </w:tcPr>
          <w:p w:rsidR="00EA35CA" w:rsidRPr="008D797E" w:rsidRDefault="00EA35CA" w:rsidP="00A74C01">
            <w:pPr>
              <w:keepNext/>
              <w:keepLines/>
              <w:widowControl w:val="0"/>
              <w:spacing w:before="40" w:after="40"/>
              <w:jc w:val="center"/>
              <w:rPr>
                <w:rFonts w:ascii="Arial Narrow" w:hAnsi="Arial Narrow" w:cs="Calibri"/>
                <w:b/>
                <w:bCs/>
                <w:sz w:val="20"/>
                <w:szCs w:val="20"/>
              </w:rPr>
            </w:pPr>
            <w:r w:rsidRPr="008D797E">
              <w:rPr>
                <w:rFonts w:ascii="Arial Narrow" w:hAnsi="Arial Narrow" w:cs="Calibri"/>
                <w:bCs/>
                <w:sz w:val="20"/>
                <w:szCs w:val="20"/>
              </w:rPr>
              <w:t>37 (8.0)</w:t>
            </w:r>
          </w:p>
        </w:tc>
        <w:tc>
          <w:tcPr>
            <w:tcW w:w="557" w:type="pct"/>
            <w:tcBorders>
              <w:left w:val="single" w:sz="4" w:space="0" w:color="auto"/>
              <w:right w:val="single" w:sz="4" w:space="0" w:color="auto"/>
            </w:tcBorders>
          </w:tcPr>
          <w:p w:rsidR="00EA35CA" w:rsidRPr="008D797E" w:rsidRDefault="00EA35CA" w:rsidP="00A74C01">
            <w:pPr>
              <w:keepNext/>
              <w:keepLines/>
              <w:widowControl w:val="0"/>
              <w:spacing w:before="40" w:after="40"/>
              <w:jc w:val="center"/>
              <w:rPr>
                <w:rFonts w:ascii="Arial Narrow" w:hAnsi="Arial Narrow" w:cs="Calibri"/>
                <w:b/>
                <w:bCs/>
                <w:sz w:val="20"/>
                <w:szCs w:val="20"/>
              </w:rPr>
            </w:pPr>
            <w:r w:rsidRPr="008D797E">
              <w:rPr>
                <w:rFonts w:ascii="Arial Narrow" w:hAnsi="Arial Narrow" w:cs="Calibri"/>
                <w:bCs/>
                <w:sz w:val="20"/>
                <w:szCs w:val="20"/>
              </w:rPr>
              <w:t>4 (0.9)</w:t>
            </w:r>
          </w:p>
        </w:tc>
        <w:tc>
          <w:tcPr>
            <w:tcW w:w="844" w:type="pct"/>
            <w:tcBorders>
              <w:left w:val="single" w:sz="4" w:space="0" w:color="auto"/>
              <w:right w:val="single" w:sz="4" w:space="0" w:color="auto"/>
            </w:tcBorders>
          </w:tcPr>
          <w:p w:rsidR="00EA35CA" w:rsidRPr="008D797E" w:rsidRDefault="00EA35CA" w:rsidP="00A74C01">
            <w:pPr>
              <w:keepNext/>
              <w:keepLines/>
              <w:widowControl w:val="0"/>
              <w:spacing w:before="40" w:after="40"/>
              <w:jc w:val="center"/>
              <w:rPr>
                <w:rFonts w:ascii="Arial Narrow" w:hAnsi="Arial Narrow" w:cs="Calibri"/>
                <w:b/>
                <w:sz w:val="20"/>
                <w:szCs w:val="20"/>
              </w:rPr>
            </w:pPr>
            <w:r w:rsidRPr="008D797E">
              <w:rPr>
                <w:rFonts w:ascii="Arial Narrow" w:hAnsi="Arial Narrow" w:cs="Calibri"/>
                <w:b/>
                <w:sz w:val="20"/>
                <w:szCs w:val="20"/>
              </w:rPr>
              <w:t>8.65 (3.12, 24.06)</w:t>
            </w:r>
          </w:p>
        </w:tc>
      </w:tr>
      <w:tr w:rsidR="00EA35CA" w:rsidRPr="008D797E" w:rsidTr="007C431D">
        <w:tc>
          <w:tcPr>
            <w:tcW w:w="1029" w:type="pct"/>
            <w:tcBorders>
              <w:left w:val="single" w:sz="4" w:space="0" w:color="auto"/>
              <w:right w:val="single" w:sz="4" w:space="0" w:color="auto"/>
            </w:tcBorders>
          </w:tcPr>
          <w:p w:rsidR="00EA35CA" w:rsidRPr="008D797E" w:rsidRDefault="00EA35CA" w:rsidP="00A74C01">
            <w:pPr>
              <w:keepNext/>
              <w:keepLines/>
              <w:widowControl w:val="0"/>
              <w:spacing w:before="40" w:after="40"/>
              <w:ind w:left="284"/>
              <w:jc w:val="left"/>
              <w:rPr>
                <w:rFonts w:ascii="Arial Narrow" w:hAnsi="Arial Narrow" w:cs="Calibri"/>
                <w:bCs/>
                <w:sz w:val="20"/>
                <w:szCs w:val="20"/>
              </w:rPr>
            </w:pPr>
            <w:r w:rsidRPr="008D797E">
              <w:rPr>
                <w:rFonts w:ascii="Arial Narrow" w:hAnsi="Arial Narrow" w:cs="Calibri"/>
                <w:bCs/>
                <w:sz w:val="20"/>
                <w:szCs w:val="20"/>
              </w:rPr>
              <w:t>Nab-paclitaxel</w:t>
            </w:r>
          </w:p>
        </w:tc>
        <w:tc>
          <w:tcPr>
            <w:tcW w:w="557" w:type="pct"/>
            <w:tcBorders>
              <w:left w:val="nil"/>
              <w:right w:val="single" w:sz="4" w:space="0" w:color="auto"/>
            </w:tcBorders>
            <w:shd w:val="clear" w:color="auto" w:fill="DBE5F1" w:themeFill="accent1" w:themeFillTint="33"/>
          </w:tcPr>
          <w:p w:rsidR="00EA35CA" w:rsidRPr="008D797E" w:rsidRDefault="00EA35CA" w:rsidP="00A74C01">
            <w:pPr>
              <w:keepNext/>
              <w:keepLines/>
              <w:widowControl w:val="0"/>
              <w:spacing w:before="40" w:after="40"/>
              <w:jc w:val="center"/>
              <w:rPr>
                <w:rFonts w:ascii="Arial Narrow" w:hAnsi="Arial Narrow" w:cs="Calibri"/>
                <w:bCs/>
                <w:sz w:val="20"/>
                <w:szCs w:val="20"/>
              </w:rPr>
            </w:pPr>
            <w:r w:rsidRPr="008D797E">
              <w:rPr>
                <w:rFonts w:ascii="Arial Narrow" w:hAnsi="Arial Narrow" w:cs="Calibri"/>
                <w:bCs/>
                <w:sz w:val="20"/>
                <w:szCs w:val="20"/>
              </w:rPr>
              <w:t>72 (15.9)</w:t>
            </w:r>
          </w:p>
        </w:tc>
        <w:tc>
          <w:tcPr>
            <w:tcW w:w="572" w:type="pct"/>
            <w:tcBorders>
              <w:left w:val="nil"/>
              <w:right w:val="single" w:sz="4" w:space="0" w:color="auto"/>
            </w:tcBorders>
            <w:shd w:val="clear" w:color="auto" w:fill="DBE5F1" w:themeFill="accent1" w:themeFillTint="33"/>
          </w:tcPr>
          <w:p w:rsidR="00EA35CA" w:rsidRPr="008D797E" w:rsidRDefault="00EA35CA" w:rsidP="00A74C01">
            <w:pPr>
              <w:keepNext/>
              <w:keepLines/>
              <w:widowControl w:val="0"/>
              <w:spacing w:before="40" w:after="40"/>
              <w:jc w:val="center"/>
              <w:rPr>
                <w:rFonts w:ascii="Arial Narrow" w:hAnsi="Arial Narrow" w:cs="Calibri"/>
                <w:bCs/>
                <w:sz w:val="20"/>
                <w:szCs w:val="20"/>
              </w:rPr>
            </w:pPr>
            <w:r w:rsidRPr="008D797E">
              <w:rPr>
                <w:rFonts w:ascii="Arial Narrow" w:hAnsi="Arial Narrow" w:cs="Calibri"/>
                <w:bCs/>
                <w:sz w:val="20"/>
                <w:szCs w:val="20"/>
              </w:rPr>
              <w:t>36 (8.2)</w:t>
            </w:r>
          </w:p>
        </w:tc>
        <w:tc>
          <w:tcPr>
            <w:tcW w:w="856" w:type="pct"/>
            <w:tcBorders>
              <w:left w:val="single" w:sz="4" w:space="0" w:color="auto"/>
              <w:right w:val="single" w:sz="4" w:space="0" w:color="auto"/>
            </w:tcBorders>
            <w:shd w:val="clear" w:color="auto" w:fill="DBE5F1" w:themeFill="accent1" w:themeFillTint="33"/>
          </w:tcPr>
          <w:p w:rsidR="00EA35CA" w:rsidRPr="008D797E" w:rsidRDefault="00EA35CA" w:rsidP="00A74C01">
            <w:pPr>
              <w:keepNext/>
              <w:keepLines/>
              <w:widowControl w:val="0"/>
              <w:spacing w:before="40" w:after="40"/>
              <w:jc w:val="center"/>
              <w:rPr>
                <w:rFonts w:ascii="Arial Narrow" w:hAnsi="Arial Narrow" w:cs="Calibri"/>
                <w:b/>
                <w:bCs/>
                <w:sz w:val="20"/>
                <w:szCs w:val="20"/>
              </w:rPr>
            </w:pPr>
            <w:r w:rsidRPr="008D797E">
              <w:rPr>
                <w:rFonts w:ascii="Arial Narrow" w:hAnsi="Arial Narrow" w:cs="Calibri"/>
                <w:b/>
                <w:bCs/>
                <w:sz w:val="20"/>
                <w:szCs w:val="20"/>
              </w:rPr>
              <w:t>1.94 (1.33, 2.83)</w:t>
            </w:r>
          </w:p>
        </w:tc>
        <w:tc>
          <w:tcPr>
            <w:tcW w:w="586" w:type="pct"/>
            <w:tcBorders>
              <w:left w:val="single" w:sz="4" w:space="0" w:color="auto"/>
              <w:right w:val="single" w:sz="4" w:space="0" w:color="auto"/>
            </w:tcBorders>
          </w:tcPr>
          <w:p w:rsidR="00EA35CA" w:rsidRPr="008D797E" w:rsidRDefault="00EA35CA" w:rsidP="00A74C01">
            <w:pPr>
              <w:keepNext/>
              <w:keepLines/>
              <w:widowControl w:val="0"/>
              <w:spacing w:before="40" w:after="40"/>
              <w:jc w:val="center"/>
              <w:rPr>
                <w:rFonts w:ascii="Arial Narrow" w:hAnsi="Arial Narrow" w:cs="Calibri"/>
                <w:b/>
                <w:bCs/>
                <w:sz w:val="20"/>
                <w:szCs w:val="20"/>
              </w:rPr>
            </w:pPr>
            <w:r w:rsidRPr="008D797E">
              <w:rPr>
                <w:rFonts w:ascii="Arial Narrow" w:hAnsi="Arial Narrow" w:cs="Calibri"/>
                <w:bCs/>
                <w:sz w:val="20"/>
                <w:szCs w:val="20"/>
              </w:rPr>
              <w:t>85 (18.5)</w:t>
            </w:r>
          </w:p>
        </w:tc>
        <w:tc>
          <w:tcPr>
            <w:tcW w:w="557" w:type="pct"/>
            <w:tcBorders>
              <w:left w:val="single" w:sz="4" w:space="0" w:color="auto"/>
              <w:right w:val="single" w:sz="4" w:space="0" w:color="auto"/>
            </w:tcBorders>
          </w:tcPr>
          <w:p w:rsidR="00EA35CA" w:rsidRPr="008D797E" w:rsidRDefault="00EA35CA" w:rsidP="00A74C01">
            <w:pPr>
              <w:keepNext/>
              <w:keepLines/>
              <w:widowControl w:val="0"/>
              <w:spacing w:before="40" w:after="40"/>
              <w:jc w:val="center"/>
              <w:rPr>
                <w:rFonts w:ascii="Arial Narrow" w:hAnsi="Arial Narrow" w:cs="Calibri"/>
                <w:b/>
                <w:bCs/>
                <w:sz w:val="20"/>
                <w:szCs w:val="20"/>
              </w:rPr>
            </w:pPr>
            <w:r w:rsidRPr="008D797E">
              <w:rPr>
                <w:rFonts w:ascii="Arial Narrow" w:hAnsi="Arial Narrow" w:cs="Calibri"/>
                <w:bCs/>
                <w:sz w:val="20"/>
                <w:szCs w:val="20"/>
              </w:rPr>
              <w:t>36 (8.4)</w:t>
            </w:r>
          </w:p>
        </w:tc>
        <w:tc>
          <w:tcPr>
            <w:tcW w:w="844" w:type="pct"/>
            <w:tcBorders>
              <w:left w:val="single" w:sz="4" w:space="0" w:color="auto"/>
              <w:right w:val="single" w:sz="4" w:space="0" w:color="auto"/>
            </w:tcBorders>
          </w:tcPr>
          <w:p w:rsidR="00EA35CA" w:rsidRPr="008D797E" w:rsidRDefault="00EA35CA" w:rsidP="00A74C01">
            <w:pPr>
              <w:keepNext/>
              <w:keepLines/>
              <w:widowControl w:val="0"/>
              <w:spacing w:before="40" w:after="40"/>
              <w:jc w:val="center"/>
              <w:rPr>
                <w:rFonts w:ascii="Arial Narrow" w:hAnsi="Arial Narrow" w:cs="Calibri"/>
                <w:b/>
                <w:bCs/>
                <w:sz w:val="20"/>
                <w:szCs w:val="20"/>
              </w:rPr>
            </w:pPr>
            <w:r w:rsidRPr="008D797E">
              <w:rPr>
                <w:rFonts w:ascii="Arial Narrow" w:hAnsi="Arial Narrow" w:cs="Calibri"/>
                <w:b/>
                <w:bCs/>
                <w:sz w:val="20"/>
                <w:szCs w:val="20"/>
              </w:rPr>
              <w:t>2.21 (1.53, 3.19)</w:t>
            </w:r>
          </w:p>
        </w:tc>
      </w:tr>
      <w:tr w:rsidR="00EA35CA" w:rsidRPr="008D797E" w:rsidTr="007C431D">
        <w:tc>
          <w:tcPr>
            <w:tcW w:w="1029" w:type="pct"/>
            <w:tcBorders>
              <w:left w:val="single" w:sz="4" w:space="0" w:color="auto"/>
              <w:right w:val="single" w:sz="4" w:space="0" w:color="auto"/>
            </w:tcBorders>
          </w:tcPr>
          <w:p w:rsidR="00EA35CA" w:rsidRPr="008D797E" w:rsidRDefault="00EA35CA" w:rsidP="00A74C01">
            <w:pPr>
              <w:keepNext/>
              <w:keepLines/>
              <w:widowControl w:val="0"/>
              <w:spacing w:before="40" w:after="40"/>
              <w:jc w:val="left"/>
              <w:rPr>
                <w:rFonts w:ascii="Arial Narrow" w:hAnsi="Arial Narrow" w:cs="Calibri"/>
                <w:bCs/>
                <w:sz w:val="20"/>
                <w:szCs w:val="20"/>
              </w:rPr>
            </w:pPr>
            <w:r w:rsidRPr="008D797E">
              <w:rPr>
                <w:rFonts w:ascii="Arial Narrow" w:hAnsi="Arial Narrow" w:cs="Calibri"/>
                <w:bCs/>
                <w:sz w:val="20"/>
                <w:szCs w:val="20"/>
              </w:rPr>
              <w:t>AE leading to any dose interruption of ATZ/PBO</w:t>
            </w:r>
          </w:p>
        </w:tc>
        <w:tc>
          <w:tcPr>
            <w:tcW w:w="557" w:type="pct"/>
            <w:tcBorders>
              <w:left w:val="nil"/>
              <w:right w:val="single" w:sz="4" w:space="0" w:color="auto"/>
            </w:tcBorders>
            <w:shd w:val="clear" w:color="auto" w:fill="DBE5F1" w:themeFill="accent1" w:themeFillTint="33"/>
          </w:tcPr>
          <w:p w:rsidR="00EA35CA" w:rsidRPr="008D797E" w:rsidRDefault="00EA35CA" w:rsidP="00A74C01">
            <w:pPr>
              <w:keepNext/>
              <w:keepLines/>
              <w:widowControl w:val="0"/>
              <w:spacing w:before="40" w:after="40"/>
              <w:jc w:val="center"/>
              <w:rPr>
                <w:rFonts w:ascii="Arial Narrow" w:hAnsi="Arial Narrow" w:cs="Calibri"/>
                <w:bCs/>
                <w:sz w:val="20"/>
                <w:szCs w:val="20"/>
              </w:rPr>
            </w:pPr>
            <w:r w:rsidRPr="008D797E">
              <w:rPr>
                <w:rFonts w:ascii="Arial Narrow" w:hAnsi="Arial Narrow" w:cs="Calibri"/>
                <w:bCs/>
                <w:sz w:val="20"/>
                <w:szCs w:val="20"/>
              </w:rPr>
              <w:t>139 (30.8)</w:t>
            </w:r>
          </w:p>
        </w:tc>
        <w:tc>
          <w:tcPr>
            <w:tcW w:w="572" w:type="pct"/>
            <w:tcBorders>
              <w:left w:val="nil"/>
              <w:right w:val="single" w:sz="4" w:space="0" w:color="auto"/>
            </w:tcBorders>
            <w:shd w:val="clear" w:color="auto" w:fill="DBE5F1" w:themeFill="accent1" w:themeFillTint="33"/>
          </w:tcPr>
          <w:p w:rsidR="00EA35CA" w:rsidRPr="008D797E" w:rsidRDefault="00EA35CA" w:rsidP="00A74C01">
            <w:pPr>
              <w:keepNext/>
              <w:keepLines/>
              <w:widowControl w:val="0"/>
              <w:spacing w:before="40" w:after="40"/>
              <w:jc w:val="center"/>
              <w:rPr>
                <w:rFonts w:ascii="Arial Narrow" w:hAnsi="Arial Narrow" w:cs="Calibri"/>
                <w:bCs/>
                <w:sz w:val="20"/>
                <w:szCs w:val="20"/>
              </w:rPr>
            </w:pPr>
            <w:r w:rsidRPr="008D797E">
              <w:rPr>
                <w:rFonts w:ascii="Arial Narrow" w:hAnsi="Arial Narrow" w:cs="Calibri"/>
                <w:bCs/>
                <w:sz w:val="20"/>
                <w:szCs w:val="20"/>
              </w:rPr>
              <w:t>103 (23.5)</w:t>
            </w:r>
          </w:p>
        </w:tc>
        <w:tc>
          <w:tcPr>
            <w:tcW w:w="856" w:type="pct"/>
            <w:tcBorders>
              <w:left w:val="single" w:sz="4" w:space="0" w:color="auto"/>
              <w:right w:val="single" w:sz="4" w:space="0" w:color="auto"/>
            </w:tcBorders>
            <w:shd w:val="clear" w:color="auto" w:fill="DBE5F1" w:themeFill="accent1" w:themeFillTint="33"/>
          </w:tcPr>
          <w:p w:rsidR="00EA35CA" w:rsidRPr="008D797E" w:rsidRDefault="00EA35CA" w:rsidP="00A74C01">
            <w:pPr>
              <w:keepNext/>
              <w:keepLines/>
              <w:widowControl w:val="0"/>
              <w:spacing w:before="40" w:after="40"/>
              <w:jc w:val="center"/>
              <w:rPr>
                <w:rFonts w:ascii="Arial Narrow" w:hAnsi="Arial Narrow" w:cs="Calibri"/>
                <w:b/>
                <w:bCs/>
                <w:sz w:val="20"/>
                <w:szCs w:val="20"/>
              </w:rPr>
            </w:pPr>
            <w:r w:rsidRPr="008D797E">
              <w:rPr>
                <w:rFonts w:ascii="Arial Narrow" w:hAnsi="Arial Narrow" w:cs="Calibri"/>
                <w:b/>
                <w:bCs/>
                <w:sz w:val="20"/>
                <w:szCs w:val="20"/>
              </w:rPr>
              <w:t>1.31 (1.05, 1.63)</w:t>
            </w:r>
          </w:p>
        </w:tc>
        <w:tc>
          <w:tcPr>
            <w:tcW w:w="586" w:type="pct"/>
            <w:tcBorders>
              <w:left w:val="single" w:sz="4" w:space="0" w:color="auto"/>
              <w:right w:val="single" w:sz="4" w:space="0" w:color="auto"/>
            </w:tcBorders>
          </w:tcPr>
          <w:p w:rsidR="00EA35CA" w:rsidRPr="008D797E" w:rsidRDefault="00EA35CA" w:rsidP="00A74C01">
            <w:pPr>
              <w:keepNext/>
              <w:keepLines/>
              <w:widowControl w:val="0"/>
              <w:spacing w:before="40" w:after="40"/>
              <w:jc w:val="center"/>
              <w:rPr>
                <w:rFonts w:ascii="Arial Narrow" w:hAnsi="Arial Narrow" w:cs="Calibri"/>
                <w:b/>
                <w:bCs/>
                <w:sz w:val="20"/>
                <w:szCs w:val="20"/>
              </w:rPr>
            </w:pPr>
            <w:r w:rsidRPr="008D797E">
              <w:rPr>
                <w:rFonts w:ascii="Arial Narrow" w:hAnsi="Arial Narrow" w:cs="Calibri"/>
                <w:bCs/>
                <w:sz w:val="20"/>
                <w:szCs w:val="20"/>
              </w:rPr>
              <w:t>160 (34.8)</w:t>
            </w:r>
          </w:p>
        </w:tc>
        <w:tc>
          <w:tcPr>
            <w:tcW w:w="557" w:type="pct"/>
            <w:tcBorders>
              <w:left w:val="single" w:sz="4" w:space="0" w:color="auto"/>
              <w:right w:val="single" w:sz="4" w:space="0" w:color="auto"/>
            </w:tcBorders>
          </w:tcPr>
          <w:p w:rsidR="00EA35CA" w:rsidRPr="008D797E" w:rsidRDefault="00EA35CA" w:rsidP="00A74C01">
            <w:pPr>
              <w:keepNext/>
              <w:keepLines/>
              <w:widowControl w:val="0"/>
              <w:spacing w:before="40" w:after="40"/>
              <w:jc w:val="center"/>
              <w:rPr>
                <w:rFonts w:ascii="Arial Narrow" w:hAnsi="Arial Narrow" w:cs="Calibri"/>
                <w:b/>
                <w:bCs/>
                <w:sz w:val="20"/>
                <w:szCs w:val="20"/>
              </w:rPr>
            </w:pPr>
            <w:r w:rsidRPr="008D797E">
              <w:rPr>
                <w:rFonts w:ascii="Arial Narrow" w:hAnsi="Arial Narrow" w:cs="Calibri"/>
                <w:bCs/>
                <w:sz w:val="20"/>
                <w:szCs w:val="20"/>
              </w:rPr>
              <w:t>102 (23.7)</w:t>
            </w:r>
          </w:p>
        </w:tc>
        <w:tc>
          <w:tcPr>
            <w:tcW w:w="844" w:type="pct"/>
            <w:tcBorders>
              <w:left w:val="single" w:sz="4" w:space="0" w:color="auto"/>
              <w:right w:val="single" w:sz="4" w:space="0" w:color="auto"/>
            </w:tcBorders>
          </w:tcPr>
          <w:p w:rsidR="00EA35CA" w:rsidRPr="008D797E" w:rsidRDefault="00EA35CA" w:rsidP="00A74C01">
            <w:pPr>
              <w:keepNext/>
              <w:keepLines/>
              <w:widowControl w:val="0"/>
              <w:spacing w:before="40" w:after="40"/>
              <w:jc w:val="center"/>
              <w:rPr>
                <w:rFonts w:ascii="Arial Narrow" w:hAnsi="Arial Narrow" w:cs="Calibri"/>
                <w:b/>
                <w:bCs/>
                <w:sz w:val="20"/>
                <w:szCs w:val="20"/>
              </w:rPr>
            </w:pPr>
            <w:r w:rsidRPr="008D797E">
              <w:rPr>
                <w:rFonts w:ascii="Arial Narrow" w:hAnsi="Arial Narrow" w:cs="Calibri"/>
                <w:b/>
                <w:bCs/>
                <w:sz w:val="20"/>
                <w:szCs w:val="20"/>
              </w:rPr>
              <w:t>1.47 (1.19, 1.81)</w:t>
            </w:r>
          </w:p>
        </w:tc>
      </w:tr>
      <w:tr w:rsidR="00EA35CA" w:rsidRPr="008D797E" w:rsidTr="007C431D">
        <w:tc>
          <w:tcPr>
            <w:tcW w:w="1029" w:type="pct"/>
            <w:tcBorders>
              <w:left w:val="single" w:sz="4" w:space="0" w:color="auto"/>
              <w:bottom w:val="single" w:sz="4" w:space="0" w:color="auto"/>
              <w:right w:val="single" w:sz="4" w:space="0" w:color="auto"/>
            </w:tcBorders>
          </w:tcPr>
          <w:p w:rsidR="00EA35CA" w:rsidRPr="008D797E" w:rsidRDefault="00EA35CA" w:rsidP="00A74C01">
            <w:pPr>
              <w:keepNext/>
              <w:keepLines/>
              <w:widowControl w:val="0"/>
              <w:spacing w:before="40" w:after="40"/>
              <w:jc w:val="left"/>
              <w:rPr>
                <w:rFonts w:ascii="Arial Narrow" w:hAnsi="Arial Narrow" w:cs="Calibri"/>
                <w:bCs/>
                <w:sz w:val="20"/>
                <w:szCs w:val="20"/>
              </w:rPr>
            </w:pPr>
            <w:r w:rsidRPr="008D797E">
              <w:rPr>
                <w:rFonts w:ascii="Arial Narrow" w:hAnsi="Arial Narrow" w:cs="Calibri"/>
                <w:bCs/>
                <w:sz w:val="20"/>
                <w:szCs w:val="20"/>
              </w:rPr>
              <w:t>AESI</w:t>
            </w:r>
          </w:p>
          <w:p w:rsidR="00EA35CA" w:rsidRPr="008D797E" w:rsidRDefault="00EA35CA" w:rsidP="00A74C01">
            <w:pPr>
              <w:keepNext/>
              <w:keepLines/>
              <w:widowControl w:val="0"/>
              <w:spacing w:before="40" w:after="40"/>
              <w:ind w:left="306"/>
              <w:jc w:val="left"/>
              <w:rPr>
                <w:rFonts w:ascii="Arial Narrow" w:hAnsi="Arial Narrow" w:cs="Calibri"/>
                <w:bCs/>
                <w:sz w:val="20"/>
                <w:szCs w:val="20"/>
              </w:rPr>
            </w:pPr>
            <w:r w:rsidRPr="008D797E">
              <w:rPr>
                <w:rFonts w:ascii="Arial Narrow" w:hAnsi="Arial Narrow" w:cs="Calibri"/>
                <w:bCs/>
                <w:sz w:val="20"/>
                <w:szCs w:val="20"/>
              </w:rPr>
              <w:t>Any grade</w:t>
            </w:r>
          </w:p>
          <w:p w:rsidR="00EA35CA" w:rsidRPr="008D797E" w:rsidRDefault="00EA35CA" w:rsidP="00A74C01">
            <w:pPr>
              <w:keepNext/>
              <w:keepLines/>
              <w:widowControl w:val="0"/>
              <w:spacing w:before="40" w:after="40"/>
              <w:ind w:left="306"/>
              <w:jc w:val="left"/>
              <w:rPr>
                <w:rFonts w:ascii="Arial Narrow" w:hAnsi="Arial Narrow" w:cs="Calibri"/>
                <w:bCs/>
                <w:sz w:val="20"/>
                <w:szCs w:val="20"/>
              </w:rPr>
            </w:pPr>
            <w:r w:rsidRPr="008D797E">
              <w:rPr>
                <w:rFonts w:ascii="Arial Narrow" w:hAnsi="Arial Narrow" w:cs="Calibri"/>
                <w:bCs/>
                <w:sz w:val="20"/>
                <w:szCs w:val="20"/>
              </w:rPr>
              <w:t>Grade 3-4</w:t>
            </w:r>
          </w:p>
          <w:p w:rsidR="00EA35CA" w:rsidRPr="008D797E" w:rsidRDefault="00EA35CA" w:rsidP="00A74C01">
            <w:pPr>
              <w:keepNext/>
              <w:keepLines/>
              <w:widowControl w:val="0"/>
              <w:spacing w:before="40" w:after="40"/>
              <w:ind w:left="306"/>
              <w:jc w:val="left"/>
              <w:rPr>
                <w:rFonts w:ascii="Arial Narrow" w:hAnsi="Arial Narrow" w:cs="Calibri"/>
                <w:bCs/>
                <w:sz w:val="20"/>
                <w:szCs w:val="20"/>
              </w:rPr>
            </w:pPr>
            <w:r w:rsidRPr="008D797E">
              <w:rPr>
                <w:rFonts w:ascii="Arial Narrow" w:hAnsi="Arial Narrow" w:cs="Calibri"/>
                <w:bCs/>
                <w:sz w:val="20"/>
                <w:szCs w:val="20"/>
              </w:rPr>
              <w:t>Serious AESIs</w:t>
            </w:r>
          </w:p>
        </w:tc>
        <w:tc>
          <w:tcPr>
            <w:tcW w:w="557" w:type="pct"/>
            <w:tcBorders>
              <w:left w:val="nil"/>
              <w:bottom w:val="single" w:sz="4" w:space="0" w:color="auto"/>
              <w:right w:val="single" w:sz="4" w:space="0" w:color="auto"/>
            </w:tcBorders>
            <w:shd w:val="clear" w:color="auto" w:fill="DBE5F1" w:themeFill="accent1" w:themeFillTint="33"/>
          </w:tcPr>
          <w:p w:rsidR="00EA35CA" w:rsidRPr="008D797E" w:rsidRDefault="00EA35CA" w:rsidP="00A74C01">
            <w:pPr>
              <w:keepNext/>
              <w:keepLines/>
              <w:widowControl w:val="0"/>
              <w:spacing w:before="40" w:after="40"/>
              <w:jc w:val="center"/>
              <w:rPr>
                <w:rFonts w:ascii="Arial Narrow" w:hAnsi="Arial Narrow" w:cs="Calibri"/>
                <w:bCs/>
                <w:sz w:val="20"/>
                <w:szCs w:val="20"/>
              </w:rPr>
            </w:pPr>
          </w:p>
          <w:p w:rsidR="00EA35CA" w:rsidRPr="008D797E" w:rsidRDefault="00EA35CA" w:rsidP="00A74C01">
            <w:pPr>
              <w:keepNext/>
              <w:keepLines/>
              <w:widowControl w:val="0"/>
              <w:spacing w:before="40" w:after="40"/>
              <w:jc w:val="center"/>
              <w:rPr>
                <w:rFonts w:ascii="Arial Narrow" w:hAnsi="Arial Narrow" w:cs="Calibri"/>
                <w:bCs/>
                <w:sz w:val="20"/>
                <w:szCs w:val="20"/>
              </w:rPr>
            </w:pPr>
            <w:r w:rsidRPr="008D797E">
              <w:rPr>
                <w:rFonts w:ascii="Arial Narrow" w:hAnsi="Arial Narrow" w:cs="Calibri"/>
                <w:bCs/>
                <w:sz w:val="20"/>
                <w:szCs w:val="20"/>
              </w:rPr>
              <w:t>259 (57.3)</w:t>
            </w:r>
          </w:p>
          <w:p w:rsidR="00EA35CA" w:rsidRPr="008D797E" w:rsidRDefault="00EA35CA" w:rsidP="00A74C01">
            <w:pPr>
              <w:keepNext/>
              <w:keepLines/>
              <w:widowControl w:val="0"/>
              <w:spacing w:before="40" w:after="40"/>
              <w:jc w:val="center"/>
              <w:rPr>
                <w:rFonts w:ascii="Arial Narrow" w:hAnsi="Arial Narrow" w:cs="Calibri"/>
                <w:bCs/>
                <w:sz w:val="20"/>
                <w:szCs w:val="20"/>
              </w:rPr>
            </w:pPr>
            <w:r w:rsidRPr="008D797E">
              <w:rPr>
                <w:rFonts w:ascii="Arial Narrow" w:hAnsi="Arial Narrow" w:cs="Calibri"/>
                <w:bCs/>
                <w:sz w:val="20"/>
                <w:szCs w:val="20"/>
              </w:rPr>
              <w:t>34 (7.5)</w:t>
            </w:r>
          </w:p>
          <w:p w:rsidR="00EA35CA" w:rsidRPr="008D797E" w:rsidRDefault="00EA35CA" w:rsidP="00A74C01">
            <w:pPr>
              <w:keepNext/>
              <w:keepLines/>
              <w:widowControl w:val="0"/>
              <w:spacing w:before="40" w:after="40"/>
              <w:jc w:val="center"/>
              <w:rPr>
                <w:rFonts w:ascii="Arial Narrow" w:hAnsi="Arial Narrow" w:cs="Calibri"/>
                <w:bCs/>
                <w:sz w:val="20"/>
                <w:szCs w:val="20"/>
              </w:rPr>
            </w:pPr>
            <w:r w:rsidRPr="008D797E">
              <w:rPr>
                <w:rFonts w:ascii="Arial Narrow" w:hAnsi="Arial Narrow" w:cs="Calibri"/>
                <w:bCs/>
                <w:sz w:val="20"/>
                <w:szCs w:val="20"/>
              </w:rPr>
              <w:t>19 (4.2)</w:t>
            </w:r>
          </w:p>
        </w:tc>
        <w:tc>
          <w:tcPr>
            <w:tcW w:w="572" w:type="pct"/>
            <w:tcBorders>
              <w:left w:val="nil"/>
              <w:bottom w:val="single" w:sz="4" w:space="0" w:color="auto"/>
              <w:right w:val="single" w:sz="4" w:space="0" w:color="auto"/>
            </w:tcBorders>
            <w:shd w:val="clear" w:color="auto" w:fill="DBE5F1" w:themeFill="accent1" w:themeFillTint="33"/>
          </w:tcPr>
          <w:p w:rsidR="00EA35CA" w:rsidRPr="008D797E" w:rsidRDefault="00EA35CA" w:rsidP="00A74C01">
            <w:pPr>
              <w:keepNext/>
              <w:keepLines/>
              <w:widowControl w:val="0"/>
              <w:spacing w:before="40" w:after="40"/>
              <w:jc w:val="center"/>
              <w:rPr>
                <w:rFonts w:ascii="Arial Narrow" w:hAnsi="Arial Narrow" w:cs="Calibri"/>
                <w:bCs/>
                <w:sz w:val="20"/>
                <w:szCs w:val="20"/>
              </w:rPr>
            </w:pPr>
          </w:p>
          <w:p w:rsidR="00EA35CA" w:rsidRPr="008D797E" w:rsidRDefault="00EA35CA" w:rsidP="00A74C01">
            <w:pPr>
              <w:keepNext/>
              <w:keepLines/>
              <w:widowControl w:val="0"/>
              <w:spacing w:before="40" w:after="40"/>
              <w:jc w:val="center"/>
              <w:rPr>
                <w:rFonts w:ascii="Arial Narrow" w:hAnsi="Arial Narrow" w:cs="Calibri"/>
                <w:bCs/>
                <w:sz w:val="20"/>
                <w:szCs w:val="20"/>
              </w:rPr>
            </w:pPr>
            <w:r w:rsidRPr="008D797E">
              <w:rPr>
                <w:rFonts w:ascii="Arial Narrow" w:hAnsi="Arial Narrow" w:cs="Calibri"/>
                <w:bCs/>
                <w:sz w:val="20"/>
                <w:szCs w:val="20"/>
              </w:rPr>
              <w:t>183 (41.8)</w:t>
            </w:r>
          </w:p>
          <w:p w:rsidR="00EA35CA" w:rsidRPr="008D797E" w:rsidRDefault="00EA35CA" w:rsidP="00A74C01">
            <w:pPr>
              <w:keepNext/>
              <w:keepLines/>
              <w:widowControl w:val="0"/>
              <w:spacing w:before="40" w:after="40"/>
              <w:jc w:val="center"/>
              <w:rPr>
                <w:rFonts w:ascii="Arial Narrow" w:hAnsi="Arial Narrow" w:cs="Calibri"/>
                <w:bCs/>
                <w:sz w:val="20"/>
                <w:szCs w:val="20"/>
              </w:rPr>
            </w:pPr>
            <w:r w:rsidRPr="008D797E">
              <w:rPr>
                <w:rFonts w:ascii="Arial Narrow" w:hAnsi="Arial Narrow" w:cs="Calibri"/>
                <w:bCs/>
                <w:sz w:val="20"/>
                <w:szCs w:val="20"/>
              </w:rPr>
              <w:t>19 (4.3)</w:t>
            </w:r>
          </w:p>
          <w:p w:rsidR="00EA35CA" w:rsidRPr="008D797E" w:rsidRDefault="00EA35CA" w:rsidP="00A74C01">
            <w:pPr>
              <w:keepNext/>
              <w:keepLines/>
              <w:widowControl w:val="0"/>
              <w:spacing w:before="40" w:after="40"/>
              <w:jc w:val="center"/>
              <w:rPr>
                <w:rFonts w:ascii="Arial Narrow" w:hAnsi="Arial Narrow" w:cs="Calibri"/>
                <w:bCs/>
                <w:sz w:val="20"/>
                <w:szCs w:val="20"/>
              </w:rPr>
            </w:pPr>
            <w:r w:rsidRPr="008D797E">
              <w:rPr>
                <w:rFonts w:ascii="Arial Narrow" w:hAnsi="Arial Narrow" w:cs="Calibri"/>
                <w:bCs/>
                <w:sz w:val="20"/>
                <w:szCs w:val="20"/>
              </w:rPr>
              <w:t>6 (1.4)</w:t>
            </w:r>
          </w:p>
        </w:tc>
        <w:tc>
          <w:tcPr>
            <w:tcW w:w="856" w:type="pct"/>
            <w:tcBorders>
              <w:left w:val="single" w:sz="4" w:space="0" w:color="auto"/>
              <w:bottom w:val="single" w:sz="4" w:space="0" w:color="auto"/>
              <w:right w:val="single" w:sz="4" w:space="0" w:color="auto"/>
            </w:tcBorders>
            <w:shd w:val="clear" w:color="auto" w:fill="DBE5F1" w:themeFill="accent1" w:themeFillTint="33"/>
          </w:tcPr>
          <w:p w:rsidR="00EA35CA" w:rsidRPr="008D797E" w:rsidRDefault="00EA35CA" w:rsidP="00A74C01">
            <w:pPr>
              <w:keepNext/>
              <w:keepLines/>
              <w:widowControl w:val="0"/>
              <w:spacing w:before="40" w:after="40"/>
              <w:jc w:val="center"/>
              <w:rPr>
                <w:rFonts w:ascii="Arial Narrow" w:hAnsi="Arial Narrow" w:cs="Calibri"/>
                <w:b/>
                <w:bCs/>
                <w:sz w:val="20"/>
                <w:szCs w:val="20"/>
              </w:rPr>
            </w:pPr>
          </w:p>
          <w:p w:rsidR="00EA35CA" w:rsidRPr="008D797E" w:rsidRDefault="00EA35CA" w:rsidP="00A74C01">
            <w:pPr>
              <w:keepNext/>
              <w:keepLines/>
              <w:widowControl w:val="0"/>
              <w:spacing w:before="40" w:after="40"/>
              <w:jc w:val="center"/>
              <w:rPr>
                <w:rFonts w:ascii="Arial Narrow" w:hAnsi="Arial Narrow" w:cs="Calibri"/>
                <w:b/>
                <w:bCs/>
                <w:sz w:val="20"/>
                <w:szCs w:val="20"/>
              </w:rPr>
            </w:pPr>
            <w:r w:rsidRPr="008D797E">
              <w:rPr>
                <w:rFonts w:ascii="Arial Narrow" w:hAnsi="Arial Narrow" w:cs="Calibri"/>
                <w:b/>
                <w:bCs/>
                <w:sz w:val="20"/>
                <w:szCs w:val="20"/>
              </w:rPr>
              <w:t>1.37 (1.20, 1.57)</w:t>
            </w:r>
          </w:p>
          <w:p w:rsidR="00EA35CA" w:rsidRPr="008D797E" w:rsidRDefault="00EA35CA" w:rsidP="00A74C01">
            <w:pPr>
              <w:keepNext/>
              <w:keepLines/>
              <w:widowControl w:val="0"/>
              <w:spacing w:before="40" w:after="40"/>
              <w:jc w:val="center"/>
              <w:rPr>
                <w:rFonts w:ascii="Arial Narrow" w:hAnsi="Arial Narrow" w:cs="Calibri"/>
                <w:b/>
                <w:bCs/>
                <w:sz w:val="20"/>
                <w:szCs w:val="20"/>
              </w:rPr>
            </w:pPr>
            <w:r w:rsidRPr="008D797E">
              <w:rPr>
                <w:rFonts w:ascii="Arial Narrow" w:hAnsi="Arial Narrow" w:cs="Calibri"/>
                <w:b/>
                <w:bCs/>
                <w:sz w:val="20"/>
                <w:szCs w:val="20"/>
              </w:rPr>
              <w:t>1.73 (1.00, 2.99)</w:t>
            </w:r>
          </w:p>
          <w:p w:rsidR="00EA35CA" w:rsidRPr="008D797E" w:rsidRDefault="00EA35CA" w:rsidP="00A74C01">
            <w:pPr>
              <w:keepNext/>
              <w:keepLines/>
              <w:widowControl w:val="0"/>
              <w:spacing w:before="40" w:after="40"/>
              <w:jc w:val="center"/>
              <w:rPr>
                <w:rFonts w:ascii="Arial Narrow" w:hAnsi="Arial Narrow" w:cs="Calibri"/>
                <w:b/>
                <w:bCs/>
                <w:sz w:val="20"/>
                <w:szCs w:val="20"/>
              </w:rPr>
            </w:pPr>
            <w:r w:rsidRPr="008D797E">
              <w:rPr>
                <w:rFonts w:ascii="Arial Narrow" w:hAnsi="Arial Narrow" w:cs="Calibri"/>
                <w:b/>
                <w:bCs/>
                <w:sz w:val="20"/>
                <w:szCs w:val="20"/>
              </w:rPr>
              <w:t>3.07 (1.24, 7.61)</w:t>
            </w:r>
          </w:p>
        </w:tc>
        <w:tc>
          <w:tcPr>
            <w:tcW w:w="586" w:type="pct"/>
            <w:tcBorders>
              <w:left w:val="single" w:sz="4" w:space="0" w:color="auto"/>
              <w:bottom w:val="single" w:sz="4" w:space="0" w:color="auto"/>
              <w:right w:val="single" w:sz="4" w:space="0" w:color="auto"/>
            </w:tcBorders>
          </w:tcPr>
          <w:p w:rsidR="00EA35CA" w:rsidRPr="008D797E" w:rsidRDefault="00EA35CA" w:rsidP="00A74C01">
            <w:pPr>
              <w:keepNext/>
              <w:keepLines/>
              <w:widowControl w:val="0"/>
              <w:spacing w:before="40" w:after="40"/>
              <w:jc w:val="center"/>
              <w:rPr>
                <w:rFonts w:ascii="Arial Narrow" w:hAnsi="Arial Narrow" w:cs="Calibri"/>
                <w:bCs/>
                <w:sz w:val="20"/>
                <w:szCs w:val="20"/>
              </w:rPr>
            </w:pPr>
          </w:p>
          <w:p w:rsidR="00EA35CA" w:rsidRPr="008D797E" w:rsidRDefault="00EA35CA" w:rsidP="00A74C01">
            <w:pPr>
              <w:keepNext/>
              <w:keepLines/>
              <w:widowControl w:val="0"/>
              <w:spacing w:before="40" w:after="40"/>
              <w:jc w:val="center"/>
              <w:rPr>
                <w:rFonts w:ascii="Arial Narrow" w:hAnsi="Arial Narrow" w:cs="Calibri"/>
                <w:bCs/>
                <w:sz w:val="20"/>
                <w:szCs w:val="20"/>
              </w:rPr>
            </w:pPr>
            <w:r w:rsidRPr="008D797E">
              <w:rPr>
                <w:rFonts w:ascii="Arial Narrow" w:hAnsi="Arial Narrow" w:cs="Calibri"/>
                <w:bCs/>
                <w:sz w:val="20"/>
                <w:szCs w:val="20"/>
              </w:rPr>
              <w:t>270 (58.7)</w:t>
            </w:r>
          </w:p>
          <w:p w:rsidR="00EA35CA" w:rsidRPr="008D797E" w:rsidRDefault="00EA35CA" w:rsidP="00A74C01">
            <w:pPr>
              <w:keepNext/>
              <w:keepLines/>
              <w:widowControl w:val="0"/>
              <w:spacing w:before="40" w:after="40"/>
              <w:jc w:val="center"/>
              <w:rPr>
                <w:rFonts w:ascii="Arial Narrow" w:hAnsi="Arial Narrow" w:cs="Calibri"/>
                <w:bCs/>
                <w:sz w:val="20"/>
                <w:szCs w:val="20"/>
              </w:rPr>
            </w:pPr>
            <w:r w:rsidRPr="008D797E">
              <w:rPr>
                <w:rFonts w:ascii="Arial Narrow" w:hAnsi="Arial Narrow" w:cs="Calibri"/>
                <w:bCs/>
                <w:sz w:val="20"/>
                <w:szCs w:val="20"/>
              </w:rPr>
              <w:t>39 (8.5)</w:t>
            </w:r>
          </w:p>
          <w:p w:rsidR="00EA35CA" w:rsidRPr="008D797E" w:rsidRDefault="00EA35CA" w:rsidP="00A74C01">
            <w:pPr>
              <w:keepNext/>
              <w:keepLines/>
              <w:widowControl w:val="0"/>
              <w:spacing w:before="40" w:after="40"/>
              <w:jc w:val="center"/>
              <w:rPr>
                <w:rFonts w:ascii="Arial Narrow" w:hAnsi="Arial Narrow" w:cs="Calibri"/>
                <w:bCs/>
                <w:sz w:val="20"/>
                <w:szCs w:val="20"/>
              </w:rPr>
            </w:pPr>
            <w:r w:rsidRPr="008D797E">
              <w:rPr>
                <w:rFonts w:ascii="Arial Narrow" w:hAnsi="Arial Narrow" w:cs="Calibri"/>
                <w:bCs/>
                <w:sz w:val="20"/>
                <w:szCs w:val="20"/>
              </w:rPr>
              <w:t>19 (4.1)</w:t>
            </w:r>
          </w:p>
        </w:tc>
        <w:tc>
          <w:tcPr>
            <w:tcW w:w="557" w:type="pct"/>
            <w:tcBorders>
              <w:left w:val="single" w:sz="4" w:space="0" w:color="auto"/>
              <w:bottom w:val="single" w:sz="4" w:space="0" w:color="auto"/>
              <w:right w:val="single" w:sz="4" w:space="0" w:color="auto"/>
            </w:tcBorders>
          </w:tcPr>
          <w:p w:rsidR="00EA35CA" w:rsidRPr="008D797E" w:rsidRDefault="00EA35CA" w:rsidP="00A74C01">
            <w:pPr>
              <w:keepNext/>
              <w:keepLines/>
              <w:widowControl w:val="0"/>
              <w:spacing w:before="40" w:after="40"/>
              <w:jc w:val="center"/>
              <w:rPr>
                <w:rFonts w:ascii="Arial Narrow" w:hAnsi="Arial Narrow" w:cs="Calibri"/>
                <w:bCs/>
                <w:sz w:val="20"/>
                <w:szCs w:val="20"/>
              </w:rPr>
            </w:pPr>
          </w:p>
          <w:p w:rsidR="00EA35CA" w:rsidRPr="008D797E" w:rsidRDefault="00EA35CA" w:rsidP="00A74C01">
            <w:pPr>
              <w:keepNext/>
              <w:keepLines/>
              <w:widowControl w:val="0"/>
              <w:spacing w:before="40" w:after="40"/>
              <w:jc w:val="center"/>
              <w:rPr>
                <w:rFonts w:ascii="Arial Narrow" w:hAnsi="Arial Narrow" w:cs="Calibri"/>
                <w:bCs/>
                <w:sz w:val="20"/>
                <w:szCs w:val="20"/>
              </w:rPr>
            </w:pPr>
            <w:r w:rsidRPr="008D797E">
              <w:rPr>
                <w:rFonts w:ascii="Arial Narrow" w:hAnsi="Arial Narrow" w:cs="Calibri"/>
                <w:bCs/>
                <w:sz w:val="20"/>
                <w:szCs w:val="20"/>
              </w:rPr>
              <w:t>179 (41.6)</w:t>
            </w:r>
          </w:p>
          <w:p w:rsidR="00EA35CA" w:rsidRPr="008D797E" w:rsidRDefault="00EA35CA" w:rsidP="00A74C01">
            <w:pPr>
              <w:keepNext/>
              <w:keepLines/>
              <w:widowControl w:val="0"/>
              <w:spacing w:before="40" w:after="40"/>
              <w:jc w:val="center"/>
              <w:rPr>
                <w:rFonts w:ascii="Arial Narrow" w:hAnsi="Arial Narrow" w:cs="Calibri"/>
                <w:bCs/>
                <w:sz w:val="20"/>
                <w:szCs w:val="20"/>
              </w:rPr>
            </w:pPr>
            <w:r w:rsidRPr="008D797E">
              <w:rPr>
                <w:rFonts w:ascii="Arial Narrow" w:hAnsi="Arial Narrow" w:cs="Calibri"/>
                <w:bCs/>
                <w:sz w:val="20"/>
                <w:szCs w:val="20"/>
              </w:rPr>
              <w:t>20 (4.7)</w:t>
            </w:r>
          </w:p>
          <w:p w:rsidR="00EA35CA" w:rsidRPr="008D797E" w:rsidRDefault="00EA35CA" w:rsidP="00A74C01">
            <w:pPr>
              <w:keepNext/>
              <w:keepLines/>
              <w:widowControl w:val="0"/>
              <w:spacing w:before="40" w:after="40"/>
              <w:jc w:val="center"/>
              <w:rPr>
                <w:rFonts w:ascii="Arial Narrow" w:hAnsi="Arial Narrow" w:cs="Calibri"/>
                <w:bCs/>
                <w:sz w:val="20"/>
                <w:szCs w:val="20"/>
              </w:rPr>
            </w:pPr>
            <w:r w:rsidRPr="008D797E">
              <w:rPr>
                <w:rFonts w:ascii="Arial Narrow" w:hAnsi="Arial Narrow" w:cs="Calibri"/>
                <w:bCs/>
                <w:sz w:val="20"/>
                <w:szCs w:val="20"/>
              </w:rPr>
              <w:t>7 (1.6)</w:t>
            </w:r>
          </w:p>
        </w:tc>
        <w:tc>
          <w:tcPr>
            <w:tcW w:w="844" w:type="pct"/>
            <w:tcBorders>
              <w:left w:val="single" w:sz="4" w:space="0" w:color="auto"/>
              <w:bottom w:val="single" w:sz="4" w:space="0" w:color="auto"/>
              <w:right w:val="single" w:sz="4" w:space="0" w:color="auto"/>
            </w:tcBorders>
          </w:tcPr>
          <w:p w:rsidR="00EA35CA" w:rsidRPr="008D797E" w:rsidRDefault="00EA35CA" w:rsidP="00A74C01">
            <w:pPr>
              <w:keepNext/>
              <w:keepLines/>
              <w:widowControl w:val="0"/>
              <w:spacing w:before="40" w:after="40"/>
              <w:jc w:val="center"/>
              <w:rPr>
                <w:rFonts w:ascii="Arial Narrow" w:hAnsi="Arial Narrow" w:cs="Calibri"/>
                <w:b/>
                <w:sz w:val="20"/>
                <w:szCs w:val="20"/>
              </w:rPr>
            </w:pPr>
          </w:p>
          <w:p w:rsidR="00EA35CA" w:rsidRPr="008D797E" w:rsidRDefault="00EA35CA" w:rsidP="00A74C01">
            <w:pPr>
              <w:keepNext/>
              <w:keepLines/>
              <w:widowControl w:val="0"/>
              <w:spacing w:before="40" w:after="40"/>
              <w:jc w:val="center"/>
              <w:rPr>
                <w:rFonts w:ascii="Arial Narrow" w:hAnsi="Arial Narrow" w:cs="Calibri"/>
                <w:b/>
                <w:sz w:val="20"/>
                <w:szCs w:val="20"/>
              </w:rPr>
            </w:pPr>
            <w:r w:rsidRPr="008D797E">
              <w:rPr>
                <w:rFonts w:ascii="Arial Narrow" w:hAnsi="Arial Narrow" w:cs="Calibri"/>
                <w:b/>
                <w:sz w:val="20"/>
                <w:szCs w:val="20"/>
              </w:rPr>
              <w:t>1.41 (1.23, 1.61)</w:t>
            </w:r>
          </w:p>
          <w:p w:rsidR="00EA35CA" w:rsidRPr="008D797E" w:rsidRDefault="00EA35CA" w:rsidP="00A74C01">
            <w:pPr>
              <w:keepNext/>
              <w:keepLines/>
              <w:widowControl w:val="0"/>
              <w:spacing w:before="40" w:after="40"/>
              <w:jc w:val="center"/>
              <w:rPr>
                <w:rFonts w:ascii="Arial Narrow" w:hAnsi="Arial Narrow" w:cs="Calibri"/>
                <w:b/>
                <w:sz w:val="20"/>
                <w:szCs w:val="20"/>
              </w:rPr>
            </w:pPr>
            <w:r w:rsidRPr="008D797E">
              <w:rPr>
                <w:rFonts w:ascii="Arial Narrow" w:hAnsi="Arial Narrow" w:cs="Calibri"/>
                <w:b/>
                <w:sz w:val="20"/>
                <w:szCs w:val="20"/>
              </w:rPr>
              <w:t>1.82 (1.08, 3.07)</w:t>
            </w:r>
          </w:p>
          <w:p w:rsidR="00EA35CA" w:rsidRPr="008D797E" w:rsidRDefault="00EA35CA" w:rsidP="00A74C01">
            <w:pPr>
              <w:keepNext/>
              <w:keepLines/>
              <w:widowControl w:val="0"/>
              <w:spacing w:before="40" w:after="40"/>
              <w:jc w:val="center"/>
              <w:rPr>
                <w:rFonts w:ascii="Arial Narrow" w:hAnsi="Arial Narrow" w:cs="Calibri"/>
                <w:b/>
                <w:sz w:val="20"/>
                <w:szCs w:val="20"/>
              </w:rPr>
            </w:pPr>
            <w:r w:rsidRPr="008D797E">
              <w:rPr>
                <w:rFonts w:ascii="Arial Narrow" w:hAnsi="Arial Narrow" w:cs="Calibri"/>
                <w:b/>
                <w:sz w:val="20"/>
                <w:szCs w:val="20"/>
              </w:rPr>
              <w:t>2.54 (1.08, 5.98)</w:t>
            </w:r>
          </w:p>
        </w:tc>
      </w:tr>
    </w:tbl>
    <w:bookmarkEnd w:id="30"/>
    <w:p w:rsidR="00044FFE" w:rsidRPr="008D797E" w:rsidRDefault="00EA35CA" w:rsidP="00A74C01">
      <w:pPr>
        <w:keepNext/>
        <w:keepLines/>
        <w:spacing w:after="120"/>
        <w:contextualSpacing/>
        <w:rPr>
          <w:rFonts w:ascii="Arial Narrow" w:eastAsia="MS Mincho" w:hAnsi="Arial Narrow"/>
          <w:snapToGrid w:val="0"/>
          <w:sz w:val="18"/>
          <w:szCs w:val="22"/>
        </w:rPr>
      </w:pPr>
      <w:r w:rsidRPr="008D797E">
        <w:rPr>
          <w:rFonts w:ascii="Arial Narrow" w:hAnsi="Arial Narrow"/>
          <w:snapToGrid w:val="0"/>
          <w:sz w:val="18"/>
          <w:szCs w:val="22"/>
        </w:rPr>
        <w:t xml:space="preserve">Source: Constructed during the evaluation, from data in Table 2.6, p 37 of the resubmission and Table 27, p 85 of the IMpassion130 Aug2020 CSR. </w:t>
      </w:r>
      <w:bookmarkStart w:id="31" w:name="_Toc22897643"/>
      <w:bookmarkStart w:id="32" w:name="_Toc58854761"/>
      <w:r w:rsidRPr="008D797E">
        <w:rPr>
          <w:rFonts w:ascii="Arial Narrow" w:hAnsi="Arial Narrow"/>
          <w:snapToGrid w:val="0"/>
          <w:sz w:val="18"/>
          <w:szCs w:val="22"/>
        </w:rPr>
        <w:br/>
      </w:r>
      <w:r w:rsidRPr="008D797E">
        <w:rPr>
          <w:rFonts w:ascii="Arial Narrow" w:eastAsia="MS Mincho" w:hAnsi="Arial Narrow"/>
          <w:snapToGrid w:val="0"/>
          <w:sz w:val="18"/>
          <w:szCs w:val="22"/>
        </w:rPr>
        <w:t>AE = adverse event; AESI = adverse even</w:t>
      </w:r>
      <w:r w:rsidR="00044FFE" w:rsidRPr="008D797E">
        <w:rPr>
          <w:rFonts w:ascii="Arial Narrow" w:eastAsia="MS Mincho" w:hAnsi="Arial Narrow"/>
          <w:snapToGrid w:val="0"/>
          <w:sz w:val="18"/>
          <w:szCs w:val="22"/>
        </w:rPr>
        <w:t>t of special interest; ATZ</w:t>
      </w:r>
      <w:r w:rsidRPr="008D797E">
        <w:rPr>
          <w:rFonts w:ascii="Arial Narrow" w:eastAsia="MS Mincho" w:hAnsi="Arial Narrow"/>
          <w:snapToGrid w:val="0"/>
          <w:sz w:val="18"/>
          <w:szCs w:val="22"/>
        </w:rPr>
        <w:t xml:space="preserve"> = </w:t>
      </w:r>
      <w:r w:rsidR="0036387E" w:rsidRPr="008D797E">
        <w:rPr>
          <w:rFonts w:ascii="Arial Narrow" w:eastAsia="MS Mincho" w:hAnsi="Arial Narrow"/>
          <w:snapToGrid w:val="0"/>
          <w:sz w:val="18"/>
          <w:szCs w:val="22"/>
        </w:rPr>
        <w:t>a</w:t>
      </w:r>
      <w:r w:rsidR="00044FFE" w:rsidRPr="008D797E">
        <w:rPr>
          <w:rFonts w:ascii="Arial Narrow" w:eastAsia="MS Mincho" w:hAnsi="Arial Narrow"/>
          <w:snapToGrid w:val="0"/>
          <w:sz w:val="18"/>
          <w:szCs w:val="22"/>
        </w:rPr>
        <w:t>tezolizumab</w:t>
      </w:r>
      <w:r w:rsidRPr="008D797E">
        <w:rPr>
          <w:rFonts w:ascii="Arial Narrow" w:eastAsia="MS Mincho" w:hAnsi="Arial Narrow"/>
          <w:snapToGrid w:val="0"/>
          <w:sz w:val="18"/>
          <w:szCs w:val="22"/>
        </w:rPr>
        <w:t>; CCOD = clinical cut-off date; CI = confidence interval; N = total participants in gr</w:t>
      </w:r>
      <w:r w:rsidR="00044FFE" w:rsidRPr="008D797E">
        <w:rPr>
          <w:rFonts w:ascii="Arial Narrow" w:eastAsia="MS Mincho" w:hAnsi="Arial Narrow"/>
          <w:snapToGrid w:val="0"/>
          <w:sz w:val="18"/>
          <w:szCs w:val="22"/>
        </w:rPr>
        <w:t xml:space="preserve">oup; nab-P = </w:t>
      </w:r>
      <w:r w:rsidR="008905D5" w:rsidRPr="008D797E">
        <w:rPr>
          <w:rFonts w:ascii="Arial Narrow" w:hAnsi="Arial Narrow"/>
          <w:sz w:val="18"/>
        </w:rPr>
        <w:t>nanoparticle albumin–bound paclitaxel</w:t>
      </w:r>
      <w:r w:rsidR="00044FFE" w:rsidRPr="008D797E">
        <w:rPr>
          <w:rFonts w:ascii="Arial Narrow" w:eastAsia="MS Mincho" w:hAnsi="Arial Narrow"/>
          <w:snapToGrid w:val="0"/>
          <w:sz w:val="18"/>
          <w:szCs w:val="22"/>
        </w:rPr>
        <w:t>; No. = number; PBO</w:t>
      </w:r>
      <w:r w:rsidR="0036387E" w:rsidRPr="008D797E">
        <w:rPr>
          <w:rFonts w:ascii="Arial Narrow" w:eastAsia="MS Mincho" w:hAnsi="Arial Narrow"/>
          <w:snapToGrid w:val="0"/>
          <w:sz w:val="18"/>
          <w:szCs w:val="22"/>
        </w:rPr>
        <w:t xml:space="preserve"> = p</w:t>
      </w:r>
      <w:r w:rsidR="00044FFE" w:rsidRPr="008D797E">
        <w:rPr>
          <w:rFonts w:ascii="Arial Narrow" w:eastAsia="MS Mincho" w:hAnsi="Arial Narrow"/>
          <w:snapToGrid w:val="0"/>
          <w:sz w:val="18"/>
          <w:szCs w:val="22"/>
        </w:rPr>
        <w:t>lacebo</w:t>
      </w:r>
      <w:r w:rsidRPr="008D797E">
        <w:rPr>
          <w:rFonts w:ascii="Arial Narrow" w:eastAsia="MS Mincho" w:hAnsi="Arial Narrow"/>
          <w:snapToGrid w:val="0"/>
          <w:sz w:val="18"/>
          <w:szCs w:val="22"/>
        </w:rPr>
        <w:t xml:space="preserve">; </w:t>
      </w:r>
      <w:r w:rsidR="009572F8" w:rsidRPr="008D797E">
        <w:rPr>
          <w:rFonts w:ascii="Arial Narrow" w:eastAsia="MS Mincho" w:hAnsi="Arial Narrow"/>
          <w:snapToGrid w:val="0"/>
          <w:sz w:val="18"/>
          <w:szCs w:val="22"/>
        </w:rPr>
        <w:t xml:space="preserve">RR = relative risk; </w:t>
      </w:r>
      <w:r w:rsidRPr="008D797E">
        <w:rPr>
          <w:rFonts w:ascii="Arial Narrow" w:eastAsia="MS Mincho" w:hAnsi="Arial Narrow"/>
          <w:snapToGrid w:val="0"/>
          <w:sz w:val="18"/>
          <w:szCs w:val="22"/>
        </w:rPr>
        <w:t>SAE = serious adverse event.</w:t>
      </w:r>
    </w:p>
    <w:p w:rsidR="00EA35CA" w:rsidRPr="008D797E" w:rsidRDefault="00E028E4" w:rsidP="00A74C01">
      <w:pPr>
        <w:keepNext/>
        <w:keepLines/>
        <w:spacing w:after="120"/>
        <w:contextualSpacing/>
        <w:jc w:val="left"/>
        <w:rPr>
          <w:rFonts w:ascii="Arial Narrow" w:hAnsi="Arial Narrow"/>
          <w:bCs/>
          <w:snapToGrid w:val="0"/>
          <w:sz w:val="18"/>
          <w:szCs w:val="22"/>
        </w:rPr>
      </w:pPr>
      <w:r w:rsidRPr="008D797E">
        <w:rPr>
          <w:rFonts w:ascii="Arial Narrow" w:hAnsi="Arial Narrow"/>
          <w:snapToGrid w:val="0"/>
          <w:sz w:val="18"/>
          <w:szCs w:val="22"/>
          <w:vertAlign w:val="superscript"/>
        </w:rPr>
        <w:t>a</w:t>
      </w:r>
      <w:r w:rsidRPr="008D797E">
        <w:rPr>
          <w:rFonts w:ascii="Arial Narrow" w:hAnsi="Arial Narrow"/>
          <w:snapToGrid w:val="0"/>
          <w:sz w:val="18"/>
          <w:szCs w:val="22"/>
        </w:rPr>
        <w:t xml:space="preserve"> Eight patients </w:t>
      </w:r>
      <w:r w:rsidR="00290221" w:rsidRPr="008D797E">
        <w:rPr>
          <w:rFonts w:ascii="Arial Narrow" w:hAnsi="Arial Narrow"/>
          <w:snapToGrid w:val="0"/>
          <w:sz w:val="18"/>
          <w:szCs w:val="22"/>
        </w:rPr>
        <w:t>switched</w:t>
      </w:r>
      <w:r w:rsidRPr="008D797E">
        <w:rPr>
          <w:rFonts w:ascii="Arial Narrow" w:hAnsi="Arial Narrow"/>
          <w:snapToGrid w:val="0"/>
          <w:sz w:val="18"/>
          <w:szCs w:val="22"/>
        </w:rPr>
        <w:t xml:space="preserve"> from the PBO+nab-P arm into the ATZ+nab-P arm at the 14 April 2020 CCOD.</w:t>
      </w:r>
      <w:r w:rsidRPr="008D797E">
        <w:rPr>
          <w:rFonts w:ascii="Arial Narrow" w:hAnsi="Arial Narrow"/>
          <w:snapToGrid w:val="0"/>
          <w:sz w:val="18"/>
          <w:szCs w:val="22"/>
        </w:rPr>
        <w:br/>
      </w:r>
      <w:r w:rsidR="00EA35CA" w:rsidRPr="008D797E">
        <w:rPr>
          <w:rFonts w:ascii="Arial Narrow" w:hAnsi="Arial Narrow"/>
          <w:snapToGrid w:val="0"/>
          <w:sz w:val="18"/>
          <w:szCs w:val="22"/>
        </w:rPr>
        <w:t xml:space="preserve">Notes: Relative risks and 95% confidence intervals for relative risks were calculated </w:t>
      </w:r>
      <w:r w:rsidR="0036387E" w:rsidRPr="008D797E">
        <w:rPr>
          <w:rFonts w:ascii="Arial Narrow" w:hAnsi="Arial Narrow"/>
          <w:snapToGrid w:val="0"/>
          <w:sz w:val="18"/>
          <w:szCs w:val="22"/>
        </w:rPr>
        <w:t xml:space="preserve">during the evaluation </w:t>
      </w:r>
      <w:r w:rsidR="00EA35CA" w:rsidRPr="008D797E">
        <w:rPr>
          <w:rFonts w:ascii="Arial Narrow" w:hAnsi="Arial Narrow"/>
          <w:snapToGrid w:val="0"/>
          <w:sz w:val="18"/>
          <w:szCs w:val="22"/>
        </w:rPr>
        <w:t xml:space="preserve">using the Normal approximation to the binomial distribution. </w:t>
      </w:r>
      <w:r w:rsidR="001E4680" w:rsidRPr="008D797E">
        <w:rPr>
          <w:rFonts w:ascii="Arial Narrow" w:hAnsi="Arial Narrow"/>
          <w:bCs/>
          <w:snapToGrid w:val="0"/>
          <w:sz w:val="18"/>
          <w:szCs w:val="22"/>
        </w:rPr>
        <w:t xml:space="preserve">Nominally statistically </w:t>
      </w:r>
      <w:r w:rsidR="00EA35CA" w:rsidRPr="008D797E">
        <w:rPr>
          <w:rFonts w:ascii="Arial Narrow" w:hAnsi="Arial Narrow"/>
          <w:bCs/>
          <w:snapToGrid w:val="0"/>
          <w:sz w:val="18"/>
          <w:szCs w:val="22"/>
        </w:rPr>
        <w:t>significant relative risks are bolded.</w:t>
      </w:r>
    </w:p>
    <w:p w:rsidR="00EA35CA" w:rsidRPr="008D797E" w:rsidRDefault="00D43F0E" w:rsidP="00A74C01">
      <w:pPr>
        <w:keepNext/>
        <w:keepLines/>
        <w:spacing w:after="120"/>
        <w:contextualSpacing/>
        <w:rPr>
          <w:rFonts w:ascii="Arial Narrow" w:hAnsi="Arial Narrow"/>
          <w:snapToGrid w:val="0"/>
          <w:sz w:val="18"/>
          <w:szCs w:val="22"/>
        </w:rPr>
      </w:pPr>
      <w:r w:rsidRPr="008D797E">
        <w:rPr>
          <w:rFonts w:ascii="Arial Narrow" w:hAnsi="Arial Narrow"/>
          <w:snapToGrid w:val="0"/>
          <w:sz w:val="18"/>
          <w:szCs w:val="22"/>
        </w:rPr>
        <w:t>Blue shading indicates data previously seen by the PBAC.</w:t>
      </w:r>
    </w:p>
    <w:p w:rsidR="00596912" w:rsidRPr="008D797E" w:rsidRDefault="00596912" w:rsidP="00EA35CA">
      <w:pPr>
        <w:spacing w:after="120"/>
        <w:contextualSpacing/>
        <w:rPr>
          <w:rFonts w:ascii="Arial Narrow" w:hAnsi="Arial Narrow"/>
          <w:i/>
          <w:snapToGrid w:val="0"/>
          <w:sz w:val="18"/>
          <w:szCs w:val="22"/>
        </w:rPr>
      </w:pPr>
    </w:p>
    <w:p w:rsidR="00596912" w:rsidRPr="008D797E" w:rsidRDefault="00596912" w:rsidP="00596912">
      <w:pPr>
        <w:numPr>
          <w:ilvl w:val="1"/>
          <w:numId w:val="1"/>
        </w:numPr>
        <w:spacing w:after="120"/>
        <w:rPr>
          <w:rFonts w:asciiTheme="minorHAnsi" w:hAnsiTheme="minorHAnsi"/>
          <w:b/>
          <w:bCs/>
          <w:snapToGrid w:val="0"/>
        </w:rPr>
      </w:pPr>
      <w:r w:rsidRPr="006E5C4D">
        <w:rPr>
          <w:rFonts w:asciiTheme="minorHAnsi" w:hAnsiTheme="minorHAnsi"/>
        </w:rPr>
        <w:t>There were no changes in the number of deaths due to AEs in the ATZ+nab-P and PBO+nab-P arms at the updated clinical cut-off date 14 April 2020 (6 vs 3).</w:t>
      </w:r>
    </w:p>
    <w:p w:rsidR="00596912" w:rsidRPr="008D797E" w:rsidRDefault="00596912" w:rsidP="00596912">
      <w:pPr>
        <w:numPr>
          <w:ilvl w:val="1"/>
          <w:numId w:val="1"/>
        </w:numPr>
        <w:spacing w:after="120"/>
      </w:pPr>
      <w:r w:rsidRPr="006E5C4D">
        <w:rPr>
          <w:rFonts w:asciiTheme="minorHAnsi" w:hAnsiTheme="minorHAnsi"/>
        </w:rPr>
        <w:lastRenderedPageBreak/>
        <w:t xml:space="preserve">The safety profile of ATZ+nab-P in the PD-L1-positive population is compared in </w:t>
      </w:r>
      <w:r w:rsidR="00232E9D" w:rsidRPr="008D797E">
        <w:t xml:space="preserve">Table </w:t>
      </w:r>
      <w:r w:rsidR="00232E9D" w:rsidRPr="006E5C4D">
        <w:t>9</w:t>
      </w:r>
      <w:r w:rsidRPr="006E5C4D">
        <w:rPr>
          <w:rFonts w:asciiTheme="minorHAnsi" w:hAnsiTheme="minorHAnsi"/>
        </w:rPr>
        <w:t xml:space="preserve"> below. </w:t>
      </w:r>
      <w:r w:rsidRPr="006E5C4D">
        <w:rPr>
          <w:rFonts w:asciiTheme="minorHAnsi" w:hAnsiTheme="minorHAnsi"/>
          <w:iCs/>
        </w:rPr>
        <w:t xml:space="preserve">Generally, the risk of high-grade AEs and discontinuations </w:t>
      </w:r>
      <w:r w:rsidR="00A01C46" w:rsidRPr="006E5C4D">
        <w:rPr>
          <w:rFonts w:asciiTheme="minorHAnsi" w:hAnsiTheme="minorHAnsi"/>
          <w:iCs/>
        </w:rPr>
        <w:t>wa</w:t>
      </w:r>
      <w:r w:rsidRPr="006E5C4D">
        <w:rPr>
          <w:rFonts w:asciiTheme="minorHAnsi" w:hAnsiTheme="minorHAnsi"/>
          <w:iCs/>
        </w:rPr>
        <w:t>s higher in patients who received ATZ+nab-P compared to PBO+nab-P.</w:t>
      </w:r>
    </w:p>
    <w:p w:rsidR="00596912" w:rsidRPr="008D797E" w:rsidRDefault="00596912" w:rsidP="00EA35CA">
      <w:pPr>
        <w:spacing w:after="120"/>
        <w:contextualSpacing/>
        <w:rPr>
          <w:rFonts w:ascii="Arial Narrow" w:hAnsi="Arial Narrow"/>
          <w:b/>
          <w:bCs/>
          <w:snapToGrid w:val="0"/>
          <w:sz w:val="18"/>
          <w:szCs w:val="22"/>
        </w:rPr>
      </w:pPr>
    </w:p>
    <w:p w:rsidR="00EA35CA" w:rsidRPr="00115C2F" w:rsidRDefault="00F017E2" w:rsidP="00F017E2">
      <w:pPr>
        <w:pStyle w:val="TableFigureHeading"/>
      </w:pPr>
      <w:bookmarkStart w:id="33" w:name="_Ref59716405"/>
      <w:r w:rsidRPr="008D797E">
        <w:t xml:space="preserve">Table </w:t>
      </w:r>
      <w:r w:rsidR="00232E9D" w:rsidRPr="006E5C4D">
        <w:t>9</w:t>
      </w:r>
      <w:bookmarkEnd w:id="33"/>
      <w:r w:rsidR="00EA35CA" w:rsidRPr="008D797E">
        <w:t>: Comparison of key</w:t>
      </w:r>
      <w:r w:rsidR="00655FB4" w:rsidRPr="008D797E">
        <w:t xml:space="preserve"> adverse events, IMpassion130, s</w:t>
      </w:r>
      <w:r w:rsidR="00EA35CA" w:rsidRPr="008D797E">
        <w:t xml:space="preserve">afety evaluable </w:t>
      </w:r>
      <w:r w:rsidR="00CD3CCD" w:rsidRPr="008D797E">
        <w:t>PD-L1-positive</w:t>
      </w:r>
      <w:r w:rsidR="00EA35CA" w:rsidRPr="00115C2F">
        <w:t xml:space="preserve"> population, CCOD 17 April 2018 vs 14 April 2020</w:t>
      </w:r>
    </w:p>
    <w:tbl>
      <w:tblPr>
        <w:tblW w:w="5000" w:type="pct"/>
        <w:tblLook w:val="0000" w:firstRow="0" w:lastRow="0" w:firstColumn="0" w:lastColumn="0" w:noHBand="0" w:noVBand="0"/>
      </w:tblPr>
      <w:tblGrid>
        <w:gridCol w:w="1680"/>
        <w:gridCol w:w="1012"/>
        <w:gridCol w:w="1039"/>
        <w:gridCol w:w="1563"/>
        <w:gridCol w:w="1019"/>
        <w:gridCol w:w="1067"/>
        <w:gridCol w:w="1636"/>
      </w:tblGrid>
      <w:tr w:rsidR="00EA35CA" w:rsidRPr="008D797E" w:rsidTr="00021907">
        <w:trPr>
          <w:cantSplit/>
          <w:trHeight w:val="70"/>
          <w:tblHeader/>
        </w:trPr>
        <w:tc>
          <w:tcPr>
            <w:tcW w:w="932" w:type="pct"/>
            <w:tcBorders>
              <w:top w:val="single" w:sz="4" w:space="0" w:color="auto"/>
              <w:left w:val="single" w:sz="4" w:space="0" w:color="auto"/>
              <w:right w:val="single" w:sz="4" w:space="0" w:color="auto"/>
            </w:tcBorders>
            <w:vAlign w:val="center"/>
          </w:tcPr>
          <w:p w:rsidR="00EA35CA" w:rsidRPr="008D797E" w:rsidRDefault="00EA35CA" w:rsidP="00EA35CA">
            <w:pPr>
              <w:keepNext/>
              <w:keepLines/>
              <w:widowControl w:val="0"/>
              <w:spacing w:before="20" w:after="20"/>
              <w:jc w:val="left"/>
              <w:rPr>
                <w:rFonts w:ascii="Arial Narrow" w:hAnsi="Arial Narrow" w:cs="Calibri"/>
                <w:b/>
                <w:sz w:val="20"/>
                <w:szCs w:val="20"/>
              </w:rPr>
            </w:pPr>
          </w:p>
        </w:tc>
        <w:tc>
          <w:tcPr>
            <w:tcW w:w="2004" w:type="pct"/>
            <w:gridSpan w:val="3"/>
            <w:tcBorders>
              <w:top w:val="single" w:sz="4" w:space="0" w:color="auto"/>
              <w:left w:val="nil"/>
              <w:bottom w:val="single" w:sz="4" w:space="0" w:color="auto"/>
              <w:right w:val="single" w:sz="4" w:space="0" w:color="auto"/>
            </w:tcBorders>
            <w:shd w:val="clear" w:color="auto" w:fill="DBE5F1" w:themeFill="accent1" w:themeFillTint="33"/>
            <w:vAlign w:val="center"/>
          </w:tcPr>
          <w:p w:rsidR="00EA35CA" w:rsidRPr="006E5C4D" w:rsidRDefault="00EA35CA" w:rsidP="0036387E">
            <w:pPr>
              <w:pStyle w:val="TableText0"/>
              <w:jc w:val="center"/>
              <w:rPr>
                <w:b/>
              </w:rPr>
            </w:pPr>
            <w:r w:rsidRPr="006E5C4D">
              <w:rPr>
                <w:b/>
              </w:rPr>
              <w:t>CCOD: 17 April 2018</w:t>
            </w:r>
          </w:p>
        </w:tc>
        <w:tc>
          <w:tcPr>
            <w:tcW w:w="2064" w:type="pct"/>
            <w:gridSpan w:val="3"/>
            <w:tcBorders>
              <w:top w:val="single" w:sz="4" w:space="0" w:color="auto"/>
              <w:left w:val="single" w:sz="4" w:space="0" w:color="auto"/>
              <w:bottom w:val="single" w:sz="4" w:space="0" w:color="auto"/>
              <w:right w:val="single" w:sz="4" w:space="0" w:color="auto"/>
            </w:tcBorders>
            <w:vAlign w:val="center"/>
          </w:tcPr>
          <w:p w:rsidR="00EA35CA" w:rsidRPr="006E5C4D" w:rsidRDefault="00EA35CA" w:rsidP="00EA35CA">
            <w:pPr>
              <w:keepNext/>
              <w:widowControl w:val="0"/>
              <w:spacing w:before="20" w:after="20"/>
              <w:jc w:val="center"/>
              <w:rPr>
                <w:rFonts w:ascii="Arial Narrow" w:hAnsi="Arial Narrow" w:cs="Calibri"/>
                <w:b/>
                <w:sz w:val="20"/>
                <w:szCs w:val="20"/>
              </w:rPr>
            </w:pPr>
            <w:r w:rsidRPr="006E5C4D">
              <w:rPr>
                <w:rFonts w:ascii="Arial Narrow" w:hAnsi="Arial Narrow" w:cs="Calibri"/>
                <w:b/>
                <w:sz w:val="20"/>
                <w:szCs w:val="20"/>
              </w:rPr>
              <w:t>CCOD: 14 April 2020</w:t>
            </w:r>
          </w:p>
        </w:tc>
      </w:tr>
      <w:tr w:rsidR="00EA35CA" w:rsidRPr="008D797E" w:rsidTr="00021907">
        <w:trPr>
          <w:cantSplit/>
          <w:trHeight w:val="1028"/>
          <w:tblHeader/>
        </w:trPr>
        <w:tc>
          <w:tcPr>
            <w:tcW w:w="932" w:type="pct"/>
            <w:tcBorders>
              <w:top w:val="single" w:sz="4" w:space="0" w:color="auto"/>
              <w:left w:val="single" w:sz="4" w:space="0" w:color="auto"/>
              <w:bottom w:val="single" w:sz="4" w:space="0" w:color="auto"/>
              <w:right w:val="single" w:sz="4" w:space="0" w:color="auto"/>
            </w:tcBorders>
            <w:vAlign w:val="center"/>
          </w:tcPr>
          <w:p w:rsidR="00EA35CA" w:rsidRPr="008D797E" w:rsidRDefault="00EA35CA" w:rsidP="00EA35CA">
            <w:pPr>
              <w:keepNext/>
              <w:keepLines/>
              <w:widowControl w:val="0"/>
              <w:spacing w:before="20" w:after="20"/>
              <w:jc w:val="left"/>
              <w:rPr>
                <w:rFonts w:ascii="Arial Narrow" w:hAnsi="Arial Narrow" w:cs="Calibri"/>
                <w:b/>
                <w:sz w:val="20"/>
                <w:szCs w:val="20"/>
              </w:rPr>
            </w:pPr>
            <w:r w:rsidRPr="008D797E">
              <w:rPr>
                <w:rFonts w:ascii="Arial Narrow" w:hAnsi="Arial Narrow" w:cs="Calibri"/>
                <w:b/>
                <w:sz w:val="20"/>
                <w:szCs w:val="20"/>
              </w:rPr>
              <w:t>Adverse event</w:t>
            </w:r>
          </w:p>
        </w:tc>
        <w:tc>
          <w:tcPr>
            <w:tcW w:w="561" w:type="pct"/>
            <w:tcBorders>
              <w:top w:val="single" w:sz="4" w:space="0" w:color="auto"/>
              <w:left w:val="nil"/>
              <w:bottom w:val="single" w:sz="4" w:space="0" w:color="auto"/>
              <w:right w:val="single" w:sz="4" w:space="0" w:color="auto"/>
            </w:tcBorders>
            <w:shd w:val="clear" w:color="auto" w:fill="DBE5F1" w:themeFill="accent1" w:themeFillTint="33"/>
            <w:vAlign w:val="center"/>
          </w:tcPr>
          <w:p w:rsidR="00EA35CA" w:rsidRPr="008D797E" w:rsidRDefault="00EA35CA" w:rsidP="00EA35CA">
            <w:pPr>
              <w:keepNext/>
              <w:keepLines/>
              <w:widowControl w:val="0"/>
              <w:spacing w:before="20" w:after="20"/>
              <w:jc w:val="center"/>
              <w:rPr>
                <w:rFonts w:ascii="Arial Narrow" w:hAnsi="Arial Narrow" w:cs="Calibri"/>
                <w:b/>
                <w:sz w:val="20"/>
                <w:szCs w:val="20"/>
              </w:rPr>
            </w:pPr>
            <w:r w:rsidRPr="008D797E">
              <w:rPr>
                <w:rFonts w:ascii="Arial Narrow" w:hAnsi="Arial Narrow" w:cs="Calibri"/>
                <w:b/>
                <w:sz w:val="20"/>
                <w:szCs w:val="20"/>
              </w:rPr>
              <w:t>ATZ+</w:t>
            </w:r>
            <w:r w:rsidR="00A6252F" w:rsidRPr="008D797E">
              <w:rPr>
                <w:rFonts w:ascii="Arial Narrow" w:hAnsi="Arial Narrow" w:cs="Calibri"/>
                <w:b/>
                <w:sz w:val="20"/>
                <w:szCs w:val="20"/>
              </w:rPr>
              <w:br/>
            </w:r>
            <w:r w:rsidRPr="008D797E">
              <w:rPr>
                <w:rFonts w:ascii="Arial Narrow" w:hAnsi="Arial Narrow" w:cs="Calibri"/>
                <w:b/>
                <w:sz w:val="20"/>
                <w:szCs w:val="20"/>
              </w:rPr>
              <w:t>nab-P</w:t>
            </w:r>
            <w:r w:rsidRPr="008D797E">
              <w:rPr>
                <w:rFonts w:ascii="Arial Narrow" w:hAnsi="Arial Narrow" w:cs="Calibri"/>
                <w:b/>
                <w:sz w:val="20"/>
                <w:szCs w:val="20"/>
              </w:rPr>
              <w:br/>
              <w:t>(N=185)</w:t>
            </w:r>
          </w:p>
          <w:p w:rsidR="00EA35CA" w:rsidRPr="008D797E" w:rsidRDefault="00EA35CA" w:rsidP="00EA35CA">
            <w:pPr>
              <w:keepNext/>
              <w:keepLines/>
              <w:widowControl w:val="0"/>
              <w:spacing w:before="20" w:after="20"/>
              <w:jc w:val="center"/>
              <w:rPr>
                <w:rFonts w:ascii="Arial Narrow" w:hAnsi="Arial Narrow" w:cs="Calibri"/>
                <w:b/>
                <w:sz w:val="20"/>
                <w:szCs w:val="20"/>
              </w:rPr>
            </w:pPr>
            <w:r w:rsidRPr="008D797E">
              <w:rPr>
                <w:rFonts w:ascii="Arial Narrow" w:hAnsi="Arial Narrow" w:cs="Calibri"/>
                <w:b/>
                <w:sz w:val="20"/>
                <w:szCs w:val="20"/>
              </w:rPr>
              <w:t>n (%)</w:t>
            </w:r>
          </w:p>
        </w:tc>
        <w:tc>
          <w:tcPr>
            <w:tcW w:w="576" w:type="pct"/>
            <w:tcBorders>
              <w:top w:val="single" w:sz="4" w:space="0" w:color="auto"/>
              <w:left w:val="nil"/>
              <w:bottom w:val="single" w:sz="4" w:space="0" w:color="auto"/>
              <w:right w:val="single" w:sz="4" w:space="0" w:color="auto"/>
            </w:tcBorders>
            <w:shd w:val="clear" w:color="auto" w:fill="DBE5F1" w:themeFill="accent1" w:themeFillTint="33"/>
            <w:vAlign w:val="center"/>
          </w:tcPr>
          <w:p w:rsidR="00EA35CA" w:rsidRPr="008D797E" w:rsidRDefault="00EA35CA" w:rsidP="00EA35CA">
            <w:pPr>
              <w:keepNext/>
              <w:keepLines/>
              <w:widowControl w:val="0"/>
              <w:spacing w:before="20" w:after="20"/>
              <w:jc w:val="center"/>
              <w:rPr>
                <w:rFonts w:ascii="Arial Narrow" w:hAnsi="Arial Narrow" w:cs="Calibri"/>
                <w:b/>
                <w:sz w:val="20"/>
                <w:szCs w:val="20"/>
              </w:rPr>
            </w:pPr>
            <w:r w:rsidRPr="008D797E">
              <w:rPr>
                <w:rFonts w:ascii="Arial Narrow" w:hAnsi="Arial Narrow" w:cs="Calibri"/>
                <w:b/>
                <w:sz w:val="20"/>
                <w:szCs w:val="20"/>
              </w:rPr>
              <w:t>PBO+</w:t>
            </w:r>
            <w:r w:rsidR="00A6252F" w:rsidRPr="008D797E">
              <w:rPr>
                <w:rFonts w:ascii="Arial Narrow" w:hAnsi="Arial Narrow" w:cs="Calibri"/>
                <w:b/>
                <w:sz w:val="20"/>
                <w:szCs w:val="20"/>
              </w:rPr>
              <w:br/>
            </w:r>
            <w:r w:rsidRPr="008D797E">
              <w:rPr>
                <w:rFonts w:ascii="Arial Narrow" w:hAnsi="Arial Narrow" w:cs="Calibri"/>
                <w:b/>
                <w:sz w:val="20"/>
                <w:szCs w:val="20"/>
              </w:rPr>
              <w:t>nab-P</w:t>
            </w:r>
            <w:r w:rsidRPr="008D797E">
              <w:rPr>
                <w:rFonts w:ascii="Arial Narrow" w:hAnsi="Arial Narrow" w:cs="Calibri"/>
                <w:b/>
                <w:sz w:val="20"/>
                <w:szCs w:val="20"/>
              </w:rPr>
              <w:br/>
              <w:t>(N=181)</w:t>
            </w:r>
          </w:p>
          <w:p w:rsidR="00EA35CA" w:rsidRPr="008D797E" w:rsidRDefault="00EA35CA" w:rsidP="00EA35CA">
            <w:pPr>
              <w:keepNext/>
              <w:keepLines/>
              <w:widowControl w:val="0"/>
              <w:spacing w:before="20" w:after="20"/>
              <w:jc w:val="center"/>
              <w:rPr>
                <w:rFonts w:ascii="Arial Narrow" w:hAnsi="Arial Narrow" w:cs="Calibri"/>
                <w:b/>
                <w:sz w:val="20"/>
                <w:szCs w:val="20"/>
              </w:rPr>
            </w:pPr>
            <w:r w:rsidRPr="008D797E">
              <w:rPr>
                <w:rFonts w:ascii="Arial Narrow" w:hAnsi="Arial Narrow" w:cs="Calibri"/>
                <w:b/>
                <w:sz w:val="20"/>
                <w:szCs w:val="20"/>
              </w:rPr>
              <w:t>n (%)</w:t>
            </w:r>
          </w:p>
        </w:tc>
        <w:tc>
          <w:tcPr>
            <w:tcW w:w="86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A35CA" w:rsidRPr="006E5C4D" w:rsidRDefault="00EA35CA" w:rsidP="00EA35CA">
            <w:pPr>
              <w:keepNext/>
              <w:keepLines/>
              <w:widowControl w:val="0"/>
              <w:spacing w:before="20" w:after="20"/>
              <w:jc w:val="center"/>
              <w:rPr>
                <w:rFonts w:ascii="Arial Narrow" w:hAnsi="Arial Narrow" w:cs="Calibri"/>
                <w:b/>
                <w:sz w:val="20"/>
                <w:szCs w:val="20"/>
              </w:rPr>
            </w:pPr>
            <w:r w:rsidRPr="006E5C4D">
              <w:rPr>
                <w:rFonts w:ascii="Arial Narrow" w:hAnsi="Arial Narrow" w:cs="Calibri"/>
                <w:b/>
                <w:sz w:val="20"/>
                <w:szCs w:val="20"/>
              </w:rPr>
              <w:t>RR (95% CI)</w:t>
            </w:r>
          </w:p>
          <w:p w:rsidR="00EA35CA" w:rsidRPr="006E5C4D" w:rsidRDefault="00EA35CA" w:rsidP="00EA35CA">
            <w:pPr>
              <w:keepNext/>
              <w:keepLines/>
              <w:widowControl w:val="0"/>
              <w:spacing w:before="20" w:after="20"/>
              <w:jc w:val="center"/>
              <w:rPr>
                <w:rFonts w:ascii="Arial Narrow" w:hAnsi="Arial Narrow" w:cs="Calibri"/>
                <w:b/>
                <w:sz w:val="20"/>
                <w:szCs w:val="20"/>
              </w:rPr>
            </w:pPr>
          </w:p>
        </w:tc>
        <w:tc>
          <w:tcPr>
            <w:tcW w:w="565" w:type="pct"/>
            <w:tcBorders>
              <w:top w:val="single" w:sz="4" w:space="0" w:color="auto"/>
              <w:left w:val="single" w:sz="4" w:space="0" w:color="auto"/>
              <w:bottom w:val="single" w:sz="4" w:space="0" w:color="auto"/>
              <w:right w:val="single" w:sz="4" w:space="0" w:color="auto"/>
            </w:tcBorders>
            <w:vAlign w:val="center"/>
          </w:tcPr>
          <w:p w:rsidR="00EA35CA" w:rsidRPr="008D797E" w:rsidRDefault="00EA35CA" w:rsidP="00EA35CA">
            <w:pPr>
              <w:keepNext/>
              <w:keepLines/>
              <w:widowControl w:val="0"/>
              <w:spacing w:before="20" w:after="20"/>
              <w:jc w:val="center"/>
              <w:rPr>
                <w:rFonts w:ascii="Arial Narrow" w:hAnsi="Arial Narrow" w:cs="Calibri"/>
                <w:b/>
                <w:sz w:val="20"/>
                <w:szCs w:val="20"/>
              </w:rPr>
            </w:pPr>
            <w:r w:rsidRPr="008D797E">
              <w:rPr>
                <w:rFonts w:ascii="Arial Narrow" w:hAnsi="Arial Narrow" w:cs="Calibri"/>
                <w:b/>
                <w:sz w:val="20"/>
                <w:szCs w:val="20"/>
              </w:rPr>
              <w:t>ATZ+</w:t>
            </w:r>
            <w:r w:rsidR="00A6252F" w:rsidRPr="008D797E">
              <w:rPr>
                <w:rFonts w:ascii="Arial Narrow" w:hAnsi="Arial Narrow" w:cs="Calibri"/>
                <w:b/>
                <w:sz w:val="20"/>
                <w:szCs w:val="20"/>
              </w:rPr>
              <w:br/>
            </w:r>
            <w:r w:rsidRPr="00115C2F">
              <w:rPr>
                <w:rFonts w:ascii="Arial Narrow" w:hAnsi="Arial Narrow" w:cs="Calibri"/>
                <w:b/>
                <w:sz w:val="20"/>
                <w:szCs w:val="20"/>
              </w:rPr>
              <w:t>nab-P</w:t>
            </w:r>
            <w:r w:rsidRPr="00115C2F">
              <w:rPr>
                <w:rFonts w:ascii="Arial Narrow" w:hAnsi="Arial Narrow" w:cs="Calibri"/>
                <w:b/>
                <w:sz w:val="20"/>
                <w:szCs w:val="20"/>
              </w:rPr>
              <w:br/>
              <w:t>(N=190)</w:t>
            </w:r>
            <w:r w:rsidR="004B6802" w:rsidRPr="00115C2F">
              <w:rPr>
                <w:rFonts w:ascii="Arial Narrow" w:hAnsi="Arial Narrow" w:cs="Calibri"/>
                <w:b/>
                <w:sz w:val="20"/>
                <w:szCs w:val="20"/>
                <w:vertAlign w:val="superscript"/>
              </w:rPr>
              <w:t>a</w:t>
            </w:r>
          </w:p>
          <w:p w:rsidR="00EA35CA" w:rsidRPr="006E5C4D" w:rsidRDefault="00EA35CA" w:rsidP="00EA35CA">
            <w:pPr>
              <w:keepNext/>
              <w:keepLines/>
              <w:widowControl w:val="0"/>
              <w:spacing w:before="20" w:after="20"/>
              <w:jc w:val="center"/>
              <w:rPr>
                <w:rFonts w:ascii="Arial Narrow" w:hAnsi="Arial Narrow" w:cs="Calibri"/>
                <w:b/>
                <w:sz w:val="20"/>
                <w:szCs w:val="20"/>
              </w:rPr>
            </w:pPr>
            <w:r w:rsidRPr="008D797E">
              <w:rPr>
                <w:rFonts w:ascii="Arial Narrow" w:hAnsi="Arial Narrow" w:cs="Calibri"/>
                <w:b/>
                <w:sz w:val="20"/>
                <w:szCs w:val="20"/>
              </w:rPr>
              <w:t>n (%)</w:t>
            </w:r>
          </w:p>
        </w:tc>
        <w:tc>
          <w:tcPr>
            <w:tcW w:w="592" w:type="pct"/>
            <w:tcBorders>
              <w:top w:val="single" w:sz="4" w:space="0" w:color="auto"/>
              <w:left w:val="single" w:sz="4" w:space="0" w:color="auto"/>
              <w:bottom w:val="single" w:sz="4" w:space="0" w:color="auto"/>
              <w:right w:val="single" w:sz="4" w:space="0" w:color="auto"/>
            </w:tcBorders>
            <w:vAlign w:val="center"/>
          </w:tcPr>
          <w:p w:rsidR="00EA35CA" w:rsidRPr="008D797E" w:rsidRDefault="00EA35CA" w:rsidP="00EA35CA">
            <w:pPr>
              <w:keepNext/>
              <w:keepLines/>
              <w:widowControl w:val="0"/>
              <w:spacing w:before="20" w:after="20"/>
              <w:jc w:val="center"/>
              <w:rPr>
                <w:rFonts w:ascii="Arial Narrow" w:hAnsi="Arial Narrow" w:cs="Calibri"/>
                <w:b/>
                <w:sz w:val="20"/>
                <w:szCs w:val="20"/>
              </w:rPr>
            </w:pPr>
            <w:r w:rsidRPr="008D797E">
              <w:rPr>
                <w:rFonts w:ascii="Arial Narrow" w:hAnsi="Arial Narrow" w:cs="Calibri"/>
                <w:b/>
                <w:sz w:val="20"/>
                <w:szCs w:val="20"/>
              </w:rPr>
              <w:t>PBO+</w:t>
            </w:r>
            <w:r w:rsidR="00A6252F" w:rsidRPr="008D797E">
              <w:rPr>
                <w:rFonts w:ascii="Arial Narrow" w:hAnsi="Arial Narrow" w:cs="Calibri"/>
                <w:b/>
                <w:sz w:val="20"/>
                <w:szCs w:val="20"/>
              </w:rPr>
              <w:br/>
            </w:r>
            <w:r w:rsidRPr="00115C2F">
              <w:rPr>
                <w:rFonts w:ascii="Arial Narrow" w:hAnsi="Arial Narrow" w:cs="Calibri"/>
                <w:b/>
                <w:sz w:val="20"/>
                <w:szCs w:val="20"/>
              </w:rPr>
              <w:t>nab-P</w:t>
            </w:r>
            <w:r w:rsidRPr="00115C2F">
              <w:rPr>
                <w:rFonts w:ascii="Arial Narrow" w:hAnsi="Arial Narrow" w:cs="Calibri"/>
                <w:b/>
                <w:sz w:val="20"/>
                <w:szCs w:val="20"/>
              </w:rPr>
              <w:br/>
              <w:t>(N=176)</w:t>
            </w:r>
            <w:r w:rsidR="004B6802" w:rsidRPr="00115C2F">
              <w:rPr>
                <w:rFonts w:ascii="Arial Narrow" w:hAnsi="Arial Narrow" w:cs="Calibri"/>
                <w:b/>
                <w:sz w:val="20"/>
                <w:szCs w:val="20"/>
                <w:vertAlign w:val="superscript"/>
              </w:rPr>
              <w:t>a</w:t>
            </w:r>
          </w:p>
          <w:p w:rsidR="00EA35CA" w:rsidRPr="006E5C4D" w:rsidRDefault="00EA35CA" w:rsidP="00EA35CA">
            <w:pPr>
              <w:keepNext/>
              <w:keepLines/>
              <w:widowControl w:val="0"/>
              <w:spacing w:before="20" w:after="20"/>
              <w:jc w:val="center"/>
              <w:rPr>
                <w:rFonts w:ascii="Arial Narrow" w:hAnsi="Arial Narrow" w:cs="Calibri"/>
                <w:b/>
                <w:sz w:val="20"/>
                <w:szCs w:val="20"/>
              </w:rPr>
            </w:pPr>
            <w:r w:rsidRPr="008D797E">
              <w:rPr>
                <w:rFonts w:ascii="Arial Narrow" w:hAnsi="Arial Narrow" w:cs="Calibri"/>
                <w:b/>
                <w:sz w:val="20"/>
                <w:szCs w:val="20"/>
              </w:rPr>
              <w:t>n (%)</w:t>
            </w:r>
          </w:p>
        </w:tc>
        <w:tc>
          <w:tcPr>
            <w:tcW w:w="907" w:type="pct"/>
            <w:tcBorders>
              <w:top w:val="single" w:sz="4" w:space="0" w:color="auto"/>
              <w:left w:val="single" w:sz="4" w:space="0" w:color="auto"/>
              <w:bottom w:val="single" w:sz="4" w:space="0" w:color="auto"/>
              <w:right w:val="single" w:sz="4" w:space="0" w:color="auto"/>
            </w:tcBorders>
            <w:vAlign w:val="center"/>
          </w:tcPr>
          <w:p w:rsidR="00EA35CA" w:rsidRPr="006E5C4D" w:rsidRDefault="00EA35CA" w:rsidP="00EA35CA">
            <w:pPr>
              <w:keepNext/>
              <w:widowControl w:val="0"/>
              <w:spacing w:before="20" w:after="20"/>
              <w:jc w:val="center"/>
              <w:rPr>
                <w:rFonts w:ascii="Arial Narrow" w:hAnsi="Arial Narrow" w:cs="Calibri"/>
                <w:b/>
                <w:sz w:val="20"/>
                <w:szCs w:val="20"/>
              </w:rPr>
            </w:pPr>
            <w:r w:rsidRPr="006E5C4D">
              <w:rPr>
                <w:rFonts w:ascii="Arial Narrow" w:hAnsi="Arial Narrow" w:cs="Calibri"/>
                <w:b/>
                <w:sz w:val="20"/>
                <w:szCs w:val="20"/>
              </w:rPr>
              <w:t>RR (95% CI)</w:t>
            </w:r>
          </w:p>
          <w:p w:rsidR="00EA35CA" w:rsidRPr="006E5C4D" w:rsidRDefault="00EA35CA" w:rsidP="00EA35CA">
            <w:pPr>
              <w:keepNext/>
              <w:keepLines/>
              <w:widowControl w:val="0"/>
              <w:spacing w:before="20" w:after="20"/>
              <w:jc w:val="center"/>
              <w:rPr>
                <w:rFonts w:ascii="Arial Narrow" w:hAnsi="Arial Narrow" w:cs="Calibri"/>
                <w:b/>
                <w:sz w:val="20"/>
                <w:szCs w:val="20"/>
              </w:rPr>
            </w:pPr>
          </w:p>
        </w:tc>
      </w:tr>
      <w:tr w:rsidR="00EA35CA" w:rsidRPr="008D797E" w:rsidTr="00021907">
        <w:tc>
          <w:tcPr>
            <w:tcW w:w="932" w:type="pct"/>
            <w:tcBorders>
              <w:top w:val="single" w:sz="4" w:space="0" w:color="auto"/>
              <w:left w:val="single" w:sz="4" w:space="0" w:color="auto"/>
              <w:right w:val="single" w:sz="4" w:space="0" w:color="auto"/>
            </w:tcBorders>
          </w:tcPr>
          <w:p w:rsidR="00EA35CA" w:rsidRPr="008D797E" w:rsidRDefault="00EA35CA" w:rsidP="00EA35CA">
            <w:pPr>
              <w:keepNext/>
              <w:keepLines/>
              <w:widowControl w:val="0"/>
              <w:spacing w:before="40" w:after="40"/>
              <w:jc w:val="left"/>
              <w:rPr>
                <w:rFonts w:ascii="Arial Narrow" w:hAnsi="Arial Narrow" w:cs="Calibri"/>
                <w:bCs/>
                <w:sz w:val="20"/>
                <w:szCs w:val="20"/>
              </w:rPr>
            </w:pPr>
            <w:r w:rsidRPr="008D797E">
              <w:rPr>
                <w:rFonts w:ascii="Arial Narrow" w:hAnsi="Arial Narrow" w:cs="Calibri"/>
                <w:bCs/>
                <w:sz w:val="20"/>
                <w:szCs w:val="20"/>
              </w:rPr>
              <w:t xml:space="preserve">No. of patients with at least one: </w:t>
            </w:r>
          </w:p>
        </w:tc>
        <w:tc>
          <w:tcPr>
            <w:tcW w:w="561" w:type="pct"/>
            <w:tcBorders>
              <w:top w:val="single" w:sz="4" w:space="0" w:color="auto"/>
              <w:left w:val="nil"/>
              <w:right w:val="single" w:sz="4" w:space="0" w:color="auto"/>
            </w:tcBorders>
            <w:shd w:val="clear" w:color="auto" w:fill="DBE5F1" w:themeFill="accent1" w:themeFillTint="33"/>
          </w:tcPr>
          <w:p w:rsidR="00EA35CA" w:rsidRPr="008D797E" w:rsidRDefault="00EA35CA" w:rsidP="00EA35CA">
            <w:pPr>
              <w:keepNext/>
              <w:keepLines/>
              <w:widowControl w:val="0"/>
              <w:spacing w:before="40" w:after="40"/>
              <w:jc w:val="center"/>
              <w:rPr>
                <w:rFonts w:ascii="Arial Narrow" w:hAnsi="Arial Narrow" w:cs="Calibri"/>
                <w:bCs/>
                <w:sz w:val="20"/>
                <w:szCs w:val="20"/>
              </w:rPr>
            </w:pPr>
          </w:p>
        </w:tc>
        <w:tc>
          <w:tcPr>
            <w:tcW w:w="576" w:type="pct"/>
            <w:tcBorders>
              <w:top w:val="single" w:sz="4" w:space="0" w:color="auto"/>
              <w:left w:val="nil"/>
              <w:right w:val="single" w:sz="4" w:space="0" w:color="auto"/>
            </w:tcBorders>
            <w:shd w:val="clear" w:color="auto" w:fill="DBE5F1" w:themeFill="accent1" w:themeFillTint="33"/>
          </w:tcPr>
          <w:p w:rsidR="00EA35CA" w:rsidRPr="008D797E" w:rsidRDefault="00EA35CA" w:rsidP="00EA35CA">
            <w:pPr>
              <w:keepNext/>
              <w:keepLines/>
              <w:widowControl w:val="0"/>
              <w:spacing w:before="40" w:after="40"/>
              <w:jc w:val="center"/>
              <w:rPr>
                <w:rFonts w:ascii="Arial Narrow" w:hAnsi="Arial Narrow" w:cs="Calibri"/>
                <w:bCs/>
                <w:sz w:val="20"/>
                <w:szCs w:val="20"/>
              </w:rPr>
            </w:pPr>
          </w:p>
        </w:tc>
        <w:tc>
          <w:tcPr>
            <w:tcW w:w="867" w:type="pct"/>
            <w:tcBorders>
              <w:top w:val="single" w:sz="4" w:space="0" w:color="auto"/>
              <w:left w:val="single" w:sz="4" w:space="0" w:color="auto"/>
              <w:right w:val="single" w:sz="4" w:space="0" w:color="auto"/>
            </w:tcBorders>
            <w:shd w:val="clear" w:color="auto" w:fill="DBE5F1" w:themeFill="accent1" w:themeFillTint="33"/>
          </w:tcPr>
          <w:p w:rsidR="00EA35CA" w:rsidRPr="008D797E" w:rsidRDefault="00EA35CA" w:rsidP="00EA35CA">
            <w:pPr>
              <w:keepNext/>
              <w:keepLines/>
              <w:widowControl w:val="0"/>
              <w:spacing w:before="40" w:after="40"/>
              <w:jc w:val="center"/>
              <w:rPr>
                <w:rFonts w:ascii="Arial Narrow" w:hAnsi="Arial Narrow" w:cs="Calibri"/>
                <w:bCs/>
                <w:sz w:val="20"/>
                <w:szCs w:val="20"/>
              </w:rPr>
            </w:pPr>
          </w:p>
        </w:tc>
        <w:tc>
          <w:tcPr>
            <w:tcW w:w="565" w:type="pct"/>
            <w:tcBorders>
              <w:top w:val="single" w:sz="4" w:space="0" w:color="auto"/>
              <w:left w:val="single" w:sz="4" w:space="0" w:color="auto"/>
              <w:right w:val="single" w:sz="4" w:space="0" w:color="auto"/>
            </w:tcBorders>
          </w:tcPr>
          <w:p w:rsidR="00EA35CA" w:rsidRPr="008D797E" w:rsidRDefault="00EA35CA" w:rsidP="00EA35CA">
            <w:pPr>
              <w:keepNext/>
              <w:keepLines/>
              <w:widowControl w:val="0"/>
              <w:spacing w:before="40" w:after="40"/>
              <w:jc w:val="center"/>
              <w:rPr>
                <w:rFonts w:ascii="Arial Narrow" w:hAnsi="Arial Narrow" w:cs="Calibri"/>
                <w:bCs/>
                <w:sz w:val="20"/>
                <w:szCs w:val="20"/>
              </w:rPr>
            </w:pPr>
          </w:p>
        </w:tc>
        <w:tc>
          <w:tcPr>
            <w:tcW w:w="592" w:type="pct"/>
            <w:tcBorders>
              <w:top w:val="single" w:sz="4" w:space="0" w:color="auto"/>
              <w:left w:val="single" w:sz="4" w:space="0" w:color="auto"/>
              <w:right w:val="single" w:sz="4" w:space="0" w:color="auto"/>
            </w:tcBorders>
          </w:tcPr>
          <w:p w:rsidR="00EA35CA" w:rsidRPr="008D797E" w:rsidRDefault="00EA35CA" w:rsidP="00EA35CA">
            <w:pPr>
              <w:keepNext/>
              <w:keepLines/>
              <w:widowControl w:val="0"/>
              <w:spacing w:before="40" w:after="40"/>
              <w:jc w:val="center"/>
              <w:rPr>
                <w:rFonts w:ascii="Arial Narrow" w:hAnsi="Arial Narrow" w:cs="Calibri"/>
                <w:bCs/>
                <w:sz w:val="20"/>
                <w:szCs w:val="20"/>
              </w:rPr>
            </w:pPr>
          </w:p>
        </w:tc>
        <w:tc>
          <w:tcPr>
            <w:tcW w:w="907" w:type="pct"/>
            <w:tcBorders>
              <w:top w:val="single" w:sz="4" w:space="0" w:color="auto"/>
              <w:left w:val="single" w:sz="4" w:space="0" w:color="auto"/>
              <w:right w:val="single" w:sz="4" w:space="0" w:color="auto"/>
            </w:tcBorders>
          </w:tcPr>
          <w:p w:rsidR="00EA35CA" w:rsidRPr="008D797E" w:rsidRDefault="00EA35CA" w:rsidP="00EA35CA">
            <w:pPr>
              <w:keepNext/>
              <w:keepLines/>
              <w:widowControl w:val="0"/>
              <w:spacing w:before="40" w:after="40"/>
              <w:jc w:val="center"/>
              <w:rPr>
                <w:rFonts w:ascii="Arial Narrow" w:hAnsi="Arial Narrow" w:cs="Calibri"/>
                <w:b/>
                <w:sz w:val="20"/>
                <w:szCs w:val="20"/>
              </w:rPr>
            </w:pPr>
          </w:p>
        </w:tc>
      </w:tr>
      <w:tr w:rsidR="00EA35CA" w:rsidRPr="008D797E" w:rsidTr="00021907">
        <w:tc>
          <w:tcPr>
            <w:tcW w:w="932" w:type="pct"/>
            <w:tcBorders>
              <w:left w:val="single" w:sz="4" w:space="0" w:color="auto"/>
              <w:right w:val="single" w:sz="4" w:space="0" w:color="auto"/>
            </w:tcBorders>
          </w:tcPr>
          <w:p w:rsidR="00EA35CA" w:rsidRPr="008D797E" w:rsidRDefault="00EA35CA" w:rsidP="00EA35CA">
            <w:pPr>
              <w:keepNext/>
              <w:keepLines/>
              <w:widowControl w:val="0"/>
              <w:spacing w:before="40" w:after="40"/>
              <w:ind w:left="284"/>
              <w:jc w:val="left"/>
              <w:rPr>
                <w:rFonts w:ascii="Arial Narrow" w:hAnsi="Arial Narrow" w:cs="Calibri"/>
                <w:bCs/>
                <w:sz w:val="20"/>
                <w:szCs w:val="20"/>
              </w:rPr>
            </w:pPr>
            <w:r w:rsidRPr="008D797E">
              <w:rPr>
                <w:rFonts w:ascii="Arial Narrow" w:hAnsi="Arial Narrow" w:cs="Calibri"/>
                <w:bCs/>
                <w:sz w:val="20"/>
                <w:szCs w:val="20"/>
              </w:rPr>
              <w:t>Grade 5 AE</w:t>
            </w:r>
          </w:p>
          <w:p w:rsidR="00EA35CA" w:rsidRPr="008D797E" w:rsidRDefault="00EA35CA" w:rsidP="00EA35CA">
            <w:pPr>
              <w:keepNext/>
              <w:keepLines/>
              <w:widowControl w:val="0"/>
              <w:spacing w:before="40" w:after="40"/>
              <w:ind w:left="284"/>
              <w:jc w:val="left"/>
              <w:rPr>
                <w:rFonts w:ascii="Arial Narrow" w:hAnsi="Arial Narrow" w:cs="Calibri"/>
                <w:bCs/>
                <w:sz w:val="20"/>
                <w:szCs w:val="20"/>
              </w:rPr>
            </w:pPr>
            <w:r w:rsidRPr="008D797E">
              <w:rPr>
                <w:rFonts w:ascii="Arial Narrow" w:hAnsi="Arial Narrow" w:cs="Calibri"/>
                <w:bCs/>
                <w:sz w:val="20"/>
                <w:szCs w:val="20"/>
              </w:rPr>
              <w:t>Related Grade 5 AE</w:t>
            </w:r>
          </w:p>
        </w:tc>
        <w:tc>
          <w:tcPr>
            <w:tcW w:w="561" w:type="pct"/>
            <w:tcBorders>
              <w:left w:val="nil"/>
              <w:right w:val="single" w:sz="4" w:space="0" w:color="auto"/>
            </w:tcBorders>
            <w:shd w:val="clear" w:color="auto" w:fill="DBE5F1" w:themeFill="accent1" w:themeFillTint="33"/>
          </w:tcPr>
          <w:p w:rsidR="00EA35CA" w:rsidRPr="008D797E" w:rsidRDefault="00EA35CA" w:rsidP="00EA35CA">
            <w:pPr>
              <w:keepNext/>
              <w:keepLines/>
              <w:widowControl w:val="0"/>
              <w:spacing w:before="40" w:after="40"/>
              <w:jc w:val="center"/>
              <w:rPr>
                <w:rFonts w:ascii="Arial Narrow" w:hAnsi="Arial Narrow" w:cs="Calibri"/>
                <w:bCs/>
                <w:sz w:val="20"/>
                <w:szCs w:val="20"/>
              </w:rPr>
            </w:pPr>
            <w:r w:rsidRPr="008D797E">
              <w:rPr>
                <w:rFonts w:ascii="Arial Narrow" w:hAnsi="Arial Narrow" w:cs="Calibri"/>
                <w:bCs/>
                <w:sz w:val="20"/>
                <w:szCs w:val="20"/>
              </w:rPr>
              <w:t>2 (1.1)</w:t>
            </w:r>
          </w:p>
          <w:p w:rsidR="00EA35CA" w:rsidRPr="008D797E" w:rsidRDefault="00EA35CA" w:rsidP="00EA35CA">
            <w:pPr>
              <w:keepNext/>
              <w:keepLines/>
              <w:widowControl w:val="0"/>
              <w:spacing w:before="40" w:after="40"/>
              <w:jc w:val="center"/>
              <w:rPr>
                <w:rFonts w:ascii="Arial Narrow" w:hAnsi="Arial Narrow" w:cs="Calibri"/>
                <w:bCs/>
                <w:sz w:val="20"/>
                <w:szCs w:val="20"/>
              </w:rPr>
            </w:pPr>
            <w:r w:rsidRPr="008D797E">
              <w:rPr>
                <w:rFonts w:ascii="Arial Narrow" w:hAnsi="Arial Narrow" w:cs="Calibri"/>
                <w:bCs/>
                <w:sz w:val="20"/>
                <w:szCs w:val="20"/>
              </w:rPr>
              <w:t>1 (0.5)</w:t>
            </w:r>
          </w:p>
        </w:tc>
        <w:tc>
          <w:tcPr>
            <w:tcW w:w="576" w:type="pct"/>
            <w:tcBorders>
              <w:left w:val="nil"/>
              <w:right w:val="single" w:sz="4" w:space="0" w:color="auto"/>
            </w:tcBorders>
            <w:shd w:val="clear" w:color="auto" w:fill="DBE5F1" w:themeFill="accent1" w:themeFillTint="33"/>
          </w:tcPr>
          <w:p w:rsidR="00EA35CA" w:rsidRPr="008D797E" w:rsidRDefault="00EA35CA" w:rsidP="00EA35CA">
            <w:pPr>
              <w:keepNext/>
              <w:keepLines/>
              <w:widowControl w:val="0"/>
              <w:spacing w:before="40" w:after="40"/>
              <w:jc w:val="center"/>
              <w:rPr>
                <w:rFonts w:ascii="Arial Narrow" w:hAnsi="Arial Narrow" w:cs="Calibri"/>
                <w:bCs/>
                <w:sz w:val="20"/>
                <w:szCs w:val="20"/>
              </w:rPr>
            </w:pPr>
            <w:r w:rsidRPr="008D797E">
              <w:rPr>
                <w:rFonts w:ascii="Arial Narrow" w:hAnsi="Arial Narrow" w:cs="Calibri"/>
                <w:bCs/>
                <w:sz w:val="20"/>
                <w:szCs w:val="20"/>
              </w:rPr>
              <w:t>1 (0.6)</w:t>
            </w:r>
          </w:p>
          <w:p w:rsidR="00EA35CA" w:rsidRPr="008D797E" w:rsidRDefault="00EA35CA" w:rsidP="00EA35CA">
            <w:pPr>
              <w:keepNext/>
              <w:keepLines/>
              <w:widowControl w:val="0"/>
              <w:spacing w:before="40" w:after="40"/>
              <w:jc w:val="center"/>
              <w:rPr>
                <w:rFonts w:ascii="Arial Narrow" w:hAnsi="Arial Narrow" w:cs="Calibri"/>
                <w:bCs/>
                <w:sz w:val="20"/>
                <w:szCs w:val="20"/>
              </w:rPr>
            </w:pPr>
            <w:r w:rsidRPr="008D797E">
              <w:rPr>
                <w:rFonts w:ascii="Arial Narrow" w:hAnsi="Arial Narrow" w:cs="Calibri"/>
                <w:bCs/>
                <w:sz w:val="20"/>
                <w:szCs w:val="20"/>
              </w:rPr>
              <w:t>0</w:t>
            </w:r>
          </w:p>
        </w:tc>
        <w:tc>
          <w:tcPr>
            <w:tcW w:w="867" w:type="pct"/>
            <w:tcBorders>
              <w:left w:val="single" w:sz="4" w:space="0" w:color="auto"/>
              <w:right w:val="single" w:sz="4" w:space="0" w:color="auto"/>
            </w:tcBorders>
            <w:shd w:val="clear" w:color="auto" w:fill="DBE5F1" w:themeFill="accent1" w:themeFillTint="33"/>
          </w:tcPr>
          <w:p w:rsidR="00EA35CA" w:rsidRPr="008D797E" w:rsidRDefault="00EA35CA" w:rsidP="00EA35CA">
            <w:pPr>
              <w:keepNext/>
              <w:keepLines/>
              <w:widowControl w:val="0"/>
              <w:spacing w:before="40" w:after="40"/>
              <w:jc w:val="center"/>
              <w:rPr>
                <w:rFonts w:ascii="Arial Narrow" w:hAnsi="Arial Narrow" w:cs="Calibri"/>
                <w:bCs/>
                <w:sz w:val="20"/>
                <w:szCs w:val="20"/>
              </w:rPr>
            </w:pPr>
            <w:r w:rsidRPr="008D797E">
              <w:rPr>
                <w:rFonts w:ascii="Arial Narrow" w:hAnsi="Arial Narrow" w:cs="Calibri"/>
                <w:bCs/>
                <w:sz w:val="20"/>
                <w:szCs w:val="20"/>
              </w:rPr>
              <w:t>1.96 (0.18, 21.39)</w:t>
            </w:r>
          </w:p>
          <w:p w:rsidR="00EA35CA" w:rsidRPr="008D797E" w:rsidRDefault="00EA35CA" w:rsidP="00EA35CA">
            <w:pPr>
              <w:keepNext/>
              <w:keepLines/>
              <w:widowControl w:val="0"/>
              <w:spacing w:before="40" w:after="40"/>
              <w:jc w:val="center"/>
              <w:rPr>
                <w:rFonts w:ascii="Arial Narrow" w:hAnsi="Arial Narrow" w:cs="Calibri"/>
                <w:bCs/>
                <w:sz w:val="20"/>
                <w:szCs w:val="20"/>
              </w:rPr>
            </w:pPr>
            <w:r w:rsidRPr="008D797E">
              <w:rPr>
                <w:rFonts w:ascii="Arial Narrow" w:hAnsi="Arial Narrow" w:cs="Calibri"/>
                <w:bCs/>
                <w:sz w:val="20"/>
                <w:szCs w:val="20"/>
              </w:rPr>
              <w:t>NC</w:t>
            </w:r>
          </w:p>
        </w:tc>
        <w:tc>
          <w:tcPr>
            <w:tcW w:w="565" w:type="pct"/>
            <w:tcBorders>
              <w:left w:val="single" w:sz="4" w:space="0" w:color="auto"/>
              <w:right w:val="single" w:sz="4" w:space="0" w:color="auto"/>
            </w:tcBorders>
          </w:tcPr>
          <w:p w:rsidR="00EA35CA" w:rsidRPr="008D797E" w:rsidRDefault="00EA35CA" w:rsidP="00EA35CA">
            <w:pPr>
              <w:keepNext/>
              <w:keepLines/>
              <w:widowControl w:val="0"/>
              <w:spacing w:before="40" w:after="40"/>
              <w:jc w:val="center"/>
              <w:rPr>
                <w:rFonts w:ascii="Arial Narrow" w:hAnsi="Arial Narrow" w:cs="Calibri"/>
                <w:bCs/>
                <w:sz w:val="20"/>
                <w:szCs w:val="20"/>
              </w:rPr>
            </w:pPr>
            <w:r w:rsidRPr="008D797E">
              <w:rPr>
                <w:rFonts w:ascii="Arial Narrow" w:hAnsi="Arial Narrow" w:cs="Calibri"/>
                <w:bCs/>
                <w:sz w:val="20"/>
                <w:szCs w:val="20"/>
              </w:rPr>
              <w:t>2 (1.1)</w:t>
            </w:r>
          </w:p>
          <w:p w:rsidR="00EA35CA" w:rsidRPr="008D797E" w:rsidRDefault="00EA35CA" w:rsidP="00EA35CA">
            <w:pPr>
              <w:keepNext/>
              <w:keepLines/>
              <w:widowControl w:val="0"/>
              <w:spacing w:before="40" w:after="40"/>
              <w:jc w:val="center"/>
              <w:rPr>
                <w:rFonts w:ascii="Arial Narrow" w:hAnsi="Arial Narrow" w:cs="Calibri"/>
                <w:bCs/>
                <w:sz w:val="20"/>
                <w:szCs w:val="20"/>
              </w:rPr>
            </w:pPr>
            <w:r w:rsidRPr="008D797E">
              <w:rPr>
                <w:rFonts w:ascii="Arial Narrow" w:hAnsi="Arial Narrow" w:cs="Calibri"/>
                <w:bCs/>
                <w:sz w:val="20"/>
                <w:szCs w:val="20"/>
              </w:rPr>
              <w:t>1 (0.5)</w:t>
            </w:r>
          </w:p>
        </w:tc>
        <w:tc>
          <w:tcPr>
            <w:tcW w:w="592" w:type="pct"/>
            <w:tcBorders>
              <w:left w:val="single" w:sz="4" w:space="0" w:color="auto"/>
              <w:right w:val="single" w:sz="4" w:space="0" w:color="auto"/>
            </w:tcBorders>
          </w:tcPr>
          <w:p w:rsidR="00EA35CA" w:rsidRPr="008D797E" w:rsidRDefault="00EA35CA" w:rsidP="00EA35CA">
            <w:pPr>
              <w:keepNext/>
              <w:keepLines/>
              <w:widowControl w:val="0"/>
              <w:spacing w:before="40" w:after="40"/>
              <w:jc w:val="center"/>
              <w:rPr>
                <w:rFonts w:ascii="Arial Narrow" w:hAnsi="Arial Narrow" w:cs="Calibri"/>
                <w:bCs/>
                <w:sz w:val="20"/>
                <w:szCs w:val="20"/>
              </w:rPr>
            </w:pPr>
            <w:r w:rsidRPr="008D797E">
              <w:rPr>
                <w:rFonts w:ascii="Arial Narrow" w:hAnsi="Arial Narrow" w:cs="Calibri"/>
                <w:bCs/>
                <w:sz w:val="20"/>
                <w:szCs w:val="20"/>
              </w:rPr>
              <w:t>1 (0.6)</w:t>
            </w:r>
          </w:p>
          <w:p w:rsidR="00EA35CA" w:rsidRPr="008D797E" w:rsidRDefault="00EA35CA" w:rsidP="00EA35CA">
            <w:pPr>
              <w:keepNext/>
              <w:keepLines/>
              <w:widowControl w:val="0"/>
              <w:spacing w:before="40" w:after="40"/>
              <w:jc w:val="center"/>
              <w:rPr>
                <w:rFonts w:ascii="Arial Narrow" w:hAnsi="Arial Narrow" w:cs="Calibri"/>
                <w:bCs/>
                <w:sz w:val="20"/>
                <w:szCs w:val="20"/>
              </w:rPr>
            </w:pPr>
            <w:r w:rsidRPr="008D797E">
              <w:rPr>
                <w:rFonts w:ascii="Arial Narrow" w:hAnsi="Arial Narrow" w:cs="Calibri"/>
                <w:bCs/>
                <w:sz w:val="20"/>
                <w:szCs w:val="20"/>
              </w:rPr>
              <w:t>0</w:t>
            </w:r>
          </w:p>
        </w:tc>
        <w:tc>
          <w:tcPr>
            <w:tcW w:w="907" w:type="pct"/>
            <w:tcBorders>
              <w:left w:val="single" w:sz="4" w:space="0" w:color="auto"/>
              <w:right w:val="single" w:sz="4" w:space="0" w:color="auto"/>
            </w:tcBorders>
          </w:tcPr>
          <w:p w:rsidR="00EA35CA" w:rsidRPr="008D797E" w:rsidRDefault="00EA35CA" w:rsidP="00EA35CA">
            <w:pPr>
              <w:keepNext/>
              <w:keepLines/>
              <w:widowControl w:val="0"/>
              <w:spacing w:before="40" w:after="40"/>
              <w:jc w:val="center"/>
              <w:rPr>
                <w:rFonts w:ascii="Arial Narrow" w:hAnsi="Arial Narrow" w:cs="Calibri"/>
                <w:bCs/>
                <w:sz w:val="20"/>
                <w:szCs w:val="20"/>
              </w:rPr>
            </w:pPr>
            <w:r w:rsidRPr="008D797E">
              <w:rPr>
                <w:rFonts w:ascii="Arial Narrow" w:hAnsi="Arial Narrow" w:cs="Calibri"/>
                <w:bCs/>
                <w:sz w:val="20"/>
                <w:szCs w:val="20"/>
              </w:rPr>
              <w:t>1.85 (0.17, 20.25)</w:t>
            </w:r>
          </w:p>
          <w:p w:rsidR="00EA35CA" w:rsidRPr="008D797E" w:rsidRDefault="00EA35CA" w:rsidP="00EA35CA">
            <w:pPr>
              <w:keepNext/>
              <w:keepLines/>
              <w:widowControl w:val="0"/>
              <w:spacing w:before="40" w:after="40"/>
              <w:jc w:val="center"/>
              <w:rPr>
                <w:rFonts w:ascii="Arial Narrow" w:hAnsi="Arial Narrow" w:cs="Calibri"/>
                <w:bCs/>
                <w:sz w:val="20"/>
                <w:szCs w:val="20"/>
              </w:rPr>
            </w:pPr>
            <w:r w:rsidRPr="008D797E">
              <w:rPr>
                <w:rFonts w:ascii="Arial Narrow" w:hAnsi="Arial Narrow" w:cs="Calibri"/>
                <w:bCs/>
                <w:sz w:val="20"/>
                <w:szCs w:val="20"/>
              </w:rPr>
              <w:t>NC</w:t>
            </w:r>
          </w:p>
        </w:tc>
      </w:tr>
      <w:tr w:rsidR="00EA35CA" w:rsidRPr="008D797E" w:rsidTr="00021907">
        <w:tc>
          <w:tcPr>
            <w:tcW w:w="932" w:type="pct"/>
            <w:tcBorders>
              <w:left w:val="single" w:sz="4" w:space="0" w:color="auto"/>
              <w:right w:val="single" w:sz="4" w:space="0" w:color="auto"/>
            </w:tcBorders>
          </w:tcPr>
          <w:p w:rsidR="00EA35CA" w:rsidRPr="008D797E" w:rsidRDefault="00EA35CA" w:rsidP="00EA35CA">
            <w:pPr>
              <w:keepNext/>
              <w:keepLines/>
              <w:widowControl w:val="0"/>
              <w:spacing w:before="40" w:after="40"/>
              <w:ind w:left="284"/>
              <w:jc w:val="left"/>
              <w:rPr>
                <w:rFonts w:ascii="Arial Narrow" w:hAnsi="Arial Narrow" w:cs="Calibri"/>
                <w:bCs/>
                <w:sz w:val="20"/>
                <w:szCs w:val="20"/>
              </w:rPr>
            </w:pPr>
            <w:r w:rsidRPr="008D797E">
              <w:rPr>
                <w:rFonts w:ascii="Arial Narrow" w:hAnsi="Arial Narrow" w:cs="Calibri"/>
                <w:bCs/>
                <w:sz w:val="20"/>
                <w:szCs w:val="20"/>
              </w:rPr>
              <w:t>Grade 3-4 AE</w:t>
            </w:r>
          </w:p>
        </w:tc>
        <w:tc>
          <w:tcPr>
            <w:tcW w:w="561" w:type="pct"/>
            <w:tcBorders>
              <w:left w:val="nil"/>
              <w:right w:val="single" w:sz="4" w:space="0" w:color="auto"/>
            </w:tcBorders>
            <w:shd w:val="clear" w:color="auto" w:fill="DBE5F1" w:themeFill="accent1" w:themeFillTint="33"/>
          </w:tcPr>
          <w:p w:rsidR="00EA35CA" w:rsidRPr="008D797E" w:rsidRDefault="00EA35CA" w:rsidP="00EA35CA">
            <w:pPr>
              <w:keepNext/>
              <w:keepLines/>
              <w:widowControl w:val="0"/>
              <w:spacing w:before="40" w:after="40"/>
              <w:jc w:val="center"/>
              <w:rPr>
                <w:rFonts w:ascii="Arial Narrow" w:hAnsi="Arial Narrow" w:cs="Calibri"/>
                <w:bCs/>
                <w:sz w:val="20"/>
                <w:szCs w:val="20"/>
              </w:rPr>
            </w:pPr>
            <w:r w:rsidRPr="008D797E">
              <w:rPr>
                <w:rFonts w:ascii="Arial Narrow" w:hAnsi="Arial Narrow" w:cs="Calibri"/>
                <w:bCs/>
                <w:sz w:val="20"/>
                <w:szCs w:val="20"/>
              </w:rPr>
              <w:t>95 (51.4)</w:t>
            </w:r>
          </w:p>
        </w:tc>
        <w:tc>
          <w:tcPr>
            <w:tcW w:w="576" w:type="pct"/>
            <w:tcBorders>
              <w:left w:val="nil"/>
              <w:right w:val="single" w:sz="4" w:space="0" w:color="auto"/>
            </w:tcBorders>
            <w:shd w:val="clear" w:color="auto" w:fill="DBE5F1" w:themeFill="accent1" w:themeFillTint="33"/>
          </w:tcPr>
          <w:p w:rsidR="00EA35CA" w:rsidRPr="008D797E" w:rsidRDefault="00EA35CA" w:rsidP="00EA35CA">
            <w:pPr>
              <w:keepNext/>
              <w:keepLines/>
              <w:widowControl w:val="0"/>
              <w:spacing w:before="40" w:after="40"/>
              <w:jc w:val="center"/>
              <w:rPr>
                <w:rFonts w:ascii="Arial Narrow" w:hAnsi="Arial Narrow" w:cs="Calibri"/>
                <w:bCs/>
                <w:sz w:val="20"/>
                <w:szCs w:val="20"/>
              </w:rPr>
            </w:pPr>
            <w:r w:rsidRPr="008D797E">
              <w:rPr>
                <w:rFonts w:ascii="Arial Narrow" w:hAnsi="Arial Narrow" w:cs="Calibri"/>
                <w:bCs/>
                <w:sz w:val="20"/>
                <w:szCs w:val="20"/>
              </w:rPr>
              <w:t>72 (39.8)</w:t>
            </w:r>
          </w:p>
        </w:tc>
        <w:tc>
          <w:tcPr>
            <w:tcW w:w="867" w:type="pct"/>
            <w:tcBorders>
              <w:left w:val="single" w:sz="4" w:space="0" w:color="auto"/>
              <w:right w:val="single" w:sz="4" w:space="0" w:color="auto"/>
            </w:tcBorders>
            <w:shd w:val="clear" w:color="auto" w:fill="DBE5F1" w:themeFill="accent1" w:themeFillTint="33"/>
          </w:tcPr>
          <w:p w:rsidR="00EA35CA" w:rsidRPr="008D797E" w:rsidRDefault="00EA35CA" w:rsidP="00EA35CA">
            <w:pPr>
              <w:keepNext/>
              <w:keepLines/>
              <w:widowControl w:val="0"/>
              <w:spacing w:before="40" w:after="40"/>
              <w:jc w:val="center"/>
              <w:rPr>
                <w:rFonts w:ascii="Arial Narrow" w:hAnsi="Arial Narrow" w:cs="Calibri"/>
                <w:b/>
                <w:bCs/>
                <w:sz w:val="20"/>
                <w:szCs w:val="20"/>
              </w:rPr>
            </w:pPr>
            <w:r w:rsidRPr="008D797E">
              <w:rPr>
                <w:rFonts w:ascii="Arial Narrow" w:hAnsi="Arial Narrow" w:cs="Calibri"/>
                <w:b/>
                <w:bCs/>
                <w:sz w:val="20"/>
                <w:szCs w:val="20"/>
              </w:rPr>
              <w:t>1.29 (1.03, 1.62)</w:t>
            </w:r>
          </w:p>
        </w:tc>
        <w:tc>
          <w:tcPr>
            <w:tcW w:w="565" w:type="pct"/>
            <w:tcBorders>
              <w:left w:val="single" w:sz="4" w:space="0" w:color="auto"/>
              <w:right w:val="single" w:sz="4" w:space="0" w:color="auto"/>
            </w:tcBorders>
          </w:tcPr>
          <w:p w:rsidR="00EA35CA" w:rsidRPr="008D797E" w:rsidRDefault="00EA35CA" w:rsidP="00EA35CA">
            <w:pPr>
              <w:keepNext/>
              <w:keepLines/>
              <w:widowControl w:val="0"/>
              <w:spacing w:before="40" w:after="40"/>
              <w:jc w:val="center"/>
              <w:rPr>
                <w:rFonts w:ascii="Arial Narrow" w:hAnsi="Arial Narrow" w:cs="Calibri"/>
                <w:b/>
                <w:bCs/>
                <w:sz w:val="20"/>
                <w:szCs w:val="20"/>
              </w:rPr>
            </w:pPr>
            <w:r w:rsidRPr="008D797E">
              <w:rPr>
                <w:rFonts w:ascii="Arial Narrow" w:hAnsi="Arial Narrow" w:cs="Calibri"/>
                <w:bCs/>
                <w:sz w:val="20"/>
                <w:szCs w:val="20"/>
              </w:rPr>
              <w:t>102 (53.7)</w:t>
            </w:r>
          </w:p>
        </w:tc>
        <w:tc>
          <w:tcPr>
            <w:tcW w:w="592" w:type="pct"/>
            <w:tcBorders>
              <w:left w:val="single" w:sz="4" w:space="0" w:color="auto"/>
              <w:right w:val="single" w:sz="4" w:space="0" w:color="auto"/>
            </w:tcBorders>
          </w:tcPr>
          <w:p w:rsidR="00EA35CA" w:rsidRPr="008D797E" w:rsidRDefault="00EA35CA" w:rsidP="00EA35CA">
            <w:pPr>
              <w:keepNext/>
              <w:keepLines/>
              <w:widowControl w:val="0"/>
              <w:spacing w:before="40" w:after="40"/>
              <w:jc w:val="center"/>
              <w:rPr>
                <w:rFonts w:ascii="Arial Narrow" w:hAnsi="Arial Narrow" w:cs="Calibri"/>
                <w:b/>
                <w:bCs/>
                <w:sz w:val="20"/>
                <w:szCs w:val="20"/>
              </w:rPr>
            </w:pPr>
            <w:r w:rsidRPr="008D797E">
              <w:rPr>
                <w:rFonts w:ascii="Arial Narrow" w:hAnsi="Arial Narrow" w:cs="Calibri"/>
                <w:bCs/>
                <w:sz w:val="20"/>
                <w:szCs w:val="20"/>
              </w:rPr>
              <w:t>70 (39.8)</w:t>
            </w:r>
          </w:p>
        </w:tc>
        <w:tc>
          <w:tcPr>
            <w:tcW w:w="907" w:type="pct"/>
            <w:tcBorders>
              <w:right w:val="single" w:sz="4" w:space="0" w:color="auto"/>
            </w:tcBorders>
          </w:tcPr>
          <w:p w:rsidR="00EA35CA" w:rsidRPr="008D797E" w:rsidRDefault="00EA35CA" w:rsidP="00EA35CA">
            <w:pPr>
              <w:keepNext/>
              <w:keepLines/>
              <w:widowControl w:val="0"/>
              <w:spacing w:before="40" w:after="40"/>
              <w:jc w:val="center"/>
              <w:rPr>
                <w:rFonts w:ascii="Arial Narrow" w:hAnsi="Arial Narrow" w:cs="Calibri"/>
                <w:b/>
                <w:sz w:val="20"/>
                <w:szCs w:val="20"/>
              </w:rPr>
            </w:pPr>
            <w:r w:rsidRPr="008D797E">
              <w:rPr>
                <w:rFonts w:ascii="Arial Narrow" w:hAnsi="Arial Narrow" w:cs="Calibri"/>
                <w:b/>
                <w:sz w:val="20"/>
                <w:szCs w:val="20"/>
              </w:rPr>
              <w:t>1.35 (1.08, 1.69)</w:t>
            </w:r>
          </w:p>
        </w:tc>
      </w:tr>
      <w:tr w:rsidR="00EA35CA" w:rsidRPr="008D797E" w:rsidTr="00021907">
        <w:tc>
          <w:tcPr>
            <w:tcW w:w="932" w:type="pct"/>
            <w:tcBorders>
              <w:left w:val="single" w:sz="4" w:space="0" w:color="auto"/>
              <w:right w:val="single" w:sz="4" w:space="0" w:color="auto"/>
            </w:tcBorders>
          </w:tcPr>
          <w:p w:rsidR="00EA35CA" w:rsidRPr="008D797E" w:rsidRDefault="00EA35CA" w:rsidP="00EA35CA">
            <w:pPr>
              <w:keepNext/>
              <w:keepLines/>
              <w:widowControl w:val="0"/>
              <w:spacing w:before="40" w:after="40"/>
              <w:ind w:left="284"/>
              <w:jc w:val="left"/>
              <w:rPr>
                <w:rFonts w:ascii="Arial Narrow" w:hAnsi="Arial Narrow" w:cs="Calibri"/>
                <w:bCs/>
                <w:sz w:val="20"/>
                <w:szCs w:val="20"/>
              </w:rPr>
            </w:pPr>
            <w:r w:rsidRPr="008D797E">
              <w:rPr>
                <w:rFonts w:ascii="Arial Narrow" w:hAnsi="Arial Narrow" w:cs="Calibri"/>
                <w:bCs/>
                <w:sz w:val="20"/>
                <w:szCs w:val="20"/>
              </w:rPr>
              <w:t>Related Grade 3-4 AE</w:t>
            </w:r>
          </w:p>
        </w:tc>
        <w:tc>
          <w:tcPr>
            <w:tcW w:w="561" w:type="pct"/>
            <w:tcBorders>
              <w:left w:val="nil"/>
              <w:right w:val="single" w:sz="4" w:space="0" w:color="auto"/>
            </w:tcBorders>
            <w:shd w:val="clear" w:color="auto" w:fill="DBE5F1" w:themeFill="accent1" w:themeFillTint="33"/>
          </w:tcPr>
          <w:p w:rsidR="00EA35CA" w:rsidRPr="008D797E" w:rsidRDefault="00EA35CA" w:rsidP="00EA35CA">
            <w:pPr>
              <w:keepNext/>
              <w:keepLines/>
              <w:widowControl w:val="0"/>
              <w:spacing w:before="40" w:after="40"/>
              <w:jc w:val="center"/>
              <w:rPr>
                <w:rFonts w:ascii="Arial Narrow" w:hAnsi="Arial Narrow" w:cs="Calibri"/>
                <w:bCs/>
                <w:sz w:val="20"/>
                <w:szCs w:val="20"/>
              </w:rPr>
            </w:pPr>
            <w:r w:rsidRPr="008D797E">
              <w:rPr>
                <w:rFonts w:ascii="Arial Narrow" w:hAnsi="Arial Narrow" w:cs="Calibri"/>
                <w:bCs/>
                <w:sz w:val="20"/>
                <w:szCs w:val="20"/>
              </w:rPr>
              <w:t>76 (41.1)</w:t>
            </w:r>
          </w:p>
        </w:tc>
        <w:tc>
          <w:tcPr>
            <w:tcW w:w="576" w:type="pct"/>
            <w:tcBorders>
              <w:left w:val="nil"/>
              <w:right w:val="single" w:sz="4" w:space="0" w:color="auto"/>
            </w:tcBorders>
            <w:shd w:val="clear" w:color="auto" w:fill="DBE5F1" w:themeFill="accent1" w:themeFillTint="33"/>
          </w:tcPr>
          <w:p w:rsidR="00EA35CA" w:rsidRPr="008D797E" w:rsidRDefault="00EA35CA" w:rsidP="00EA35CA">
            <w:pPr>
              <w:keepNext/>
              <w:keepLines/>
              <w:widowControl w:val="0"/>
              <w:spacing w:before="40" w:after="40"/>
              <w:jc w:val="center"/>
              <w:rPr>
                <w:rFonts w:ascii="Arial Narrow" w:hAnsi="Arial Narrow" w:cs="Calibri"/>
                <w:bCs/>
                <w:sz w:val="20"/>
                <w:szCs w:val="20"/>
              </w:rPr>
            </w:pPr>
            <w:r w:rsidRPr="008D797E">
              <w:rPr>
                <w:rFonts w:ascii="Arial Narrow" w:hAnsi="Arial Narrow" w:cs="Calibri"/>
                <w:bCs/>
                <w:sz w:val="20"/>
                <w:szCs w:val="20"/>
              </w:rPr>
              <w:t>49 (27.1)</w:t>
            </w:r>
          </w:p>
        </w:tc>
        <w:tc>
          <w:tcPr>
            <w:tcW w:w="867" w:type="pct"/>
            <w:tcBorders>
              <w:left w:val="single" w:sz="4" w:space="0" w:color="auto"/>
              <w:right w:val="single" w:sz="4" w:space="0" w:color="auto"/>
            </w:tcBorders>
            <w:shd w:val="clear" w:color="auto" w:fill="DBE5F1" w:themeFill="accent1" w:themeFillTint="33"/>
          </w:tcPr>
          <w:p w:rsidR="00EA35CA" w:rsidRPr="008D797E" w:rsidRDefault="00EA35CA" w:rsidP="00EA35CA">
            <w:pPr>
              <w:keepNext/>
              <w:keepLines/>
              <w:widowControl w:val="0"/>
              <w:spacing w:before="40" w:after="40"/>
              <w:jc w:val="center"/>
              <w:rPr>
                <w:rFonts w:ascii="Arial Narrow" w:hAnsi="Arial Narrow" w:cs="Calibri"/>
                <w:b/>
                <w:bCs/>
                <w:sz w:val="20"/>
                <w:szCs w:val="20"/>
              </w:rPr>
            </w:pPr>
            <w:r w:rsidRPr="008D797E">
              <w:rPr>
                <w:rFonts w:ascii="Arial Narrow" w:hAnsi="Arial Narrow" w:cs="Calibri"/>
                <w:b/>
                <w:bCs/>
                <w:sz w:val="20"/>
                <w:szCs w:val="20"/>
              </w:rPr>
              <w:t>1.52 (1.13, 2.04)</w:t>
            </w:r>
          </w:p>
        </w:tc>
        <w:tc>
          <w:tcPr>
            <w:tcW w:w="565" w:type="pct"/>
            <w:tcBorders>
              <w:left w:val="single" w:sz="4" w:space="0" w:color="auto"/>
              <w:right w:val="single" w:sz="4" w:space="0" w:color="auto"/>
            </w:tcBorders>
          </w:tcPr>
          <w:p w:rsidR="00EA35CA" w:rsidRPr="008D797E" w:rsidRDefault="00EA35CA" w:rsidP="00EA35CA">
            <w:pPr>
              <w:keepNext/>
              <w:keepLines/>
              <w:widowControl w:val="0"/>
              <w:spacing w:before="40" w:after="40"/>
              <w:jc w:val="center"/>
              <w:rPr>
                <w:rFonts w:ascii="Arial Narrow" w:hAnsi="Arial Narrow" w:cs="Calibri"/>
                <w:b/>
                <w:bCs/>
                <w:sz w:val="20"/>
                <w:szCs w:val="20"/>
              </w:rPr>
            </w:pPr>
            <w:r w:rsidRPr="008D797E">
              <w:rPr>
                <w:rFonts w:ascii="Arial Narrow" w:hAnsi="Arial Narrow" w:cs="Calibri"/>
                <w:bCs/>
                <w:sz w:val="20"/>
                <w:szCs w:val="20"/>
              </w:rPr>
              <w:t>82 (43.2)</w:t>
            </w:r>
          </w:p>
        </w:tc>
        <w:tc>
          <w:tcPr>
            <w:tcW w:w="592" w:type="pct"/>
            <w:tcBorders>
              <w:left w:val="single" w:sz="4" w:space="0" w:color="auto"/>
              <w:right w:val="single" w:sz="4" w:space="0" w:color="auto"/>
            </w:tcBorders>
          </w:tcPr>
          <w:p w:rsidR="00EA35CA" w:rsidRPr="008D797E" w:rsidRDefault="00EA35CA" w:rsidP="00EA35CA">
            <w:pPr>
              <w:keepNext/>
              <w:keepLines/>
              <w:widowControl w:val="0"/>
              <w:spacing w:before="40" w:after="40"/>
              <w:jc w:val="center"/>
              <w:rPr>
                <w:rFonts w:ascii="Arial Narrow" w:hAnsi="Arial Narrow" w:cs="Calibri"/>
                <w:b/>
                <w:bCs/>
                <w:sz w:val="20"/>
                <w:szCs w:val="20"/>
              </w:rPr>
            </w:pPr>
            <w:r w:rsidRPr="008D797E">
              <w:rPr>
                <w:rFonts w:ascii="Arial Narrow" w:hAnsi="Arial Narrow" w:cs="Calibri"/>
                <w:bCs/>
                <w:sz w:val="20"/>
                <w:szCs w:val="20"/>
              </w:rPr>
              <w:t>47 (26.7)</w:t>
            </w:r>
          </w:p>
        </w:tc>
        <w:tc>
          <w:tcPr>
            <w:tcW w:w="907" w:type="pct"/>
            <w:tcBorders>
              <w:left w:val="single" w:sz="4" w:space="0" w:color="auto"/>
              <w:right w:val="single" w:sz="4" w:space="0" w:color="auto"/>
            </w:tcBorders>
          </w:tcPr>
          <w:p w:rsidR="00EA35CA" w:rsidRPr="008D797E" w:rsidRDefault="00EA35CA" w:rsidP="00EA35CA">
            <w:pPr>
              <w:keepNext/>
              <w:keepLines/>
              <w:widowControl w:val="0"/>
              <w:spacing w:before="40" w:after="40"/>
              <w:jc w:val="center"/>
              <w:rPr>
                <w:rFonts w:ascii="Arial Narrow" w:hAnsi="Arial Narrow" w:cs="Calibri"/>
                <w:b/>
                <w:bCs/>
                <w:sz w:val="20"/>
                <w:szCs w:val="20"/>
              </w:rPr>
            </w:pPr>
            <w:r w:rsidRPr="008D797E">
              <w:rPr>
                <w:rFonts w:ascii="Arial Narrow" w:hAnsi="Arial Narrow" w:cs="Calibri"/>
                <w:b/>
                <w:bCs/>
                <w:sz w:val="20"/>
                <w:szCs w:val="20"/>
              </w:rPr>
              <w:t>1.62 (1.20, 2.17)</w:t>
            </w:r>
          </w:p>
        </w:tc>
      </w:tr>
      <w:tr w:rsidR="00EA35CA" w:rsidRPr="008D797E" w:rsidTr="00021907">
        <w:tc>
          <w:tcPr>
            <w:tcW w:w="932" w:type="pct"/>
            <w:tcBorders>
              <w:left w:val="single" w:sz="4" w:space="0" w:color="auto"/>
              <w:right w:val="single" w:sz="4" w:space="0" w:color="auto"/>
            </w:tcBorders>
          </w:tcPr>
          <w:p w:rsidR="00EA35CA" w:rsidRPr="008D797E" w:rsidRDefault="00EA35CA" w:rsidP="00EA35CA">
            <w:pPr>
              <w:keepNext/>
              <w:keepLines/>
              <w:widowControl w:val="0"/>
              <w:spacing w:before="40" w:after="40"/>
              <w:jc w:val="left"/>
              <w:rPr>
                <w:rFonts w:ascii="Arial Narrow" w:hAnsi="Arial Narrow" w:cs="Calibri"/>
                <w:bCs/>
                <w:sz w:val="20"/>
                <w:szCs w:val="20"/>
              </w:rPr>
            </w:pPr>
            <w:r w:rsidRPr="008D797E">
              <w:rPr>
                <w:rFonts w:ascii="Arial Narrow" w:hAnsi="Arial Narrow" w:cs="Calibri"/>
                <w:bCs/>
                <w:sz w:val="20"/>
                <w:szCs w:val="20"/>
              </w:rPr>
              <w:t>SAE</w:t>
            </w:r>
          </w:p>
        </w:tc>
        <w:tc>
          <w:tcPr>
            <w:tcW w:w="561" w:type="pct"/>
            <w:tcBorders>
              <w:left w:val="nil"/>
              <w:right w:val="single" w:sz="4" w:space="0" w:color="auto"/>
            </w:tcBorders>
            <w:shd w:val="clear" w:color="auto" w:fill="DBE5F1" w:themeFill="accent1" w:themeFillTint="33"/>
          </w:tcPr>
          <w:p w:rsidR="00EA35CA" w:rsidRPr="008D797E" w:rsidRDefault="00EA35CA" w:rsidP="00EA35CA">
            <w:pPr>
              <w:keepNext/>
              <w:keepLines/>
              <w:widowControl w:val="0"/>
              <w:spacing w:before="40" w:after="40"/>
              <w:jc w:val="center"/>
              <w:rPr>
                <w:rFonts w:ascii="Arial Narrow" w:hAnsi="Arial Narrow" w:cs="Calibri"/>
                <w:bCs/>
                <w:sz w:val="20"/>
                <w:szCs w:val="20"/>
              </w:rPr>
            </w:pPr>
            <w:r w:rsidRPr="008D797E">
              <w:rPr>
                <w:rFonts w:ascii="Arial Narrow" w:hAnsi="Arial Narrow" w:cs="Calibri"/>
                <w:bCs/>
                <w:sz w:val="20"/>
                <w:szCs w:val="20"/>
              </w:rPr>
              <w:t>42 (22.7)</w:t>
            </w:r>
          </w:p>
        </w:tc>
        <w:tc>
          <w:tcPr>
            <w:tcW w:w="576" w:type="pct"/>
            <w:tcBorders>
              <w:left w:val="nil"/>
              <w:right w:val="single" w:sz="4" w:space="0" w:color="auto"/>
            </w:tcBorders>
            <w:shd w:val="clear" w:color="auto" w:fill="DBE5F1" w:themeFill="accent1" w:themeFillTint="33"/>
          </w:tcPr>
          <w:p w:rsidR="00EA35CA" w:rsidRPr="008D797E" w:rsidRDefault="00EA35CA" w:rsidP="00EA35CA">
            <w:pPr>
              <w:keepNext/>
              <w:keepLines/>
              <w:widowControl w:val="0"/>
              <w:spacing w:before="40" w:after="40"/>
              <w:jc w:val="center"/>
              <w:rPr>
                <w:rFonts w:ascii="Arial Narrow" w:hAnsi="Arial Narrow" w:cs="Calibri"/>
                <w:bCs/>
                <w:sz w:val="20"/>
                <w:szCs w:val="20"/>
              </w:rPr>
            </w:pPr>
            <w:r w:rsidRPr="008D797E">
              <w:rPr>
                <w:rFonts w:ascii="Arial Narrow" w:hAnsi="Arial Narrow" w:cs="Calibri"/>
                <w:bCs/>
                <w:sz w:val="20"/>
                <w:szCs w:val="20"/>
              </w:rPr>
              <w:t>31 (17.1)</w:t>
            </w:r>
          </w:p>
        </w:tc>
        <w:tc>
          <w:tcPr>
            <w:tcW w:w="867" w:type="pct"/>
            <w:tcBorders>
              <w:left w:val="single" w:sz="4" w:space="0" w:color="auto"/>
              <w:right w:val="single" w:sz="4" w:space="0" w:color="auto"/>
            </w:tcBorders>
            <w:shd w:val="clear" w:color="auto" w:fill="DBE5F1" w:themeFill="accent1" w:themeFillTint="33"/>
          </w:tcPr>
          <w:p w:rsidR="00EA35CA" w:rsidRPr="008D797E" w:rsidRDefault="00EA35CA" w:rsidP="00EA35CA">
            <w:pPr>
              <w:keepNext/>
              <w:keepLines/>
              <w:widowControl w:val="0"/>
              <w:spacing w:before="40" w:after="40"/>
              <w:jc w:val="center"/>
              <w:rPr>
                <w:rFonts w:ascii="Arial Narrow" w:hAnsi="Arial Narrow" w:cs="Calibri"/>
                <w:bCs/>
                <w:sz w:val="20"/>
                <w:szCs w:val="20"/>
              </w:rPr>
            </w:pPr>
            <w:r w:rsidRPr="008D797E">
              <w:rPr>
                <w:rFonts w:ascii="Arial Narrow" w:hAnsi="Arial Narrow" w:cs="Calibri"/>
                <w:bCs/>
                <w:sz w:val="20"/>
                <w:szCs w:val="20"/>
              </w:rPr>
              <w:t>1.33 (0.87, 2.01)</w:t>
            </w:r>
          </w:p>
        </w:tc>
        <w:tc>
          <w:tcPr>
            <w:tcW w:w="565" w:type="pct"/>
            <w:tcBorders>
              <w:left w:val="single" w:sz="4" w:space="0" w:color="auto"/>
              <w:right w:val="single" w:sz="4" w:space="0" w:color="auto"/>
            </w:tcBorders>
          </w:tcPr>
          <w:p w:rsidR="00EA35CA" w:rsidRPr="008D797E" w:rsidRDefault="00EA35CA" w:rsidP="00EA35CA">
            <w:pPr>
              <w:keepNext/>
              <w:keepLines/>
              <w:widowControl w:val="0"/>
              <w:spacing w:before="40" w:after="40"/>
              <w:jc w:val="center"/>
              <w:rPr>
                <w:rFonts w:ascii="Arial Narrow" w:hAnsi="Arial Narrow" w:cs="Calibri"/>
                <w:bCs/>
                <w:sz w:val="20"/>
                <w:szCs w:val="20"/>
              </w:rPr>
            </w:pPr>
            <w:r w:rsidRPr="008D797E">
              <w:rPr>
                <w:rFonts w:ascii="Arial Narrow" w:hAnsi="Arial Narrow" w:cs="Calibri"/>
                <w:bCs/>
                <w:sz w:val="20"/>
                <w:szCs w:val="20"/>
              </w:rPr>
              <w:t>47 (24.7)</w:t>
            </w:r>
          </w:p>
        </w:tc>
        <w:tc>
          <w:tcPr>
            <w:tcW w:w="592" w:type="pct"/>
            <w:tcBorders>
              <w:left w:val="single" w:sz="4" w:space="0" w:color="auto"/>
              <w:right w:val="single" w:sz="4" w:space="0" w:color="auto"/>
            </w:tcBorders>
          </w:tcPr>
          <w:p w:rsidR="00EA35CA" w:rsidRPr="008D797E" w:rsidRDefault="00EA35CA" w:rsidP="00EA35CA">
            <w:pPr>
              <w:keepNext/>
              <w:keepLines/>
              <w:widowControl w:val="0"/>
              <w:spacing w:before="40" w:after="40"/>
              <w:jc w:val="center"/>
              <w:rPr>
                <w:rFonts w:ascii="Arial Narrow" w:hAnsi="Arial Narrow" w:cs="Calibri"/>
                <w:bCs/>
                <w:sz w:val="20"/>
                <w:szCs w:val="20"/>
              </w:rPr>
            </w:pPr>
            <w:r w:rsidRPr="008D797E">
              <w:rPr>
                <w:rFonts w:ascii="Arial Narrow" w:hAnsi="Arial Narrow" w:cs="Calibri"/>
                <w:bCs/>
                <w:sz w:val="20"/>
                <w:szCs w:val="20"/>
              </w:rPr>
              <w:t>29 (16.5)</w:t>
            </w:r>
          </w:p>
        </w:tc>
        <w:tc>
          <w:tcPr>
            <w:tcW w:w="907" w:type="pct"/>
            <w:tcBorders>
              <w:left w:val="single" w:sz="4" w:space="0" w:color="auto"/>
              <w:right w:val="single" w:sz="4" w:space="0" w:color="auto"/>
            </w:tcBorders>
          </w:tcPr>
          <w:p w:rsidR="00EA35CA" w:rsidRPr="008D797E" w:rsidRDefault="00EA35CA" w:rsidP="00EA35CA">
            <w:pPr>
              <w:keepNext/>
              <w:keepLines/>
              <w:widowControl w:val="0"/>
              <w:spacing w:before="40" w:after="40"/>
              <w:jc w:val="center"/>
              <w:rPr>
                <w:rFonts w:ascii="Arial Narrow" w:hAnsi="Arial Narrow" w:cs="Calibri"/>
                <w:sz w:val="20"/>
                <w:szCs w:val="20"/>
              </w:rPr>
            </w:pPr>
            <w:r w:rsidRPr="008D797E">
              <w:rPr>
                <w:rFonts w:ascii="Arial Narrow" w:hAnsi="Arial Narrow" w:cs="Calibri"/>
                <w:sz w:val="20"/>
                <w:szCs w:val="20"/>
              </w:rPr>
              <w:t>1.50 (0.99, 2.27)</w:t>
            </w:r>
          </w:p>
        </w:tc>
      </w:tr>
      <w:tr w:rsidR="00EA35CA" w:rsidRPr="008D797E" w:rsidTr="00021907">
        <w:tc>
          <w:tcPr>
            <w:tcW w:w="932" w:type="pct"/>
            <w:tcBorders>
              <w:left w:val="single" w:sz="4" w:space="0" w:color="auto"/>
              <w:right w:val="single" w:sz="4" w:space="0" w:color="auto"/>
            </w:tcBorders>
          </w:tcPr>
          <w:p w:rsidR="00EA35CA" w:rsidRPr="008D797E" w:rsidRDefault="00EA35CA" w:rsidP="00EA35CA">
            <w:pPr>
              <w:keepNext/>
              <w:keepLines/>
              <w:widowControl w:val="0"/>
              <w:spacing w:before="40" w:after="40"/>
              <w:ind w:left="284"/>
              <w:jc w:val="left"/>
              <w:rPr>
                <w:rFonts w:ascii="Arial Narrow" w:hAnsi="Arial Narrow" w:cs="Calibri"/>
                <w:bCs/>
                <w:sz w:val="20"/>
                <w:szCs w:val="20"/>
              </w:rPr>
            </w:pPr>
            <w:r w:rsidRPr="008D797E">
              <w:rPr>
                <w:rFonts w:ascii="Arial Narrow" w:hAnsi="Arial Narrow" w:cs="Calibri"/>
                <w:bCs/>
                <w:sz w:val="20"/>
                <w:szCs w:val="20"/>
              </w:rPr>
              <w:t>Related SAE</w:t>
            </w:r>
          </w:p>
        </w:tc>
        <w:tc>
          <w:tcPr>
            <w:tcW w:w="561" w:type="pct"/>
            <w:tcBorders>
              <w:left w:val="nil"/>
              <w:right w:val="single" w:sz="4" w:space="0" w:color="auto"/>
            </w:tcBorders>
            <w:shd w:val="clear" w:color="auto" w:fill="DBE5F1" w:themeFill="accent1" w:themeFillTint="33"/>
          </w:tcPr>
          <w:p w:rsidR="00EA35CA" w:rsidRPr="008D797E" w:rsidRDefault="00EA35CA" w:rsidP="00EA35CA">
            <w:pPr>
              <w:keepNext/>
              <w:keepLines/>
              <w:widowControl w:val="0"/>
              <w:spacing w:before="40" w:after="40"/>
              <w:jc w:val="center"/>
              <w:rPr>
                <w:rFonts w:ascii="Arial Narrow" w:hAnsi="Arial Narrow" w:cs="Calibri"/>
                <w:bCs/>
                <w:sz w:val="20"/>
                <w:szCs w:val="20"/>
              </w:rPr>
            </w:pPr>
            <w:r w:rsidRPr="008D797E">
              <w:rPr>
                <w:rFonts w:ascii="Arial Narrow" w:hAnsi="Arial Narrow" w:cs="Calibri"/>
                <w:bCs/>
                <w:sz w:val="20"/>
                <w:szCs w:val="20"/>
              </w:rPr>
              <w:t>21 (11.4)</w:t>
            </w:r>
          </w:p>
        </w:tc>
        <w:tc>
          <w:tcPr>
            <w:tcW w:w="576" w:type="pct"/>
            <w:tcBorders>
              <w:left w:val="nil"/>
              <w:right w:val="single" w:sz="4" w:space="0" w:color="auto"/>
            </w:tcBorders>
            <w:shd w:val="clear" w:color="auto" w:fill="DBE5F1" w:themeFill="accent1" w:themeFillTint="33"/>
          </w:tcPr>
          <w:p w:rsidR="00EA35CA" w:rsidRPr="008D797E" w:rsidRDefault="00EA35CA" w:rsidP="00EA35CA">
            <w:pPr>
              <w:keepNext/>
              <w:keepLines/>
              <w:widowControl w:val="0"/>
              <w:spacing w:before="40" w:after="40"/>
              <w:jc w:val="center"/>
              <w:rPr>
                <w:rFonts w:ascii="Arial Narrow" w:hAnsi="Arial Narrow" w:cs="Calibri"/>
                <w:bCs/>
                <w:sz w:val="20"/>
                <w:szCs w:val="20"/>
              </w:rPr>
            </w:pPr>
            <w:r w:rsidRPr="008D797E">
              <w:rPr>
                <w:rFonts w:ascii="Arial Narrow" w:hAnsi="Arial Narrow" w:cs="Calibri"/>
                <w:bCs/>
                <w:sz w:val="20"/>
                <w:szCs w:val="20"/>
              </w:rPr>
              <w:t>14 (7.7)</w:t>
            </w:r>
          </w:p>
        </w:tc>
        <w:tc>
          <w:tcPr>
            <w:tcW w:w="867" w:type="pct"/>
            <w:tcBorders>
              <w:left w:val="single" w:sz="4" w:space="0" w:color="auto"/>
              <w:right w:val="single" w:sz="4" w:space="0" w:color="auto"/>
            </w:tcBorders>
            <w:shd w:val="clear" w:color="auto" w:fill="DBE5F1" w:themeFill="accent1" w:themeFillTint="33"/>
          </w:tcPr>
          <w:p w:rsidR="00EA35CA" w:rsidRPr="008D797E" w:rsidRDefault="00EA35CA" w:rsidP="00EA35CA">
            <w:pPr>
              <w:keepNext/>
              <w:keepLines/>
              <w:widowControl w:val="0"/>
              <w:spacing w:before="40" w:after="40"/>
              <w:jc w:val="center"/>
              <w:rPr>
                <w:rFonts w:ascii="Arial Narrow" w:hAnsi="Arial Narrow" w:cs="Calibri"/>
                <w:sz w:val="20"/>
                <w:szCs w:val="20"/>
              </w:rPr>
            </w:pPr>
            <w:r w:rsidRPr="008D797E">
              <w:rPr>
                <w:rFonts w:ascii="Arial Narrow" w:hAnsi="Arial Narrow" w:cs="Calibri"/>
                <w:sz w:val="20"/>
                <w:szCs w:val="20"/>
              </w:rPr>
              <w:t>1.47 (0.77, 2.80)</w:t>
            </w:r>
          </w:p>
        </w:tc>
        <w:tc>
          <w:tcPr>
            <w:tcW w:w="565" w:type="pct"/>
            <w:tcBorders>
              <w:left w:val="single" w:sz="4" w:space="0" w:color="auto"/>
              <w:right w:val="single" w:sz="4" w:space="0" w:color="auto"/>
            </w:tcBorders>
          </w:tcPr>
          <w:p w:rsidR="00EA35CA" w:rsidRPr="008D797E" w:rsidRDefault="00EA35CA" w:rsidP="00EA35CA">
            <w:pPr>
              <w:keepNext/>
              <w:keepLines/>
              <w:widowControl w:val="0"/>
              <w:spacing w:before="40" w:after="40"/>
              <w:jc w:val="center"/>
              <w:rPr>
                <w:rFonts w:ascii="Arial Narrow" w:hAnsi="Arial Narrow" w:cs="Calibri"/>
                <w:b/>
                <w:bCs/>
                <w:sz w:val="20"/>
                <w:szCs w:val="20"/>
              </w:rPr>
            </w:pPr>
            <w:r w:rsidRPr="008D797E">
              <w:rPr>
                <w:rFonts w:ascii="Arial Narrow" w:hAnsi="Arial Narrow" w:cs="Calibri"/>
                <w:bCs/>
                <w:sz w:val="20"/>
                <w:szCs w:val="20"/>
              </w:rPr>
              <w:t>23 (12.1)</w:t>
            </w:r>
          </w:p>
        </w:tc>
        <w:tc>
          <w:tcPr>
            <w:tcW w:w="592" w:type="pct"/>
            <w:tcBorders>
              <w:left w:val="single" w:sz="4" w:space="0" w:color="auto"/>
              <w:right w:val="single" w:sz="4" w:space="0" w:color="auto"/>
            </w:tcBorders>
          </w:tcPr>
          <w:p w:rsidR="00EA35CA" w:rsidRPr="008D797E" w:rsidRDefault="00EA35CA" w:rsidP="00EA35CA">
            <w:pPr>
              <w:keepNext/>
              <w:keepLines/>
              <w:widowControl w:val="0"/>
              <w:spacing w:before="40" w:after="40"/>
              <w:jc w:val="center"/>
              <w:rPr>
                <w:rFonts w:ascii="Arial Narrow" w:hAnsi="Arial Narrow" w:cs="Calibri"/>
                <w:b/>
                <w:bCs/>
                <w:sz w:val="20"/>
                <w:szCs w:val="20"/>
              </w:rPr>
            </w:pPr>
            <w:r w:rsidRPr="008D797E">
              <w:rPr>
                <w:rFonts w:ascii="Arial Narrow" w:hAnsi="Arial Narrow" w:cs="Calibri"/>
                <w:bCs/>
                <w:sz w:val="20"/>
                <w:szCs w:val="20"/>
              </w:rPr>
              <w:t>13 (7.4)</w:t>
            </w:r>
          </w:p>
        </w:tc>
        <w:tc>
          <w:tcPr>
            <w:tcW w:w="907" w:type="pct"/>
            <w:tcBorders>
              <w:left w:val="single" w:sz="4" w:space="0" w:color="auto"/>
              <w:right w:val="single" w:sz="4" w:space="0" w:color="auto"/>
            </w:tcBorders>
          </w:tcPr>
          <w:p w:rsidR="00EA35CA" w:rsidRPr="008D797E" w:rsidRDefault="00EA35CA" w:rsidP="00EA35CA">
            <w:pPr>
              <w:keepNext/>
              <w:keepLines/>
              <w:widowControl w:val="0"/>
              <w:spacing w:before="40" w:after="40"/>
              <w:jc w:val="center"/>
              <w:rPr>
                <w:rFonts w:ascii="Arial Narrow" w:hAnsi="Arial Narrow" w:cs="Calibri"/>
                <w:bCs/>
                <w:sz w:val="20"/>
                <w:szCs w:val="20"/>
              </w:rPr>
            </w:pPr>
            <w:r w:rsidRPr="008D797E">
              <w:rPr>
                <w:rFonts w:ascii="Arial Narrow" w:hAnsi="Arial Narrow" w:cs="Calibri"/>
                <w:bCs/>
                <w:sz w:val="20"/>
                <w:szCs w:val="20"/>
              </w:rPr>
              <w:t>1.64 (0.86, 3.13)</w:t>
            </w:r>
          </w:p>
        </w:tc>
      </w:tr>
      <w:tr w:rsidR="00EA35CA" w:rsidRPr="008D797E" w:rsidTr="00021907">
        <w:tc>
          <w:tcPr>
            <w:tcW w:w="932" w:type="pct"/>
            <w:tcBorders>
              <w:left w:val="single" w:sz="4" w:space="0" w:color="auto"/>
              <w:right w:val="single" w:sz="4" w:space="0" w:color="auto"/>
            </w:tcBorders>
          </w:tcPr>
          <w:p w:rsidR="00EA35CA" w:rsidRPr="008D797E" w:rsidRDefault="00EA35CA" w:rsidP="00EA35CA">
            <w:pPr>
              <w:keepNext/>
              <w:keepLines/>
              <w:widowControl w:val="0"/>
              <w:spacing w:before="40" w:after="40"/>
              <w:jc w:val="left"/>
              <w:rPr>
                <w:rFonts w:ascii="Arial Narrow" w:hAnsi="Arial Narrow" w:cs="Calibri"/>
                <w:bCs/>
                <w:sz w:val="20"/>
                <w:szCs w:val="20"/>
              </w:rPr>
            </w:pPr>
            <w:r w:rsidRPr="008D797E">
              <w:rPr>
                <w:rFonts w:ascii="Arial Narrow" w:hAnsi="Arial Narrow" w:cs="Calibri"/>
                <w:bCs/>
                <w:sz w:val="20"/>
                <w:szCs w:val="20"/>
              </w:rPr>
              <w:t>AE leading to discontinuation of any study treatment</w:t>
            </w:r>
          </w:p>
        </w:tc>
        <w:tc>
          <w:tcPr>
            <w:tcW w:w="561" w:type="pct"/>
            <w:tcBorders>
              <w:left w:val="nil"/>
              <w:right w:val="single" w:sz="4" w:space="0" w:color="auto"/>
            </w:tcBorders>
            <w:shd w:val="clear" w:color="auto" w:fill="DBE5F1" w:themeFill="accent1" w:themeFillTint="33"/>
          </w:tcPr>
          <w:p w:rsidR="00EA35CA" w:rsidRPr="008D797E" w:rsidRDefault="00EA35CA" w:rsidP="00EA35CA">
            <w:pPr>
              <w:keepNext/>
              <w:keepLines/>
              <w:widowControl w:val="0"/>
              <w:spacing w:before="40" w:after="40"/>
              <w:jc w:val="center"/>
              <w:rPr>
                <w:rFonts w:ascii="Arial Narrow" w:hAnsi="Arial Narrow" w:cs="Calibri"/>
                <w:bCs/>
                <w:sz w:val="20"/>
                <w:szCs w:val="20"/>
              </w:rPr>
            </w:pPr>
          </w:p>
          <w:p w:rsidR="00EA35CA" w:rsidRPr="008D797E" w:rsidRDefault="00EA35CA" w:rsidP="00EA35CA">
            <w:pPr>
              <w:keepNext/>
              <w:keepLines/>
              <w:widowControl w:val="0"/>
              <w:spacing w:before="40" w:after="40"/>
              <w:jc w:val="center"/>
              <w:rPr>
                <w:rFonts w:ascii="Arial Narrow" w:hAnsi="Arial Narrow" w:cs="Calibri"/>
                <w:bCs/>
                <w:sz w:val="20"/>
                <w:szCs w:val="20"/>
              </w:rPr>
            </w:pPr>
            <w:r w:rsidRPr="008D797E">
              <w:rPr>
                <w:rFonts w:ascii="Arial Narrow" w:hAnsi="Arial Narrow" w:cs="Calibri"/>
                <w:bCs/>
                <w:sz w:val="20"/>
                <w:szCs w:val="20"/>
              </w:rPr>
              <w:t>37 (20.0)</w:t>
            </w:r>
          </w:p>
        </w:tc>
        <w:tc>
          <w:tcPr>
            <w:tcW w:w="576" w:type="pct"/>
            <w:tcBorders>
              <w:left w:val="nil"/>
              <w:right w:val="single" w:sz="4" w:space="0" w:color="auto"/>
            </w:tcBorders>
            <w:shd w:val="clear" w:color="auto" w:fill="DBE5F1" w:themeFill="accent1" w:themeFillTint="33"/>
          </w:tcPr>
          <w:p w:rsidR="00EA35CA" w:rsidRPr="008D797E" w:rsidRDefault="00EA35CA" w:rsidP="00EA35CA">
            <w:pPr>
              <w:keepNext/>
              <w:keepLines/>
              <w:widowControl w:val="0"/>
              <w:spacing w:before="40" w:after="40"/>
              <w:jc w:val="center"/>
              <w:rPr>
                <w:rFonts w:ascii="Arial Narrow" w:hAnsi="Arial Narrow" w:cs="Calibri"/>
                <w:bCs/>
                <w:sz w:val="20"/>
                <w:szCs w:val="20"/>
              </w:rPr>
            </w:pPr>
          </w:p>
          <w:p w:rsidR="00EA35CA" w:rsidRPr="008D797E" w:rsidRDefault="00EA35CA" w:rsidP="00EA35CA">
            <w:pPr>
              <w:keepNext/>
              <w:keepLines/>
              <w:widowControl w:val="0"/>
              <w:spacing w:before="40" w:after="40"/>
              <w:jc w:val="center"/>
              <w:rPr>
                <w:rFonts w:ascii="Arial Narrow" w:hAnsi="Arial Narrow" w:cs="Calibri"/>
                <w:bCs/>
                <w:sz w:val="20"/>
                <w:szCs w:val="20"/>
              </w:rPr>
            </w:pPr>
            <w:r w:rsidRPr="008D797E">
              <w:rPr>
                <w:rFonts w:ascii="Arial Narrow" w:hAnsi="Arial Narrow" w:cs="Calibri"/>
                <w:bCs/>
                <w:sz w:val="20"/>
                <w:szCs w:val="20"/>
              </w:rPr>
              <w:t>14 (7.7)</w:t>
            </w:r>
          </w:p>
        </w:tc>
        <w:tc>
          <w:tcPr>
            <w:tcW w:w="867" w:type="pct"/>
            <w:tcBorders>
              <w:left w:val="single" w:sz="4" w:space="0" w:color="auto"/>
              <w:right w:val="single" w:sz="4" w:space="0" w:color="auto"/>
            </w:tcBorders>
            <w:shd w:val="clear" w:color="auto" w:fill="DBE5F1" w:themeFill="accent1" w:themeFillTint="33"/>
          </w:tcPr>
          <w:p w:rsidR="00EA35CA" w:rsidRPr="008D797E" w:rsidRDefault="00EA35CA" w:rsidP="00EA35CA">
            <w:pPr>
              <w:keepNext/>
              <w:keepLines/>
              <w:widowControl w:val="0"/>
              <w:spacing w:before="40" w:after="40"/>
              <w:jc w:val="center"/>
              <w:rPr>
                <w:rFonts w:ascii="Arial Narrow" w:hAnsi="Arial Narrow" w:cs="Calibri"/>
                <w:b/>
                <w:bCs/>
                <w:sz w:val="20"/>
                <w:szCs w:val="20"/>
              </w:rPr>
            </w:pPr>
          </w:p>
          <w:p w:rsidR="00EA35CA" w:rsidRPr="008D797E" w:rsidRDefault="00EA35CA" w:rsidP="00EA35CA">
            <w:pPr>
              <w:keepNext/>
              <w:keepLines/>
              <w:widowControl w:val="0"/>
              <w:spacing w:before="40" w:after="40"/>
              <w:jc w:val="center"/>
              <w:rPr>
                <w:rFonts w:ascii="Arial Narrow" w:hAnsi="Arial Narrow" w:cs="Calibri"/>
                <w:b/>
                <w:bCs/>
                <w:sz w:val="20"/>
                <w:szCs w:val="20"/>
              </w:rPr>
            </w:pPr>
            <w:r w:rsidRPr="008D797E">
              <w:rPr>
                <w:rFonts w:ascii="Arial Narrow" w:hAnsi="Arial Narrow" w:cs="Calibri"/>
                <w:b/>
                <w:bCs/>
                <w:sz w:val="20"/>
                <w:szCs w:val="20"/>
              </w:rPr>
              <w:t>2.59 (1.45, 4.62)</w:t>
            </w:r>
          </w:p>
        </w:tc>
        <w:tc>
          <w:tcPr>
            <w:tcW w:w="565" w:type="pct"/>
            <w:tcBorders>
              <w:left w:val="single" w:sz="4" w:space="0" w:color="auto"/>
              <w:right w:val="single" w:sz="4" w:space="0" w:color="auto"/>
            </w:tcBorders>
          </w:tcPr>
          <w:p w:rsidR="00EA35CA" w:rsidRPr="008D797E" w:rsidRDefault="00EA35CA" w:rsidP="00EA35CA">
            <w:pPr>
              <w:keepNext/>
              <w:keepLines/>
              <w:widowControl w:val="0"/>
              <w:spacing w:before="40" w:after="40"/>
              <w:jc w:val="center"/>
              <w:rPr>
                <w:rFonts w:ascii="Arial Narrow" w:hAnsi="Arial Narrow" w:cs="Calibri"/>
                <w:bCs/>
                <w:sz w:val="20"/>
                <w:szCs w:val="20"/>
              </w:rPr>
            </w:pPr>
          </w:p>
          <w:p w:rsidR="00EA35CA" w:rsidRPr="008D797E" w:rsidRDefault="00EA35CA" w:rsidP="00EA35CA">
            <w:pPr>
              <w:keepNext/>
              <w:keepLines/>
              <w:widowControl w:val="0"/>
              <w:spacing w:before="40" w:after="40"/>
              <w:jc w:val="center"/>
              <w:rPr>
                <w:rFonts w:ascii="Arial Narrow" w:hAnsi="Arial Narrow" w:cs="Calibri"/>
                <w:b/>
                <w:bCs/>
                <w:sz w:val="20"/>
                <w:szCs w:val="20"/>
              </w:rPr>
            </w:pPr>
            <w:r w:rsidRPr="008D797E">
              <w:rPr>
                <w:rFonts w:ascii="Arial Narrow" w:hAnsi="Arial Narrow" w:cs="Calibri"/>
                <w:bCs/>
                <w:sz w:val="20"/>
                <w:szCs w:val="20"/>
              </w:rPr>
              <w:t>46 (24.2)</w:t>
            </w:r>
          </w:p>
        </w:tc>
        <w:tc>
          <w:tcPr>
            <w:tcW w:w="592" w:type="pct"/>
            <w:tcBorders>
              <w:left w:val="single" w:sz="4" w:space="0" w:color="auto"/>
              <w:right w:val="single" w:sz="4" w:space="0" w:color="auto"/>
            </w:tcBorders>
          </w:tcPr>
          <w:p w:rsidR="00EA35CA" w:rsidRPr="008D797E" w:rsidRDefault="00EA35CA" w:rsidP="00EA35CA">
            <w:pPr>
              <w:keepNext/>
              <w:keepLines/>
              <w:widowControl w:val="0"/>
              <w:spacing w:before="40" w:after="40"/>
              <w:jc w:val="center"/>
              <w:rPr>
                <w:rFonts w:ascii="Arial Narrow" w:hAnsi="Arial Narrow" w:cs="Calibri"/>
                <w:bCs/>
                <w:sz w:val="20"/>
                <w:szCs w:val="20"/>
              </w:rPr>
            </w:pPr>
          </w:p>
          <w:p w:rsidR="00EA35CA" w:rsidRPr="008D797E" w:rsidRDefault="00EA35CA" w:rsidP="00EA35CA">
            <w:pPr>
              <w:keepNext/>
              <w:keepLines/>
              <w:widowControl w:val="0"/>
              <w:spacing w:before="40" w:after="40"/>
              <w:jc w:val="center"/>
              <w:rPr>
                <w:rFonts w:ascii="Arial Narrow" w:hAnsi="Arial Narrow" w:cs="Calibri"/>
                <w:b/>
                <w:bCs/>
                <w:sz w:val="20"/>
                <w:szCs w:val="20"/>
              </w:rPr>
            </w:pPr>
            <w:r w:rsidRPr="008D797E">
              <w:rPr>
                <w:rFonts w:ascii="Arial Narrow" w:hAnsi="Arial Narrow" w:cs="Calibri"/>
                <w:bCs/>
                <w:sz w:val="20"/>
                <w:szCs w:val="20"/>
              </w:rPr>
              <w:t>12 (6.8)</w:t>
            </w:r>
          </w:p>
        </w:tc>
        <w:tc>
          <w:tcPr>
            <w:tcW w:w="907" w:type="pct"/>
            <w:tcBorders>
              <w:left w:val="single" w:sz="4" w:space="0" w:color="auto"/>
              <w:right w:val="single" w:sz="4" w:space="0" w:color="auto"/>
            </w:tcBorders>
          </w:tcPr>
          <w:p w:rsidR="00EA35CA" w:rsidRPr="008D797E" w:rsidRDefault="00EA35CA" w:rsidP="00EA35CA">
            <w:pPr>
              <w:keepNext/>
              <w:keepLines/>
              <w:widowControl w:val="0"/>
              <w:spacing w:before="40" w:after="40"/>
              <w:jc w:val="center"/>
              <w:rPr>
                <w:rFonts w:ascii="Arial Narrow" w:hAnsi="Arial Narrow" w:cs="Calibri"/>
                <w:b/>
                <w:bCs/>
                <w:sz w:val="20"/>
                <w:szCs w:val="20"/>
              </w:rPr>
            </w:pPr>
          </w:p>
          <w:p w:rsidR="00EA35CA" w:rsidRPr="008D797E" w:rsidRDefault="00EA35CA" w:rsidP="00EA35CA">
            <w:pPr>
              <w:keepNext/>
              <w:keepLines/>
              <w:widowControl w:val="0"/>
              <w:spacing w:before="40" w:after="40"/>
              <w:jc w:val="center"/>
              <w:rPr>
                <w:rFonts w:ascii="Arial Narrow" w:hAnsi="Arial Narrow" w:cs="Calibri"/>
                <w:b/>
                <w:bCs/>
                <w:sz w:val="20"/>
                <w:szCs w:val="20"/>
              </w:rPr>
            </w:pPr>
            <w:r w:rsidRPr="008D797E">
              <w:rPr>
                <w:rFonts w:ascii="Arial Narrow" w:hAnsi="Arial Narrow" w:cs="Calibri"/>
                <w:b/>
                <w:bCs/>
                <w:sz w:val="20"/>
                <w:szCs w:val="20"/>
              </w:rPr>
              <w:t>3.55 (1.95, 6.48)</w:t>
            </w:r>
          </w:p>
        </w:tc>
      </w:tr>
      <w:tr w:rsidR="00EA35CA" w:rsidRPr="008D797E" w:rsidTr="00021907">
        <w:tc>
          <w:tcPr>
            <w:tcW w:w="932" w:type="pct"/>
            <w:tcBorders>
              <w:left w:val="single" w:sz="4" w:space="0" w:color="auto"/>
              <w:right w:val="single" w:sz="4" w:space="0" w:color="auto"/>
            </w:tcBorders>
          </w:tcPr>
          <w:p w:rsidR="00EA35CA" w:rsidRPr="008D797E" w:rsidRDefault="00EA35CA" w:rsidP="00EA35CA">
            <w:pPr>
              <w:keepNext/>
              <w:keepLines/>
              <w:widowControl w:val="0"/>
              <w:spacing w:before="40" w:after="40"/>
              <w:ind w:left="284"/>
              <w:jc w:val="left"/>
              <w:rPr>
                <w:rFonts w:ascii="Arial Narrow" w:hAnsi="Arial Narrow" w:cs="Calibri"/>
                <w:bCs/>
                <w:sz w:val="20"/>
                <w:szCs w:val="20"/>
              </w:rPr>
            </w:pPr>
            <w:r w:rsidRPr="008D797E">
              <w:rPr>
                <w:rFonts w:ascii="Arial Narrow" w:hAnsi="Arial Narrow" w:cs="Calibri"/>
                <w:bCs/>
                <w:sz w:val="20"/>
                <w:szCs w:val="20"/>
              </w:rPr>
              <w:t>ATZ/PBO</w:t>
            </w:r>
          </w:p>
        </w:tc>
        <w:tc>
          <w:tcPr>
            <w:tcW w:w="561" w:type="pct"/>
            <w:tcBorders>
              <w:left w:val="nil"/>
              <w:right w:val="single" w:sz="4" w:space="0" w:color="auto"/>
            </w:tcBorders>
            <w:shd w:val="clear" w:color="auto" w:fill="DBE5F1" w:themeFill="accent1" w:themeFillTint="33"/>
          </w:tcPr>
          <w:p w:rsidR="00EA35CA" w:rsidRPr="008D797E" w:rsidRDefault="00EA35CA" w:rsidP="00EA35CA">
            <w:pPr>
              <w:keepNext/>
              <w:keepLines/>
              <w:widowControl w:val="0"/>
              <w:spacing w:before="40" w:after="40"/>
              <w:jc w:val="center"/>
              <w:rPr>
                <w:rFonts w:ascii="Arial Narrow" w:hAnsi="Arial Narrow" w:cs="Calibri"/>
                <w:bCs/>
                <w:sz w:val="20"/>
                <w:szCs w:val="20"/>
              </w:rPr>
            </w:pPr>
            <w:r w:rsidRPr="008D797E">
              <w:rPr>
                <w:rFonts w:ascii="Arial Narrow" w:hAnsi="Arial Narrow" w:cs="Calibri"/>
                <w:bCs/>
                <w:sz w:val="20"/>
                <w:szCs w:val="20"/>
              </w:rPr>
              <w:t>12 (6.5)</w:t>
            </w:r>
          </w:p>
        </w:tc>
        <w:tc>
          <w:tcPr>
            <w:tcW w:w="576" w:type="pct"/>
            <w:tcBorders>
              <w:left w:val="nil"/>
              <w:right w:val="single" w:sz="4" w:space="0" w:color="auto"/>
            </w:tcBorders>
            <w:shd w:val="clear" w:color="auto" w:fill="DBE5F1" w:themeFill="accent1" w:themeFillTint="33"/>
          </w:tcPr>
          <w:p w:rsidR="00EA35CA" w:rsidRPr="008D797E" w:rsidRDefault="00EA35CA" w:rsidP="00EA35CA">
            <w:pPr>
              <w:keepNext/>
              <w:keepLines/>
              <w:widowControl w:val="0"/>
              <w:spacing w:before="40" w:after="40"/>
              <w:jc w:val="center"/>
              <w:rPr>
                <w:rFonts w:ascii="Arial Narrow" w:hAnsi="Arial Narrow" w:cs="Calibri"/>
                <w:bCs/>
                <w:sz w:val="20"/>
                <w:szCs w:val="20"/>
              </w:rPr>
            </w:pPr>
            <w:r w:rsidRPr="008D797E">
              <w:rPr>
                <w:rFonts w:ascii="Arial Narrow" w:hAnsi="Arial Narrow" w:cs="Calibri"/>
                <w:bCs/>
                <w:sz w:val="20"/>
                <w:szCs w:val="20"/>
              </w:rPr>
              <w:t>4 (2.2)</w:t>
            </w:r>
          </w:p>
        </w:tc>
        <w:tc>
          <w:tcPr>
            <w:tcW w:w="867" w:type="pct"/>
            <w:tcBorders>
              <w:left w:val="single" w:sz="4" w:space="0" w:color="auto"/>
              <w:right w:val="single" w:sz="4" w:space="0" w:color="auto"/>
            </w:tcBorders>
            <w:shd w:val="clear" w:color="auto" w:fill="DBE5F1" w:themeFill="accent1" w:themeFillTint="33"/>
          </w:tcPr>
          <w:p w:rsidR="00EA35CA" w:rsidRPr="008D797E" w:rsidRDefault="00EA35CA" w:rsidP="00EA35CA">
            <w:pPr>
              <w:keepNext/>
              <w:keepLines/>
              <w:widowControl w:val="0"/>
              <w:spacing w:before="40" w:after="40"/>
              <w:jc w:val="center"/>
              <w:rPr>
                <w:rFonts w:ascii="Arial Narrow" w:hAnsi="Arial Narrow" w:cs="Calibri"/>
                <w:b/>
                <w:bCs/>
                <w:sz w:val="20"/>
                <w:szCs w:val="20"/>
              </w:rPr>
            </w:pPr>
            <w:r w:rsidRPr="008D797E">
              <w:rPr>
                <w:rFonts w:ascii="Arial Narrow" w:hAnsi="Arial Narrow" w:cs="Calibri"/>
                <w:bCs/>
                <w:sz w:val="20"/>
                <w:szCs w:val="20"/>
              </w:rPr>
              <w:t>2.94 (0.96, 8.93)</w:t>
            </w:r>
          </w:p>
        </w:tc>
        <w:tc>
          <w:tcPr>
            <w:tcW w:w="565" w:type="pct"/>
            <w:tcBorders>
              <w:left w:val="single" w:sz="4" w:space="0" w:color="auto"/>
              <w:right w:val="single" w:sz="4" w:space="0" w:color="auto"/>
            </w:tcBorders>
          </w:tcPr>
          <w:p w:rsidR="00EA35CA" w:rsidRPr="008D797E" w:rsidRDefault="00EA35CA" w:rsidP="00EA35CA">
            <w:pPr>
              <w:keepNext/>
              <w:keepLines/>
              <w:widowControl w:val="0"/>
              <w:spacing w:before="40" w:after="40"/>
              <w:jc w:val="center"/>
              <w:rPr>
                <w:rFonts w:ascii="Arial Narrow" w:hAnsi="Arial Narrow" w:cs="Calibri"/>
                <w:b/>
                <w:bCs/>
                <w:sz w:val="20"/>
                <w:szCs w:val="20"/>
              </w:rPr>
            </w:pPr>
            <w:r w:rsidRPr="008D797E">
              <w:rPr>
                <w:rFonts w:ascii="Arial Narrow" w:hAnsi="Arial Narrow" w:cs="Calibri"/>
                <w:bCs/>
                <w:sz w:val="20"/>
                <w:szCs w:val="20"/>
              </w:rPr>
              <w:t>18 (9.5)</w:t>
            </w:r>
          </w:p>
        </w:tc>
        <w:tc>
          <w:tcPr>
            <w:tcW w:w="592" w:type="pct"/>
            <w:tcBorders>
              <w:left w:val="single" w:sz="4" w:space="0" w:color="auto"/>
              <w:right w:val="single" w:sz="4" w:space="0" w:color="auto"/>
            </w:tcBorders>
          </w:tcPr>
          <w:p w:rsidR="00EA35CA" w:rsidRPr="008D797E" w:rsidRDefault="00EA35CA" w:rsidP="00EA35CA">
            <w:pPr>
              <w:keepNext/>
              <w:keepLines/>
              <w:widowControl w:val="0"/>
              <w:spacing w:before="40" w:after="40"/>
              <w:jc w:val="center"/>
              <w:rPr>
                <w:rFonts w:ascii="Arial Narrow" w:hAnsi="Arial Narrow" w:cs="Calibri"/>
                <w:b/>
                <w:bCs/>
                <w:sz w:val="20"/>
                <w:szCs w:val="20"/>
              </w:rPr>
            </w:pPr>
            <w:r w:rsidRPr="008D797E">
              <w:rPr>
                <w:rFonts w:ascii="Arial Narrow" w:hAnsi="Arial Narrow" w:cs="Calibri"/>
                <w:bCs/>
                <w:sz w:val="20"/>
                <w:szCs w:val="20"/>
              </w:rPr>
              <w:t>2 (1.1)</w:t>
            </w:r>
          </w:p>
        </w:tc>
        <w:tc>
          <w:tcPr>
            <w:tcW w:w="907" w:type="pct"/>
            <w:tcBorders>
              <w:left w:val="single" w:sz="4" w:space="0" w:color="auto"/>
              <w:right w:val="single" w:sz="4" w:space="0" w:color="auto"/>
            </w:tcBorders>
          </w:tcPr>
          <w:p w:rsidR="00EA35CA" w:rsidRPr="008D797E" w:rsidRDefault="00EA35CA" w:rsidP="00EA35CA">
            <w:pPr>
              <w:keepNext/>
              <w:keepLines/>
              <w:widowControl w:val="0"/>
              <w:spacing w:before="40" w:after="40"/>
              <w:jc w:val="center"/>
              <w:rPr>
                <w:rFonts w:ascii="Arial Narrow" w:hAnsi="Arial Narrow" w:cs="Calibri"/>
                <w:b/>
                <w:sz w:val="20"/>
                <w:szCs w:val="20"/>
              </w:rPr>
            </w:pPr>
            <w:r w:rsidRPr="008D797E">
              <w:rPr>
                <w:rFonts w:ascii="Arial Narrow" w:hAnsi="Arial Narrow" w:cs="Calibri"/>
                <w:b/>
                <w:sz w:val="20"/>
                <w:szCs w:val="20"/>
              </w:rPr>
              <w:t>8.34 (1.96, 35.41)</w:t>
            </w:r>
          </w:p>
        </w:tc>
      </w:tr>
      <w:tr w:rsidR="00EA35CA" w:rsidRPr="008D797E" w:rsidTr="00021907">
        <w:tc>
          <w:tcPr>
            <w:tcW w:w="932" w:type="pct"/>
            <w:tcBorders>
              <w:left w:val="single" w:sz="4" w:space="0" w:color="auto"/>
              <w:right w:val="single" w:sz="4" w:space="0" w:color="auto"/>
            </w:tcBorders>
          </w:tcPr>
          <w:p w:rsidR="00EA35CA" w:rsidRPr="008D797E" w:rsidRDefault="00EA35CA" w:rsidP="00EA35CA">
            <w:pPr>
              <w:keepNext/>
              <w:keepLines/>
              <w:widowControl w:val="0"/>
              <w:spacing w:before="40" w:after="40"/>
              <w:ind w:left="284"/>
              <w:jc w:val="left"/>
              <w:rPr>
                <w:rFonts w:ascii="Arial Narrow" w:hAnsi="Arial Narrow" w:cs="Calibri"/>
                <w:bCs/>
                <w:sz w:val="20"/>
                <w:szCs w:val="20"/>
              </w:rPr>
            </w:pPr>
            <w:r w:rsidRPr="008D797E">
              <w:rPr>
                <w:rFonts w:ascii="Arial Narrow" w:hAnsi="Arial Narrow" w:cs="Calibri"/>
                <w:bCs/>
                <w:sz w:val="20"/>
                <w:szCs w:val="20"/>
              </w:rPr>
              <w:t>Nab-paclitaxel</w:t>
            </w:r>
          </w:p>
        </w:tc>
        <w:tc>
          <w:tcPr>
            <w:tcW w:w="561" w:type="pct"/>
            <w:tcBorders>
              <w:left w:val="nil"/>
              <w:right w:val="single" w:sz="4" w:space="0" w:color="auto"/>
            </w:tcBorders>
            <w:shd w:val="clear" w:color="auto" w:fill="DBE5F1" w:themeFill="accent1" w:themeFillTint="33"/>
          </w:tcPr>
          <w:p w:rsidR="00EA35CA" w:rsidRPr="008D797E" w:rsidRDefault="00EA35CA" w:rsidP="00EA35CA">
            <w:pPr>
              <w:keepNext/>
              <w:keepLines/>
              <w:widowControl w:val="0"/>
              <w:spacing w:before="40" w:after="40"/>
              <w:jc w:val="center"/>
              <w:rPr>
                <w:rFonts w:ascii="Arial Narrow" w:hAnsi="Arial Narrow" w:cs="Calibri"/>
                <w:bCs/>
                <w:sz w:val="20"/>
                <w:szCs w:val="20"/>
              </w:rPr>
            </w:pPr>
            <w:r w:rsidRPr="008D797E">
              <w:rPr>
                <w:rFonts w:ascii="Arial Narrow" w:hAnsi="Arial Narrow" w:cs="Calibri"/>
                <w:bCs/>
                <w:sz w:val="20"/>
                <w:szCs w:val="20"/>
              </w:rPr>
              <w:t>37 (20.0)</w:t>
            </w:r>
          </w:p>
        </w:tc>
        <w:tc>
          <w:tcPr>
            <w:tcW w:w="576" w:type="pct"/>
            <w:tcBorders>
              <w:left w:val="nil"/>
              <w:right w:val="single" w:sz="4" w:space="0" w:color="auto"/>
            </w:tcBorders>
            <w:shd w:val="clear" w:color="auto" w:fill="DBE5F1" w:themeFill="accent1" w:themeFillTint="33"/>
          </w:tcPr>
          <w:p w:rsidR="00EA35CA" w:rsidRPr="008D797E" w:rsidRDefault="00EA35CA" w:rsidP="00EA35CA">
            <w:pPr>
              <w:keepNext/>
              <w:keepLines/>
              <w:widowControl w:val="0"/>
              <w:spacing w:before="40" w:after="40"/>
              <w:jc w:val="center"/>
              <w:rPr>
                <w:rFonts w:ascii="Arial Narrow" w:hAnsi="Arial Narrow" w:cs="Calibri"/>
                <w:bCs/>
                <w:sz w:val="20"/>
                <w:szCs w:val="20"/>
              </w:rPr>
            </w:pPr>
            <w:r w:rsidRPr="008D797E">
              <w:rPr>
                <w:rFonts w:ascii="Arial Narrow" w:hAnsi="Arial Narrow" w:cs="Calibri"/>
                <w:bCs/>
                <w:sz w:val="20"/>
                <w:szCs w:val="20"/>
              </w:rPr>
              <w:t>14 (7.7)</w:t>
            </w:r>
          </w:p>
        </w:tc>
        <w:tc>
          <w:tcPr>
            <w:tcW w:w="867" w:type="pct"/>
            <w:tcBorders>
              <w:left w:val="single" w:sz="4" w:space="0" w:color="auto"/>
              <w:right w:val="single" w:sz="4" w:space="0" w:color="auto"/>
            </w:tcBorders>
            <w:shd w:val="clear" w:color="auto" w:fill="DBE5F1" w:themeFill="accent1" w:themeFillTint="33"/>
          </w:tcPr>
          <w:p w:rsidR="00EA35CA" w:rsidRPr="008D797E" w:rsidRDefault="00EA35CA" w:rsidP="00EA35CA">
            <w:pPr>
              <w:keepNext/>
              <w:keepLines/>
              <w:widowControl w:val="0"/>
              <w:spacing w:before="40" w:after="40"/>
              <w:jc w:val="center"/>
              <w:rPr>
                <w:rFonts w:ascii="Arial Narrow" w:hAnsi="Arial Narrow" w:cs="Calibri"/>
                <w:b/>
                <w:bCs/>
                <w:sz w:val="20"/>
                <w:szCs w:val="20"/>
              </w:rPr>
            </w:pPr>
            <w:r w:rsidRPr="008D797E">
              <w:rPr>
                <w:rFonts w:ascii="Arial Narrow" w:hAnsi="Arial Narrow" w:cs="Calibri"/>
                <w:b/>
                <w:bCs/>
                <w:sz w:val="20"/>
                <w:szCs w:val="20"/>
              </w:rPr>
              <w:t>2.59 (1.45, 4.62)</w:t>
            </w:r>
          </w:p>
        </w:tc>
        <w:tc>
          <w:tcPr>
            <w:tcW w:w="565" w:type="pct"/>
            <w:tcBorders>
              <w:left w:val="single" w:sz="4" w:space="0" w:color="auto"/>
              <w:right w:val="single" w:sz="4" w:space="0" w:color="auto"/>
            </w:tcBorders>
          </w:tcPr>
          <w:p w:rsidR="00EA35CA" w:rsidRPr="008D797E" w:rsidRDefault="00EA35CA" w:rsidP="00EA35CA">
            <w:pPr>
              <w:keepNext/>
              <w:keepLines/>
              <w:widowControl w:val="0"/>
              <w:spacing w:before="40" w:after="40"/>
              <w:jc w:val="center"/>
              <w:rPr>
                <w:rFonts w:ascii="Arial Narrow" w:hAnsi="Arial Narrow" w:cs="Calibri"/>
                <w:b/>
                <w:bCs/>
                <w:sz w:val="20"/>
                <w:szCs w:val="20"/>
              </w:rPr>
            </w:pPr>
            <w:r w:rsidRPr="008D797E">
              <w:rPr>
                <w:rFonts w:ascii="Arial Narrow" w:hAnsi="Arial Narrow" w:cs="Calibri"/>
                <w:bCs/>
                <w:sz w:val="20"/>
                <w:szCs w:val="20"/>
              </w:rPr>
              <w:t>44 (23.2)</w:t>
            </w:r>
          </w:p>
        </w:tc>
        <w:tc>
          <w:tcPr>
            <w:tcW w:w="592" w:type="pct"/>
            <w:tcBorders>
              <w:left w:val="single" w:sz="4" w:space="0" w:color="auto"/>
              <w:right w:val="single" w:sz="4" w:space="0" w:color="auto"/>
            </w:tcBorders>
          </w:tcPr>
          <w:p w:rsidR="00EA35CA" w:rsidRPr="008D797E" w:rsidRDefault="00EA35CA" w:rsidP="00EA35CA">
            <w:pPr>
              <w:keepNext/>
              <w:keepLines/>
              <w:widowControl w:val="0"/>
              <w:spacing w:before="40" w:after="40"/>
              <w:jc w:val="center"/>
              <w:rPr>
                <w:rFonts w:ascii="Arial Narrow" w:hAnsi="Arial Narrow" w:cs="Calibri"/>
                <w:b/>
                <w:bCs/>
                <w:sz w:val="20"/>
                <w:szCs w:val="20"/>
              </w:rPr>
            </w:pPr>
            <w:r w:rsidRPr="008D797E">
              <w:rPr>
                <w:rFonts w:ascii="Arial Narrow" w:hAnsi="Arial Narrow" w:cs="Calibri"/>
                <w:bCs/>
                <w:sz w:val="20"/>
                <w:szCs w:val="20"/>
              </w:rPr>
              <w:t>12 (6.8)</w:t>
            </w:r>
          </w:p>
        </w:tc>
        <w:tc>
          <w:tcPr>
            <w:tcW w:w="907" w:type="pct"/>
            <w:tcBorders>
              <w:left w:val="single" w:sz="4" w:space="0" w:color="auto"/>
              <w:right w:val="single" w:sz="4" w:space="0" w:color="auto"/>
            </w:tcBorders>
          </w:tcPr>
          <w:p w:rsidR="00EA35CA" w:rsidRPr="008D797E" w:rsidRDefault="00EA35CA" w:rsidP="00EA35CA">
            <w:pPr>
              <w:keepNext/>
              <w:keepLines/>
              <w:widowControl w:val="0"/>
              <w:spacing w:before="40" w:after="40"/>
              <w:jc w:val="center"/>
              <w:rPr>
                <w:rFonts w:ascii="Arial Narrow" w:hAnsi="Arial Narrow" w:cs="Calibri"/>
                <w:b/>
                <w:bCs/>
                <w:sz w:val="20"/>
                <w:szCs w:val="20"/>
              </w:rPr>
            </w:pPr>
            <w:r w:rsidRPr="008D797E">
              <w:rPr>
                <w:rFonts w:ascii="Arial Narrow" w:hAnsi="Arial Narrow" w:cs="Calibri"/>
                <w:b/>
                <w:bCs/>
                <w:sz w:val="20"/>
                <w:szCs w:val="20"/>
              </w:rPr>
              <w:t>3.40 (1.86, 6.22)</w:t>
            </w:r>
          </w:p>
        </w:tc>
      </w:tr>
      <w:tr w:rsidR="00EA35CA" w:rsidRPr="008D797E" w:rsidTr="00021907">
        <w:tc>
          <w:tcPr>
            <w:tcW w:w="932" w:type="pct"/>
            <w:tcBorders>
              <w:left w:val="single" w:sz="4" w:space="0" w:color="auto"/>
              <w:right w:val="single" w:sz="4" w:space="0" w:color="auto"/>
            </w:tcBorders>
          </w:tcPr>
          <w:p w:rsidR="00EA35CA" w:rsidRPr="008D797E" w:rsidRDefault="00EA35CA" w:rsidP="00EA35CA">
            <w:pPr>
              <w:keepNext/>
              <w:keepLines/>
              <w:widowControl w:val="0"/>
              <w:spacing w:before="40" w:after="40"/>
              <w:jc w:val="left"/>
              <w:rPr>
                <w:rFonts w:ascii="Arial Narrow" w:hAnsi="Arial Narrow" w:cs="Calibri"/>
                <w:bCs/>
                <w:sz w:val="20"/>
                <w:szCs w:val="20"/>
              </w:rPr>
            </w:pPr>
            <w:r w:rsidRPr="008D797E">
              <w:rPr>
                <w:rFonts w:ascii="Arial Narrow" w:hAnsi="Arial Narrow" w:cs="Calibri"/>
                <w:bCs/>
                <w:sz w:val="20"/>
                <w:szCs w:val="20"/>
              </w:rPr>
              <w:t>AE leading to any dose interruption of ATZ/PBO</w:t>
            </w:r>
          </w:p>
        </w:tc>
        <w:tc>
          <w:tcPr>
            <w:tcW w:w="561" w:type="pct"/>
            <w:tcBorders>
              <w:left w:val="nil"/>
              <w:right w:val="single" w:sz="4" w:space="0" w:color="auto"/>
            </w:tcBorders>
            <w:shd w:val="clear" w:color="auto" w:fill="DBE5F1" w:themeFill="accent1" w:themeFillTint="33"/>
          </w:tcPr>
          <w:p w:rsidR="00EA35CA" w:rsidRPr="008D797E" w:rsidRDefault="00EA35CA" w:rsidP="00EA35CA">
            <w:pPr>
              <w:keepNext/>
              <w:keepLines/>
              <w:widowControl w:val="0"/>
              <w:spacing w:before="40" w:after="40"/>
              <w:jc w:val="center"/>
              <w:rPr>
                <w:rFonts w:ascii="Arial Narrow" w:hAnsi="Arial Narrow" w:cs="Calibri"/>
                <w:bCs/>
                <w:sz w:val="20"/>
                <w:szCs w:val="20"/>
              </w:rPr>
            </w:pPr>
            <w:r w:rsidRPr="008D797E">
              <w:rPr>
                <w:rFonts w:ascii="Arial Narrow" w:hAnsi="Arial Narrow" w:cs="Calibri"/>
                <w:bCs/>
                <w:sz w:val="20"/>
                <w:szCs w:val="20"/>
              </w:rPr>
              <w:t>60 (32.4)</w:t>
            </w:r>
          </w:p>
        </w:tc>
        <w:tc>
          <w:tcPr>
            <w:tcW w:w="576" w:type="pct"/>
            <w:tcBorders>
              <w:left w:val="nil"/>
              <w:right w:val="single" w:sz="4" w:space="0" w:color="auto"/>
            </w:tcBorders>
            <w:shd w:val="clear" w:color="auto" w:fill="DBE5F1" w:themeFill="accent1" w:themeFillTint="33"/>
          </w:tcPr>
          <w:p w:rsidR="00EA35CA" w:rsidRPr="008D797E" w:rsidRDefault="00EA35CA" w:rsidP="00EA35CA">
            <w:pPr>
              <w:keepNext/>
              <w:keepLines/>
              <w:widowControl w:val="0"/>
              <w:spacing w:before="40" w:after="40"/>
              <w:jc w:val="center"/>
              <w:rPr>
                <w:rFonts w:ascii="Arial Narrow" w:hAnsi="Arial Narrow" w:cs="Calibri"/>
                <w:bCs/>
                <w:sz w:val="20"/>
                <w:szCs w:val="20"/>
              </w:rPr>
            </w:pPr>
            <w:r w:rsidRPr="008D797E">
              <w:rPr>
                <w:rFonts w:ascii="Arial Narrow" w:hAnsi="Arial Narrow" w:cs="Calibri"/>
                <w:bCs/>
                <w:sz w:val="20"/>
                <w:szCs w:val="20"/>
              </w:rPr>
              <w:t>38 (21.0)</w:t>
            </w:r>
          </w:p>
        </w:tc>
        <w:tc>
          <w:tcPr>
            <w:tcW w:w="867" w:type="pct"/>
            <w:tcBorders>
              <w:left w:val="single" w:sz="4" w:space="0" w:color="auto"/>
              <w:right w:val="single" w:sz="4" w:space="0" w:color="auto"/>
            </w:tcBorders>
            <w:shd w:val="clear" w:color="auto" w:fill="DBE5F1" w:themeFill="accent1" w:themeFillTint="33"/>
          </w:tcPr>
          <w:p w:rsidR="00EA35CA" w:rsidRPr="008D797E" w:rsidRDefault="00EA35CA" w:rsidP="00EA35CA">
            <w:pPr>
              <w:keepNext/>
              <w:keepLines/>
              <w:widowControl w:val="0"/>
              <w:spacing w:before="40" w:after="40"/>
              <w:jc w:val="center"/>
              <w:rPr>
                <w:rFonts w:ascii="Arial Narrow" w:hAnsi="Arial Narrow" w:cs="Calibri"/>
                <w:b/>
                <w:bCs/>
                <w:sz w:val="20"/>
                <w:szCs w:val="20"/>
              </w:rPr>
            </w:pPr>
            <w:r w:rsidRPr="008D797E">
              <w:rPr>
                <w:rFonts w:ascii="Arial Narrow" w:hAnsi="Arial Narrow" w:cs="Calibri"/>
                <w:b/>
                <w:bCs/>
                <w:sz w:val="20"/>
                <w:szCs w:val="20"/>
              </w:rPr>
              <w:t>1.54 (1.09, 2.19)</w:t>
            </w:r>
          </w:p>
        </w:tc>
        <w:tc>
          <w:tcPr>
            <w:tcW w:w="565" w:type="pct"/>
            <w:tcBorders>
              <w:left w:val="single" w:sz="4" w:space="0" w:color="auto"/>
              <w:right w:val="single" w:sz="4" w:space="0" w:color="auto"/>
            </w:tcBorders>
          </w:tcPr>
          <w:p w:rsidR="00EA35CA" w:rsidRPr="008D797E" w:rsidRDefault="00EA35CA" w:rsidP="00EA35CA">
            <w:pPr>
              <w:keepNext/>
              <w:keepLines/>
              <w:widowControl w:val="0"/>
              <w:spacing w:before="40" w:after="40"/>
              <w:jc w:val="center"/>
              <w:rPr>
                <w:rFonts w:ascii="Arial Narrow" w:hAnsi="Arial Narrow" w:cs="Calibri"/>
                <w:b/>
                <w:bCs/>
                <w:sz w:val="20"/>
                <w:szCs w:val="20"/>
              </w:rPr>
            </w:pPr>
            <w:r w:rsidRPr="008D797E">
              <w:rPr>
                <w:rFonts w:ascii="Arial Narrow" w:hAnsi="Arial Narrow" w:cs="Calibri"/>
                <w:bCs/>
                <w:sz w:val="20"/>
                <w:szCs w:val="20"/>
              </w:rPr>
              <w:t>73 (38.4)</w:t>
            </w:r>
          </w:p>
        </w:tc>
        <w:tc>
          <w:tcPr>
            <w:tcW w:w="592" w:type="pct"/>
            <w:tcBorders>
              <w:left w:val="single" w:sz="4" w:space="0" w:color="auto"/>
              <w:right w:val="single" w:sz="4" w:space="0" w:color="auto"/>
            </w:tcBorders>
          </w:tcPr>
          <w:p w:rsidR="00EA35CA" w:rsidRPr="008D797E" w:rsidRDefault="00EA35CA" w:rsidP="00EA35CA">
            <w:pPr>
              <w:keepNext/>
              <w:keepLines/>
              <w:widowControl w:val="0"/>
              <w:spacing w:before="40" w:after="40"/>
              <w:jc w:val="center"/>
              <w:rPr>
                <w:rFonts w:ascii="Arial Narrow" w:hAnsi="Arial Narrow" w:cs="Calibri"/>
                <w:b/>
                <w:bCs/>
                <w:sz w:val="20"/>
                <w:szCs w:val="20"/>
              </w:rPr>
            </w:pPr>
            <w:r w:rsidRPr="008D797E">
              <w:rPr>
                <w:rFonts w:ascii="Arial Narrow" w:hAnsi="Arial Narrow" w:cs="Calibri"/>
                <w:bCs/>
                <w:sz w:val="20"/>
                <w:szCs w:val="20"/>
              </w:rPr>
              <w:t>38 (21.6)</w:t>
            </w:r>
          </w:p>
        </w:tc>
        <w:tc>
          <w:tcPr>
            <w:tcW w:w="907" w:type="pct"/>
            <w:tcBorders>
              <w:left w:val="single" w:sz="4" w:space="0" w:color="auto"/>
              <w:right w:val="single" w:sz="4" w:space="0" w:color="auto"/>
            </w:tcBorders>
          </w:tcPr>
          <w:p w:rsidR="00EA35CA" w:rsidRPr="008D797E" w:rsidRDefault="00EA35CA" w:rsidP="00EA35CA">
            <w:pPr>
              <w:keepNext/>
              <w:keepLines/>
              <w:widowControl w:val="0"/>
              <w:spacing w:before="40" w:after="40"/>
              <w:jc w:val="center"/>
              <w:rPr>
                <w:rFonts w:ascii="Arial Narrow" w:hAnsi="Arial Narrow" w:cs="Calibri"/>
                <w:b/>
                <w:bCs/>
                <w:sz w:val="20"/>
                <w:szCs w:val="20"/>
              </w:rPr>
            </w:pPr>
            <w:r w:rsidRPr="008D797E">
              <w:rPr>
                <w:rFonts w:ascii="Arial Narrow" w:hAnsi="Arial Narrow" w:cs="Calibri"/>
                <w:b/>
                <w:bCs/>
                <w:sz w:val="20"/>
                <w:szCs w:val="20"/>
              </w:rPr>
              <w:t>1.78 (1.27, 2.49)</w:t>
            </w:r>
          </w:p>
        </w:tc>
      </w:tr>
      <w:tr w:rsidR="00EA35CA" w:rsidRPr="008D797E" w:rsidTr="00021907">
        <w:trPr>
          <w:trHeight w:val="976"/>
        </w:trPr>
        <w:tc>
          <w:tcPr>
            <w:tcW w:w="932" w:type="pct"/>
            <w:tcBorders>
              <w:left w:val="single" w:sz="4" w:space="0" w:color="auto"/>
              <w:bottom w:val="single" w:sz="4" w:space="0" w:color="auto"/>
              <w:right w:val="single" w:sz="4" w:space="0" w:color="auto"/>
            </w:tcBorders>
          </w:tcPr>
          <w:p w:rsidR="00EA35CA" w:rsidRPr="008D797E" w:rsidRDefault="00EA35CA" w:rsidP="00EA35CA">
            <w:pPr>
              <w:keepNext/>
              <w:keepLines/>
              <w:widowControl w:val="0"/>
              <w:spacing w:before="40" w:after="40"/>
              <w:jc w:val="left"/>
              <w:rPr>
                <w:rFonts w:ascii="Arial Narrow" w:hAnsi="Arial Narrow" w:cs="Calibri"/>
                <w:bCs/>
                <w:sz w:val="20"/>
                <w:szCs w:val="20"/>
              </w:rPr>
            </w:pPr>
            <w:r w:rsidRPr="008D797E">
              <w:rPr>
                <w:rFonts w:ascii="Arial Narrow" w:hAnsi="Arial Narrow" w:cs="Calibri"/>
                <w:bCs/>
                <w:sz w:val="20"/>
                <w:szCs w:val="20"/>
              </w:rPr>
              <w:t>AESI</w:t>
            </w:r>
          </w:p>
          <w:p w:rsidR="00EA35CA" w:rsidRPr="008D797E" w:rsidRDefault="00EA35CA" w:rsidP="00EA35CA">
            <w:pPr>
              <w:keepNext/>
              <w:keepLines/>
              <w:widowControl w:val="0"/>
              <w:spacing w:before="40" w:after="40"/>
              <w:ind w:left="306"/>
              <w:jc w:val="left"/>
              <w:rPr>
                <w:rFonts w:ascii="Arial Narrow" w:hAnsi="Arial Narrow" w:cs="Calibri"/>
                <w:bCs/>
                <w:sz w:val="20"/>
                <w:szCs w:val="20"/>
              </w:rPr>
            </w:pPr>
            <w:r w:rsidRPr="008D797E">
              <w:rPr>
                <w:rFonts w:ascii="Arial Narrow" w:hAnsi="Arial Narrow" w:cs="Calibri"/>
                <w:bCs/>
                <w:sz w:val="20"/>
                <w:szCs w:val="20"/>
              </w:rPr>
              <w:t>Any grade</w:t>
            </w:r>
          </w:p>
          <w:p w:rsidR="00EA35CA" w:rsidRPr="008D797E" w:rsidRDefault="00EA35CA" w:rsidP="00EA35CA">
            <w:pPr>
              <w:keepNext/>
              <w:keepLines/>
              <w:widowControl w:val="0"/>
              <w:spacing w:before="40" w:after="40"/>
              <w:ind w:left="306"/>
              <w:jc w:val="left"/>
              <w:rPr>
                <w:rFonts w:ascii="Arial Narrow" w:hAnsi="Arial Narrow" w:cs="Calibri"/>
                <w:bCs/>
                <w:sz w:val="20"/>
                <w:szCs w:val="20"/>
              </w:rPr>
            </w:pPr>
            <w:r w:rsidRPr="008D797E">
              <w:rPr>
                <w:rFonts w:ascii="Arial Narrow" w:hAnsi="Arial Narrow" w:cs="Calibri"/>
                <w:bCs/>
                <w:sz w:val="20"/>
                <w:szCs w:val="20"/>
              </w:rPr>
              <w:t>Grade 3-4</w:t>
            </w:r>
          </w:p>
          <w:p w:rsidR="00EA35CA" w:rsidRPr="008D797E" w:rsidRDefault="00EA35CA" w:rsidP="00EA35CA">
            <w:pPr>
              <w:keepNext/>
              <w:keepLines/>
              <w:widowControl w:val="0"/>
              <w:spacing w:before="40" w:after="40"/>
              <w:ind w:left="306"/>
              <w:jc w:val="left"/>
              <w:rPr>
                <w:rFonts w:ascii="Arial Narrow" w:hAnsi="Arial Narrow" w:cs="Calibri"/>
                <w:bCs/>
                <w:sz w:val="20"/>
                <w:szCs w:val="20"/>
              </w:rPr>
            </w:pPr>
            <w:r w:rsidRPr="008D797E">
              <w:rPr>
                <w:rFonts w:ascii="Arial Narrow" w:hAnsi="Arial Narrow" w:cs="Calibri"/>
                <w:bCs/>
                <w:sz w:val="20"/>
                <w:szCs w:val="20"/>
              </w:rPr>
              <w:t>Serious AESIs</w:t>
            </w:r>
          </w:p>
        </w:tc>
        <w:tc>
          <w:tcPr>
            <w:tcW w:w="561" w:type="pct"/>
            <w:tcBorders>
              <w:left w:val="nil"/>
              <w:bottom w:val="single" w:sz="4" w:space="0" w:color="auto"/>
              <w:right w:val="single" w:sz="4" w:space="0" w:color="auto"/>
            </w:tcBorders>
            <w:shd w:val="clear" w:color="auto" w:fill="DBE5F1" w:themeFill="accent1" w:themeFillTint="33"/>
          </w:tcPr>
          <w:p w:rsidR="00EA35CA" w:rsidRPr="008D797E" w:rsidRDefault="00EA35CA" w:rsidP="00EA35CA">
            <w:pPr>
              <w:keepNext/>
              <w:keepLines/>
              <w:widowControl w:val="0"/>
              <w:spacing w:before="40" w:after="40"/>
              <w:jc w:val="center"/>
              <w:rPr>
                <w:rFonts w:ascii="Arial Narrow" w:hAnsi="Arial Narrow" w:cs="Calibri"/>
                <w:bCs/>
                <w:sz w:val="20"/>
                <w:szCs w:val="20"/>
              </w:rPr>
            </w:pPr>
          </w:p>
          <w:p w:rsidR="00EA35CA" w:rsidRPr="008D797E" w:rsidRDefault="00EA35CA" w:rsidP="00EA35CA">
            <w:pPr>
              <w:keepNext/>
              <w:keepLines/>
              <w:widowControl w:val="0"/>
              <w:spacing w:before="40" w:after="40"/>
              <w:jc w:val="center"/>
              <w:rPr>
                <w:rFonts w:ascii="Arial Narrow" w:hAnsi="Arial Narrow" w:cs="Calibri"/>
                <w:bCs/>
                <w:sz w:val="20"/>
                <w:szCs w:val="20"/>
              </w:rPr>
            </w:pPr>
            <w:r w:rsidRPr="008D797E">
              <w:rPr>
                <w:rFonts w:ascii="Arial Narrow" w:hAnsi="Arial Narrow" w:cs="Calibri"/>
                <w:bCs/>
                <w:sz w:val="20"/>
                <w:szCs w:val="20"/>
              </w:rPr>
              <w:t>105 (56.8)</w:t>
            </w:r>
          </w:p>
          <w:p w:rsidR="00EA35CA" w:rsidRPr="008D797E" w:rsidRDefault="00EA35CA" w:rsidP="00EA35CA">
            <w:pPr>
              <w:keepNext/>
              <w:keepLines/>
              <w:widowControl w:val="0"/>
              <w:spacing w:before="40" w:after="40"/>
              <w:jc w:val="center"/>
              <w:rPr>
                <w:rFonts w:ascii="Arial Narrow" w:hAnsi="Arial Narrow" w:cs="Calibri"/>
                <w:bCs/>
                <w:sz w:val="20"/>
                <w:szCs w:val="20"/>
              </w:rPr>
            </w:pPr>
            <w:r w:rsidRPr="008D797E">
              <w:rPr>
                <w:rFonts w:ascii="Arial Narrow" w:hAnsi="Arial Narrow" w:cs="Calibri"/>
                <w:bCs/>
                <w:sz w:val="20"/>
                <w:szCs w:val="20"/>
              </w:rPr>
              <w:t>10 (5.4)</w:t>
            </w:r>
          </w:p>
          <w:p w:rsidR="00EA35CA" w:rsidRPr="008D797E" w:rsidRDefault="00EA35CA" w:rsidP="00EA35CA">
            <w:pPr>
              <w:keepNext/>
              <w:keepLines/>
              <w:widowControl w:val="0"/>
              <w:spacing w:before="40" w:after="40"/>
              <w:jc w:val="center"/>
              <w:rPr>
                <w:rFonts w:ascii="Arial Narrow" w:hAnsi="Arial Narrow" w:cs="Calibri"/>
                <w:bCs/>
                <w:sz w:val="20"/>
                <w:szCs w:val="20"/>
              </w:rPr>
            </w:pPr>
            <w:r w:rsidRPr="008D797E">
              <w:rPr>
                <w:rFonts w:ascii="Arial Narrow" w:hAnsi="Arial Narrow" w:cs="Calibri"/>
                <w:bCs/>
                <w:sz w:val="20"/>
                <w:szCs w:val="20"/>
              </w:rPr>
              <w:t>NR</w:t>
            </w:r>
          </w:p>
        </w:tc>
        <w:tc>
          <w:tcPr>
            <w:tcW w:w="576" w:type="pct"/>
            <w:tcBorders>
              <w:left w:val="nil"/>
              <w:bottom w:val="single" w:sz="4" w:space="0" w:color="auto"/>
              <w:right w:val="single" w:sz="4" w:space="0" w:color="auto"/>
            </w:tcBorders>
            <w:shd w:val="clear" w:color="auto" w:fill="DBE5F1" w:themeFill="accent1" w:themeFillTint="33"/>
          </w:tcPr>
          <w:p w:rsidR="00EA35CA" w:rsidRPr="008D797E" w:rsidRDefault="00EA35CA" w:rsidP="00EA35CA">
            <w:pPr>
              <w:keepNext/>
              <w:keepLines/>
              <w:widowControl w:val="0"/>
              <w:spacing w:before="40" w:after="40"/>
              <w:jc w:val="center"/>
              <w:rPr>
                <w:rFonts w:ascii="Arial Narrow" w:hAnsi="Arial Narrow" w:cs="Calibri"/>
                <w:bCs/>
                <w:sz w:val="20"/>
                <w:szCs w:val="20"/>
              </w:rPr>
            </w:pPr>
          </w:p>
          <w:p w:rsidR="00EA35CA" w:rsidRPr="008D797E" w:rsidRDefault="00EA35CA" w:rsidP="00EA35CA">
            <w:pPr>
              <w:keepNext/>
              <w:keepLines/>
              <w:widowControl w:val="0"/>
              <w:spacing w:before="40" w:after="40"/>
              <w:jc w:val="center"/>
              <w:rPr>
                <w:rFonts w:ascii="Arial Narrow" w:hAnsi="Arial Narrow" w:cs="Calibri"/>
                <w:bCs/>
                <w:sz w:val="20"/>
                <w:szCs w:val="20"/>
              </w:rPr>
            </w:pPr>
            <w:r w:rsidRPr="008D797E">
              <w:rPr>
                <w:rFonts w:ascii="Arial Narrow" w:hAnsi="Arial Narrow" w:cs="Calibri"/>
                <w:bCs/>
                <w:sz w:val="20"/>
                <w:szCs w:val="20"/>
              </w:rPr>
              <w:t>66 (36.5)</w:t>
            </w:r>
          </w:p>
          <w:p w:rsidR="00EA35CA" w:rsidRPr="008D797E" w:rsidRDefault="00EA35CA" w:rsidP="00EA35CA">
            <w:pPr>
              <w:keepNext/>
              <w:keepLines/>
              <w:widowControl w:val="0"/>
              <w:spacing w:before="40" w:after="40"/>
              <w:jc w:val="center"/>
              <w:rPr>
                <w:rFonts w:ascii="Arial Narrow" w:hAnsi="Arial Narrow" w:cs="Calibri"/>
                <w:bCs/>
                <w:sz w:val="20"/>
                <w:szCs w:val="20"/>
              </w:rPr>
            </w:pPr>
            <w:r w:rsidRPr="008D797E">
              <w:rPr>
                <w:rFonts w:ascii="Arial Narrow" w:hAnsi="Arial Narrow" w:cs="Calibri"/>
                <w:bCs/>
                <w:sz w:val="20"/>
                <w:szCs w:val="20"/>
              </w:rPr>
              <w:t>7 (3.9)</w:t>
            </w:r>
          </w:p>
          <w:p w:rsidR="00EA35CA" w:rsidRPr="008D797E" w:rsidRDefault="00EA35CA" w:rsidP="00EA35CA">
            <w:pPr>
              <w:keepNext/>
              <w:keepLines/>
              <w:widowControl w:val="0"/>
              <w:spacing w:before="40" w:after="40"/>
              <w:jc w:val="center"/>
              <w:rPr>
                <w:rFonts w:ascii="Arial Narrow" w:hAnsi="Arial Narrow" w:cs="Calibri"/>
                <w:bCs/>
                <w:sz w:val="20"/>
                <w:szCs w:val="20"/>
              </w:rPr>
            </w:pPr>
            <w:r w:rsidRPr="008D797E">
              <w:rPr>
                <w:rFonts w:ascii="Arial Narrow" w:hAnsi="Arial Narrow" w:cs="Calibri"/>
                <w:bCs/>
                <w:sz w:val="20"/>
                <w:szCs w:val="20"/>
              </w:rPr>
              <w:t>NR</w:t>
            </w:r>
          </w:p>
        </w:tc>
        <w:tc>
          <w:tcPr>
            <w:tcW w:w="867" w:type="pct"/>
            <w:tcBorders>
              <w:left w:val="single" w:sz="4" w:space="0" w:color="auto"/>
              <w:bottom w:val="single" w:sz="4" w:space="0" w:color="auto"/>
              <w:right w:val="single" w:sz="4" w:space="0" w:color="auto"/>
            </w:tcBorders>
            <w:shd w:val="clear" w:color="auto" w:fill="DBE5F1" w:themeFill="accent1" w:themeFillTint="33"/>
          </w:tcPr>
          <w:p w:rsidR="00EA35CA" w:rsidRPr="008D797E" w:rsidRDefault="00EA35CA" w:rsidP="00EA35CA">
            <w:pPr>
              <w:keepNext/>
              <w:keepLines/>
              <w:widowControl w:val="0"/>
              <w:spacing w:before="40" w:after="40"/>
              <w:jc w:val="center"/>
              <w:rPr>
                <w:rFonts w:ascii="Arial Narrow" w:hAnsi="Arial Narrow" w:cs="Calibri"/>
                <w:b/>
                <w:bCs/>
                <w:sz w:val="20"/>
                <w:szCs w:val="20"/>
              </w:rPr>
            </w:pPr>
          </w:p>
          <w:p w:rsidR="00EA35CA" w:rsidRPr="008D797E" w:rsidRDefault="00EA35CA" w:rsidP="00EA35CA">
            <w:pPr>
              <w:keepNext/>
              <w:keepLines/>
              <w:widowControl w:val="0"/>
              <w:spacing w:before="40" w:after="40"/>
              <w:jc w:val="center"/>
              <w:rPr>
                <w:rFonts w:ascii="Arial Narrow" w:hAnsi="Arial Narrow" w:cs="Calibri"/>
                <w:b/>
                <w:bCs/>
                <w:sz w:val="20"/>
                <w:szCs w:val="20"/>
              </w:rPr>
            </w:pPr>
            <w:r w:rsidRPr="008D797E">
              <w:rPr>
                <w:rFonts w:ascii="Arial Narrow" w:hAnsi="Arial Narrow" w:cs="Calibri"/>
                <w:b/>
                <w:bCs/>
                <w:sz w:val="20"/>
                <w:szCs w:val="20"/>
              </w:rPr>
              <w:t>1.56 (1.24, 1.96)</w:t>
            </w:r>
          </w:p>
          <w:p w:rsidR="00EA35CA" w:rsidRPr="008D797E" w:rsidRDefault="00EA35CA" w:rsidP="00EA35CA">
            <w:pPr>
              <w:keepNext/>
              <w:keepLines/>
              <w:widowControl w:val="0"/>
              <w:spacing w:before="40" w:after="40"/>
              <w:jc w:val="center"/>
              <w:rPr>
                <w:rFonts w:ascii="Arial Narrow" w:hAnsi="Arial Narrow" w:cs="Calibri"/>
                <w:sz w:val="20"/>
                <w:szCs w:val="20"/>
              </w:rPr>
            </w:pPr>
            <w:r w:rsidRPr="008D797E">
              <w:rPr>
                <w:rFonts w:ascii="Arial Narrow" w:hAnsi="Arial Narrow" w:cs="Calibri"/>
                <w:sz w:val="20"/>
                <w:szCs w:val="20"/>
              </w:rPr>
              <w:t>1.40 (0.54, 3.59)</w:t>
            </w:r>
          </w:p>
          <w:p w:rsidR="00EA35CA" w:rsidRPr="008D797E" w:rsidRDefault="00EA35CA" w:rsidP="00EA35CA">
            <w:pPr>
              <w:keepNext/>
              <w:keepLines/>
              <w:widowControl w:val="0"/>
              <w:spacing w:before="40" w:after="40"/>
              <w:jc w:val="center"/>
              <w:rPr>
                <w:rFonts w:ascii="Arial Narrow" w:hAnsi="Arial Narrow" w:cs="Calibri"/>
                <w:b/>
                <w:bCs/>
                <w:sz w:val="20"/>
                <w:szCs w:val="20"/>
              </w:rPr>
            </w:pPr>
            <w:r w:rsidRPr="008D797E">
              <w:rPr>
                <w:rFonts w:ascii="Arial Narrow" w:hAnsi="Arial Narrow" w:cs="Calibri"/>
                <w:bCs/>
                <w:sz w:val="20"/>
                <w:szCs w:val="20"/>
              </w:rPr>
              <w:t>NR</w:t>
            </w:r>
          </w:p>
        </w:tc>
        <w:tc>
          <w:tcPr>
            <w:tcW w:w="565" w:type="pct"/>
            <w:tcBorders>
              <w:left w:val="single" w:sz="4" w:space="0" w:color="auto"/>
              <w:bottom w:val="single" w:sz="4" w:space="0" w:color="auto"/>
              <w:right w:val="single" w:sz="4" w:space="0" w:color="auto"/>
            </w:tcBorders>
          </w:tcPr>
          <w:p w:rsidR="00EA35CA" w:rsidRPr="008D797E" w:rsidRDefault="00EA35CA" w:rsidP="00EA35CA">
            <w:pPr>
              <w:keepNext/>
              <w:keepLines/>
              <w:widowControl w:val="0"/>
              <w:spacing w:before="40" w:after="40"/>
              <w:jc w:val="center"/>
              <w:rPr>
                <w:rFonts w:ascii="Arial Narrow" w:hAnsi="Arial Narrow" w:cs="Calibri"/>
                <w:bCs/>
                <w:sz w:val="20"/>
                <w:szCs w:val="20"/>
              </w:rPr>
            </w:pPr>
          </w:p>
          <w:p w:rsidR="00EA35CA" w:rsidRPr="008D797E" w:rsidRDefault="00EA35CA" w:rsidP="00EA35CA">
            <w:pPr>
              <w:keepNext/>
              <w:keepLines/>
              <w:widowControl w:val="0"/>
              <w:spacing w:before="40" w:after="40"/>
              <w:jc w:val="center"/>
              <w:rPr>
                <w:rFonts w:ascii="Arial Narrow" w:hAnsi="Arial Narrow" w:cs="Calibri"/>
                <w:bCs/>
                <w:sz w:val="20"/>
                <w:szCs w:val="20"/>
              </w:rPr>
            </w:pPr>
            <w:r w:rsidRPr="008D797E">
              <w:rPr>
                <w:rFonts w:ascii="Arial Narrow" w:hAnsi="Arial Narrow" w:cs="Calibri"/>
                <w:bCs/>
                <w:sz w:val="20"/>
                <w:szCs w:val="20"/>
              </w:rPr>
              <w:t>112 (58.9)</w:t>
            </w:r>
          </w:p>
          <w:p w:rsidR="00EA35CA" w:rsidRPr="008D797E" w:rsidRDefault="00EA35CA" w:rsidP="00EA35CA">
            <w:pPr>
              <w:keepNext/>
              <w:keepLines/>
              <w:widowControl w:val="0"/>
              <w:spacing w:before="40" w:after="40"/>
              <w:jc w:val="center"/>
              <w:rPr>
                <w:rFonts w:ascii="Arial Narrow" w:hAnsi="Arial Narrow" w:cs="Calibri"/>
                <w:bCs/>
                <w:sz w:val="20"/>
                <w:szCs w:val="20"/>
              </w:rPr>
            </w:pPr>
            <w:r w:rsidRPr="008D797E">
              <w:rPr>
                <w:rFonts w:ascii="Arial Narrow" w:hAnsi="Arial Narrow" w:cs="Calibri"/>
                <w:bCs/>
                <w:sz w:val="20"/>
                <w:szCs w:val="20"/>
              </w:rPr>
              <w:t>13 (6.8)</w:t>
            </w:r>
          </w:p>
          <w:p w:rsidR="00EA35CA" w:rsidRPr="008D797E" w:rsidRDefault="00EA35CA" w:rsidP="00EA35CA">
            <w:pPr>
              <w:keepNext/>
              <w:keepLines/>
              <w:widowControl w:val="0"/>
              <w:spacing w:before="40" w:after="40"/>
              <w:jc w:val="center"/>
              <w:rPr>
                <w:rFonts w:ascii="Arial Narrow" w:hAnsi="Arial Narrow" w:cs="Calibri"/>
                <w:bCs/>
                <w:sz w:val="20"/>
                <w:szCs w:val="20"/>
              </w:rPr>
            </w:pPr>
            <w:r w:rsidRPr="008D797E">
              <w:rPr>
                <w:rFonts w:ascii="Arial Narrow" w:hAnsi="Arial Narrow" w:cs="Calibri"/>
                <w:bCs/>
                <w:sz w:val="20"/>
                <w:szCs w:val="20"/>
              </w:rPr>
              <w:t>NR</w:t>
            </w:r>
          </w:p>
        </w:tc>
        <w:tc>
          <w:tcPr>
            <w:tcW w:w="592" w:type="pct"/>
            <w:tcBorders>
              <w:left w:val="single" w:sz="4" w:space="0" w:color="auto"/>
              <w:bottom w:val="single" w:sz="4" w:space="0" w:color="auto"/>
              <w:right w:val="single" w:sz="4" w:space="0" w:color="auto"/>
            </w:tcBorders>
          </w:tcPr>
          <w:p w:rsidR="00EA35CA" w:rsidRPr="008D797E" w:rsidRDefault="00EA35CA" w:rsidP="00EA35CA">
            <w:pPr>
              <w:keepNext/>
              <w:keepLines/>
              <w:widowControl w:val="0"/>
              <w:spacing w:before="40" w:after="40"/>
              <w:jc w:val="center"/>
              <w:rPr>
                <w:rFonts w:ascii="Arial Narrow" w:hAnsi="Arial Narrow" w:cs="Calibri"/>
                <w:bCs/>
                <w:sz w:val="20"/>
                <w:szCs w:val="20"/>
              </w:rPr>
            </w:pPr>
          </w:p>
          <w:p w:rsidR="00EA35CA" w:rsidRPr="008D797E" w:rsidRDefault="00EA35CA" w:rsidP="00EA35CA">
            <w:pPr>
              <w:keepNext/>
              <w:keepLines/>
              <w:widowControl w:val="0"/>
              <w:spacing w:before="40" w:after="40"/>
              <w:jc w:val="center"/>
              <w:rPr>
                <w:rFonts w:ascii="Arial Narrow" w:hAnsi="Arial Narrow" w:cs="Calibri"/>
                <w:bCs/>
                <w:sz w:val="20"/>
                <w:szCs w:val="20"/>
              </w:rPr>
            </w:pPr>
            <w:r w:rsidRPr="008D797E">
              <w:rPr>
                <w:rFonts w:ascii="Arial Narrow" w:hAnsi="Arial Narrow" w:cs="Calibri"/>
                <w:bCs/>
                <w:sz w:val="20"/>
                <w:szCs w:val="20"/>
              </w:rPr>
              <w:t>62 (35.2)</w:t>
            </w:r>
          </w:p>
          <w:p w:rsidR="00EA35CA" w:rsidRPr="008D797E" w:rsidRDefault="00EA35CA" w:rsidP="00EA35CA">
            <w:pPr>
              <w:keepNext/>
              <w:keepLines/>
              <w:widowControl w:val="0"/>
              <w:spacing w:before="40" w:after="40"/>
              <w:jc w:val="center"/>
              <w:rPr>
                <w:rFonts w:ascii="Arial Narrow" w:hAnsi="Arial Narrow" w:cs="Calibri"/>
                <w:bCs/>
                <w:sz w:val="20"/>
                <w:szCs w:val="20"/>
              </w:rPr>
            </w:pPr>
            <w:r w:rsidRPr="008D797E">
              <w:rPr>
                <w:rFonts w:ascii="Arial Narrow" w:hAnsi="Arial Narrow" w:cs="Calibri"/>
                <w:bCs/>
                <w:sz w:val="20"/>
                <w:szCs w:val="20"/>
              </w:rPr>
              <w:t>7 (4.0)</w:t>
            </w:r>
          </w:p>
          <w:p w:rsidR="00EA35CA" w:rsidRPr="008D797E" w:rsidRDefault="00EA35CA" w:rsidP="00EA35CA">
            <w:pPr>
              <w:keepNext/>
              <w:keepLines/>
              <w:widowControl w:val="0"/>
              <w:spacing w:before="40" w:after="40"/>
              <w:jc w:val="center"/>
              <w:rPr>
                <w:rFonts w:ascii="Arial Narrow" w:hAnsi="Arial Narrow" w:cs="Calibri"/>
                <w:bCs/>
                <w:sz w:val="20"/>
                <w:szCs w:val="20"/>
              </w:rPr>
            </w:pPr>
            <w:r w:rsidRPr="008D797E">
              <w:rPr>
                <w:rFonts w:ascii="Arial Narrow" w:hAnsi="Arial Narrow" w:cs="Calibri"/>
                <w:bCs/>
                <w:sz w:val="20"/>
                <w:szCs w:val="20"/>
              </w:rPr>
              <w:t>NR</w:t>
            </w:r>
          </w:p>
        </w:tc>
        <w:tc>
          <w:tcPr>
            <w:tcW w:w="907" w:type="pct"/>
            <w:tcBorders>
              <w:left w:val="single" w:sz="4" w:space="0" w:color="auto"/>
              <w:bottom w:val="single" w:sz="4" w:space="0" w:color="auto"/>
              <w:right w:val="single" w:sz="4" w:space="0" w:color="auto"/>
            </w:tcBorders>
          </w:tcPr>
          <w:p w:rsidR="00EA35CA" w:rsidRPr="008D797E" w:rsidRDefault="00EA35CA" w:rsidP="00EA35CA">
            <w:pPr>
              <w:keepNext/>
              <w:keepLines/>
              <w:widowControl w:val="0"/>
              <w:spacing w:before="40" w:after="40"/>
              <w:jc w:val="center"/>
              <w:rPr>
                <w:rFonts w:ascii="Arial Narrow" w:hAnsi="Arial Narrow" w:cs="Calibri"/>
                <w:b/>
                <w:sz w:val="20"/>
                <w:szCs w:val="20"/>
              </w:rPr>
            </w:pPr>
          </w:p>
          <w:p w:rsidR="00EA35CA" w:rsidRPr="008D797E" w:rsidRDefault="00EA35CA" w:rsidP="00EA35CA">
            <w:pPr>
              <w:keepNext/>
              <w:keepLines/>
              <w:widowControl w:val="0"/>
              <w:spacing w:before="40" w:after="40"/>
              <w:jc w:val="center"/>
              <w:rPr>
                <w:rFonts w:ascii="Arial Narrow" w:hAnsi="Arial Narrow" w:cs="Calibri"/>
                <w:b/>
                <w:sz w:val="20"/>
                <w:szCs w:val="20"/>
              </w:rPr>
            </w:pPr>
            <w:r w:rsidRPr="008D797E">
              <w:rPr>
                <w:rFonts w:ascii="Arial Narrow" w:hAnsi="Arial Narrow" w:cs="Calibri"/>
                <w:b/>
                <w:sz w:val="20"/>
                <w:szCs w:val="20"/>
              </w:rPr>
              <w:t>1.67 (1.33, 2.11)</w:t>
            </w:r>
          </w:p>
          <w:p w:rsidR="00EA35CA" w:rsidRPr="008D797E" w:rsidRDefault="00EA35CA" w:rsidP="00EA35CA">
            <w:pPr>
              <w:keepNext/>
              <w:keepLines/>
              <w:widowControl w:val="0"/>
              <w:spacing w:before="40" w:after="40"/>
              <w:jc w:val="center"/>
              <w:rPr>
                <w:rFonts w:ascii="Arial Narrow" w:hAnsi="Arial Narrow" w:cs="Calibri"/>
                <w:b/>
                <w:sz w:val="20"/>
                <w:szCs w:val="20"/>
              </w:rPr>
            </w:pPr>
            <w:r w:rsidRPr="008D797E">
              <w:rPr>
                <w:rFonts w:ascii="Arial Narrow" w:hAnsi="Arial Narrow" w:cs="Calibri"/>
                <w:b/>
                <w:sz w:val="20"/>
                <w:szCs w:val="20"/>
              </w:rPr>
              <w:t>1.72 (0.70, 4.21)</w:t>
            </w:r>
          </w:p>
          <w:p w:rsidR="00EA35CA" w:rsidRPr="008D797E" w:rsidRDefault="00EA35CA" w:rsidP="00EA35CA">
            <w:pPr>
              <w:keepNext/>
              <w:keepLines/>
              <w:widowControl w:val="0"/>
              <w:spacing w:before="40" w:after="40"/>
              <w:jc w:val="center"/>
              <w:rPr>
                <w:rFonts w:ascii="Arial Narrow" w:hAnsi="Arial Narrow" w:cs="Calibri"/>
                <w:b/>
                <w:sz w:val="20"/>
                <w:szCs w:val="20"/>
              </w:rPr>
            </w:pPr>
            <w:r w:rsidRPr="008D797E">
              <w:rPr>
                <w:rFonts w:ascii="Arial Narrow" w:hAnsi="Arial Narrow" w:cs="Calibri"/>
                <w:b/>
                <w:sz w:val="20"/>
                <w:szCs w:val="20"/>
              </w:rPr>
              <w:t>-</w:t>
            </w:r>
          </w:p>
        </w:tc>
      </w:tr>
    </w:tbl>
    <w:p w:rsidR="004B6802" w:rsidRPr="008D797E" w:rsidRDefault="00EA35CA" w:rsidP="00EA35CA">
      <w:pPr>
        <w:spacing w:after="120"/>
        <w:contextualSpacing/>
        <w:jc w:val="left"/>
        <w:rPr>
          <w:rFonts w:ascii="Arial Narrow" w:eastAsia="MS Mincho" w:hAnsi="Arial Narrow"/>
          <w:snapToGrid w:val="0"/>
          <w:sz w:val="18"/>
          <w:szCs w:val="22"/>
        </w:rPr>
      </w:pPr>
      <w:r w:rsidRPr="008D797E">
        <w:rPr>
          <w:rFonts w:ascii="Arial Narrow" w:hAnsi="Arial Narrow"/>
          <w:snapToGrid w:val="0"/>
          <w:sz w:val="18"/>
          <w:szCs w:val="22"/>
        </w:rPr>
        <w:t>Source: Constructed during the evaluation, from data in Table 35, pp 102-104 and Table 36, p 105 of the IMpassion130 Aug2020 CSR.</w:t>
      </w:r>
      <w:r w:rsidRPr="008D797E">
        <w:rPr>
          <w:rFonts w:ascii="Arial Narrow" w:hAnsi="Arial Narrow"/>
          <w:snapToGrid w:val="0"/>
          <w:sz w:val="18"/>
          <w:szCs w:val="22"/>
        </w:rPr>
        <w:br/>
      </w:r>
      <w:r w:rsidRPr="008D797E">
        <w:rPr>
          <w:rFonts w:ascii="Arial Narrow" w:eastAsia="MS Mincho" w:hAnsi="Arial Narrow"/>
          <w:snapToGrid w:val="0"/>
          <w:sz w:val="18"/>
          <w:szCs w:val="22"/>
        </w:rPr>
        <w:t>AE = adverse event; AESI = adverse event of</w:t>
      </w:r>
      <w:r w:rsidR="008905D5" w:rsidRPr="008D797E">
        <w:rPr>
          <w:rFonts w:ascii="Arial Narrow" w:eastAsia="MS Mincho" w:hAnsi="Arial Narrow"/>
          <w:snapToGrid w:val="0"/>
          <w:sz w:val="18"/>
          <w:szCs w:val="22"/>
        </w:rPr>
        <w:t xml:space="preserve"> special interest; ATZ</w:t>
      </w:r>
      <w:r w:rsidR="0036387E" w:rsidRPr="008D797E">
        <w:rPr>
          <w:rFonts w:ascii="Arial Narrow" w:eastAsia="MS Mincho" w:hAnsi="Arial Narrow"/>
          <w:snapToGrid w:val="0"/>
          <w:sz w:val="18"/>
          <w:szCs w:val="22"/>
        </w:rPr>
        <w:t xml:space="preserve"> = a</w:t>
      </w:r>
      <w:r w:rsidR="008905D5" w:rsidRPr="008D797E">
        <w:rPr>
          <w:rFonts w:ascii="Arial Narrow" w:eastAsia="MS Mincho" w:hAnsi="Arial Narrow"/>
          <w:snapToGrid w:val="0"/>
          <w:sz w:val="18"/>
          <w:szCs w:val="22"/>
        </w:rPr>
        <w:t>tezolizumab</w:t>
      </w:r>
      <w:r w:rsidRPr="008D797E">
        <w:rPr>
          <w:rFonts w:ascii="Arial Narrow" w:eastAsia="MS Mincho" w:hAnsi="Arial Narrow"/>
          <w:snapToGrid w:val="0"/>
          <w:sz w:val="18"/>
          <w:szCs w:val="22"/>
        </w:rPr>
        <w:t xml:space="preserve">; CCOD = clinical cut-off date; CI = confidence interval; N = total participants in group; </w:t>
      </w:r>
      <w:r w:rsidR="008905D5" w:rsidRPr="008D797E">
        <w:rPr>
          <w:rFonts w:ascii="Arial Narrow" w:eastAsia="MS Mincho" w:hAnsi="Arial Narrow"/>
          <w:snapToGrid w:val="0"/>
          <w:sz w:val="18"/>
          <w:szCs w:val="22"/>
        </w:rPr>
        <w:t xml:space="preserve">nab-P = </w:t>
      </w:r>
      <w:r w:rsidR="008905D5" w:rsidRPr="008D797E">
        <w:rPr>
          <w:rFonts w:ascii="Arial Narrow" w:hAnsi="Arial Narrow"/>
          <w:sz w:val="18"/>
        </w:rPr>
        <w:t>nanoparticle albumin–bound paclitaxel</w:t>
      </w:r>
      <w:r w:rsidR="008905D5" w:rsidRPr="008D797E">
        <w:rPr>
          <w:rFonts w:ascii="Arial Narrow" w:eastAsia="MS Mincho" w:hAnsi="Arial Narrow"/>
          <w:snapToGrid w:val="0"/>
          <w:sz w:val="18"/>
          <w:szCs w:val="22"/>
        </w:rPr>
        <w:t xml:space="preserve">; </w:t>
      </w:r>
      <w:r w:rsidRPr="008D797E">
        <w:rPr>
          <w:rFonts w:ascii="Arial Narrow" w:eastAsia="MS Mincho" w:hAnsi="Arial Narrow"/>
          <w:snapToGrid w:val="0"/>
          <w:sz w:val="18"/>
          <w:szCs w:val="22"/>
        </w:rPr>
        <w:t>No. = number; NR = not reported; PD-L1=prog</w:t>
      </w:r>
      <w:r w:rsidR="008905D5" w:rsidRPr="008D797E">
        <w:rPr>
          <w:rFonts w:ascii="Arial Narrow" w:eastAsia="MS Mincho" w:hAnsi="Arial Narrow"/>
          <w:snapToGrid w:val="0"/>
          <w:sz w:val="18"/>
          <w:szCs w:val="22"/>
        </w:rPr>
        <w:t>rammed death-ligand 1; PBO</w:t>
      </w:r>
      <w:r w:rsidRPr="008D797E">
        <w:rPr>
          <w:rFonts w:ascii="Arial Narrow" w:eastAsia="MS Mincho" w:hAnsi="Arial Narrow"/>
          <w:snapToGrid w:val="0"/>
          <w:sz w:val="18"/>
          <w:szCs w:val="22"/>
        </w:rPr>
        <w:t xml:space="preserve"> = </w:t>
      </w:r>
      <w:r w:rsidR="0036387E" w:rsidRPr="008D797E">
        <w:rPr>
          <w:rFonts w:ascii="Arial Narrow" w:eastAsia="MS Mincho" w:hAnsi="Arial Narrow"/>
          <w:snapToGrid w:val="0"/>
          <w:sz w:val="18"/>
          <w:szCs w:val="22"/>
        </w:rPr>
        <w:t>p</w:t>
      </w:r>
      <w:r w:rsidR="008905D5" w:rsidRPr="008D797E">
        <w:rPr>
          <w:rFonts w:ascii="Arial Narrow" w:eastAsia="MS Mincho" w:hAnsi="Arial Narrow"/>
          <w:snapToGrid w:val="0"/>
          <w:sz w:val="18"/>
          <w:szCs w:val="22"/>
        </w:rPr>
        <w:t>lacebo</w:t>
      </w:r>
      <w:r w:rsidRPr="008D797E">
        <w:rPr>
          <w:rFonts w:ascii="Arial Narrow" w:eastAsia="MS Mincho" w:hAnsi="Arial Narrow"/>
          <w:snapToGrid w:val="0"/>
          <w:sz w:val="18"/>
          <w:szCs w:val="22"/>
        </w:rPr>
        <w:t xml:space="preserve">; </w:t>
      </w:r>
      <w:r w:rsidR="0036387E" w:rsidRPr="008D797E">
        <w:rPr>
          <w:rFonts w:ascii="Arial Narrow" w:eastAsia="MS Mincho" w:hAnsi="Arial Narrow"/>
          <w:snapToGrid w:val="0"/>
          <w:sz w:val="18"/>
          <w:szCs w:val="22"/>
        </w:rPr>
        <w:t xml:space="preserve">RR = relative risk; </w:t>
      </w:r>
      <w:r w:rsidRPr="008D797E">
        <w:rPr>
          <w:rFonts w:ascii="Arial Narrow" w:eastAsia="MS Mincho" w:hAnsi="Arial Narrow"/>
          <w:snapToGrid w:val="0"/>
          <w:sz w:val="18"/>
          <w:szCs w:val="22"/>
        </w:rPr>
        <w:t>SAE = serious adverse event.</w:t>
      </w:r>
    </w:p>
    <w:p w:rsidR="00EA35CA" w:rsidRPr="008D797E" w:rsidRDefault="004B6802" w:rsidP="00EA35CA">
      <w:pPr>
        <w:spacing w:after="120"/>
        <w:contextualSpacing/>
        <w:jc w:val="left"/>
        <w:rPr>
          <w:rFonts w:ascii="Arial Narrow" w:hAnsi="Arial Narrow"/>
          <w:bCs/>
          <w:snapToGrid w:val="0"/>
          <w:sz w:val="18"/>
          <w:szCs w:val="22"/>
        </w:rPr>
      </w:pPr>
      <w:r w:rsidRPr="008D797E">
        <w:rPr>
          <w:rFonts w:ascii="Arial Narrow" w:eastAsia="MS Mincho" w:hAnsi="Arial Narrow"/>
          <w:snapToGrid w:val="0"/>
          <w:sz w:val="18"/>
          <w:szCs w:val="22"/>
          <w:vertAlign w:val="superscript"/>
        </w:rPr>
        <w:t>a</w:t>
      </w:r>
      <w:r w:rsidRPr="008D797E">
        <w:rPr>
          <w:rFonts w:ascii="Arial Narrow" w:eastAsia="MS Mincho" w:hAnsi="Arial Narrow"/>
          <w:snapToGrid w:val="0"/>
          <w:sz w:val="18"/>
          <w:szCs w:val="22"/>
        </w:rPr>
        <w:t xml:space="preserve"> Five patients </w:t>
      </w:r>
      <w:r w:rsidR="00290221" w:rsidRPr="008D797E">
        <w:rPr>
          <w:rFonts w:ascii="Arial Narrow" w:eastAsia="MS Mincho" w:hAnsi="Arial Narrow"/>
          <w:snapToGrid w:val="0"/>
          <w:sz w:val="18"/>
          <w:szCs w:val="22"/>
        </w:rPr>
        <w:t>switched</w:t>
      </w:r>
      <w:r w:rsidRPr="008D797E">
        <w:rPr>
          <w:rFonts w:ascii="Arial Narrow" w:eastAsia="MS Mincho" w:hAnsi="Arial Narrow"/>
          <w:snapToGrid w:val="0"/>
          <w:sz w:val="18"/>
          <w:szCs w:val="22"/>
        </w:rPr>
        <w:t xml:space="preserve"> from the PBO+nab-P arm into the ATZ+nab-P arm at the 14 April 2020 CCOD.</w:t>
      </w:r>
      <w:r w:rsidR="00EA35CA" w:rsidRPr="008D797E">
        <w:rPr>
          <w:rFonts w:ascii="Arial Narrow" w:eastAsia="MS Mincho" w:hAnsi="Arial Narrow"/>
          <w:snapToGrid w:val="0"/>
          <w:sz w:val="18"/>
          <w:szCs w:val="22"/>
        </w:rPr>
        <w:br/>
      </w:r>
      <w:r w:rsidR="00EA35CA" w:rsidRPr="008D797E">
        <w:rPr>
          <w:rFonts w:ascii="Arial Narrow" w:hAnsi="Arial Narrow"/>
          <w:snapToGrid w:val="0"/>
          <w:sz w:val="18"/>
          <w:szCs w:val="22"/>
        </w:rPr>
        <w:t xml:space="preserve">Notes: </w:t>
      </w:r>
      <w:r w:rsidR="00B13F21" w:rsidRPr="008D797E">
        <w:rPr>
          <w:rFonts w:ascii="Arial Narrow" w:hAnsi="Arial Narrow"/>
          <w:snapToGrid w:val="0"/>
          <w:sz w:val="18"/>
          <w:szCs w:val="22"/>
        </w:rPr>
        <w:t xml:space="preserve">The safety evaluable PD-L1-positive patients represent the subset of the safety evaluable population who were PD-L1-positive. </w:t>
      </w:r>
      <w:r w:rsidR="00EA35CA" w:rsidRPr="008D797E">
        <w:rPr>
          <w:rFonts w:ascii="Arial Narrow" w:hAnsi="Arial Narrow"/>
          <w:snapToGrid w:val="0"/>
          <w:sz w:val="18"/>
          <w:szCs w:val="22"/>
        </w:rPr>
        <w:t xml:space="preserve">Relative risks and 95% confidence intervals for relative risks were calculated </w:t>
      </w:r>
      <w:r w:rsidR="0036387E" w:rsidRPr="008D797E">
        <w:rPr>
          <w:rFonts w:ascii="Arial Narrow" w:hAnsi="Arial Narrow"/>
          <w:snapToGrid w:val="0"/>
          <w:sz w:val="18"/>
          <w:szCs w:val="22"/>
        </w:rPr>
        <w:t xml:space="preserve">during the evaluation </w:t>
      </w:r>
      <w:r w:rsidR="00EA35CA" w:rsidRPr="008D797E">
        <w:rPr>
          <w:rFonts w:ascii="Arial Narrow" w:hAnsi="Arial Narrow"/>
          <w:snapToGrid w:val="0"/>
          <w:sz w:val="18"/>
          <w:szCs w:val="22"/>
        </w:rPr>
        <w:t>using the Normal approximation to the binomial distribution.</w:t>
      </w:r>
      <w:r w:rsidRPr="008D797E">
        <w:rPr>
          <w:rFonts w:ascii="Arial Narrow" w:hAnsi="Arial Narrow"/>
          <w:snapToGrid w:val="0"/>
          <w:sz w:val="18"/>
          <w:szCs w:val="22"/>
        </w:rPr>
        <w:t xml:space="preserve"> </w:t>
      </w:r>
      <w:r w:rsidR="001E4680" w:rsidRPr="008D797E">
        <w:rPr>
          <w:rFonts w:ascii="Arial Narrow" w:hAnsi="Arial Narrow"/>
          <w:bCs/>
          <w:snapToGrid w:val="0"/>
          <w:sz w:val="18"/>
          <w:szCs w:val="22"/>
        </w:rPr>
        <w:t>Nominally statistically significant relative risks are bolded.</w:t>
      </w:r>
    </w:p>
    <w:p w:rsidR="00D43F0E" w:rsidRPr="008D797E" w:rsidRDefault="00D43F0E" w:rsidP="00EA35CA">
      <w:pPr>
        <w:spacing w:after="120"/>
        <w:contextualSpacing/>
        <w:jc w:val="left"/>
        <w:rPr>
          <w:rFonts w:ascii="Arial Narrow" w:hAnsi="Arial Narrow"/>
          <w:b/>
          <w:bCs/>
          <w:snapToGrid w:val="0"/>
          <w:sz w:val="18"/>
          <w:szCs w:val="22"/>
        </w:rPr>
      </w:pPr>
      <w:r w:rsidRPr="008D797E">
        <w:rPr>
          <w:rFonts w:ascii="Arial Narrow" w:hAnsi="Arial Narrow"/>
          <w:snapToGrid w:val="0"/>
          <w:sz w:val="18"/>
          <w:szCs w:val="22"/>
        </w:rPr>
        <w:t>Blue shading indicates data previously seen by the PBAC.</w:t>
      </w:r>
    </w:p>
    <w:p w:rsidR="00EA35CA" w:rsidRPr="008D797E" w:rsidRDefault="00EA35CA" w:rsidP="00EA35CA">
      <w:pPr>
        <w:spacing w:after="120"/>
        <w:contextualSpacing/>
        <w:rPr>
          <w:rFonts w:ascii="Arial Narrow" w:hAnsi="Arial Narrow"/>
          <w:snapToGrid w:val="0"/>
          <w:sz w:val="18"/>
          <w:szCs w:val="22"/>
        </w:rPr>
      </w:pPr>
    </w:p>
    <w:p w:rsidR="00EA35CA" w:rsidRPr="008D797E" w:rsidRDefault="00EA35CA" w:rsidP="00F172BC">
      <w:pPr>
        <w:pStyle w:val="4-SubsectionHeading"/>
      </w:pPr>
      <w:bookmarkStart w:id="34" w:name="_Toc61965001"/>
      <w:r w:rsidRPr="008D797E">
        <w:t>Benefits/harms</w:t>
      </w:r>
      <w:bookmarkEnd w:id="31"/>
      <w:bookmarkEnd w:id="32"/>
      <w:bookmarkEnd w:id="34"/>
    </w:p>
    <w:p w:rsidR="00EA35CA" w:rsidRPr="008D797E" w:rsidRDefault="00EA35CA" w:rsidP="00EA35CA">
      <w:pPr>
        <w:numPr>
          <w:ilvl w:val="1"/>
          <w:numId w:val="1"/>
        </w:numPr>
        <w:spacing w:after="120"/>
        <w:rPr>
          <w:rFonts w:asciiTheme="minorHAnsi" w:hAnsiTheme="minorHAnsi"/>
          <w:snapToGrid w:val="0"/>
        </w:rPr>
      </w:pPr>
      <w:bookmarkStart w:id="35" w:name="_Toc22897644"/>
      <w:bookmarkStart w:id="36" w:name="_Toc58854762"/>
      <w:r w:rsidRPr="008D797E">
        <w:rPr>
          <w:rFonts w:asciiTheme="minorHAnsi" w:hAnsiTheme="minorHAnsi"/>
          <w:snapToGrid w:val="0"/>
        </w:rPr>
        <w:t xml:space="preserve">A summary of the comparative benefits and harms for ATZ+nab-P versus PBO+nab-P is presented in the table below. </w:t>
      </w:r>
    </w:p>
    <w:p w:rsidR="00EA35CA" w:rsidRPr="008D797E" w:rsidRDefault="00EA35CA" w:rsidP="00EA35CA">
      <w:pPr>
        <w:keepNext/>
        <w:jc w:val="left"/>
        <w:rPr>
          <w:rFonts w:ascii="Arial Narrow" w:eastAsiaTheme="majorEastAsia" w:hAnsi="Arial Narrow" w:cstheme="majorBidi"/>
          <w:b/>
          <w:bCs/>
          <w:sz w:val="20"/>
        </w:rPr>
      </w:pPr>
      <w:r w:rsidRPr="008D797E">
        <w:rPr>
          <w:rFonts w:ascii="Arial Narrow" w:eastAsiaTheme="majorEastAsia" w:hAnsi="Arial Narrow" w:cstheme="majorBidi"/>
          <w:b/>
          <w:bCs/>
          <w:sz w:val="20"/>
        </w:rPr>
        <w:lastRenderedPageBreak/>
        <w:t xml:space="preserve">Table </w:t>
      </w:r>
      <w:r w:rsidR="00232E9D" w:rsidRPr="006E5C4D">
        <w:rPr>
          <w:rFonts w:ascii="Arial Narrow" w:eastAsiaTheme="majorEastAsia" w:hAnsi="Arial Narrow" w:cstheme="majorBidi"/>
          <w:b/>
          <w:bCs/>
          <w:sz w:val="20"/>
        </w:rPr>
        <w:t>10</w:t>
      </w:r>
      <w:r w:rsidRPr="008D797E">
        <w:rPr>
          <w:rFonts w:ascii="Arial Narrow" w:eastAsiaTheme="majorEastAsia" w:hAnsi="Arial Narrow" w:cstheme="majorBidi"/>
          <w:b/>
          <w:bCs/>
          <w:sz w:val="20"/>
        </w:rPr>
        <w:t>: Summary of comparative benefits and harms for ATZ+nab-P and PBO+nab-P, IMpassion130 at final analysis (CCOD 14 April 2020)</w:t>
      </w:r>
    </w:p>
    <w:tbl>
      <w:tblPr>
        <w:tblStyle w:val="ASDTable1"/>
        <w:tblW w:w="5000" w:type="pct"/>
        <w:shd w:val="clear" w:color="auto" w:fill="FFFFFF" w:themeFill="background1"/>
        <w:tblLayout w:type="fixed"/>
        <w:tblCellMar>
          <w:left w:w="28" w:type="dxa"/>
          <w:right w:w="28" w:type="dxa"/>
        </w:tblCellMar>
        <w:tblLook w:val="04A0" w:firstRow="1" w:lastRow="0" w:firstColumn="1" w:lastColumn="0" w:noHBand="0" w:noVBand="1"/>
        <w:tblCaption w:val="Table 10: Summary of comparative benefits and harms for ATZ+nab-P and PBO+nab-P, IMpassion130 at final analysis (CCOD 14 April 2020)"/>
      </w:tblPr>
      <w:tblGrid>
        <w:gridCol w:w="2459"/>
        <w:gridCol w:w="1541"/>
        <w:gridCol w:w="1654"/>
        <w:gridCol w:w="1773"/>
        <w:gridCol w:w="1589"/>
      </w:tblGrid>
      <w:tr w:rsidR="000D73F8" w:rsidRPr="008D797E" w:rsidTr="007316BD">
        <w:trPr>
          <w:trHeight w:val="20"/>
          <w:tblHeader/>
        </w:trPr>
        <w:tc>
          <w:tcPr>
            <w:tcW w:w="1364" w:type="pct"/>
            <w:tcBorders>
              <w:bottom w:val="single" w:sz="4" w:space="0" w:color="auto"/>
            </w:tcBorders>
            <w:shd w:val="clear" w:color="auto" w:fill="FFFFFF" w:themeFill="background1"/>
          </w:tcPr>
          <w:p w:rsidR="000D73F8" w:rsidRPr="006E5C4D" w:rsidRDefault="000D73F8" w:rsidP="00901550">
            <w:pPr>
              <w:keepNext/>
              <w:jc w:val="left"/>
              <w:rPr>
                <w:rFonts w:ascii="Arial Narrow" w:eastAsia="MS Gothic" w:hAnsi="Arial Narrow"/>
                <w:b/>
                <w:sz w:val="20"/>
              </w:rPr>
            </w:pPr>
            <w:r w:rsidRPr="006E5C4D">
              <w:rPr>
                <w:rFonts w:ascii="Arial Narrow" w:eastAsia="MS Gothic" w:hAnsi="Arial Narrow"/>
                <w:b/>
                <w:sz w:val="20"/>
              </w:rPr>
              <w:t>Event</w:t>
            </w:r>
          </w:p>
        </w:tc>
        <w:tc>
          <w:tcPr>
            <w:tcW w:w="855" w:type="pct"/>
            <w:tcBorders>
              <w:bottom w:val="single" w:sz="4" w:space="0" w:color="auto"/>
            </w:tcBorders>
            <w:shd w:val="clear" w:color="auto" w:fill="FFFFFF" w:themeFill="background1"/>
          </w:tcPr>
          <w:p w:rsidR="000D73F8" w:rsidRPr="006E5C4D" w:rsidRDefault="000D73F8" w:rsidP="00901550">
            <w:pPr>
              <w:keepNext/>
              <w:jc w:val="center"/>
              <w:rPr>
                <w:rFonts w:ascii="Arial Narrow" w:eastAsia="MS Gothic" w:hAnsi="Arial Narrow"/>
                <w:b/>
                <w:sz w:val="20"/>
              </w:rPr>
            </w:pPr>
            <w:r w:rsidRPr="006E5C4D">
              <w:rPr>
                <w:rFonts w:ascii="Arial Narrow" w:eastAsia="MS Gothic" w:hAnsi="Arial Narrow"/>
                <w:b/>
                <w:sz w:val="20"/>
              </w:rPr>
              <w:t>ATZ+nab-P</w:t>
            </w:r>
          </w:p>
        </w:tc>
        <w:tc>
          <w:tcPr>
            <w:tcW w:w="917" w:type="pct"/>
            <w:tcBorders>
              <w:bottom w:val="single" w:sz="4" w:space="0" w:color="auto"/>
            </w:tcBorders>
            <w:shd w:val="clear" w:color="auto" w:fill="FFFFFF" w:themeFill="background1"/>
          </w:tcPr>
          <w:p w:rsidR="000D73F8" w:rsidRPr="006E5C4D" w:rsidRDefault="000D73F8" w:rsidP="00901550">
            <w:pPr>
              <w:keepNext/>
              <w:jc w:val="center"/>
              <w:rPr>
                <w:rFonts w:ascii="Arial Narrow" w:eastAsia="MS Gothic" w:hAnsi="Arial Narrow"/>
                <w:b/>
                <w:sz w:val="20"/>
              </w:rPr>
            </w:pPr>
            <w:r w:rsidRPr="006E5C4D">
              <w:rPr>
                <w:rFonts w:ascii="Arial Narrow" w:eastAsia="MS Gothic" w:hAnsi="Arial Narrow"/>
                <w:b/>
                <w:sz w:val="20"/>
              </w:rPr>
              <w:t>PBO+nab-P</w:t>
            </w:r>
          </w:p>
        </w:tc>
        <w:tc>
          <w:tcPr>
            <w:tcW w:w="983" w:type="pct"/>
            <w:tcBorders>
              <w:bottom w:val="single" w:sz="4" w:space="0" w:color="auto"/>
            </w:tcBorders>
            <w:shd w:val="clear" w:color="auto" w:fill="FFFFFF" w:themeFill="background1"/>
          </w:tcPr>
          <w:p w:rsidR="000D73F8" w:rsidRPr="006E5C4D" w:rsidRDefault="000D73F8" w:rsidP="00901550">
            <w:pPr>
              <w:keepNext/>
              <w:jc w:val="center"/>
              <w:rPr>
                <w:rFonts w:eastAsia="MS Gothic"/>
                <w:b/>
                <w:sz w:val="20"/>
              </w:rPr>
            </w:pPr>
            <w:r w:rsidRPr="006E5C4D">
              <w:rPr>
                <w:rFonts w:ascii="Arial Narrow" w:eastAsia="MS Gothic" w:hAnsi="Arial Narrow"/>
                <w:b/>
                <w:sz w:val="20"/>
              </w:rPr>
              <w:t>Absolute difference</w:t>
            </w:r>
          </w:p>
        </w:tc>
        <w:tc>
          <w:tcPr>
            <w:tcW w:w="881" w:type="pct"/>
            <w:tcBorders>
              <w:bottom w:val="single" w:sz="4" w:space="0" w:color="auto"/>
            </w:tcBorders>
            <w:shd w:val="clear" w:color="auto" w:fill="FFFFFF" w:themeFill="background1"/>
          </w:tcPr>
          <w:p w:rsidR="000D73F8" w:rsidRPr="006E5C4D" w:rsidRDefault="000D73F8" w:rsidP="000B72C6">
            <w:pPr>
              <w:keepNext/>
              <w:jc w:val="center"/>
              <w:rPr>
                <w:rFonts w:ascii="Arial Narrow" w:eastAsia="MS Gothic" w:hAnsi="Arial Narrow"/>
                <w:b/>
                <w:sz w:val="20"/>
                <w:vertAlign w:val="superscript"/>
              </w:rPr>
            </w:pPr>
            <w:r w:rsidRPr="006E5C4D">
              <w:rPr>
                <w:rFonts w:ascii="Arial Narrow" w:eastAsia="MS Gothic" w:hAnsi="Arial Narrow"/>
                <w:b/>
                <w:sz w:val="20"/>
              </w:rPr>
              <w:t>HR (95% CI)</w:t>
            </w:r>
          </w:p>
        </w:tc>
      </w:tr>
      <w:tr w:rsidR="000D73F8" w:rsidRPr="008D797E" w:rsidTr="000B72C6">
        <w:trPr>
          <w:trHeight w:val="20"/>
        </w:trPr>
        <w:tc>
          <w:tcPr>
            <w:tcW w:w="5000" w:type="pct"/>
            <w:gridSpan w:val="5"/>
            <w:tcBorders>
              <w:bottom w:val="single" w:sz="4" w:space="0" w:color="auto"/>
            </w:tcBorders>
            <w:shd w:val="clear" w:color="auto" w:fill="FFFFFF" w:themeFill="background1"/>
            <w:vAlign w:val="center"/>
          </w:tcPr>
          <w:p w:rsidR="000D73F8" w:rsidRPr="006E5C4D" w:rsidRDefault="000D73F8" w:rsidP="00901550">
            <w:pPr>
              <w:keepNext/>
              <w:jc w:val="left"/>
              <w:rPr>
                <w:rFonts w:ascii="Arial Narrow" w:eastAsia="MS Gothic" w:hAnsi="Arial Narrow"/>
                <w:b/>
                <w:sz w:val="20"/>
              </w:rPr>
            </w:pPr>
            <w:r w:rsidRPr="006E5C4D">
              <w:rPr>
                <w:rFonts w:ascii="Arial Narrow" w:eastAsia="MS Gothic" w:hAnsi="Arial Narrow"/>
                <w:b/>
                <w:sz w:val="20"/>
              </w:rPr>
              <w:t xml:space="preserve">Progression free survival, </w:t>
            </w:r>
            <w:r w:rsidR="00CD3CCD" w:rsidRPr="006E5C4D">
              <w:rPr>
                <w:rFonts w:ascii="Arial Narrow" w:eastAsia="MS Gothic" w:hAnsi="Arial Narrow"/>
                <w:b/>
                <w:sz w:val="20"/>
              </w:rPr>
              <w:t>PD-L1-positive</w:t>
            </w:r>
            <w:r w:rsidRPr="006E5C4D">
              <w:rPr>
                <w:rFonts w:ascii="Arial Narrow" w:eastAsia="MS Gothic" w:hAnsi="Arial Narrow"/>
                <w:b/>
                <w:sz w:val="20"/>
              </w:rPr>
              <w:t xml:space="preserve"> population (median duration of follow up 21.9 months)</w:t>
            </w:r>
          </w:p>
        </w:tc>
      </w:tr>
      <w:tr w:rsidR="000D73F8" w:rsidRPr="008D797E" w:rsidTr="000B72C6">
        <w:trPr>
          <w:trHeight w:val="20"/>
        </w:trPr>
        <w:tc>
          <w:tcPr>
            <w:tcW w:w="1364" w:type="pct"/>
            <w:tcBorders>
              <w:bottom w:val="single" w:sz="4" w:space="0" w:color="auto"/>
              <w:right w:val="single" w:sz="4" w:space="0" w:color="auto"/>
            </w:tcBorders>
            <w:shd w:val="clear" w:color="auto" w:fill="FFFFFF" w:themeFill="background1"/>
          </w:tcPr>
          <w:p w:rsidR="000D73F8" w:rsidRPr="008D797E" w:rsidRDefault="000D73F8" w:rsidP="00901550">
            <w:pPr>
              <w:keepNext/>
              <w:keepLines/>
              <w:widowControl w:val="0"/>
              <w:jc w:val="left"/>
              <w:rPr>
                <w:rFonts w:ascii="Arial Narrow" w:eastAsia="MS Gothic" w:hAnsi="Arial Narrow"/>
                <w:bCs/>
                <w:sz w:val="20"/>
              </w:rPr>
            </w:pPr>
            <w:r w:rsidRPr="008D797E">
              <w:rPr>
                <w:rFonts w:ascii="Arial Narrow" w:eastAsia="MS Gothic" w:hAnsi="Arial Narrow"/>
                <w:bCs/>
                <w:sz w:val="20"/>
              </w:rPr>
              <w:t>Progressed, n (%)</w:t>
            </w:r>
          </w:p>
        </w:tc>
        <w:tc>
          <w:tcPr>
            <w:tcW w:w="855" w:type="pct"/>
            <w:tcBorders>
              <w:left w:val="single" w:sz="4" w:space="0" w:color="auto"/>
              <w:bottom w:val="single" w:sz="4" w:space="0" w:color="auto"/>
              <w:right w:val="single" w:sz="4" w:space="0" w:color="auto"/>
            </w:tcBorders>
            <w:shd w:val="clear" w:color="auto" w:fill="FFFFFF" w:themeFill="background1"/>
            <w:vAlign w:val="center"/>
          </w:tcPr>
          <w:p w:rsidR="000D73F8" w:rsidRPr="008D797E" w:rsidRDefault="000D73F8" w:rsidP="00901550">
            <w:pPr>
              <w:keepNext/>
              <w:jc w:val="center"/>
              <w:rPr>
                <w:rFonts w:ascii="Arial Narrow" w:eastAsia="MS Gothic" w:hAnsi="Arial Narrow"/>
                <w:bCs/>
                <w:sz w:val="20"/>
              </w:rPr>
            </w:pPr>
            <w:r w:rsidRPr="008D797E">
              <w:rPr>
                <w:rFonts w:ascii="Arial Narrow" w:eastAsia="MS Gothic" w:hAnsi="Arial Narrow"/>
                <w:bCs/>
                <w:sz w:val="20"/>
              </w:rPr>
              <w:t xml:space="preserve">154/185 </w:t>
            </w:r>
          </w:p>
          <w:p w:rsidR="000D73F8" w:rsidRPr="008D797E" w:rsidRDefault="000D73F8" w:rsidP="00901550">
            <w:pPr>
              <w:keepNext/>
              <w:keepLines/>
              <w:widowControl w:val="0"/>
              <w:jc w:val="center"/>
              <w:rPr>
                <w:rFonts w:ascii="Arial Narrow" w:eastAsia="MS Gothic" w:hAnsi="Arial Narrow"/>
                <w:bCs/>
                <w:sz w:val="20"/>
              </w:rPr>
            </w:pPr>
            <w:r w:rsidRPr="008D797E">
              <w:rPr>
                <w:rFonts w:ascii="Arial Narrow" w:eastAsia="MS Gothic" w:hAnsi="Arial Narrow"/>
                <w:bCs/>
                <w:sz w:val="20"/>
              </w:rPr>
              <w:t>(83.2%)</w:t>
            </w:r>
          </w:p>
        </w:tc>
        <w:tc>
          <w:tcPr>
            <w:tcW w:w="917" w:type="pct"/>
            <w:tcBorders>
              <w:left w:val="single" w:sz="4" w:space="0" w:color="auto"/>
              <w:bottom w:val="single" w:sz="4" w:space="0" w:color="auto"/>
              <w:right w:val="single" w:sz="4" w:space="0" w:color="auto"/>
            </w:tcBorders>
            <w:shd w:val="clear" w:color="auto" w:fill="FFFFFF" w:themeFill="background1"/>
            <w:vAlign w:val="center"/>
          </w:tcPr>
          <w:p w:rsidR="000D73F8" w:rsidRPr="008D797E" w:rsidRDefault="000D73F8" w:rsidP="00901550">
            <w:pPr>
              <w:keepNext/>
              <w:jc w:val="center"/>
              <w:rPr>
                <w:rFonts w:ascii="Arial Narrow" w:eastAsia="MS Gothic" w:hAnsi="Arial Narrow"/>
                <w:bCs/>
                <w:sz w:val="20"/>
              </w:rPr>
            </w:pPr>
            <w:r w:rsidRPr="008D797E">
              <w:rPr>
                <w:rFonts w:ascii="Arial Narrow" w:eastAsia="MS Gothic" w:hAnsi="Arial Narrow"/>
                <w:bCs/>
                <w:sz w:val="20"/>
              </w:rPr>
              <w:t xml:space="preserve">167/184 </w:t>
            </w:r>
          </w:p>
          <w:p w:rsidR="000D73F8" w:rsidRPr="008D797E" w:rsidRDefault="000D73F8" w:rsidP="00901550">
            <w:pPr>
              <w:keepNext/>
              <w:keepLines/>
              <w:widowControl w:val="0"/>
              <w:jc w:val="center"/>
              <w:rPr>
                <w:rFonts w:ascii="Arial Narrow" w:eastAsia="MS Gothic" w:hAnsi="Arial Narrow"/>
                <w:bCs/>
                <w:sz w:val="20"/>
              </w:rPr>
            </w:pPr>
            <w:r w:rsidRPr="008D797E">
              <w:rPr>
                <w:rFonts w:ascii="Arial Narrow" w:eastAsia="MS Gothic" w:hAnsi="Arial Narrow"/>
                <w:bCs/>
                <w:sz w:val="20"/>
              </w:rPr>
              <w:t>(90.8%)</w:t>
            </w:r>
          </w:p>
        </w:tc>
        <w:tc>
          <w:tcPr>
            <w:tcW w:w="983" w:type="pct"/>
            <w:tcBorders>
              <w:left w:val="single" w:sz="4" w:space="0" w:color="auto"/>
              <w:bottom w:val="single" w:sz="4" w:space="0" w:color="auto"/>
              <w:right w:val="single" w:sz="4" w:space="0" w:color="auto"/>
            </w:tcBorders>
            <w:shd w:val="clear" w:color="auto" w:fill="FFFFFF" w:themeFill="background1"/>
          </w:tcPr>
          <w:p w:rsidR="000D73F8" w:rsidRPr="008D797E" w:rsidRDefault="000D73F8" w:rsidP="00901550">
            <w:pPr>
              <w:keepNext/>
              <w:keepLines/>
              <w:widowControl w:val="0"/>
              <w:jc w:val="center"/>
              <w:rPr>
                <w:rFonts w:ascii="Arial Narrow" w:eastAsia="MS Gothic" w:hAnsi="Arial Narrow"/>
                <w:bCs/>
                <w:sz w:val="20"/>
              </w:rPr>
            </w:pPr>
          </w:p>
        </w:tc>
        <w:tc>
          <w:tcPr>
            <w:tcW w:w="881" w:type="pct"/>
            <w:tcBorders>
              <w:left w:val="single" w:sz="4" w:space="0" w:color="auto"/>
              <w:bottom w:val="nil"/>
            </w:tcBorders>
            <w:shd w:val="clear" w:color="auto" w:fill="FFFFFF" w:themeFill="background1"/>
          </w:tcPr>
          <w:p w:rsidR="000D73F8" w:rsidRPr="008D797E" w:rsidRDefault="000D73F8" w:rsidP="00901550">
            <w:pPr>
              <w:keepNext/>
              <w:keepLines/>
              <w:widowControl w:val="0"/>
              <w:jc w:val="center"/>
              <w:rPr>
                <w:rFonts w:ascii="Arial Narrow" w:eastAsia="MS Gothic" w:hAnsi="Arial Narrow"/>
                <w:b/>
                <w:bCs/>
                <w:sz w:val="20"/>
              </w:rPr>
            </w:pPr>
            <w:r w:rsidRPr="008D797E">
              <w:rPr>
                <w:rFonts w:ascii="Arial Narrow" w:eastAsia="MS Gothic" w:hAnsi="Arial Narrow"/>
                <w:b/>
                <w:bCs/>
                <w:sz w:val="20"/>
              </w:rPr>
              <w:t>0.63 (0.50, 0.79)</w:t>
            </w:r>
          </w:p>
          <w:p w:rsidR="000D73F8" w:rsidRPr="008D797E" w:rsidRDefault="000D73F8" w:rsidP="00901550">
            <w:pPr>
              <w:keepNext/>
              <w:keepLines/>
              <w:widowControl w:val="0"/>
              <w:jc w:val="center"/>
              <w:rPr>
                <w:rFonts w:ascii="Arial Narrow" w:eastAsia="MS Gothic" w:hAnsi="Arial Narrow"/>
                <w:bCs/>
                <w:sz w:val="20"/>
              </w:rPr>
            </w:pPr>
            <w:r w:rsidRPr="008D797E">
              <w:rPr>
                <w:rFonts w:ascii="Arial Narrow" w:eastAsia="MS Gothic" w:hAnsi="Arial Narrow"/>
                <w:bCs/>
                <w:sz w:val="20"/>
              </w:rPr>
              <w:t>P=&lt;0.0001</w:t>
            </w:r>
          </w:p>
        </w:tc>
      </w:tr>
      <w:tr w:rsidR="000D73F8" w:rsidRPr="008D797E" w:rsidTr="000B72C6">
        <w:trPr>
          <w:trHeight w:val="20"/>
        </w:trPr>
        <w:tc>
          <w:tcPr>
            <w:tcW w:w="1364" w:type="pct"/>
            <w:tcBorders>
              <w:bottom w:val="single" w:sz="4" w:space="0" w:color="auto"/>
              <w:right w:val="single" w:sz="4" w:space="0" w:color="auto"/>
            </w:tcBorders>
            <w:shd w:val="clear" w:color="auto" w:fill="FFFFFF" w:themeFill="background1"/>
          </w:tcPr>
          <w:p w:rsidR="000D73F8" w:rsidRPr="008D797E" w:rsidRDefault="000D73F8" w:rsidP="00901550">
            <w:pPr>
              <w:keepNext/>
              <w:keepLines/>
              <w:widowControl w:val="0"/>
              <w:jc w:val="left"/>
              <w:rPr>
                <w:rFonts w:ascii="Arial Narrow" w:eastAsia="MS Gothic" w:hAnsi="Arial Narrow"/>
                <w:bCs/>
                <w:sz w:val="20"/>
              </w:rPr>
            </w:pPr>
            <w:r w:rsidRPr="008D797E">
              <w:rPr>
                <w:rFonts w:ascii="Arial Narrow" w:eastAsia="MS Gothic" w:hAnsi="Arial Narrow"/>
                <w:bCs/>
                <w:sz w:val="20"/>
              </w:rPr>
              <w:t>Median PFS, months (95% CI)</w:t>
            </w:r>
          </w:p>
        </w:tc>
        <w:tc>
          <w:tcPr>
            <w:tcW w:w="855" w:type="pct"/>
            <w:tcBorders>
              <w:left w:val="single" w:sz="4" w:space="0" w:color="auto"/>
              <w:bottom w:val="single" w:sz="4" w:space="0" w:color="auto"/>
              <w:right w:val="single" w:sz="4" w:space="0" w:color="auto"/>
            </w:tcBorders>
            <w:shd w:val="clear" w:color="auto" w:fill="FFFFFF" w:themeFill="background1"/>
            <w:vAlign w:val="center"/>
          </w:tcPr>
          <w:p w:rsidR="000D73F8" w:rsidRPr="008D797E" w:rsidRDefault="000D73F8" w:rsidP="00901550">
            <w:pPr>
              <w:keepNext/>
              <w:jc w:val="center"/>
              <w:rPr>
                <w:rFonts w:ascii="Arial Narrow" w:eastAsia="MS Gothic" w:hAnsi="Arial Narrow"/>
                <w:sz w:val="20"/>
              </w:rPr>
            </w:pPr>
            <w:r w:rsidRPr="008D797E">
              <w:rPr>
                <w:rFonts w:ascii="Arial Narrow" w:eastAsia="MS Gothic" w:hAnsi="Arial Narrow"/>
                <w:sz w:val="20"/>
              </w:rPr>
              <w:t>7.46</w:t>
            </w:r>
          </w:p>
          <w:p w:rsidR="000D73F8" w:rsidRPr="008D797E" w:rsidRDefault="000D73F8" w:rsidP="00901550">
            <w:pPr>
              <w:keepNext/>
              <w:keepLines/>
              <w:widowControl w:val="0"/>
              <w:jc w:val="center"/>
              <w:rPr>
                <w:rFonts w:ascii="Arial Narrow" w:eastAsia="MS Gothic" w:hAnsi="Arial Narrow"/>
                <w:bCs/>
                <w:sz w:val="20"/>
              </w:rPr>
            </w:pPr>
            <w:r w:rsidRPr="008D797E">
              <w:rPr>
                <w:rFonts w:ascii="Arial Narrow" w:eastAsia="MS Gothic" w:hAnsi="Arial Narrow"/>
                <w:sz w:val="20"/>
              </w:rPr>
              <w:t>(6.70, 9.23)</w:t>
            </w:r>
          </w:p>
        </w:tc>
        <w:tc>
          <w:tcPr>
            <w:tcW w:w="917" w:type="pct"/>
            <w:tcBorders>
              <w:left w:val="single" w:sz="4" w:space="0" w:color="auto"/>
              <w:bottom w:val="single" w:sz="4" w:space="0" w:color="auto"/>
              <w:right w:val="single" w:sz="4" w:space="0" w:color="auto"/>
            </w:tcBorders>
            <w:shd w:val="clear" w:color="auto" w:fill="FFFFFF" w:themeFill="background1"/>
            <w:vAlign w:val="center"/>
          </w:tcPr>
          <w:p w:rsidR="000D73F8" w:rsidRPr="008D797E" w:rsidRDefault="000D73F8" w:rsidP="00901550">
            <w:pPr>
              <w:keepNext/>
              <w:jc w:val="center"/>
              <w:rPr>
                <w:rFonts w:ascii="Arial Narrow" w:eastAsia="MS Gothic" w:hAnsi="Arial Narrow"/>
                <w:sz w:val="20"/>
              </w:rPr>
            </w:pPr>
            <w:r w:rsidRPr="008D797E">
              <w:rPr>
                <w:rFonts w:ascii="Arial Narrow" w:eastAsia="MS Gothic" w:hAnsi="Arial Narrow"/>
                <w:sz w:val="20"/>
              </w:rPr>
              <w:t>5.29</w:t>
            </w:r>
          </w:p>
          <w:p w:rsidR="000D73F8" w:rsidRPr="008D797E" w:rsidRDefault="000D73F8" w:rsidP="00901550">
            <w:pPr>
              <w:keepNext/>
              <w:keepLines/>
              <w:widowControl w:val="0"/>
              <w:jc w:val="center"/>
              <w:rPr>
                <w:rFonts w:ascii="Arial Narrow" w:eastAsia="MS Gothic" w:hAnsi="Arial Narrow"/>
                <w:bCs/>
                <w:sz w:val="20"/>
              </w:rPr>
            </w:pPr>
            <w:r w:rsidRPr="008D797E">
              <w:rPr>
                <w:rFonts w:ascii="Arial Narrow" w:eastAsia="MS Gothic" w:hAnsi="Arial Narrow"/>
                <w:sz w:val="20"/>
              </w:rPr>
              <w:t>(3.81, 5.55)</w:t>
            </w:r>
          </w:p>
        </w:tc>
        <w:tc>
          <w:tcPr>
            <w:tcW w:w="983" w:type="pct"/>
            <w:tcBorders>
              <w:left w:val="single" w:sz="4" w:space="0" w:color="auto"/>
              <w:bottom w:val="single" w:sz="4" w:space="0" w:color="auto"/>
              <w:right w:val="single" w:sz="4" w:space="0" w:color="auto"/>
            </w:tcBorders>
            <w:shd w:val="clear" w:color="auto" w:fill="FFFFFF" w:themeFill="background1"/>
          </w:tcPr>
          <w:p w:rsidR="000D73F8" w:rsidRPr="008D797E" w:rsidRDefault="000D73F8" w:rsidP="00901550">
            <w:pPr>
              <w:keepNext/>
              <w:keepLines/>
              <w:widowControl w:val="0"/>
              <w:jc w:val="center"/>
              <w:rPr>
                <w:rFonts w:ascii="Arial Narrow" w:eastAsia="MS Gothic" w:hAnsi="Arial Narrow"/>
                <w:bCs/>
                <w:sz w:val="20"/>
              </w:rPr>
            </w:pPr>
            <w:r w:rsidRPr="008D797E">
              <w:rPr>
                <w:rFonts w:ascii="Arial Narrow" w:eastAsia="MS Gothic" w:hAnsi="Arial Narrow"/>
                <w:bCs/>
                <w:sz w:val="20"/>
              </w:rPr>
              <w:t>2.17</w:t>
            </w:r>
          </w:p>
        </w:tc>
        <w:tc>
          <w:tcPr>
            <w:tcW w:w="881" w:type="pct"/>
            <w:tcBorders>
              <w:top w:val="nil"/>
              <w:left w:val="single" w:sz="4" w:space="0" w:color="auto"/>
              <w:bottom w:val="nil"/>
            </w:tcBorders>
            <w:shd w:val="clear" w:color="auto" w:fill="FFFFFF" w:themeFill="background1"/>
          </w:tcPr>
          <w:p w:rsidR="000D73F8" w:rsidRPr="008D797E" w:rsidRDefault="000D73F8" w:rsidP="00901550">
            <w:pPr>
              <w:keepNext/>
              <w:keepLines/>
              <w:widowControl w:val="0"/>
              <w:jc w:val="center"/>
              <w:rPr>
                <w:rFonts w:ascii="Arial Narrow" w:eastAsia="MS Gothic" w:hAnsi="Arial Narrow"/>
                <w:bCs/>
                <w:sz w:val="20"/>
              </w:rPr>
            </w:pPr>
          </w:p>
        </w:tc>
      </w:tr>
      <w:tr w:rsidR="000D73F8" w:rsidRPr="008D797E" w:rsidTr="000B72C6">
        <w:trPr>
          <w:trHeight w:val="20"/>
        </w:trPr>
        <w:tc>
          <w:tcPr>
            <w:tcW w:w="1364" w:type="pct"/>
            <w:tcBorders>
              <w:top w:val="single" w:sz="4" w:space="0" w:color="auto"/>
              <w:bottom w:val="single" w:sz="4" w:space="0" w:color="auto"/>
              <w:right w:val="single" w:sz="4" w:space="0" w:color="auto"/>
            </w:tcBorders>
            <w:shd w:val="clear" w:color="auto" w:fill="FFFFFF" w:themeFill="background1"/>
          </w:tcPr>
          <w:p w:rsidR="000D73F8" w:rsidRPr="008D797E" w:rsidRDefault="000D73F8" w:rsidP="00901550">
            <w:pPr>
              <w:keepNext/>
              <w:keepLines/>
              <w:widowControl w:val="0"/>
              <w:jc w:val="left"/>
              <w:rPr>
                <w:rFonts w:ascii="Arial Narrow" w:eastAsia="MS Gothic" w:hAnsi="Arial Narrow"/>
                <w:bCs/>
                <w:sz w:val="20"/>
              </w:rPr>
            </w:pPr>
            <w:r w:rsidRPr="008D797E">
              <w:rPr>
                <w:rFonts w:ascii="Arial Narrow" w:eastAsia="MS Gothic" w:hAnsi="Arial Narrow"/>
                <w:bCs/>
                <w:sz w:val="20"/>
              </w:rPr>
              <w:t>% not progressed at 12 months (95% CI)</w:t>
            </w:r>
            <w:r w:rsidRPr="008D797E">
              <w:rPr>
                <w:rFonts w:ascii="Arial Narrow" w:eastAsia="MS Gothic" w:hAnsi="Arial Narrow"/>
                <w:bCs/>
                <w:sz w:val="20"/>
                <w:vertAlign w:val="superscript"/>
              </w:rPr>
              <w:t>a</w:t>
            </w:r>
          </w:p>
        </w:tc>
        <w:tc>
          <w:tcPr>
            <w:tcW w:w="8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73F8" w:rsidRPr="008D797E" w:rsidRDefault="000D73F8" w:rsidP="00901550">
            <w:pPr>
              <w:keepNext/>
              <w:jc w:val="center"/>
              <w:rPr>
                <w:rFonts w:ascii="Arial Narrow" w:eastAsia="MS Gothic" w:hAnsi="Arial Narrow"/>
                <w:sz w:val="20"/>
              </w:rPr>
            </w:pPr>
            <w:r w:rsidRPr="008D797E">
              <w:rPr>
                <w:rFonts w:ascii="Arial Narrow" w:eastAsia="MS Gothic" w:hAnsi="Arial Narrow"/>
                <w:sz w:val="20"/>
              </w:rPr>
              <w:t xml:space="preserve">30.77% </w:t>
            </w:r>
          </w:p>
          <w:p w:rsidR="000D73F8" w:rsidRPr="008D797E" w:rsidRDefault="000D73F8" w:rsidP="00901550">
            <w:pPr>
              <w:keepNext/>
              <w:keepLines/>
              <w:widowControl w:val="0"/>
              <w:jc w:val="center"/>
              <w:rPr>
                <w:rFonts w:ascii="Arial Narrow" w:eastAsia="MS Gothic" w:hAnsi="Arial Narrow"/>
                <w:bCs/>
                <w:sz w:val="20"/>
              </w:rPr>
            </w:pPr>
            <w:r w:rsidRPr="008D797E">
              <w:rPr>
                <w:rFonts w:ascii="Arial Narrow" w:eastAsia="MS Gothic" w:hAnsi="Arial Narrow"/>
                <w:sz w:val="20"/>
              </w:rPr>
              <w:t>(23.95, 37.59)</w:t>
            </w:r>
          </w:p>
        </w:tc>
        <w:tc>
          <w:tcPr>
            <w:tcW w:w="91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73F8" w:rsidRPr="008D797E" w:rsidRDefault="000D73F8" w:rsidP="00901550">
            <w:pPr>
              <w:keepNext/>
              <w:jc w:val="center"/>
              <w:rPr>
                <w:rFonts w:ascii="Arial Narrow" w:eastAsia="MS Gothic" w:hAnsi="Arial Narrow"/>
                <w:sz w:val="20"/>
              </w:rPr>
            </w:pPr>
            <w:r w:rsidRPr="008D797E">
              <w:rPr>
                <w:rFonts w:ascii="Arial Narrow" w:eastAsia="MS Gothic" w:hAnsi="Arial Narrow"/>
                <w:sz w:val="20"/>
              </w:rPr>
              <w:t>17.72%</w:t>
            </w:r>
          </w:p>
          <w:p w:rsidR="000D73F8" w:rsidRPr="008D797E" w:rsidRDefault="000D73F8" w:rsidP="00901550">
            <w:pPr>
              <w:keepNext/>
              <w:keepLines/>
              <w:widowControl w:val="0"/>
              <w:jc w:val="center"/>
              <w:rPr>
                <w:rFonts w:ascii="Arial Narrow" w:eastAsia="MS Gothic" w:hAnsi="Arial Narrow"/>
                <w:bCs/>
                <w:sz w:val="20"/>
              </w:rPr>
            </w:pPr>
            <w:r w:rsidRPr="008D797E">
              <w:rPr>
                <w:rFonts w:ascii="Arial Narrow" w:eastAsia="MS Gothic" w:hAnsi="Arial Narrow"/>
                <w:sz w:val="20"/>
              </w:rPr>
              <w:t>(12.08, 23.36)</w:t>
            </w:r>
          </w:p>
        </w:tc>
        <w:tc>
          <w:tcPr>
            <w:tcW w:w="983" w:type="pct"/>
            <w:tcBorders>
              <w:top w:val="single" w:sz="4" w:space="0" w:color="auto"/>
              <w:left w:val="single" w:sz="4" w:space="0" w:color="auto"/>
              <w:bottom w:val="single" w:sz="4" w:space="0" w:color="auto"/>
              <w:right w:val="single" w:sz="4" w:space="0" w:color="auto"/>
            </w:tcBorders>
            <w:shd w:val="clear" w:color="auto" w:fill="FFFFFF" w:themeFill="background1"/>
          </w:tcPr>
          <w:p w:rsidR="000D73F8" w:rsidRPr="008D797E" w:rsidRDefault="000D73F8" w:rsidP="00901550">
            <w:pPr>
              <w:keepNext/>
              <w:keepLines/>
              <w:widowControl w:val="0"/>
              <w:jc w:val="center"/>
              <w:rPr>
                <w:rFonts w:ascii="Arial Narrow" w:eastAsia="MS Gothic" w:hAnsi="Arial Narrow"/>
                <w:bCs/>
                <w:sz w:val="20"/>
              </w:rPr>
            </w:pPr>
            <w:r w:rsidRPr="008D797E">
              <w:rPr>
                <w:rFonts w:ascii="Arial Narrow" w:eastAsia="MS Gothic" w:hAnsi="Arial Narrow"/>
                <w:bCs/>
                <w:sz w:val="20"/>
              </w:rPr>
              <w:t>13.05%</w:t>
            </w:r>
          </w:p>
        </w:tc>
        <w:tc>
          <w:tcPr>
            <w:tcW w:w="881" w:type="pct"/>
            <w:tcBorders>
              <w:top w:val="nil"/>
              <w:left w:val="single" w:sz="4" w:space="0" w:color="auto"/>
              <w:bottom w:val="nil"/>
            </w:tcBorders>
            <w:shd w:val="clear" w:color="auto" w:fill="FFFFFF" w:themeFill="background1"/>
          </w:tcPr>
          <w:p w:rsidR="000D73F8" w:rsidRPr="008D797E" w:rsidRDefault="000D73F8" w:rsidP="00901550">
            <w:pPr>
              <w:keepNext/>
              <w:keepLines/>
              <w:widowControl w:val="0"/>
              <w:jc w:val="center"/>
              <w:rPr>
                <w:rFonts w:ascii="Arial Narrow" w:eastAsia="MS Gothic" w:hAnsi="Arial Narrow"/>
                <w:bCs/>
                <w:sz w:val="20"/>
              </w:rPr>
            </w:pPr>
          </w:p>
        </w:tc>
      </w:tr>
      <w:tr w:rsidR="000D73F8" w:rsidRPr="008D797E" w:rsidTr="000B72C6">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0D73F8" w:rsidRPr="008D797E" w:rsidRDefault="000D73F8" w:rsidP="00901550">
            <w:pPr>
              <w:keepNext/>
              <w:jc w:val="left"/>
              <w:rPr>
                <w:rFonts w:ascii="Arial Narrow" w:eastAsia="MS Gothic" w:hAnsi="Arial Narrow"/>
                <w:b/>
                <w:bCs/>
                <w:sz w:val="20"/>
              </w:rPr>
            </w:pPr>
            <w:r w:rsidRPr="008D797E">
              <w:rPr>
                <w:rFonts w:ascii="Arial Narrow" w:eastAsia="MS Gothic" w:hAnsi="Arial Narrow"/>
                <w:b/>
                <w:bCs/>
                <w:sz w:val="20"/>
              </w:rPr>
              <w:t xml:space="preserve">Overall survival, </w:t>
            </w:r>
            <w:r w:rsidR="00CD3CCD" w:rsidRPr="008D797E">
              <w:rPr>
                <w:rFonts w:ascii="Arial Narrow" w:eastAsia="MS Gothic" w:hAnsi="Arial Narrow"/>
                <w:b/>
                <w:bCs/>
                <w:sz w:val="20"/>
              </w:rPr>
              <w:t>PD-L1-positive</w:t>
            </w:r>
            <w:r w:rsidRPr="008D797E">
              <w:rPr>
                <w:rFonts w:ascii="Arial Narrow" w:eastAsia="MS Gothic" w:hAnsi="Arial Narrow"/>
                <w:b/>
                <w:bCs/>
                <w:sz w:val="20"/>
              </w:rPr>
              <w:t xml:space="preserve"> population (median duration of follow up 21.9 months)</w:t>
            </w:r>
          </w:p>
        </w:tc>
      </w:tr>
      <w:tr w:rsidR="000D73F8" w:rsidRPr="008D797E" w:rsidTr="000B72C6">
        <w:trPr>
          <w:trHeight w:val="20"/>
        </w:trPr>
        <w:tc>
          <w:tcPr>
            <w:tcW w:w="1364" w:type="pct"/>
            <w:tcBorders>
              <w:bottom w:val="single" w:sz="4" w:space="0" w:color="auto"/>
              <w:right w:val="single" w:sz="4" w:space="0" w:color="auto"/>
            </w:tcBorders>
            <w:shd w:val="clear" w:color="auto" w:fill="FFFFFF" w:themeFill="background1"/>
          </w:tcPr>
          <w:p w:rsidR="000D73F8" w:rsidRPr="008D797E" w:rsidRDefault="000D73F8" w:rsidP="00901550">
            <w:pPr>
              <w:keepNext/>
              <w:keepLines/>
              <w:widowControl w:val="0"/>
              <w:jc w:val="left"/>
              <w:rPr>
                <w:rFonts w:ascii="Arial Narrow" w:eastAsia="MS Gothic" w:hAnsi="Arial Narrow"/>
                <w:bCs/>
                <w:sz w:val="20"/>
              </w:rPr>
            </w:pPr>
            <w:r w:rsidRPr="008D797E">
              <w:rPr>
                <w:rFonts w:ascii="Arial Narrow" w:eastAsia="MS Gothic" w:hAnsi="Arial Narrow"/>
                <w:bCs/>
                <w:sz w:val="20"/>
              </w:rPr>
              <w:t>Death, n(%)</w:t>
            </w:r>
          </w:p>
        </w:tc>
        <w:tc>
          <w:tcPr>
            <w:tcW w:w="855" w:type="pct"/>
            <w:tcBorders>
              <w:left w:val="single" w:sz="4" w:space="0" w:color="auto"/>
              <w:bottom w:val="single" w:sz="4" w:space="0" w:color="auto"/>
              <w:right w:val="single" w:sz="4" w:space="0" w:color="auto"/>
            </w:tcBorders>
            <w:shd w:val="clear" w:color="auto" w:fill="FFFFFF" w:themeFill="background1"/>
            <w:vAlign w:val="center"/>
          </w:tcPr>
          <w:p w:rsidR="000D73F8" w:rsidRPr="008D797E" w:rsidRDefault="000D73F8" w:rsidP="00901550">
            <w:pPr>
              <w:keepNext/>
              <w:jc w:val="center"/>
              <w:rPr>
                <w:rFonts w:ascii="Arial Narrow" w:eastAsia="MS Gothic" w:hAnsi="Arial Narrow"/>
                <w:bCs/>
                <w:sz w:val="20"/>
              </w:rPr>
            </w:pPr>
            <w:r w:rsidRPr="008D797E">
              <w:rPr>
                <w:rFonts w:ascii="Arial Narrow" w:eastAsia="MS Gothic" w:hAnsi="Arial Narrow"/>
                <w:bCs/>
                <w:sz w:val="20"/>
              </w:rPr>
              <w:t xml:space="preserve">120/185 </w:t>
            </w:r>
          </w:p>
          <w:p w:rsidR="000D73F8" w:rsidRPr="008D797E" w:rsidRDefault="000D73F8" w:rsidP="00901550">
            <w:pPr>
              <w:keepNext/>
              <w:keepLines/>
              <w:widowControl w:val="0"/>
              <w:jc w:val="center"/>
              <w:rPr>
                <w:rFonts w:ascii="Arial Narrow" w:eastAsia="MS Gothic" w:hAnsi="Arial Narrow"/>
                <w:bCs/>
                <w:sz w:val="20"/>
              </w:rPr>
            </w:pPr>
            <w:r w:rsidRPr="008D797E">
              <w:rPr>
                <w:rFonts w:ascii="Arial Narrow" w:eastAsia="MS Gothic" w:hAnsi="Arial Narrow"/>
                <w:bCs/>
                <w:sz w:val="20"/>
              </w:rPr>
              <w:t>(64.9%)</w:t>
            </w:r>
          </w:p>
        </w:tc>
        <w:tc>
          <w:tcPr>
            <w:tcW w:w="917" w:type="pct"/>
            <w:tcBorders>
              <w:left w:val="single" w:sz="4" w:space="0" w:color="auto"/>
              <w:bottom w:val="single" w:sz="4" w:space="0" w:color="auto"/>
              <w:right w:val="single" w:sz="4" w:space="0" w:color="auto"/>
            </w:tcBorders>
            <w:shd w:val="clear" w:color="auto" w:fill="FFFFFF" w:themeFill="background1"/>
            <w:vAlign w:val="center"/>
          </w:tcPr>
          <w:p w:rsidR="000D73F8" w:rsidRPr="008D797E" w:rsidRDefault="000D73F8" w:rsidP="00901550">
            <w:pPr>
              <w:keepNext/>
              <w:jc w:val="center"/>
              <w:rPr>
                <w:rFonts w:ascii="Arial Narrow" w:eastAsia="MS Gothic" w:hAnsi="Arial Narrow"/>
                <w:bCs/>
                <w:sz w:val="20"/>
              </w:rPr>
            </w:pPr>
            <w:r w:rsidRPr="008D797E">
              <w:rPr>
                <w:rFonts w:ascii="Arial Narrow" w:eastAsia="MS Gothic" w:hAnsi="Arial Narrow"/>
                <w:bCs/>
                <w:sz w:val="20"/>
              </w:rPr>
              <w:t xml:space="preserve">139/184 </w:t>
            </w:r>
          </w:p>
          <w:p w:rsidR="000D73F8" w:rsidRPr="008D797E" w:rsidRDefault="000D73F8" w:rsidP="00901550">
            <w:pPr>
              <w:keepNext/>
              <w:keepLines/>
              <w:widowControl w:val="0"/>
              <w:jc w:val="center"/>
              <w:rPr>
                <w:rFonts w:ascii="Arial Narrow" w:eastAsia="MS Gothic" w:hAnsi="Arial Narrow"/>
                <w:bCs/>
                <w:sz w:val="20"/>
              </w:rPr>
            </w:pPr>
            <w:r w:rsidRPr="008D797E">
              <w:rPr>
                <w:rFonts w:ascii="Arial Narrow" w:eastAsia="MS Gothic" w:hAnsi="Arial Narrow"/>
                <w:bCs/>
                <w:sz w:val="20"/>
              </w:rPr>
              <w:t>(75.5%)</w:t>
            </w:r>
          </w:p>
        </w:tc>
        <w:tc>
          <w:tcPr>
            <w:tcW w:w="983" w:type="pct"/>
            <w:tcBorders>
              <w:left w:val="single" w:sz="4" w:space="0" w:color="auto"/>
              <w:bottom w:val="single" w:sz="4" w:space="0" w:color="auto"/>
              <w:right w:val="single" w:sz="4" w:space="0" w:color="auto"/>
            </w:tcBorders>
            <w:shd w:val="clear" w:color="auto" w:fill="FFFFFF" w:themeFill="background1"/>
          </w:tcPr>
          <w:p w:rsidR="000D73F8" w:rsidRPr="008D797E" w:rsidRDefault="000D73F8" w:rsidP="00901550">
            <w:pPr>
              <w:keepNext/>
              <w:keepLines/>
              <w:widowControl w:val="0"/>
              <w:jc w:val="center"/>
              <w:rPr>
                <w:rFonts w:ascii="Arial Narrow" w:eastAsia="MS Gothic" w:hAnsi="Arial Narrow"/>
                <w:bCs/>
                <w:sz w:val="20"/>
              </w:rPr>
            </w:pPr>
          </w:p>
        </w:tc>
        <w:tc>
          <w:tcPr>
            <w:tcW w:w="881" w:type="pct"/>
            <w:tcBorders>
              <w:left w:val="single" w:sz="4" w:space="0" w:color="auto"/>
              <w:bottom w:val="nil"/>
            </w:tcBorders>
            <w:shd w:val="clear" w:color="auto" w:fill="FFFFFF" w:themeFill="background1"/>
          </w:tcPr>
          <w:p w:rsidR="000D73F8" w:rsidRPr="008D797E" w:rsidRDefault="000D73F8" w:rsidP="00901550">
            <w:pPr>
              <w:keepNext/>
              <w:jc w:val="center"/>
              <w:rPr>
                <w:rFonts w:ascii="Arial Narrow" w:eastAsia="MS Gothic" w:hAnsi="Arial Narrow"/>
                <w:bCs/>
                <w:sz w:val="20"/>
              </w:rPr>
            </w:pPr>
            <w:r w:rsidRPr="008D797E">
              <w:rPr>
                <w:rFonts w:ascii="Arial Narrow" w:eastAsia="MS Gothic" w:hAnsi="Arial Narrow"/>
                <w:bCs/>
                <w:sz w:val="20"/>
              </w:rPr>
              <w:t>0.67 (0.53, 0.86)</w:t>
            </w:r>
          </w:p>
          <w:p w:rsidR="000D73F8" w:rsidRPr="008D797E" w:rsidRDefault="000D73F8" w:rsidP="000A0063">
            <w:pPr>
              <w:keepNext/>
              <w:keepLines/>
              <w:widowControl w:val="0"/>
              <w:jc w:val="center"/>
              <w:rPr>
                <w:rFonts w:ascii="Arial Narrow" w:eastAsia="MS Gothic" w:hAnsi="Arial Narrow"/>
                <w:bCs/>
                <w:sz w:val="20"/>
                <w:vertAlign w:val="superscript"/>
              </w:rPr>
            </w:pPr>
            <w:r w:rsidRPr="008D797E">
              <w:rPr>
                <w:rFonts w:ascii="Arial Narrow" w:eastAsia="MS Gothic" w:hAnsi="Arial Narrow"/>
                <w:bCs/>
                <w:sz w:val="20"/>
              </w:rPr>
              <w:t>P=0.0016</w:t>
            </w:r>
            <w:r w:rsidR="0068004F" w:rsidRPr="008D797E">
              <w:rPr>
                <w:rFonts w:ascii="Arial Narrow" w:eastAsia="MS Gothic" w:hAnsi="Arial Narrow"/>
                <w:bCs/>
                <w:sz w:val="20"/>
                <w:vertAlign w:val="superscript"/>
              </w:rPr>
              <w:t>d</w:t>
            </w:r>
          </w:p>
        </w:tc>
      </w:tr>
      <w:tr w:rsidR="000D73F8" w:rsidRPr="008D797E" w:rsidTr="000B72C6">
        <w:trPr>
          <w:trHeight w:val="20"/>
        </w:trPr>
        <w:tc>
          <w:tcPr>
            <w:tcW w:w="1364" w:type="pct"/>
            <w:tcBorders>
              <w:bottom w:val="single" w:sz="4" w:space="0" w:color="auto"/>
              <w:right w:val="single" w:sz="4" w:space="0" w:color="auto"/>
            </w:tcBorders>
            <w:shd w:val="clear" w:color="auto" w:fill="FFFFFF" w:themeFill="background1"/>
          </w:tcPr>
          <w:p w:rsidR="000D73F8" w:rsidRPr="008D797E" w:rsidRDefault="000D73F8" w:rsidP="00901550">
            <w:pPr>
              <w:keepNext/>
              <w:keepLines/>
              <w:widowControl w:val="0"/>
              <w:jc w:val="left"/>
              <w:rPr>
                <w:rFonts w:ascii="Arial Narrow" w:eastAsia="MS Gothic" w:hAnsi="Arial Narrow"/>
                <w:bCs/>
                <w:sz w:val="20"/>
              </w:rPr>
            </w:pPr>
            <w:r w:rsidRPr="008D797E">
              <w:rPr>
                <w:rFonts w:ascii="Arial Narrow" w:eastAsia="MS Gothic" w:hAnsi="Arial Narrow"/>
                <w:bCs/>
                <w:sz w:val="20"/>
              </w:rPr>
              <w:t>Median OS, months (95% CI)</w:t>
            </w:r>
          </w:p>
        </w:tc>
        <w:tc>
          <w:tcPr>
            <w:tcW w:w="855" w:type="pct"/>
            <w:tcBorders>
              <w:left w:val="single" w:sz="4" w:space="0" w:color="auto"/>
              <w:bottom w:val="single" w:sz="4" w:space="0" w:color="auto"/>
              <w:right w:val="single" w:sz="4" w:space="0" w:color="auto"/>
            </w:tcBorders>
            <w:shd w:val="clear" w:color="auto" w:fill="FFFFFF" w:themeFill="background1"/>
            <w:vAlign w:val="center"/>
          </w:tcPr>
          <w:p w:rsidR="000D73F8" w:rsidRPr="008D797E" w:rsidRDefault="000D73F8" w:rsidP="00901550">
            <w:pPr>
              <w:keepNext/>
              <w:jc w:val="center"/>
              <w:rPr>
                <w:rFonts w:ascii="Arial Narrow" w:eastAsia="MS Gothic" w:hAnsi="Arial Narrow"/>
                <w:bCs/>
                <w:sz w:val="20"/>
              </w:rPr>
            </w:pPr>
            <w:r w:rsidRPr="008D797E">
              <w:rPr>
                <w:rFonts w:ascii="Arial Narrow" w:eastAsia="MS Gothic" w:hAnsi="Arial Narrow"/>
                <w:bCs/>
                <w:sz w:val="20"/>
              </w:rPr>
              <w:t xml:space="preserve">25.43 </w:t>
            </w:r>
          </w:p>
          <w:p w:rsidR="000D73F8" w:rsidRPr="008D797E" w:rsidRDefault="000D73F8" w:rsidP="00901550">
            <w:pPr>
              <w:keepNext/>
              <w:keepLines/>
              <w:widowControl w:val="0"/>
              <w:jc w:val="center"/>
              <w:rPr>
                <w:rFonts w:ascii="Arial Narrow" w:eastAsia="MS Gothic" w:hAnsi="Arial Narrow"/>
                <w:bCs/>
                <w:sz w:val="20"/>
              </w:rPr>
            </w:pPr>
            <w:r w:rsidRPr="008D797E">
              <w:rPr>
                <w:rFonts w:ascii="Arial Narrow" w:eastAsia="MS Gothic" w:hAnsi="Arial Narrow"/>
                <w:bCs/>
                <w:sz w:val="20"/>
              </w:rPr>
              <w:t>(19.55, 30.69)</w:t>
            </w:r>
          </w:p>
        </w:tc>
        <w:tc>
          <w:tcPr>
            <w:tcW w:w="917" w:type="pct"/>
            <w:tcBorders>
              <w:left w:val="single" w:sz="4" w:space="0" w:color="auto"/>
              <w:bottom w:val="single" w:sz="4" w:space="0" w:color="auto"/>
              <w:right w:val="single" w:sz="4" w:space="0" w:color="auto"/>
            </w:tcBorders>
            <w:shd w:val="clear" w:color="auto" w:fill="FFFFFF" w:themeFill="background1"/>
            <w:vAlign w:val="center"/>
          </w:tcPr>
          <w:p w:rsidR="000D73F8" w:rsidRPr="008D797E" w:rsidRDefault="000D73F8" w:rsidP="00901550">
            <w:pPr>
              <w:keepNext/>
              <w:jc w:val="center"/>
              <w:rPr>
                <w:rFonts w:ascii="Arial Narrow" w:eastAsia="MS Gothic" w:hAnsi="Arial Narrow"/>
                <w:bCs/>
                <w:sz w:val="20"/>
              </w:rPr>
            </w:pPr>
            <w:r w:rsidRPr="008D797E">
              <w:rPr>
                <w:rFonts w:ascii="Arial Narrow" w:eastAsia="MS Gothic" w:hAnsi="Arial Narrow"/>
                <w:bCs/>
                <w:sz w:val="20"/>
              </w:rPr>
              <w:t>17.91</w:t>
            </w:r>
          </w:p>
          <w:p w:rsidR="000D73F8" w:rsidRPr="008D797E" w:rsidRDefault="000D73F8" w:rsidP="00901550">
            <w:pPr>
              <w:keepNext/>
              <w:keepLines/>
              <w:widowControl w:val="0"/>
              <w:jc w:val="center"/>
              <w:rPr>
                <w:rFonts w:ascii="Arial Narrow" w:eastAsia="MS Gothic" w:hAnsi="Arial Narrow"/>
                <w:bCs/>
                <w:sz w:val="20"/>
              </w:rPr>
            </w:pPr>
            <w:r w:rsidRPr="008D797E">
              <w:rPr>
                <w:rFonts w:ascii="Arial Narrow" w:eastAsia="MS Gothic" w:hAnsi="Arial Narrow"/>
                <w:bCs/>
                <w:sz w:val="20"/>
              </w:rPr>
              <w:t>(13.63, 20.30)</w:t>
            </w:r>
          </w:p>
        </w:tc>
        <w:tc>
          <w:tcPr>
            <w:tcW w:w="983" w:type="pct"/>
            <w:tcBorders>
              <w:left w:val="single" w:sz="4" w:space="0" w:color="auto"/>
              <w:bottom w:val="single" w:sz="4" w:space="0" w:color="auto"/>
              <w:right w:val="single" w:sz="4" w:space="0" w:color="auto"/>
            </w:tcBorders>
            <w:shd w:val="clear" w:color="auto" w:fill="FFFFFF" w:themeFill="background1"/>
          </w:tcPr>
          <w:p w:rsidR="000D73F8" w:rsidRPr="008D797E" w:rsidRDefault="000D73F8" w:rsidP="00901550">
            <w:pPr>
              <w:keepNext/>
              <w:keepLines/>
              <w:widowControl w:val="0"/>
              <w:jc w:val="center"/>
              <w:rPr>
                <w:rFonts w:ascii="Arial Narrow" w:eastAsia="MS Gothic" w:hAnsi="Arial Narrow"/>
                <w:bCs/>
                <w:sz w:val="20"/>
              </w:rPr>
            </w:pPr>
            <w:r w:rsidRPr="008D797E">
              <w:rPr>
                <w:rFonts w:ascii="Arial Narrow" w:eastAsia="MS Gothic" w:hAnsi="Arial Narrow"/>
                <w:bCs/>
                <w:sz w:val="20"/>
              </w:rPr>
              <w:t>7.52</w:t>
            </w:r>
          </w:p>
        </w:tc>
        <w:tc>
          <w:tcPr>
            <w:tcW w:w="881" w:type="pct"/>
            <w:tcBorders>
              <w:top w:val="nil"/>
              <w:left w:val="single" w:sz="4" w:space="0" w:color="auto"/>
              <w:bottom w:val="nil"/>
            </w:tcBorders>
            <w:shd w:val="clear" w:color="auto" w:fill="FFFFFF" w:themeFill="background1"/>
          </w:tcPr>
          <w:p w:rsidR="000D73F8" w:rsidRPr="008D797E" w:rsidRDefault="000D73F8" w:rsidP="00901550">
            <w:pPr>
              <w:keepNext/>
              <w:keepLines/>
              <w:widowControl w:val="0"/>
              <w:jc w:val="center"/>
              <w:rPr>
                <w:rFonts w:ascii="Arial Narrow" w:eastAsia="MS Gothic" w:hAnsi="Arial Narrow"/>
                <w:bCs/>
                <w:sz w:val="20"/>
              </w:rPr>
            </w:pPr>
          </w:p>
        </w:tc>
      </w:tr>
      <w:tr w:rsidR="0068004F" w:rsidRPr="008D797E" w:rsidTr="0068004F">
        <w:trPr>
          <w:trHeight w:val="20"/>
        </w:trPr>
        <w:tc>
          <w:tcPr>
            <w:tcW w:w="1364" w:type="pct"/>
            <w:tcBorders>
              <w:bottom w:val="single" w:sz="4" w:space="0" w:color="auto"/>
              <w:right w:val="single" w:sz="4" w:space="0" w:color="auto"/>
            </w:tcBorders>
            <w:shd w:val="clear" w:color="auto" w:fill="FFFFFF" w:themeFill="background1"/>
          </w:tcPr>
          <w:p w:rsidR="0068004F" w:rsidRPr="008D797E" w:rsidRDefault="0068004F" w:rsidP="0068004F">
            <w:pPr>
              <w:keepNext/>
              <w:keepLines/>
              <w:widowControl w:val="0"/>
              <w:jc w:val="left"/>
              <w:rPr>
                <w:rFonts w:ascii="Arial Narrow" w:eastAsia="MS Gothic" w:hAnsi="Arial Narrow"/>
                <w:bCs/>
                <w:sz w:val="20"/>
              </w:rPr>
            </w:pPr>
            <w:r w:rsidRPr="008D797E">
              <w:rPr>
                <w:rFonts w:ascii="Arial Narrow" w:eastAsia="MS Gothic" w:hAnsi="Arial Narrow" w:cs="Times New Roman"/>
                <w:bCs/>
                <w:sz w:val="20"/>
              </w:rPr>
              <w:t>% alive at 24 months (95% CI)</w:t>
            </w:r>
            <w:r w:rsidRPr="008D797E">
              <w:rPr>
                <w:rFonts w:ascii="Arial Narrow" w:eastAsia="MS Gothic" w:hAnsi="Arial Narrow" w:cs="Times New Roman"/>
                <w:bCs/>
                <w:sz w:val="20"/>
                <w:vertAlign w:val="superscript"/>
              </w:rPr>
              <w:t>b</w:t>
            </w:r>
          </w:p>
        </w:tc>
        <w:tc>
          <w:tcPr>
            <w:tcW w:w="855" w:type="pct"/>
            <w:tcBorders>
              <w:left w:val="single" w:sz="4" w:space="0" w:color="auto"/>
              <w:bottom w:val="single" w:sz="4" w:space="0" w:color="auto"/>
              <w:right w:val="single" w:sz="4" w:space="0" w:color="auto"/>
            </w:tcBorders>
            <w:shd w:val="clear" w:color="auto" w:fill="FFFFFF" w:themeFill="background1"/>
            <w:vAlign w:val="center"/>
          </w:tcPr>
          <w:p w:rsidR="0068004F" w:rsidRPr="008D797E" w:rsidRDefault="0068004F" w:rsidP="0068004F">
            <w:pPr>
              <w:keepNext/>
              <w:jc w:val="center"/>
              <w:rPr>
                <w:rFonts w:ascii="Arial Narrow" w:eastAsia="MS Gothic" w:hAnsi="Arial Narrow"/>
                <w:bCs/>
                <w:sz w:val="20"/>
              </w:rPr>
            </w:pPr>
            <w:r w:rsidRPr="008D797E">
              <w:rPr>
                <w:rFonts w:ascii="Arial Narrow" w:eastAsia="MS Gothic" w:hAnsi="Arial Narrow"/>
                <w:bCs/>
                <w:sz w:val="20"/>
              </w:rPr>
              <w:t xml:space="preserve">42.35% </w:t>
            </w:r>
            <w:r w:rsidRPr="008D797E">
              <w:rPr>
                <w:rFonts w:ascii="Arial Narrow" w:eastAsia="MS Gothic" w:hAnsi="Arial Narrow"/>
                <w:bCs/>
                <w:sz w:val="20"/>
              </w:rPr>
              <w:br/>
              <w:t>(37.29%, 47.42%)</w:t>
            </w:r>
          </w:p>
        </w:tc>
        <w:tc>
          <w:tcPr>
            <w:tcW w:w="917" w:type="pct"/>
            <w:tcBorders>
              <w:left w:val="single" w:sz="4" w:space="0" w:color="auto"/>
              <w:bottom w:val="single" w:sz="4" w:space="0" w:color="auto"/>
              <w:right w:val="single" w:sz="4" w:space="0" w:color="auto"/>
            </w:tcBorders>
            <w:shd w:val="clear" w:color="auto" w:fill="FFFFFF" w:themeFill="background1"/>
            <w:vAlign w:val="center"/>
          </w:tcPr>
          <w:p w:rsidR="0068004F" w:rsidRPr="008D797E" w:rsidRDefault="0068004F" w:rsidP="0068004F">
            <w:pPr>
              <w:keepNext/>
              <w:jc w:val="center"/>
              <w:rPr>
                <w:rFonts w:ascii="Arial Narrow" w:eastAsia="MS Gothic" w:hAnsi="Arial Narrow"/>
                <w:bCs/>
                <w:sz w:val="20"/>
              </w:rPr>
            </w:pPr>
            <w:r w:rsidRPr="008D797E">
              <w:rPr>
                <w:rFonts w:ascii="Arial Narrow" w:eastAsia="MS Gothic" w:hAnsi="Arial Narrow"/>
                <w:bCs/>
                <w:sz w:val="20"/>
              </w:rPr>
              <w:t xml:space="preserve">38.67% </w:t>
            </w:r>
            <w:r w:rsidRPr="008D797E">
              <w:rPr>
                <w:rFonts w:ascii="Arial Narrow" w:eastAsia="MS Gothic" w:hAnsi="Arial Narrow"/>
                <w:bCs/>
                <w:sz w:val="20"/>
              </w:rPr>
              <w:br/>
              <w:t>(33.74%, 43.60%)</w:t>
            </w:r>
          </w:p>
        </w:tc>
        <w:tc>
          <w:tcPr>
            <w:tcW w:w="983" w:type="pct"/>
            <w:tcBorders>
              <w:left w:val="single" w:sz="4" w:space="0" w:color="auto"/>
              <w:bottom w:val="single" w:sz="4" w:space="0" w:color="auto"/>
              <w:right w:val="single" w:sz="4" w:space="0" w:color="auto"/>
            </w:tcBorders>
            <w:shd w:val="clear" w:color="auto" w:fill="FFFFFF" w:themeFill="background1"/>
            <w:vAlign w:val="center"/>
          </w:tcPr>
          <w:p w:rsidR="0068004F" w:rsidRPr="008D797E" w:rsidRDefault="0068004F" w:rsidP="0068004F">
            <w:pPr>
              <w:keepNext/>
              <w:keepLines/>
              <w:widowControl w:val="0"/>
              <w:jc w:val="center"/>
              <w:rPr>
                <w:rFonts w:ascii="Arial Narrow" w:eastAsia="MS Gothic" w:hAnsi="Arial Narrow"/>
                <w:bCs/>
                <w:sz w:val="20"/>
              </w:rPr>
            </w:pPr>
            <w:r w:rsidRPr="008D797E">
              <w:rPr>
                <w:rFonts w:ascii="Arial Narrow" w:eastAsia="MS Gothic" w:hAnsi="Arial Narrow"/>
                <w:bCs/>
                <w:sz w:val="20"/>
              </w:rPr>
              <w:t>3.68%</w:t>
            </w:r>
          </w:p>
        </w:tc>
        <w:tc>
          <w:tcPr>
            <w:tcW w:w="881" w:type="pct"/>
            <w:tcBorders>
              <w:top w:val="nil"/>
              <w:left w:val="single" w:sz="4" w:space="0" w:color="auto"/>
              <w:bottom w:val="nil"/>
            </w:tcBorders>
            <w:shd w:val="clear" w:color="auto" w:fill="FFFFFF" w:themeFill="background1"/>
          </w:tcPr>
          <w:p w:rsidR="0068004F" w:rsidRPr="008D797E" w:rsidRDefault="0068004F" w:rsidP="0068004F">
            <w:pPr>
              <w:keepNext/>
              <w:keepLines/>
              <w:widowControl w:val="0"/>
              <w:jc w:val="center"/>
              <w:rPr>
                <w:rFonts w:ascii="Arial Narrow" w:eastAsia="MS Gothic" w:hAnsi="Arial Narrow"/>
                <w:bCs/>
                <w:sz w:val="20"/>
              </w:rPr>
            </w:pPr>
          </w:p>
        </w:tc>
      </w:tr>
      <w:tr w:rsidR="000D73F8" w:rsidRPr="008D797E" w:rsidTr="000B72C6">
        <w:trPr>
          <w:trHeight w:val="20"/>
        </w:trPr>
        <w:tc>
          <w:tcPr>
            <w:tcW w:w="1364" w:type="pct"/>
            <w:tcBorders>
              <w:top w:val="single" w:sz="4" w:space="0" w:color="auto"/>
              <w:bottom w:val="single" w:sz="4" w:space="0" w:color="auto"/>
              <w:right w:val="single" w:sz="4" w:space="0" w:color="auto"/>
            </w:tcBorders>
            <w:shd w:val="clear" w:color="auto" w:fill="FFFFFF" w:themeFill="background1"/>
          </w:tcPr>
          <w:p w:rsidR="000D73F8" w:rsidRPr="008D797E" w:rsidRDefault="000D73F8" w:rsidP="000A0063">
            <w:pPr>
              <w:keepNext/>
              <w:keepLines/>
              <w:widowControl w:val="0"/>
              <w:jc w:val="left"/>
              <w:rPr>
                <w:rFonts w:ascii="Arial Narrow" w:eastAsia="MS Gothic" w:hAnsi="Arial Narrow"/>
                <w:bCs/>
                <w:sz w:val="20"/>
              </w:rPr>
            </w:pPr>
            <w:r w:rsidRPr="008D797E">
              <w:rPr>
                <w:rFonts w:ascii="Arial Narrow" w:eastAsia="MS Gothic" w:hAnsi="Arial Narrow"/>
                <w:bCs/>
                <w:sz w:val="20"/>
              </w:rPr>
              <w:t>% alive at 36 months (95% CI)</w:t>
            </w:r>
            <w:r w:rsidR="0068004F" w:rsidRPr="008D797E">
              <w:rPr>
                <w:rFonts w:ascii="Arial Narrow" w:eastAsia="MS Gothic" w:hAnsi="Arial Narrow"/>
                <w:bCs/>
                <w:sz w:val="20"/>
                <w:vertAlign w:val="superscript"/>
              </w:rPr>
              <w:t>c</w:t>
            </w:r>
          </w:p>
        </w:tc>
        <w:tc>
          <w:tcPr>
            <w:tcW w:w="8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73F8" w:rsidRPr="008D797E" w:rsidRDefault="000D73F8" w:rsidP="00901550">
            <w:pPr>
              <w:keepNext/>
              <w:jc w:val="center"/>
              <w:rPr>
                <w:rFonts w:ascii="Arial Narrow" w:eastAsia="MS Gothic" w:hAnsi="Arial Narrow"/>
                <w:bCs/>
                <w:sz w:val="20"/>
              </w:rPr>
            </w:pPr>
            <w:r w:rsidRPr="008D797E">
              <w:rPr>
                <w:rFonts w:ascii="Arial Narrow" w:eastAsia="MS Gothic" w:hAnsi="Arial Narrow"/>
                <w:bCs/>
                <w:sz w:val="20"/>
              </w:rPr>
              <w:t xml:space="preserve">35.84% </w:t>
            </w:r>
          </w:p>
          <w:p w:rsidR="000D73F8" w:rsidRPr="008D797E" w:rsidRDefault="000D73F8" w:rsidP="00901550">
            <w:pPr>
              <w:keepNext/>
              <w:keepLines/>
              <w:widowControl w:val="0"/>
              <w:jc w:val="center"/>
              <w:rPr>
                <w:rFonts w:ascii="Arial Narrow" w:eastAsia="MS Gothic" w:hAnsi="Arial Narrow"/>
                <w:bCs/>
                <w:sz w:val="20"/>
              </w:rPr>
            </w:pPr>
            <w:r w:rsidRPr="008D797E">
              <w:rPr>
                <w:rFonts w:ascii="Arial Narrow" w:eastAsia="MS Gothic" w:hAnsi="Arial Narrow"/>
                <w:bCs/>
                <w:sz w:val="20"/>
              </w:rPr>
              <w:t>(28.75, 42.92)</w:t>
            </w:r>
          </w:p>
        </w:tc>
        <w:tc>
          <w:tcPr>
            <w:tcW w:w="91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73F8" w:rsidRPr="008D797E" w:rsidRDefault="000D73F8" w:rsidP="00901550">
            <w:pPr>
              <w:keepNext/>
              <w:jc w:val="center"/>
              <w:rPr>
                <w:rFonts w:ascii="Arial Narrow" w:eastAsia="MS Gothic" w:hAnsi="Arial Narrow"/>
                <w:bCs/>
                <w:sz w:val="20"/>
              </w:rPr>
            </w:pPr>
            <w:r w:rsidRPr="008D797E">
              <w:rPr>
                <w:rFonts w:ascii="Arial Narrow" w:eastAsia="MS Gothic" w:hAnsi="Arial Narrow"/>
                <w:bCs/>
                <w:sz w:val="20"/>
              </w:rPr>
              <w:t xml:space="preserve">22.17% </w:t>
            </w:r>
          </w:p>
          <w:p w:rsidR="000D73F8" w:rsidRPr="008D797E" w:rsidRDefault="000D73F8" w:rsidP="00901550">
            <w:pPr>
              <w:keepNext/>
              <w:keepLines/>
              <w:widowControl w:val="0"/>
              <w:jc w:val="center"/>
              <w:rPr>
                <w:rFonts w:ascii="Arial Narrow" w:eastAsia="MS Gothic" w:hAnsi="Arial Narrow"/>
                <w:bCs/>
                <w:sz w:val="20"/>
              </w:rPr>
            </w:pPr>
            <w:r w:rsidRPr="008D797E">
              <w:rPr>
                <w:rFonts w:ascii="Arial Narrow" w:eastAsia="MS Gothic" w:hAnsi="Arial Narrow"/>
                <w:bCs/>
                <w:sz w:val="20"/>
              </w:rPr>
              <w:t>(15.86, 28.47)</w:t>
            </w:r>
          </w:p>
        </w:tc>
        <w:tc>
          <w:tcPr>
            <w:tcW w:w="983" w:type="pct"/>
            <w:tcBorders>
              <w:top w:val="single" w:sz="4" w:space="0" w:color="auto"/>
              <w:left w:val="single" w:sz="4" w:space="0" w:color="auto"/>
              <w:bottom w:val="single" w:sz="4" w:space="0" w:color="auto"/>
              <w:right w:val="single" w:sz="4" w:space="0" w:color="auto"/>
            </w:tcBorders>
            <w:shd w:val="clear" w:color="auto" w:fill="FFFFFF" w:themeFill="background1"/>
          </w:tcPr>
          <w:p w:rsidR="000D73F8" w:rsidRPr="008D797E" w:rsidRDefault="000D73F8" w:rsidP="00901550">
            <w:pPr>
              <w:keepNext/>
              <w:keepLines/>
              <w:widowControl w:val="0"/>
              <w:jc w:val="center"/>
              <w:rPr>
                <w:rFonts w:ascii="Arial Narrow" w:eastAsia="MS Gothic" w:hAnsi="Arial Narrow"/>
                <w:bCs/>
                <w:sz w:val="20"/>
              </w:rPr>
            </w:pPr>
            <w:r w:rsidRPr="008D797E">
              <w:rPr>
                <w:rFonts w:ascii="Arial Narrow" w:eastAsia="MS Gothic" w:hAnsi="Arial Narrow"/>
                <w:bCs/>
                <w:sz w:val="20"/>
              </w:rPr>
              <w:t>13.67%</w:t>
            </w:r>
          </w:p>
        </w:tc>
        <w:tc>
          <w:tcPr>
            <w:tcW w:w="881" w:type="pct"/>
            <w:tcBorders>
              <w:top w:val="nil"/>
              <w:left w:val="single" w:sz="4" w:space="0" w:color="auto"/>
              <w:bottom w:val="nil"/>
            </w:tcBorders>
            <w:shd w:val="clear" w:color="auto" w:fill="FFFFFF" w:themeFill="background1"/>
          </w:tcPr>
          <w:p w:rsidR="000D73F8" w:rsidRPr="008D797E" w:rsidRDefault="000D73F8" w:rsidP="00901550">
            <w:pPr>
              <w:keepNext/>
              <w:keepLines/>
              <w:widowControl w:val="0"/>
              <w:jc w:val="center"/>
              <w:rPr>
                <w:rFonts w:ascii="Arial Narrow" w:eastAsia="MS Gothic" w:hAnsi="Arial Narrow"/>
                <w:bCs/>
                <w:sz w:val="20"/>
              </w:rPr>
            </w:pPr>
          </w:p>
        </w:tc>
      </w:tr>
    </w:tbl>
    <w:tbl>
      <w:tblPr>
        <w:tblW w:w="4994" w:type="pct"/>
        <w:tblInd w:w="14" w:type="dxa"/>
        <w:shd w:val="clear" w:color="auto" w:fill="FFFFFF" w:themeFill="background1"/>
        <w:tblLayout w:type="fixed"/>
        <w:tblCellMar>
          <w:left w:w="28" w:type="dxa"/>
          <w:right w:w="28" w:type="dxa"/>
        </w:tblCellMar>
        <w:tblLook w:val="04A0" w:firstRow="1" w:lastRow="0" w:firstColumn="1" w:lastColumn="0" w:noHBand="0" w:noVBand="1"/>
      </w:tblPr>
      <w:tblGrid>
        <w:gridCol w:w="1282"/>
        <w:gridCol w:w="1264"/>
        <w:gridCol w:w="1322"/>
        <w:gridCol w:w="1471"/>
        <w:gridCol w:w="1235"/>
        <w:gridCol w:w="1167"/>
        <w:gridCol w:w="1264"/>
      </w:tblGrid>
      <w:tr w:rsidR="00EA35CA" w:rsidRPr="008D797E" w:rsidTr="000B72C6">
        <w:tc>
          <w:tcPr>
            <w:tcW w:w="5000" w:type="pct"/>
            <w:gridSpan w:val="7"/>
            <w:tcBorders>
              <w:top w:val="double" w:sz="4" w:space="0" w:color="auto"/>
              <w:left w:val="single" w:sz="4" w:space="0" w:color="auto"/>
              <w:bottom w:val="single" w:sz="4" w:space="0" w:color="auto"/>
              <w:right w:val="single" w:sz="4" w:space="0" w:color="auto"/>
            </w:tcBorders>
            <w:shd w:val="clear" w:color="auto" w:fill="FFFFFF" w:themeFill="background1"/>
            <w:vAlign w:val="center"/>
          </w:tcPr>
          <w:p w:rsidR="00EA35CA" w:rsidRPr="006E5C4D" w:rsidRDefault="00EA35CA" w:rsidP="00EA35CA">
            <w:pPr>
              <w:keepNext/>
              <w:jc w:val="left"/>
              <w:rPr>
                <w:rFonts w:ascii="Arial Narrow" w:eastAsiaTheme="majorEastAsia" w:hAnsi="Arial Narrow" w:cs="Times New Roman"/>
                <w:b/>
                <w:sz w:val="20"/>
              </w:rPr>
            </w:pPr>
            <w:r w:rsidRPr="006E5C4D">
              <w:rPr>
                <w:rFonts w:ascii="Arial Narrow" w:eastAsiaTheme="majorEastAsia" w:hAnsi="Arial Narrow" w:cs="Times New Roman"/>
                <w:b/>
                <w:sz w:val="20"/>
              </w:rPr>
              <w:t>Harms, safety evaluable population (median duration of treatment 22.3 weeks for ATZ+nab-P, 21.1 weeks for PBO+nab-P)</w:t>
            </w:r>
          </w:p>
        </w:tc>
      </w:tr>
      <w:tr w:rsidR="00EA35CA" w:rsidRPr="008D797E" w:rsidTr="000B72C6">
        <w:trPr>
          <w:trHeight w:val="70"/>
        </w:trPr>
        <w:tc>
          <w:tcPr>
            <w:tcW w:w="711"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A35CA" w:rsidRPr="006E5C4D" w:rsidRDefault="00EA35CA" w:rsidP="00EA35CA">
            <w:pPr>
              <w:keepNext/>
              <w:jc w:val="left"/>
              <w:rPr>
                <w:rFonts w:ascii="Arial Narrow" w:eastAsiaTheme="majorEastAsia" w:hAnsi="Arial Narrow" w:cs="Times New Roman"/>
                <w:b/>
                <w:sz w:val="20"/>
              </w:rPr>
            </w:pPr>
          </w:p>
        </w:tc>
        <w:tc>
          <w:tcPr>
            <w:tcW w:w="702"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A35CA" w:rsidRPr="006E5C4D" w:rsidRDefault="00EA35CA" w:rsidP="00EA35CA">
            <w:pPr>
              <w:keepNext/>
              <w:jc w:val="center"/>
              <w:rPr>
                <w:rFonts w:ascii="Arial Narrow" w:eastAsiaTheme="majorEastAsia" w:hAnsi="Arial Narrow" w:cs="Times New Roman"/>
                <w:b/>
                <w:sz w:val="20"/>
              </w:rPr>
            </w:pPr>
            <w:r w:rsidRPr="006E5C4D">
              <w:rPr>
                <w:rFonts w:ascii="Arial Narrow" w:eastAsiaTheme="majorEastAsia" w:hAnsi="Arial Narrow" w:cs="Times New Roman"/>
                <w:b/>
                <w:sz w:val="20"/>
              </w:rPr>
              <w:t>ATZ+nab-P</w:t>
            </w:r>
          </w:p>
          <w:p w:rsidR="00EA35CA" w:rsidRPr="006E5C4D" w:rsidRDefault="00EA35CA" w:rsidP="00EA35CA">
            <w:pPr>
              <w:keepNext/>
              <w:jc w:val="center"/>
              <w:rPr>
                <w:rFonts w:ascii="Arial Narrow" w:eastAsiaTheme="majorEastAsia" w:hAnsi="Arial Narrow" w:cs="Times New Roman"/>
                <w:b/>
                <w:sz w:val="20"/>
              </w:rPr>
            </w:pPr>
            <w:r w:rsidRPr="006E5C4D">
              <w:rPr>
                <w:rFonts w:ascii="Arial Narrow" w:eastAsiaTheme="majorEastAsia" w:hAnsi="Arial Narrow" w:cs="Times New Roman"/>
                <w:b/>
                <w:sz w:val="20"/>
              </w:rPr>
              <w:t>n/N</w:t>
            </w:r>
          </w:p>
        </w:tc>
        <w:tc>
          <w:tcPr>
            <w:tcW w:w="734"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A35CA" w:rsidRPr="006E5C4D" w:rsidRDefault="00EA35CA" w:rsidP="00EA35CA">
            <w:pPr>
              <w:keepNext/>
              <w:jc w:val="center"/>
              <w:rPr>
                <w:rFonts w:ascii="Arial Narrow" w:eastAsiaTheme="majorEastAsia" w:hAnsi="Arial Narrow" w:cs="Times New Roman"/>
                <w:b/>
                <w:sz w:val="20"/>
              </w:rPr>
            </w:pPr>
            <w:r w:rsidRPr="006E5C4D">
              <w:rPr>
                <w:rFonts w:ascii="Arial Narrow" w:eastAsiaTheme="majorEastAsia" w:hAnsi="Arial Narrow" w:cs="Times New Roman"/>
                <w:b/>
                <w:sz w:val="20"/>
              </w:rPr>
              <w:t>PBO+nab-P</w:t>
            </w:r>
          </w:p>
          <w:p w:rsidR="00EA35CA" w:rsidRPr="006E5C4D" w:rsidRDefault="00EA35CA" w:rsidP="00EA35CA">
            <w:pPr>
              <w:keepNext/>
              <w:jc w:val="center"/>
              <w:rPr>
                <w:rFonts w:ascii="Arial Narrow" w:eastAsiaTheme="majorEastAsia" w:hAnsi="Arial Narrow" w:cs="Times New Roman"/>
                <w:b/>
                <w:sz w:val="20"/>
              </w:rPr>
            </w:pPr>
            <w:r w:rsidRPr="006E5C4D">
              <w:rPr>
                <w:rFonts w:ascii="Arial Narrow" w:eastAsiaTheme="majorEastAsia" w:hAnsi="Arial Narrow" w:cs="Times New Roman"/>
                <w:b/>
                <w:sz w:val="20"/>
              </w:rPr>
              <w:t>n/N</w:t>
            </w:r>
          </w:p>
        </w:tc>
        <w:tc>
          <w:tcPr>
            <w:tcW w:w="817"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A35CA" w:rsidRPr="006E5C4D" w:rsidRDefault="00EA35CA" w:rsidP="00EA35CA">
            <w:pPr>
              <w:keepNext/>
              <w:jc w:val="center"/>
              <w:rPr>
                <w:rFonts w:ascii="Arial Narrow" w:eastAsiaTheme="majorEastAsia" w:hAnsi="Arial Narrow" w:cs="Times New Roman"/>
                <w:b/>
                <w:sz w:val="20"/>
              </w:rPr>
            </w:pPr>
            <w:r w:rsidRPr="006E5C4D">
              <w:rPr>
                <w:rFonts w:ascii="Arial Narrow" w:eastAsiaTheme="majorEastAsia" w:hAnsi="Arial Narrow" w:cs="Times New Roman"/>
                <w:b/>
                <w:sz w:val="20"/>
              </w:rPr>
              <w:t>RR</w:t>
            </w:r>
          </w:p>
          <w:p w:rsidR="00EA35CA" w:rsidRPr="006E5C4D" w:rsidRDefault="00EA35CA" w:rsidP="00EA35CA">
            <w:pPr>
              <w:keepNext/>
              <w:jc w:val="center"/>
              <w:rPr>
                <w:rFonts w:ascii="Arial Narrow" w:eastAsiaTheme="majorEastAsia" w:hAnsi="Arial Narrow" w:cs="Times New Roman"/>
                <w:b/>
                <w:sz w:val="20"/>
              </w:rPr>
            </w:pPr>
            <w:r w:rsidRPr="006E5C4D">
              <w:rPr>
                <w:rFonts w:ascii="Arial Narrow" w:eastAsiaTheme="majorEastAsia" w:hAnsi="Arial Narrow" w:cs="Times New Roman"/>
                <w:b/>
                <w:sz w:val="20"/>
              </w:rPr>
              <w:t>(95% CI)</w:t>
            </w:r>
          </w:p>
        </w:tc>
        <w:tc>
          <w:tcPr>
            <w:tcW w:w="1334"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A35CA" w:rsidRPr="006E5C4D" w:rsidRDefault="00EA35CA" w:rsidP="00EA35CA">
            <w:pPr>
              <w:keepNext/>
              <w:jc w:val="center"/>
              <w:rPr>
                <w:rFonts w:ascii="Arial Narrow" w:eastAsiaTheme="majorEastAsia" w:hAnsi="Arial Narrow" w:cs="Times New Roman"/>
                <w:b/>
                <w:sz w:val="20"/>
              </w:rPr>
            </w:pPr>
            <w:r w:rsidRPr="006E5C4D">
              <w:rPr>
                <w:rFonts w:ascii="Arial Narrow" w:eastAsiaTheme="majorEastAsia" w:hAnsi="Arial Narrow" w:cs="Times New Roman"/>
                <w:b/>
                <w:sz w:val="20"/>
              </w:rPr>
              <w:t>Event rate/100 patients</w:t>
            </w:r>
          </w:p>
        </w:tc>
        <w:tc>
          <w:tcPr>
            <w:tcW w:w="703"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A35CA" w:rsidRPr="006E5C4D" w:rsidRDefault="00EA35CA" w:rsidP="00EA35CA">
            <w:pPr>
              <w:keepNext/>
              <w:jc w:val="center"/>
              <w:rPr>
                <w:rFonts w:ascii="Arial Narrow" w:eastAsiaTheme="majorEastAsia" w:hAnsi="Arial Narrow" w:cs="Times New Roman"/>
                <w:b/>
                <w:sz w:val="20"/>
              </w:rPr>
            </w:pPr>
            <w:r w:rsidRPr="006E5C4D">
              <w:rPr>
                <w:rFonts w:ascii="Arial Narrow" w:eastAsiaTheme="majorEastAsia" w:hAnsi="Arial Narrow" w:cs="Times New Roman"/>
                <w:b/>
                <w:sz w:val="20"/>
              </w:rPr>
              <w:t>RD</w:t>
            </w:r>
          </w:p>
          <w:p w:rsidR="00EA35CA" w:rsidRPr="006E5C4D" w:rsidRDefault="00EA35CA" w:rsidP="00EA35CA">
            <w:pPr>
              <w:keepNext/>
              <w:jc w:val="center"/>
              <w:rPr>
                <w:rFonts w:ascii="Arial Narrow" w:eastAsiaTheme="majorEastAsia" w:hAnsi="Arial Narrow" w:cs="Times New Roman"/>
                <w:b/>
                <w:sz w:val="20"/>
              </w:rPr>
            </w:pPr>
            <w:r w:rsidRPr="006E5C4D">
              <w:rPr>
                <w:rFonts w:ascii="Arial Narrow" w:eastAsiaTheme="majorEastAsia" w:hAnsi="Arial Narrow" w:cs="Times New Roman"/>
                <w:b/>
                <w:sz w:val="20"/>
              </w:rPr>
              <w:t>(95% CI)</w:t>
            </w:r>
          </w:p>
        </w:tc>
      </w:tr>
      <w:tr w:rsidR="00EA35CA" w:rsidRPr="008D797E" w:rsidTr="000B72C6">
        <w:trPr>
          <w:trHeight w:val="390"/>
        </w:trPr>
        <w:tc>
          <w:tcPr>
            <w:tcW w:w="711"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A35CA" w:rsidRPr="006E5C4D" w:rsidRDefault="00EA35CA" w:rsidP="00EA35CA">
            <w:pPr>
              <w:keepNext/>
              <w:jc w:val="left"/>
              <w:rPr>
                <w:rFonts w:ascii="Arial Narrow" w:eastAsiaTheme="majorEastAsia" w:hAnsi="Arial Narrow" w:cs="Times New Roman"/>
                <w:b/>
                <w:sz w:val="20"/>
              </w:rPr>
            </w:pPr>
          </w:p>
        </w:tc>
        <w:tc>
          <w:tcPr>
            <w:tcW w:w="702"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A35CA" w:rsidRPr="006E5C4D" w:rsidRDefault="00EA35CA" w:rsidP="00EA35CA">
            <w:pPr>
              <w:keepNext/>
              <w:jc w:val="left"/>
              <w:rPr>
                <w:rFonts w:ascii="Arial Narrow" w:eastAsiaTheme="majorEastAsia" w:hAnsi="Arial Narrow" w:cs="Times New Roman"/>
                <w:b/>
                <w:sz w:val="20"/>
              </w:rPr>
            </w:pPr>
          </w:p>
        </w:tc>
        <w:tc>
          <w:tcPr>
            <w:tcW w:w="734"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A35CA" w:rsidRPr="006E5C4D" w:rsidRDefault="00EA35CA" w:rsidP="00EA35CA">
            <w:pPr>
              <w:keepNext/>
              <w:jc w:val="left"/>
              <w:rPr>
                <w:rFonts w:ascii="Arial Narrow" w:eastAsiaTheme="majorEastAsia" w:hAnsi="Arial Narrow" w:cs="Times New Roman"/>
                <w:b/>
                <w:sz w:val="20"/>
              </w:rPr>
            </w:pPr>
          </w:p>
        </w:tc>
        <w:tc>
          <w:tcPr>
            <w:tcW w:w="817"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A35CA" w:rsidRPr="006E5C4D" w:rsidRDefault="00EA35CA" w:rsidP="00EA35CA">
            <w:pPr>
              <w:keepNext/>
              <w:jc w:val="left"/>
              <w:rPr>
                <w:rFonts w:ascii="Arial Narrow" w:eastAsiaTheme="majorEastAsia" w:hAnsi="Arial Narrow" w:cs="Times New Roman"/>
                <w:b/>
                <w:sz w:val="20"/>
              </w:rPr>
            </w:pPr>
          </w:p>
        </w:tc>
        <w:tc>
          <w:tcPr>
            <w:tcW w:w="6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A35CA" w:rsidRPr="006E5C4D" w:rsidRDefault="00EA35CA" w:rsidP="00EA35CA">
            <w:pPr>
              <w:keepNext/>
              <w:jc w:val="center"/>
              <w:rPr>
                <w:rFonts w:ascii="Arial Narrow" w:eastAsiaTheme="majorEastAsia" w:hAnsi="Arial Narrow" w:cs="Times New Roman"/>
                <w:b/>
                <w:sz w:val="20"/>
              </w:rPr>
            </w:pPr>
            <w:r w:rsidRPr="006E5C4D">
              <w:rPr>
                <w:rFonts w:ascii="Arial Narrow" w:eastAsiaTheme="majorEastAsia" w:hAnsi="Arial Narrow" w:cs="Times New Roman"/>
                <w:b/>
                <w:sz w:val="20"/>
              </w:rPr>
              <w:t>ATZ+nab-P</w:t>
            </w:r>
          </w:p>
        </w:tc>
        <w:tc>
          <w:tcPr>
            <w:tcW w:w="64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A35CA" w:rsidRPr="006E5C4D" w:rsidRDefault="00EA35CA" w:rsidP="00EA35CA">
            <w:pPr>
              <w:keepNext/>
              <w:jc w:val="center"/>
              <w:rPr>
                <w:rFonts w:ascii="Arial Narrow" w:eastAsiaTheme="majorEastAsia" w:hAnsi="Arial Narrow" w:cs="Times New Roman"/>
                <w:b/>
                <w:sz w:val="20"/>
              </w:rPr>
            </w:pPr>
            <w:r w:rsidRPr="006E5C4D">
              <w:rPr>
                <w:rFonts w:ascii="Arial Narrow" w:eastAsiaTheme="majorEastAsia" w:hAnsi="Arial Narrow" w:cs="Times New Roman"/>
                <w:b/>
                <w:sz w:val="20"/>
              </w:rPr>
              <w:t>PBO+nab-P</w:t>
            </w:r>
          </w:p>
        </w:tc>
        <w:tc>
          <w:tcPr>
            <w:tcW w:w="703"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A35CA" w:rsidRPr="006E5C4D" w:rsidRDefault="00EA35CA" w:rsidP="00EA35CA">
            <w:pPr>
              <w:keepNext/>
              <w:jc w:val="left"/>
              <w:rPr>
                <w:rFonts w:ascii="Arial Narrow" w:eastAsiaTheme="majorEastAsia" w:hAnsi="Arial Narrow" w:cs="Times New Roman"/>
                <w:b/>
                <w:sz w:val="20"/>
              </w:rPr>
            </w:pPr>
          </w:p>
        </w:tc>
      </w:tr>
      <w:tr w:rsidR="00EA35CA" w:rsidRPr="008D797E" w:rsidTr="000B72C6">
        <w:tc>
          <w:tcPr>
            <w:tcW w:w="7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A35CA" w:rsidRPr="008D797E" w:rsidRDefault="00EA35CA" w:rsidP="00EA35CA">
            <w:pPr>
              <w:keepNext/>
              <w:jc w:val="left"/>
              <w:rPr>
                <w:rFonts w:ascii="Arial Narrow" w:eastAsiaTheme="majorEastAsia" w:hAnsi="Arial Narrow" w:cstheme="majorBidi"/>
                <w:bCs/>
                <w:sz w:val="20"/>
              </w:rPr>
            </w:pPr>
            <w:r w:rsidRPr="008D797E">
              <w:rPr>
                <w:rFonts w:ascii="Arial Narrow" w:eastAsiaTheme="majorEastAsia" w:hAnsi="Arial Narrow" w:cstheme="majorBidi"/>
                <w:bCs/>
                <w:sz w:val="20"/>
              </w:rPr>
              <w:t>Treatment related grade 3-4 AEs</w:t>
            </w:r>
          </w:p>
        </w:tc>
        <w:tc>
          <w:tcPr>
            <w:tcW w:w="702" w:type="pct"/>
            <w:tcBorders>
              <w:top w:val="single" w:sz="4" w:space="0" w:color="auto"/>
              <w:left w:val="single" w:sz="4" w:space="0" w:color="auto"/>
              <w:bottom w:val="single" w:sz="4" w:space="0" w:color="auto"/>
              <w:right w:val="single" w:sz="4" w:space="0" w:color="auto"/>
            </w:tcBorders>
            <w:shd w:val="clear" w:color="auto" w:fill="FFFFFF" w:themeFill="background1"/>
          </w:tcPr>
          <w:p w:rsidR="00EA35CA" w:rsidRPr="008D797E" w:rsidRDefault="00EA35CA" w:rsidP="00EA35CA">
            <w:pPr>
              <w:keepNext/>
              <w:jc w:val="center"/>
              <w:rPr>
                <w:rFonts w:ascii="Arial Narrow" w:eastAsiaTheme="majorEastAsia" w:hAnsi="Arial Narrow" w:cstheme="majorBidi"/>
                <w:bCs/>
                <w:sz w:val="20"/>
              </w:rPr>
            </w:pPr>
            <w:r w:rsidRPr="008D797E">
              <w:rPr>
                <w:rFonts w:ascii="Arial Narrow" w:eastAsiaTheme="majorEastAsia" w:hAnsi="Arial Narrow" w:cs="Calibri"/>
                <w:sz w:val="20"/>
                <w:szCs w:val="20"/>
              </w:rPr>
              <w:t>191/460</w:t>
            </w:r>
          </w:p>
        </w:tc>
        <w:tc>
          <w:tcPr>
            <w:tcW w:w="734" w:type="pct"/>
            <w:tcBorders>
              <w:top w:val="single" w:sz="4" w:space="0" w:color="auto"/>
              <w:left w:val="single" w:sz="4" w:space="0" w:color="auto"/>
              <w:bottom w:val="single" w:sz="4" w:space="0" w:color="auto"/>
              <w:right w:val="single" w:sz="4" w:space="0" w:color="auto"/>
            </w:tcBorders>
            <w:shd w:val="clear" w:color="auto" w:fill="FFFFFF" w:themeFill="background1"/>
          </w:tcPr>
          <w:p w:rsidR="00EA35CA" w:rsidRPr="008D797E" w:rsidRDefault="00EA35CA" w:rsidP="00EA35CA">
            <w:pPr>
              <w:keepNext/>
              <w:jc w:val="center"/>
              <w:rPr>
                <w:rFonts w:ascii="Arial Narrow" w:eastAsiaTheme="majorEastAsia" w:hAnsi="Arial Narrow" w:cstheme="majorBidi"/>
                <w:bCs/>
                <w:sz w:val="20"/>
              </w:rPr>
            </w:pPr>
            <w:r w:rsidRPr="008D797E">
              <w:rPr>
                <w:rFonts w:ascii="Arial Narrow" w:eastAsiaTheme="majorEastAsia" w:hAnsi="Arial Narrow" w:cs="Calibri"/>
                <w:sz w:val="20"/>
                <w:szCs w:val="20"/>
              </w:rPr>
              <w:t>129/430</w:t>
            </w:r>
          </w:p>
        </w:tc>
        <w:tc>
          <w:tcPr>
            <w:tcW w:w="817" w:type="pct"/>
            <w:tcBorders>
              <w:top w:val="single" w:sz="4" w:space="0" w:color="auto"/>
              <w:left w:val="single" w:sz="4" w:space="0" w:color="auto"/>
              <w:bottom w:val="single" w:sz="4" w:space="0" w:color="auto"/>
              <w:right w:val="single" w:sz="4" w:space="0" w:color="auto"/>
            </w:tcBorders>
            <w:shd w:val="clear" w:color="auto" w:fill="FFFFFF" w:themeFill="background1"/>
          </w:tcPr>
          <w:p w:rsidR="00EA35CA" w:rsidRPr="008D797E" w:rsidRDefault="00EA35CA" w:rsidP="00EA35CA">
            <w:pPr>
              <w:keepNext/>
              <w:jc w:val="center"/>
              <w:rPr>
                <w:rFonts w:ascii="Arial Narrow" w:eastAsiaTheme="majorEastAsia" w:hAnsi="Arial Narrow" w:cstheme="majorBidi"/>
                <w:bCs/>
                <w:sz w:val="20"/>
              </w:rPr>
            </w:pPr>
            <w:r w:rsidRPr="008D797E">
              <w:rPr>
                <w:rFonts w:ascii="Arial Narrow" w:eastAsiaTheme="majorEastAsia" w:hAnsi="Arial Narrow" w:cs="Calibri"/>
                <w:b/>
                <w:sz w:val="20"/>
                <w:szCs w:val="20"/>
              </w:rPr>
              <w:t>1.38 (1.16, 1.66)</w:t>
            </w:r>
          </w:p>
        </w:tc>
        <w:tc>
          <w:tcPr>
            <w:tcW w:w="686" w:type="pct"/>
            <w:tcBorders>
              <w:top w:val="single" w:sz="4" w:space="0" w:color="auto"/>
              <w:left w:val="single" w:sz="4" w:space="0" w:color="auto"/>
              <w:bottom w:val="single" w:sz="4" w:space="0" w:color="auto"/>
              <w:right w:val="single" w:sz="4" w:space="0" w:color="auto"/>
            </w:tcBorders>
            <w:shd w:val="clear" w:color="auto" w:fill="FFFFFF" w:themeFill="background1"/>
          </w:tcPr>
          <w:p w:rsidR="00EA35CA" w:rsidRPr="008D797E" w:rsidRDefault="00EA35CA" w:rsidP="000B72C6">
            <w:pPr>
              <w:keepNext/>
              <w:jc w:val="center"/>
              <w:rPr>
                <w:rFonts w:ascii="Arial Narrow" w:eastAsiaTheme="majorEastAsia" w:hAnsi="Arial Narrow" w:cstheme="majorBidi"/>
                <w:bCs/>
                <w:sz w:val="20"/>
              </w:rPr>
            </w:pPr>
            <w:r w:rsidRPr="008D797E">
              <w:rPr>
                <w:rFonts w:ascii="Arial Narrow" w:eastAsiaTheme="majorEastAsia" w:hAnsi="Arial Narrow" w:cstheme="majorBidi"/>
                <w:bCs/>
                <w:sz w:val="20"/>
              </w:rPr>
              <w:t>41.5</w:t>
            </w:r>
          </w:p>
        </w:tc>
        <w:tc>
          <w:tcPr>
            <w:tcW w:w="648" w:type="pct"/>
            <w:tcBorders>
              <w:top w:val="single" w:sz="4" w:space="0" w:color="auto"/>
              <w:left w:val="single" w:sz="4" w:space="0" w:color="auto"/>
              <w:bottom w:val="single" w:sz="4" w:space="0" w:color="auto"/>
              <w:right w:val="single" w:sz="4" w:space="0" w:color="auto"/>
            </w:tcBorders>
            <w:shd w:val="clear" w:color="auto" w:fill="FFFFFF" w:themeFill="background1"/>
          </w:tcPr>
          <w:p w:rsidR="00EA35CA" w:rsidRPr="008D797E" w:rsidRDefault="00EA35CA" w:rsidP="000B72C6">
            <w:pPr>
              <w:keepNext/>
              <w:jc w:val="center"/>
              <w:rPr>
                <w:rFonts w:ascii="Arial Narrow" w:eastAsiaTheme="majorEastAsia" w:hAnsi="Arial Narrow" w:cstheme="majorBidi"/>
                <w:bCs/>
                <w:sz w:val="20"/>
              </w:rPr>
            </w:pPr>
            <w:r w:rsidRPr="008D797E">
              <w:rPr>
                <w:rFonts w:ascii="Arial Narrow" w:eastAsiaTheme="majorEastAsia" w:hAnsi="Arial Narrow" w:cstheme="majorBidi"/>
                <w:bCs/>
                <w:sz w:val="20"/>
              </w:rPr>
              <w:t>30.0</w:t>
            </w:r>
          </w:p>
        </w:tc>
        <w:tc>
          <w:tcPr>
            <w:tcW w:w="703" w:type="pct"/>
            <w:tcBorders>
              <w:top w:val="single" w:sz="4" w:space="0" w:color="auto"/>
              <w:left w:val="single" w:sz="4" w:space="0" w:color="auto"/>
              <w:bottom w:val="single" w:sz="4" w:space="0" w:color="auto"/>
              <w:right w:val="single" w:sz="4" w:space="0" w:color="auto"/>
            </w:tcBorders>
            <w:shd w:val="clear" w:color="auto" w:fill="FFFFFF" w:themeFill="background1"/>
          </w:tcPr>
          <w:p w:rsidR="00EA35CA" w:rsidRPr="008D797E" w:rsidRDefault="00EA35CA" w:rsidP="000B72C6">
            <w:pPr>
              <w:keepNext/>
              <w:jc w:val="center"/>
              <w:rPr>
                <w:rFonts w:ascii="Arial Narrow" w:eastAsiaTheme="majorEastAsia" w:hAnsi="Arial Narrow" w:cstheme="majorBidi"/>
                <w:b/>
                <w:bCs/>
                <w:sz w:val="20"/>
              </w:rPr>
            </w:pPr>
            <w:r w:rsidRPr="008D797E">
              <w:rPr>
                <w:rFonts w:ascii="Arial Narrow" w:eastAsiaTheme="majorEastAsia" w:hAnsi="Arial Narrow" w:cstheme="majorBidi"/>
                <w:b/>
                <w:bCs/>
                <w:sz w:val="20"/>
              </w:rPr>
              <w:t>0.11 (0.05, 0.18)</w:t>
            </w:r>
          </w:p>
        </w:tc>
      </w:tr>
      <w:tr w:rsidR="00EA35CA" w:rsidRPr="008D797E" w:rsidTr="000B72C6">
        <w:tc>
          <w:tcPr>
            <w:tcW w:w="7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A35CA" w:rsidRPr="008D797E" w:rsidRDefault="00EA35CA" w:rsidP="00EA35CA">
            <w:pPr>
              <w:keepNext/>
              <w:jc w:val="left"/>
              <w:rPr>
                <w:rFonts w:ascii="Arial Narrow" w:eastAsiaTheme="majorEastAsia" w:hAnsi="Arial Narrow" w:cstheme="majorBidi"/>
                <w:bCs/>
                <w:sz w:val="20"/>
              </w:rPr>
            </w:pPr>
            <w:r w:rsidRPr="008D797E">
              <w:rPr>
                <w:rFonts w:ascii="Arial Narrow" w:eastAsiaTheme="majorEastAsia" w:hAnsi="Arial Narrow" w:cstheme="majorBidi"/>
                <w:bCs/>
                <w:sz w:val="20"/>
              </w:rPr>
              <w:t>Treatment related SAE</w:t>
            </w:r>
          </w:p>
        </w:tc>
        <w:tc>
          <w:tcPr>
            <w:tcW w:w="702" w:type="pct"/>
            <w:tcBorders>
              <w:top w:val="single" w:sz="4" w:space="0" w:color="auto"/>
              <w:left w:val="single" w:sz="4" w:space="0" w:color="auto"/>
              <w:bottom w:val="single" w:sz="4" w:space="0" w:color="auto"/>
              <w:right w:val="single" w:sz="4" w:space="0" w:color="auto"/>
            </w:tcBorders>
            <w:shd w:val="clear" w:color="auto" w:fill="FFFFFF" w:themeFill="background1"/>
          </w:tcPr>
          <w:p w:rsidR="00EA35CA" w:rsidRPr="008D797E" w:rsidRDefault="00EA35CA" w:rsidP="00EA35CA">
            <w:pPr>
              <w:keepNext/>
              <w:jc w:val="center"/>
              <w:rPr>
                <w:rFonts w:ascii="Arial Narrow" w:eastAsiaTheme="majorEastAsia" w:hAnsi="Arial Narrow" w:cstheme="majorBidi"/>
                <w:bCs/>
                <w:sz w:val="20"/>
              </w:rPr>
            </w:pPr>
            <w:r w:rsidRPr="008D797E">
              <w:rPr>
                <w:rFonts w:ascii="Arial Narrow" w:eastAsiaTheme="majorEastAsia" w:hAnsi="Arial Narrow" w:cs="Calibri"/>
                <w:sz w:val="20"/>
                <w:szCs w:val="20"/>
              </w:rPr>
              <w:t>58/460</w:t>
            </w:r>
          </w:p>
        </w:tc>
        <w:tc>
          <w:tcPr>
            <w:tcW w:w="734" w:type="pct"/>
            <w:tcBorders>
              <w:top w:val="single" w:sz="4" w:space="0" w:color="auto"/>
              <w:left w:val="single" w:sz="4" w:space="0" w:color="auto"/>
              <w:bottom w:val="single" w:sz="4" w:space="0" w:color="auto"/>
              <w:right w:val="single" w:sz="4" w:space="0" w:color="auto"/>
            </w:tcBorders>
            <w:shd w:val="clear" w:color="auto" w:fill="FFFFFF" w:themeFill="background1"/>
          </w:tcPr>
          <w:p w:rsidR="00EA35CA" w:rsidRPr="008D797E" w:rsidRDefault="00EA35CA" w:rsidP="00EA35CA">
            <w:pPr>
              <w:keepNext/>
              <w:jc w:val="center"/>
              <w:rPr>
                <w:rFonts w:ascii="Arial Narrow" w:eastAsiaTheme="majorEastAsia" w:hAnsi="Arial Narrow" w:cstheme="majorBidi"/>
                <w:bCs/>
                <w:sz w:val="20"/>
              </w:rPr>
            </w:pPr>
            <w:r w:rsidRPr="008D797E">
              <w:rPr>
                <w:rFonts w:ascii="Arial Narrow" w:eastAsiaTheme="majorEastAsia" w:hAnsi="Arial Narrow" w:cs="Calibri"/>
                <w:sz w:val="20"/>
                <w:szCs w:val="20"/>
              </w:rPr>
              <w:t>31/430</w:t>
            </w:r>
          </w:p>
        </w:tc>
        <w:tc>
          <w:tcPr>
            <w:tcW w:w="817" w:type="pct"/>
            <w:tcBorders>
              <w:top w:val="single" w:sz="4" w:space="0" w:color="auto"/>
              <w:left w:val="single" w:sz="4" w:space="0" w:color="auto"/>
              <w:bottom w:val="single" w:sz="4" w:space="0" w:color="auto"/>
              <w:right w:val="single" w:sz="4" w:space="0" w:color="auto"/>
            </w:tcBorders>
            <w:shd w:val="clear" w:color="auto" w:fill="FFFFFF" w:themeFill="background1"/>
          </w:tcPr>
          <w:p w:rsidR="00EA35CA" w:rsidRPr="008D797E" w:rsidRDefault="00EA35CA" w:rsidP="00EA35CA">
            <w:pPr>
              <w:keepNext/>
              <w:jc w:val="center"/>
              <w:rPr>
                <w:rFonts w:ascii="Arial Narrow" w:eastAsiaTheme="majorEastAsia" w:hAnsi="Arial Narrow" w:cstheme="majorBidi"/>
                <w:bCs/>
                <w:sz w:val="20"/>
              </w:rPr>
            </w:pPr>
            <w:r w:rsidRPr="008D797E">
              <w:rPr>
                <w:rFonts w:ascii="Arial Narrow" w:eastAsiaTheme="majorEastAsia" w:hAnsi="Arial Narrow" w:cs="Calibri"/>
                <w:b/>
                <w:bCs/>
                <w:sz w:val="20"/>
                <w:szCs w:val="20"/>
              </w:rPr>
              <w:t>1.75 (1.15, 2.65)</w:t>
            </w:r>
          </w:p>
        </w:tc>
        <w:tc>
          <w:tcPr>
            <w:tcW w:w="686" w:type="pct"/>
            <w:tcBorders>
              <w:top w:val="single" w:sz="4" w:space="0" w:color="auto"/>
              <w:left w:val="single" w:sz="4" w:space="0" w:color="auto"/>
              <w:bottom w:val="single" w:sz="4" w:space="0" w:color="auto"/>
              <w:right w:val="single" w:sz="4" w:space="0" w:color="auto"/>
            </w:tcBorders>
            <w:shd w:val="clear" w:color="auto" w:fill="FFFFFF" w:themeFill="background1"/>
          </w:tcPr>
          <w:p w:rsidR="00EA35CA" w:rsidRPr="008D797E" w:rsidRDefault="00EA35CA" w:rsidP="000B72C6">
            <w:pPr>
              <w:keepNext/>
              <w:jc w:val="center"/>
              <w:rPr>
                <w:rFonts w:ascii="Arial Narrow" w:eastAsiaTheme="majorEastAsia" w:hAnsi="Arial Narrow" w:cstheme="majorBidi"/>
                <w:bCs/>
                <w:sz w:val="20"/>
              </w:rPr>
            </w:pPr>
            <w:r w:rsidRPr="008D797E">
              <w:rPr>
                <w:rFonts w:ascii="Arial Narrow" w:eastAsiaTheme="majorEastAsia" w:hAnsi="Arial Narrow" w:cstheme="majorBidi"/>
                <w:bCs/>
                <w:sz w:val="20"/>
              </w:rPr>
              <w:t>12.6</w:t>
            </w:r>
          </w:p>
        </w:tc>
        <w:tc>
          <w:tcPr>
            <w:tcW w:w="648" w:type="pct"/>
            <w:tcBorders>
              <w:top w:val="single" w:sz="4" w:space="0" w:color="auto"/>
              <w:left w:val="single" w:sz="4" w:space="0" w:color="auto"/>
              <w:bottom w:val="single" w:sz="4" w:space="0" w:color="auto"/>
              <w:right w:val="single" w:sz="4" w:space="0" w:color="auto"/>
            </w:tcBorders>
            <w:shd w:val="clear" w:color="auto" w:fill="FFFFFF" w:themeFill="background1"/>
          </w:tcPr>
          <w:p w:rsidR="00EA35CA" w:rsidRPr="008D797E" w:rsidRDefault="00EA35CA" w:rsidP="000B72C6">
            <w:pPr>
              <w:keepNext/>
              <w:jc w:val="center"/>
              <w:rPr>
                <w:rFonts w:ascii="Arial Narrow" w:eastAsiaTheme="majorEastAsia" w:hAnsi="Arial Narrow" w:cstheme="majorBidi"/>
                <w:bCs/>
                <w:sz w:val="20"/>
              </w:rPr>
            </w:pPr>
            <w:r w:rsidRPr="008D797E">
              <w:rPr>
                <w:rFonts w:ascii="Arial Narrow" w:eastAsiaTheme="majorEastAsia" w:hAnsi="Arial Narrow" w:cstheme="majorBidi"/>
                <w:bCs/>
                <w:sz w:val="20"/>
              </w:rPr>
              <w:t>7.2</w:t>
            </w:r>
          </w:p>
        </w:tc>
        <w:tc>
          <w:tcPr>
            <w:tcW w:w="703" w:type="pct"/>
            <w:tcBorders>
              <w:top w:val="single" w:sz="4" w:space="0" w:color="auto"/>
              <w:left w:val="single" w:sz="4" w:space="0" w:color="auto"/>
              <w:bottom w:val="single" w:sz="4" w:space="0" w:color="auto"/>
              <w:right w:val="single" w:sz="4" w:space="0" w:color="auto"/>
            </w:tcBorders>
            <w:shd w:val="clear" w:color="auto" w:fill="FFFFFF" w:themeFill="background1"/>
          </w:tcPr>
          <w:p w:rsidR="00EA35CA" w:rsidRPr="008D797E" w:rsidRDefault="00EA35CA" w:rsidP="000B72C6">
            <w:pPr>
              <w:keepNext/>
              <w:jc w:val="center"/>
              <w:rPr>
                <w:rFonts w:ascii="Arial Narrow" w:eastAsiaTheme="majorEastAsia" w:hAnsi="Arial Narrow" w:cstheme="majorBidi"/>
                <w:b/>
                <w:bCs/>
                <w:sz w:val="20"/>
              </w:rPr>
            </w:pPr>
            <w:r w:rsidRPr="008D797E">
              <w:rPr>
                <w:rFonts w:ascii="Arial Narrow" w:eastAsiaTheme="majorEastAsia" w:hAnsi="Arial Narrow" w:cstheme="majorBidi"/>
                <w:b/>
                <w:bCs/>
                <w:sz w:val="20"/>
              </w:rPr>
              <w:t>0.05 (0.02, 0.09)</w:t>
            </w:r>
          </w:p>
        </w:tc>
      </w:tr>
      <w:tr w:rsidR="00EA35CA" w:rsidRPr="008D797E" w:rsidTr="000B72C6">
        <w:tc>
          <w:tcPr>
            <w:tcW w:w="7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A35CA" w:rsidRPr="008D797E" w:rsidRDefault="00EA35CA" w:rsidP="00EA35CA">
            <w:pPr>
              <w:keepNext/>
              <w:jc w:val="left"/>
              <w:rPr>
                <w:rFonts w:ascii="Arial Narrow" w:eastAsiaTheme="majorEastAsia" w:hAnsi="Arial Narrow" w:cstheme="majorBidi"/>
                <w:bCs/>
                <w:sz w:val="20"/>
              </w:rPr>
            </w:pPr>
            <w:r w:rsidRPr="008D797E">
              <w:rPr>
                <w:rFonts w:ascii="Arial Narrow" w:eastAsiaTheme="majorEastAsia" w:hAnsi="Arial Narrow" w:cstheme="majorBidi"/>
                <w:bCs/>
                <w:sz w:val="20"/>
              </w:rPr>
              <w:t>AEs leading to treatment discontinuation</w:t>
            </w:r>
          </w:p>
        </w:tc>
        <w:tc>
          <w:tcPr>
            <w:tcW w:w="702" w:type="pct"/>
            <w:tcBorders>
              <w:top w:val="single" w:sz="4" w:space="0" w:color="auto"/>
              <w:left w:val="single" w:sz="4" w:space="0" w:color="auto"/>
              <w:bottom w:val="single" w:sz="4" w:space="0" w:color="auto"/>
              <w:right w:val="single" w:sz="4" w:space="0" w:color="auto"/>
            </w:tcBorders>
            <w:shd w:val="clear" w:color="auto" w:fill="FFFFFF" w:themeFill="background1"/>
          </w:tcPr>
          <w:p w:rsidR="00EA35CA" w:rsidRPr="008D797E" w:rsidRDefault="00EA35CA" w:rsidP="00EA35CA">
            <w:pPr>
              <w:keepNext/>
              <w:jc w:val="center"/>
              <w:rPr>
                <w:rFonts w:ascii="Arial Narrow" w:eastAsiaTheme="majorEastAsia" w:hAnsi="Arial Narrow" w:cstheme="majorBidi"/>
                <w:bCs/>
                <w:sz w:val="20"/>
              </w:rPr>
            </w:pPr>
            <w:r w:rsidRPr="008D797E">
              <w:rPr>
                <w:rFonts w:ascii="Arial Narrow" w:eastAsiaTheme="majorEastAsia" w:hAnsi="Arial Narrow" w:cs="Calibri"/>
                <w:sz w:val="20"/>
                <w:szCs w:val="20"/>
              </w:rPr>
              <w:t>88/460</w:t>
            </w:r>
          </w:p>
        </w:tc>
        <w:tc>
          <w:tcPr>
            <w:tcW w:w="734" w:type="pct"/>
            <w:tcBorders>
              <w:top w:val="single" w:sz="4" w:space="0" w:color="auto"/>
              <w:left w:val="single" w:sz="4" w:space="0" w:color="auto"/>
              <w:bottom w:val="single" w:sz="4" w:space="0" w:color="auto"/>
              <w:right w:val="single" w:sz="4" w:space="0" w:color="auto"/>
            </w:tcBorders>
            <w:shd w:val="clear" w:color="auto" w:fill="FFFFFF" w:themeFill="background1"/>
          </w:tcPr>
          <w:p w:rsidR="00EA35CA" w:rsidRPr="008D797E" w:rsidRDefault="00EA35CA" w:rsidP="00EA35CA">
            <w:pPr>
              <w:keepNext/>
              <w:jc w:val="center"/>
              <w:rPr>
                <w:rFonts w:ascii="Arial Narrow" w:eastAsiaTheme="majorEastAsia" w:hAnsi="Arial Narrow" w:cstheme="majorBidi"/>
                <w:bCs/>
                <w:sz w:val="20"/>
              </w:rPr>
            </w:pPr>
            <w:r w:rsidRPr="008D797E">
              <w:rPr>
                <w:rFonts w:ascii="Arial Narrow" w:eastAsiaTheme="majorEastAsia" w:hAnsi="Arial Narrow" w:cs="Calibri"/>
                <w:sz w:val="20"/>
                <w:szCs w:val="20"/>
              </w:rPr>
              <w:t>36/430</w:t>
            </w:r>
          </w:p>
        </w:tc>
        <w:tc>
          <w:tcPr>
            <w:tcW w:w="817" w:type="pct"/>
            <w:tcBorders>
              <w:top w:val="single" w:sz="4" w:space="0" w:color="auto"/>
              <w:left w:val="single" w:sz="4" w:space="0" w:color="auto"/>
              <w:bottom w:val="single" w:sz="4" w:space="0" w:color="auto"/>
              <w:right w:val="single" w:sz="4" w:space="0" w:color="auto"/>
            </w:tcBorders>
            <w:shd w:val="clear" w:color="auto" w:fill="FFFFFF" w:themeFill="background1"/>
          </w:tcPr>
          <w:p w:rsidR="00EA35CA" w:rsidRPr="008D797E" w:rsidRDefault="00EA35CA" w:rsidP="00EA35CA">
            <w:pPr>
              <w:keepNext/>
              <w:jc w:val="center"/>
              <w:rPr>
                <w:rFonts w:ascii="Arial Narrow" w:eastAsiaTheme="majorEastAsia" w:hAnsi="Arial Narrow" w:cstheme="majorBidi"/>
                <w:bCs/>
                <w:sz w:val="20"/>
              </w:rPr>
            </w:pPr>
            <w:r w:rsidRPr="008D797E">
              <w:rPr>
                <w:rFonts w:ascii="Arial Narrow" w:eastAsiaTheme="majorEastAsia" w:hAnsi="Arial Narrow" w:cs="Calibri"/>
                <w:b/>
                <w:sz w:val="20"/>
                <w:szCs w:val="20"/>
              </w:rPr>
              <w:t>2.29 (1.59, 3.29)</w:t>
            </w:r>
          </w:p>
        </w:tc>
        <w:tc>
          <w:tcPr>
            <w:tcW w:w="686" w:type="pct"/>
            <w:tcBorders>
              <w:top w:val="single" w:sz="4" w:space="0" w:color="auto"/>
              <w:left w:val="single" w:sz="4" w:space="0" w:color="auto"/>
              <w:bottom w:val="single" w:sz="4" w:space="0" w:color="auto"/>
              <w:right w:val="single" w:sz="4" w:space="0" w:color="auto"/>
            </w:tcBorders>
            <w:shd w:val="clear" w:color="auto" w:fill="FFFFFF" w:themeFill="background1"/>
          </w:tcPr>
          <w:p w:rsidR="00EA35CA" w:rsidRPr="008D797E" w:rsidRDefault="00EA35CA" w:rsidP="000B72C6">
            <w:pPr>
              <w:keepNext/>
              <w:jc w:val="center"/>
              <w:rPr>
                <w:rFonts w:ascii="Arial Narrow" w:eastAsiaTheme="majorEastAsia" w:hAnsi="Arial Narrow" w:cstheme="majorBidi"/>
                <w:bCs/>
                <w:sz w:val="20"/>
              </w:rPr>
            </w:pPr>
            <w:r w:rsidRPr="008D797E">
              <w:rPr>
                <w:rFonts w:ascii="Arial Narrow" w:eastAsiaTheme="majorEastAsia" w:hAnsi="Arial Narrow" w:cstheme="majorBidi"/>
                <w:bCs/>
                <w:sz w:val="20"/>
              </w:rPr>
              <w:t>19.1</w:t>
            </w:r>
          </w:p>
        </w:tc>
        <w:tc>
          <w:tcPr>
            <w:tcW w:w="648" w:type="pct"/>
            <w:tcBorders>
              <w:top w:val="single" w:sz="4" w:space="0" w:color="auto"/>
              <w:left w:val="single" w:sz="4" w:space="0" w:color="auto"/>
              <w:bottom w:val="single" w:sz="4" w:space="0" w:color="auto"/>
              <w:right w:val="single" w:sz="4" w:space="0" w:color="auto"/>
            </w:tcBorders>
            <w:shd w:val="clear" w:color="auto" w:fill="FFFFFF" w:themeFill="background1"/>
          </w:tcPr>
          <w:p w:rsidR="00EA35CA" w:rsidRPr="008D797E" w:rsidRDefault="00EA35CA" w:rsidP="000B72C6">
            <w:pPr>
              <w:keepNext/>
              <w:jc w:val="center"/>
              <w:rPr>
                <w:rFonts w:ascii="Arial Narrow" w:eastAsiaTheme="majorEastAsia" w:hAnsi="Arial Narrow" w:cstheme="majorBidi"/>
                <w:bCs/>
                <w:sz w:val="20"/>
              </w:rPr>
            </w:pPr>
            <w:r w:rsidRPr="008D797E">
              <w:rPr>
                <w:rFonts w:ascii="Arial Narrow" w:eastAsiaTheme="majorEastAsia" w:hAnsi="Arial Narrow" w:cstheme="majorBidi"/>
                <w:bCs/>
                <w:sz w:val="20"/>
              </w:rPr>
              <w:t>8.4</w:t>
            </w:r>
          </w:p>
        </w:tc>
        <w:tc>
          <w:tcPr>
            <w:tcW w:w="703" w:type="pct"/>
            <w:tcBorders>
              <w:top w:val="single" w:sz="4" w:space="0" w:color="auto"/>
              <w:left w:val="single" w:sz="4" w:space="0" w:color="auto"/>
              <w:bottom w:val="single" w:sz="4" w:space="0" w:color="auto"/>
              <w:right w:val="single" w:sz="4" w:space="0" w:color="auto"/>
            </w:tcBorders>
            <w:shd w:val="clear" w:color="auto" w:fill="FFFFFF" w:themeFill="background1"/>
          </w:tcPr>
          <w:p w:rsidR="00EA35CA" w:rsidRPr="008D797E" w:rsidRDefault="00EA35CA" w:rsidP="000B72C6">
            <w:pPr>
              <w:keepNext/>
              <w:jc w:val="center"/>
              <w:rPr>
                <w:rFonts w:ascii="Arial Narrow" w:eastAsiaTheme="majorEastAsia" w:hAnsi="Arial Narrow" w:cstheme="majorBidi"/>
                <w:b/>
                <w:bCs/>
                <w:sz w:val="20"/>
              </w:rPr>
            </w:pPr>
            <w:r w:rsidRPr="008D797E">
              <w:rPr>
                <w:rFonts w:ascii="Arial Narrow" w:eastAsiaTheme="majorEastAsia" w:hAnsi="Arial Narrow" w:cstheme="majorBidi"/>
                <w:b/>
                <w:bCs/>
                <w:sz w:val="20"/>
              </w:rPr>
              <w:t>0.11 (0.06, 0.15)</w:t>
            </w:r>
          </w:p>
        </w:tc>
      </w:tr>
    </w:tbl>
    <w:p w:rsidR="000B72C6" w:rsidRPr="008D797E" w:rsidRDefault="000B72C6" w:rsidP="000B72C6">
      <w:pPr>
        <w:rPr>
          <w:rFonts w:ascii="Arial Narrow" w:hAnsi="Arial Narrow"/>
          <w:sz w:val="18"/>
        </w:rPr>
      </w:pPr>
      <w:r w:rsidRPr="008D797E">
        <w:rPr>
          <w:rFonts w:ascii="Arial Narrow" w:hAnsi="Arial Narrow"/>
          <w:sz w:val="18"/>
        </w:rPr>
        <w:t>Source: Tables 2.5.1-2.5.4, pp80-85 and Table 2.5.12, p 101 and Table 2.5.13, p 102 of the resubmission</w:t>
      </w:r>
      <w:r w:rsidR="00804DE1" w:rsidRPr="008D797E">
        <w:rPr>
          <w:rFonts w:ascii="Arial Narrow" w:hAnsi="Arial Narrow"/>
          <w:sz w:val="18"/>
        </w:rPr>
        <w:t>, and</w:t>
      </w:r>
      <w:r w:rsidR="00DC38C3" w:rsidRPr="008D797E">
        <w:rPr>
          <w:rFonts w:ascii="Arial Narrow" w:hAnsi="Arial Narrow"/>
          <w:sz w:val="18"/>
        </w:rPr>
        <w:t xml:space="preserve"> Table </w:t>
      </w:r>
      <w:r w:rsidR="00EE606A" w:rsidRPr="008D797E">
        <w:rPr>
          <w:rFonts w:ascii="Arial Narrow" w:hAnsi="Arial Narrow"/>
          <w:sz w:val="18"/>
        </w:rPr>
        <w:t>6, p 16 of the Feb 2019 IMpassion130 CSR.</w:t>
      </w:r>
    </w:p>
    <w:p w:rsidR="000B72C6" w:rsidRPr="008D797E" w:rsidRDefault="000B72C6" w:rsidP="000B72C6">
      <w:pPr>
        <w:rPr>
          <w:rFonts w:ascii="Arial Narrow" w:hAnsi="Arial Narrow"/>
          <w:sz w:val="18"/>
        </w:rPr>
      </w:pPr>
      <w:r w:rsidRPr="008D797E">
        <w:rPr>
          <w:rFonts w:ascii="Arial Narrow" w:hAnsi="Arial Narrow"/>
          <w:sz w:val="18"/>
        </w:rPr>
        <w:t>ATZ = atezolizumab; CCOD = clinical cut-off date; CI = confidence interval; nab-P = nanoparticle albumin–bound paclitaxel; OS = overall survival; PBO = placebo; PD-L1 = programmed death ligand-1; PFS = progression free survival; RD = risk difference; RR = risk ratio.</w:t>
      </w:r>
    </w:p>
    <w:p w:rsidR="00EA35CA" w:rsidRPr="008D797E" w:rsidRDefault="00EA35CA" w:rsidP="00EA35CA">
      <w:pPr>
        <w:rPr>
          <w:rFonts w:ascii="Arial Narrow" w:hAnsi="Arial Narrow"/>
          <w:sz w:val="18"/>
        </w:rPr>
      </w:pPr>
      <w:r w:rsidRPr="008D797E">
        <w:rPr>
          <w:rFonts w:ascii="Arial Narrow" w:hAnsi="Arial Narrow"/>
          <w:sz w:val="18"/>
          <w:vertAlign w:val="superscript"/>
        </w:rPr>
        <w:t>a</w:t>
      </w:r>
      <w:r w:rsidRPr="008D797E">
        <w:rPr>
          <w:rFonts w:ascii="Arial Narrow" w:hAnsi="Arial Narrow"/>
          <w:sz w:val="18"/>
        </w:rPr>
        <w:t xml:space="preserve"> Two-year duration not provided by the CSR or resubmission.</w:t>
      </w:r>
    </w:p>
    <w:p w:rsidR="0068004F" w:rsidRPr="008D797E" w:rsidRDefault="0068004F" w:rsidP="00EA35CA">
      <w:pPr>
        <w:rPr>
          <w:rFonts w:ascii="Arial Narrow" w:hAnsi="Arial Narrow"/>
          <w:sz w:val="18"/>
        </w:rPr>
      </w:pPr>
      <w:r w:rsidRPr="008D797E">
        <w:rPr>
          <w:rFonts w:ascii="Arial Narrow" w:hAnsi="Arial Narrow"/>
          <w:sz w:val="18"/>
          <w:vertAlign w:val="superscript"/>
        </w:rPr>
        <w:t>b</w:t>
      </w:r>
      <w:r w:rsidRPr="008D797E">
        <w:rPr>
          <w:rFonts w:ascii="Arial Narrow" w:hAnsi="Arial Narrow"/>
          <w:sz w:val="18"/>
        </w:rPr>
        <w:t xml:space="preserve"> Data from 2 January 2019 CCOD.</w:t>
      </w:r>
    </w:p>
    <w:p w:rsidR="00EA35CA" w:rsidRPr="008D797E" w:rsidRDefault="0068004F" w:rsidP="00EA35CA">
      <w:pPr>
        <w:rPr>
          <w:rFonts w:ascii="Arial Narrow" w:hAnsi="Arial Narrow"/>
          <w:sz w:val="18"/>
        </w:rPr>
      </w:pPr>
      <w:r w:rsidRPr="008D797E">
        <w:rPr>
          <w:rFonts w:ascii="Arial Narrow" w:hAnsi="Arial Narrow"/>
          <w:sz w:val="18"/>
          <w:vertAlign w:val="superscript"/>
        </w:rPr>
        <w:t>c</w:t>
      </w:r>
      <w:r w:rsidR="00EA35CA" w:rsidRPr="008D797E">
        <w:rPr>
          <w:rFonts w:ascii="Arial Narrow" w:hAnsi="Arial Narrow"/>
          <w:sz w:val="18"/>
        </w:rPr>
        <w:t xml:space="preserve"> </w:t>
      </w:r>
      <w:r w:rsidR="00EA35CA" w:rsidRPr="008D797E">
        <w:rPr>
          <w:rFonts w:ascii="Arial Narrow" w:eastAsia="MS Gothic" w:hAnsi="Arial Narrow"/>
          <w:sz w:val="18"/>
        </w:rPr>
        <w:t xml:space="preserve">Updated data only provided </w:t>
      </w:r>
      <w:r w:rsidR="000B72C6" w:rsidRPr="008D797E">
        <w:rPr>
          <w:rFonts w:ascii="Arial Narrow" w:eastAsia="MS Gothic" w:hAnsi="Arial Narrow"/>
          <w:sz w:val="18"/>
        </w:rPr>
        <w:t xml:space="preserve">OS at </w:t>
      </w:r>
      <w:r w:rsidR="00EA35CA" w:rsidRPr="008D797E">
        <w:rPr>
          <w:rFonts w:ascii="Arial Narrow" w:eastAsia="MS Gothic" w:hAnsi="Arial Narrow"/>
          <w:sz w:val="18"/>
        </w:rPr>
        <w:t>36 months</w:t>
      </w:r>
      <w:r w:rsidR="00EA35CA" w:rsidRPr="008D797E">
        <w:rPr>
          <w:rFonts w:ascii="Arial Narrow" w:hAnsi="Arial Narrow"/>
          <w:sz w:val="18"/>
        </w:rPr>
        <w:t>.</w:t>
      </w:r>
    </w:p>
    <w:p w:rsidR="00EA35CA" w:rsidRPr="008D797E" w:rsidRDefault="0068004F" w:rsidP="00EA35CA">
      <w:pPr>
        <w:rPr>
          <w:rFonts w:ascii="Arial Narrow" w:eastAsia="Calibri" w:hAnsi="Arial Narrow"/>
          <w:sz w:val="18"/>
        </w:rPr>
      </w:pPr>
      <w:r w:rsidRPr="008D797E">
        <w:rPr>
          <w:rFonts w:ascii="Arial Narrow" w:eastAsia="Calibri" w:hAnsi="Arial Narrow"/>
          <w:sz w:val="18"/>
          <w:vertAlign w:val="superscript"/>
        </w:rPr>
        <w:t>d</w:t>
      </w:r>
      <w:r w:rsidR="00EA35CA" w:rsidRPr="008D797E">
        <w:rPr>
          <w:rFonts w:ascii="Arial Narrow" w:eastAsia="Calibri" w:hAnsi="Arial Narrow"/>
          <w:sz w:val="18"/>
        </w:rPr>
        <w:t xml:space="preserve"> </w:t>
      </w:r>
      <w:r w:rsidR="00EA35CA" w:rsidRPr="008D797E">
        <w:rPr>
          <w:rFonts w:ascii="Arial Narrow" w:hAnsi="Arial Narrow"/>
          <w:sz w:val="18"/>
        </w:rPr>
        <w:t xml:space="preserve">No formal testing of OS was performed in the </w:t>
      </w:r>
      <w:r w:rsidR="00CD3CCD" w:rsidRPr="008D797E">
        <w:rPr>
          <w:rFonts w:ascii="Arial Narrow" w:hAnsi="Arial Narrow"/>
          <w:sz w:val="18"/>
        </w:rPr>
        <w:t>PD-L1-positive</w:t>
      </w:r>
      <w:r w:rsidR="00EA35CA" w:rsidRPr="008D797E">
        <w:rPr>
          <w:rFonts w:ascii="Arial Narrow" w:hAnsi="Arial Narrow"/>
          <w:sz w:val="18"/>
        </w:rPr>
        <w:t xml:space="preserve"> population because hierarchy of testing indicated formal testing could only occur if OS was first statistically significant in the ITT population.</w:t>
      </w:r>
    </w:p>
    <w:p w:rsidR="00EA35CA" w:rsidRPr="008D797E" w:rsidRDefault="00EA35CA" w:rsidP="00EA35CA">
      <w:pPr>
        <w:rPr>
          <w:rFonts w:ascii="Arial Narrow" w:hAnsi="Arial Narrow"/>
          <w:sz w:val="18"/>
        </w:rPr>
      </w:pPr>
      <w:r w:rsidRPr="008D797E">
        <w:rPr>
          <w:rFonts w:ascii="Arial Narrow" w:hAnsi="Arial Narrow"/>
          <w:sz w:val="18"/>
        </w:rPr>
        <w:t>Statistically significant relative risks are bolded.</w:t>
      </w:r>
    </w:p>
    <w:p w:rsidR="000B72C6" w:rsidRPr="008D797E" w:rsidRDefault="000B72C6" w:rsidP="00EA35CA">
      <w:pPr>
        <w:rPr>
          <w:rFonts w:ascii="Arial Narrow" w:eastAsia="MS Mincho" w:hAnsi="Arial Narrow"/>
          <w:sz w:val="18"/>
        </w:rPr>
      </w:pPr>
    </w:p>
    <w:p w:rsidR="00EA35CA" w:rsidRPr="008D797E" w:rsidRDefault="00EA35CA" w:rsidP="00EA35CA">
      <w:pPr>
        <w:numPr>
          <w:ilvl w:val="1"/>
          <w:numId w:val="1"/>
        </w:numPr>
        <w:spacing w:after="120"/>
        <w:rPr>
          <w:rFonts w:asciiTheme="minorHAnsi" w:hAnsiTheme="minorHAnsi"/>
          <w:snapToGrid w:val="0"/>
        </w:rPr>
      </w:pPr>
      <w:r w:rsidRPr="008D797E">
        <w:rPr>
          <w:rFonts w:asciiTheme="minorHAnsi" w:hAnsiTheme="minorHAnsi"/>
          <w:snapToGrid w:val="0"/>
        </w:rPr>
        <w:t xml:space="preserve">On the basis of direct </w:t>
      </w:r>
      <w:r w:rsidR="000B72C6" w:rsidRPr="008D797E">
        <w:rPr>
          <w:rFonts w:asciiTheme="minorHAnsi" w:hAnsiTheme="minorHAnsi"/>
          <w:snapToGrid w:val="0"/>
        </w:rPr>
        <w:t xml:space="preserve">evidence presented by </w:t>
      </w:r>
      <w:r w:rsidRPr="008D797E">
        <w:rPr>
          <w:rFonts w:asciiTheme="minorHAnsi" w:hAnsiTheme="minorHAnsi"/>
          <w:snapToGrid w:val="0"/>
        </w:rPr>
        <w:t xml:space="preserve">the </w:t>
      </w:r>
      <w:r w:rsidR="000B72C6" w:rsidRPr="008D797E">
        <w:rPr>
          <w:rFonts w:asciiTheme="minorHAnsi" w:hAnsiTheme="minorHAnsi"/>
          <w:snapToGrid w:val="0"/>
        </w:rPr>
        <w:t>re</w:t>
      </w:r>
      <w:r w:rsidRPr="008D797E">
        <w:rPr>
          <w:rFonts w:asciiTheme="minorHAnsi" w:hAnsiTheme="minorHAnsi"/>
          <w:snapToGrid w:val="0"/>
        </w:rPr>
        <w:t xml:space="preserve">submission, for every 100 </w:t>
      </w:r>
      <w:r w:rsidR="00CD3CCD" w:rsidRPr="008D797E">
        <w:rPr>
          <w:rFonts w:asciiTheme="minorHAnsi" w:hAnsiTheme="minorHAnsi"/>
          <w:snapToGrid w:val="0"/>
        </w:rPr>
        <w:t>PD-L1-positive</w:t>
      </w:r>
      <w:r w:rsidRPr="008D797E">
        <w:rPr>
          <w:rFonts w:asciiTheme="minorHAnsi" w:hAnsiTheme="minorHAnsi"/>
          <w:snapToGrid w:val="0"/>
        </w:rPr>
        <w:t xml:space="preserve"> patients treated with ATZ+nab-P in comparison with </w:t>
      </w:r>
      <w:r w:rsidR="000B72C6" w:rsidRPr="008D797E">
        <w:rPr>
          <w:rFonts w:asciiTheme="minorHAnsi" w:hAnsiTheme="minorHAnsi"/>
          <w:snapToGrid w:val="0"/>
        </w:rPr>
        <w:t>PBO+</w:t>
      </w:r>
      <w:r w:rsidRPr="008D797E">
        <w:rPr>
          <w:rFonts w:asciiTheme="minorHAnsi" w:hAnsiTheme="minorHAnsi"/>
          <w:snapToGrid w:val="0"/>
        </w:rPr>
        <w:t>nab-P</w:t>
      </w:r>
      <w:r w:rsidR="009B2970" w:rsidRPr="008D797E">
        <w:rPr>
          <w:rFonts w:asciiTheme="minorHAnsi" w:hAnsiTheme="minorHAnsi"/>
          <w:snapToGrid w:val="0"/>
        </w:rPr>
        <w:t>:</w:t>
      </w:r>
    </w:p>
    <w:p w:rsidR="00EA35CA" w:rsidRPr="008D797E" w:rsidRDefault="00EA35CA" w:rsidP="004221B4">
      <w:pPr>
        <w:numPr>
          <w:ilvl w:val="0"/>
          <w:numId w:val="13"/>
        </w:numPr>
        <w:tabs>
          <w:tab w:val="left" w:pos="1078"/>
        </w:tabs>
        <w:spacing w:before="120" w:after="160"/>
        <w:ind w:left="1092" w:hanging="392"/>
        <w:rPr>
          <w:rFonts w:asciiTheme="minorHAnsi" w:hAnsiTheme="minorHAnsi"/>
          <w:snapToGrid w:val="0"/>
        </w:rPr>
      </w:pPr>
      <w:r w:rsidRPr="008D797E">
        <w:rPr>
          <w:rFonts w:asciiTheme="minorHAnsi" w:hAnsiTheme="minorHAnsi"/>
          <w:snapToGrid w:val="0"/>
        </w:rPr>
        <w:t xml:space="preserve">Approximately 13 additional patients will remain progression-free after 12 months, and approximately 14 additional patients will remain alive at 36 months compared with nab-P monotherapy. </w:t>
      </w:r>
      <w:r w:rsidR="00B13F21" w:rsidRPr="008D797E">
        <w:t xml:space="preserve">These results are </w:t>
      </w:r>
      <w:r w:rsidR="00B82D3D" w:rsidRPr="008D797E">
        <w:t xml:space="preserve">highly </w:t>
      </w:r>
      <w:r w:rsidR="00B13F21" w:rsidRPr="008D797E">
        <w:t>uncertain given the statistical analysis was inconsistent with the pre-specified statistical analysis plan, and the results are also inconsistent with the findings from the similar IMpassion131 trial.</w:t>
      </w:r>
      <w:r w:rsidR="00B82D3D" w:rsidRPr="008D797E">
        <w:t xml:space="preserve"> Further, </w:t>
      </w:r>
      <w:r w:rsidR="00E34120" w:rsidRPr="008D797E">
        <w:t>this benefit may be overestimated because the nab-P may be an inferior treatment choice for some patients in the comparator arm and is additionally uncertain because the median OS was longer than the median follow-up.</w:t>
      </w:r>
    </w:p>
    <w:p w:rsidR="00EA35CA" w:rsidRPr="008D797E" w:rsidRDefault="00EA35CA" w:rsidP="004221B4">
      <w:pPr>
        <w:numPr>
          <w:ilvl w:val="0"/>
          <w:numId w:val="13"/>
        </w:numPr>
        <w:tabs>
          <w:tab w:val="left" w:pos="1078"/>
        </w:tabs>
        <w:spacing w:before="120" w:after="160"/>
        <w:ind w:left="1092" w:hanging="392"/>
        <w:rPr>
          <w:rFonts w:asciiTheme="minorHAnsi" w:hAnsiTheme="minorHAnsi"/>
          <w:snapToGrid w:val="0"/>
        </w:rPr>
      </w:pPr>
      <w:r w:rsidRPr="008D797E">
        <w:rPr>
          <w:rFonts w:asciiTheme="minorHAnsi" w:hAnsiTheme="minorHAnsi"/>
          <w:snapToGrid w:val="0"/>
        </w:rPr>
        <w:t xml:space="preserve">Adverse events experienced by </w:t>
      </w:r>
      <w:r w:rsidR="00CD3CCD" w:rsidRPr="008D797E">
        <w:rPr>
          <w:rFonts w:asciiTheme="minorHAnsi" w:hAnsiTheme="minorHAnsi"/>
          <w:snapToGrid w:val="0"/>
        </w:rPr>
        <w:t>PD-L1-positive</w:t>
      </w:r>
      <w:r w:rsidRPr="008D797E">
        <w:rPr>
          <w:rFonts w:asciiTheme="minorHAnsi" w:hAnsiTheme="minorHAnsi"/>
          <w:snapToGrid w:val="0"/>
        </w:rPr>
        <w:t xml:space="preserve"> patients treated with ATZ+nab-P over the median duration of treatment of </w:t>
      </w:r>
      <w:r w:rsidR="000B72C6" w:rsidRPr="008D797E">
        <w:rPr>
          <w:rFonts w:asciiTheme="minorHAnsi" w:hAnsiTheme="minorHAnsi"/>
          <w:snapToGrid w:val="0"/>
        </w:rPr>
        <w:t>29</w:t>
      </w:r>
      <w:r w:rsidRPr="008D797E">
        <w:rPr>
          <w:rFonts w:asciiTheme="minorHAnsi" w:hAnsiTheme="minorHAnsi"/>
          <w:snapToGrid w:val="0"/>
        </w:rPr>
        <w:t xml:space="preserve"> weeks: </w:t>
      </w:r>
    </w:p>
    <w:p w:rsidR="00EA35CA" w:rsidRPr="008D797E" w:rsidRDefault="00EA35CA" w:rsidP="004221B4">
      <w:pPr>
        <w:numPr>
          <w:ilvl w:val="1"/>
          <w:numId w:val="13"/>
        </w:numPr>
        <w:tabs>
          <w:tab w:val="left" w:pos="1078"/>
        </w:tabs>
        <w:spacing w:before="120" w:after="160"/>
        <w:rPr>
          <w:rFonts w:asciiTheme="minorHAnsi" w:hAnsiTheme="minorHAnsi"/>
          <w:snapToGrid w:val="0"/>
        </w:rPr>
      </w:pPr>
      <w:r w:rsidRPr="008D797E">
        <w:rPr>
          <w:rFonts w:asciiTheme="minorHAnsi" w:hAnsiTheme="minorHAnsi"/>
          <w:snapToGrid w:val="0"/>
        </w:rPr>
        <w:t>12 additional patients will experience a grade 3-4 AE</w:t>
      </w:r>
      <w:r w:rsidR="00FF2992" w:rsidRPr="008D797E">
        <w:rPr>
          <w:rFonts w:asciiTheme="minorHAnsi" w:hAnsiTheme="minorHAnsi"/>
          <w:snapToGrid w:val="0"/>
        </w:rPr>
        <w:t>.</w:t>
      </w:r>
    </w:p>
    <w:p w:rsidR="00EA35CA" w:rsidRPr="008D797E" w:rsidRDefault="00EA35CA" w:rsidP="004221B4">
      <w:pPr>
        <w:numPr>
          <w:ilvl w:val="1"/>
          <w:numId w:val="13"/>
        </w:numPr>
        <w:tabs>
          <w:tab w:val="left" w:pos="1078"/>
        </w:tabs>
        <w:spacing w:before="120" w:after="160"/>
        <w:rPr>
          <w:rFonts w:asciiTheme="minorHAnsi" w:hAnsiTheme="minorHAnsi"/>
          <w:snapToGrid w:val="0"/>
        </w:rPr>
      </w:pPr>
      <w:r w:rsidRPr="008D797E">
        <w:rPr>
          <w:rFonts w:asciiTheme="minorHAnsi" w:hAnsiTheme="minorHAnsi"/>
          <w:snapToGrid w:val="0"/>
        </w:rPr>
        <w:t>5 additional patients will experience a treatment related SAE</w:t>
      </w:r>
      <w:r w:rsidR="00FF2992" w:rsidRPr="008D797E">
        <w:rPr>
          <w:rFonts w:asciiTheme="minorHAnsi" w:hAnsiTheme="minorHAnsi"/>
          <w:snapToGrid w:val="0"/>
        </w:rPr>
        <w:t>.</w:t>
      </w:r>
      <w:r w:rsidRPr="008D797E">
        <w:rPr>
          <w:rFonts w:asciiTheme="minorHAnsi" w:hAnsiTheme="minorHAnsi"/>
          <w:snapToGrid w:val="0"/>
        </w:rPr>
        <w:t xml:space="preserve"> </w:t>
      </w:r>
    </w:p>
    <w:p w:rsidR="00EA35CA" w:rsidRPr="008D797E" w:rsidRDefault="00EA35CA" w:rsidP="004221B4">
      <w:pPr>
        <w:numPr>
          <w:ilvl w:val="1"/>
          <w:numId w:val="13"/>
        </w:numPr>
        <w:tabs>
          <w:tab w:val="left" w:pos="1078"/>
        </w:tabs>
        <w:spacing w:before="120" w:after="160"/>
        <w:rPr>
          <w:rFonts w:asciiTheme="minorHAnsi" w:hAnsiTheme="minorHAnsi"/>
          <w:snapToGrid w:val="0"/>
        </w:rPr>
      </w:pPr>
      <w:r w:rsidRPr="008D797E">
        <w:rPr>
          <w:rFonts w:asciiTheme="minorHAnsi" w:hAnsiTheme="minorHAnsi"/>
          <w:snapToGrid w:val="0"/>
        </w:rPr>
        <w:t>11 additional patients will experience an AE leading to treatment discontinuation</w:t>
      </w:r>
      <w:r w:rsidR="007A6596" w:rsidRPr="008D797E">
        <w:rPr>
          <w:rFonts w:asciiTheme="minorHAnsi" w:hAnsiTheme="minorHAnsi"/>
          <w:snapToGrid w:val="0"/>
        </w:rPr>
        <w:t>.</w:t>
      </w:r>
    </w:p>
    <w:p w:rsidR="00EA35CA" w:rsidRPr="008D797E" w:rsidRDefault="00EA35CA" w:rsidP="00F172BC">
      <w:pPr>
        <w:pStyle w:val="4-SubsectionHeading"/>
      </w:pPr>
      <w:bookmarkStart w:id="37" w:name="_Toc61965002"/>
      <w:r w:rsidRPr="008D797E">
        <w:t>Clinical claim</w:t>
      </w:r>
      <w:bookmarkEnd w:id="35"/>
      <w:bookmarkEnd w:id="36"/>
      <w:bookmarkEnd w:id="37"/>
    </w:p>
    <w:p w:rsidR="00EA35CA" w:rsidRPr="008D797E" w:rsidRDefault="00EA35CA" w:rsidP="00EA35CA">
      <w:pPr>
        <w:numPr>
          <w:ilvl w:val="1"/>
          <w:numId w:val="1"/>
        </w:numPr>
        <w:spacing w:after="120"/>
        <w:rPr>
          <w:rFonts w:asciiTheme="minorHAnsi" w:eastAsia="Calibri" w:hAnsiTheme="minorHAnsi"/>
          <w:snapToGrid w:val="0"/>
        </w:rPr>
      </w:pPr>
      <w:r w:rsidRPr="008D797E">
        <w:rPr>
          <w:rFonts w:asciiTheme="minorHAnsi" w:hAnsiTheme="minorHAnsi"/>
          <w:snapToGrid w:val="0"/>
        </w:rPr>
        <w:t xml:space="preserve">The resubmission described ATZ+nab-P as superior in terms of effectiveness compared with nab-P alone in the first-line treatment of patients with mTNBC whose tumours are </w:t>
      </w:r>
      <w:r w:rsidR="00CD3CCD" w:rsidRPr="008D797E">
        <w:rPr>
          <w:rFonts w:asciiTheme="minorHAnsi" w:hAnsiTheme="minorHAnsi"/>
          <w:snapToGrid w:val="0"/>
        </w:rPr>
        <w:t>PD-L1-positive</w:t>
      </w:r>
      <w:r w:rsidRPr="008D797E">
        <w:rPr>
          <w:rFonts w:asciiTheme="minorHAnsi" w:hAnsiTheme="minorHAnsi"/>
          <w:snapToGrid w:val="0"/>
        </w:rPr>
        <w:t xml:space="preserve"> (PD-L1 stained IC covering ≥1% of the tumour area), and inferior but clinically manageable in terms of safety compared to nab-paclitaxel alone.</w:t>
      </w:r>
      <w:r w:rsidR="000B72C6" w:rsidRPr="008D797E">
        <w:rPr>
          <w:rFonts w:asciiTheme="minorHAnsi" w:hAnsiTheme="minorHAnsi"/>
          <w:snapToGrid w:val="0"/>
        </w:rPr>
        <w:t xml:space="preserve"> The PBAC previously considered that the claim of superior effectiveness was not adequately supported (para 7.13, </w:t>
      </w:r>
      <w:r w:rsidR="00AC1010" w:rsidRPr="008D797E">
        <w:rPr>
          <w:rFonts w:asciiTheme="minorHAnsi" w:hAnsiTheme="minorHAnsi"/>
          <w:snapToGrid w:val="0"/>
        </w:rPr>
        <w:t>atezolizumab PSD</w:t>
      </w:r>
      <w:r w:rsidR="000B72C6" w:rsidRPr="008D797E">
        <w:rPr>
          <w:rFonts w:asciiTheme="minorHAnsi" w:hAnsiTheme="minorHAnsi"/>
          <w:snapToGrid w:val="0"/>
        </w:rPr>
        <w:t>, March 2020 PBAC meeting).</w:t>
      </w:r>
    </w:p>
    <w:p w:rsidR="000D73F8" w:rsidRPr="008D797E" w:rsidRDefault="00EA35CA" w:rsidP="0004442C">
      <w:pPr>
        <w:pStyle w:val="3-BodyText"/>
        <w:rPr>
          <w:lang w:eastAsia="en-US"/>
        </w:rPr>
      </w:pPr>
      <w:r w:rsidRPr="008D797E">
        <w:rPr>
          <w:rFonts w:eastAsia="Calibri"/>
        </w:rPr>
        <w:t xml:space="preserve">The resubmission modified the proposed PBS population to more closely align with the patients of IMpassion130, which addressed some of the concerns raised in the </w:t>
      </w:r>
      <w:r w:rsidR="00EE4B54" w:rsidRPr="008D797E">
        <w:rPr>
          <w:rFonts w:eastAsia="Calibri"/>
        </w:rPr>
        <w:t xml:space="preserve">previous consideration of </w:t>
      </w:r>
      <w:r w:rsidRPr="008D797E">
        <w:rPr>
          <w:rFonts w:eastAsia="Calibri"/>
        </w:rPr>
        <w:t xml:space="preserve">ATZ </w:t>
      </w:r>
      <w:r w:rsidR="00EE4B54" w:rsidRPr="008D797E">
        <w:rPr>
          <w:rFonts w:eastAsia="Calibri"/>
        </w:rPr>
        <w:t>(</w:t>
      </w:r>
      <w:r w:rsidRPr="008D797E">
        <w:rPr>
          <w:rFonts w:eastAsia="Calibri"/>
        </w:rPr>
        <w:t>March 2020</w:t>
      </w:r>
      <w:r w:rsidR="00EE4B54" w:rsidRPr="008D797E">
        <w:rPr>
          <w:rFonts w:eastAsia="Calibri"/>
        </w:rPr>
        <w:t>)</w:t>
      </w:r>
      <w:r w:rsidRPr="008D797E">
        <w:rPr>
          <w:rFonts w:eastAsia="Calibri"/>
        </w:rPr>
        <w:t xml:space="preserve">. However, </w:t>
      </w:r>
      <w:r w:rsidR="00E20440" w:rsidRPr="008D797E">
        <w:rPr>
          <w:rFonts w:eastAsia="Calibri"/>
        </w:rPr>
        <w:t xml:space="preserve">the ESC agreed that the selection of nab-P as the comparator was </w:t>
      </w:r>
      <w:r w:rsidRPr="008D797E">
        <w:rPr>
          <w:rFonts w:eastAsia="Calibri"/>
        </w:rPr>
        <w:t>not adequately justif</w:t>
      </w:r>
      <w:r w:rsidR="00F576B7" w:rsidRPr="008D797E">
        <w:rPr>
          <w:rFonts w:eastAsia="Calibri"/>
        </w:rPr>
        <w:t>i</w:t>
      </w:r>
      <w:r w:rsidR="00E20440" w:rsidRPr="008D797E">
        <w:rPr>
          <w:rFonts w:eastAsia="Calibri"/>
        </w:rPr>
        <w:t>ed</w:t>
      </w:r>
      <w:r w:rsidRPr="008D797E">
        <w:rPr>
          <w:rFonts w:eastAsia="Calibri"/>
        </w:rPr>
        <w:t xml:space="preserve"> </w:t>
      </w:r>
      <w:r w:rsidR="00E20440" w:rsidRPr="008D797E">
        <w:rPr>
          <w:rFonts w:eastAsia="Calibri"/>
        </w:rPr>
        <w:t>and that it may represent an</w:t>
      </w:r>
      <w:r w:rsidRPr="008D797E">
        <w:rPr>
          <w:rFonts w:eastAsia="Calibri"/>
        </w:rPr>
        <w:t xml:space="preserve"> inferior comparator therapy for the majority of patients in IMpassion130 and the target Australian population. These concerns have been compounded by the recent results of IMpassion131, where the PBO+P arm demonstrated greater median OS, compared to the ATZ+P arm. This increases the </w:t>
      </w:r>
      <w:r w:rsidR="000D73F8" w:rsidRPr="008D797E">
        <w:rPr>
          <w:rFonts w:eastAsia="Calibri"/>
        </w:rPr>
        <w:t>uncertainty about the reliability</w:t>
      </w:r>
      <w:r w:rsidR="00073F5D" w:rsidRPr="008D797E">
        <w:rPr>
          <w:rFonts w:eastAsia="Calibri"/>
        </w:rPr>
        <w:t xml:space="preserve"> and replicability</w:t>
      </w:r>
      <w:r w:rsidR="000D73F8" w:rsidRPr="008D797E">
        <w:rPr>
          <w:rFonts w:eastAsia="Calibri"/>
        </w:rPr>
        <w:t xml:space="preserve"> of the benefit demonstrated for ATZ+nab-P in IMpassion130.</w:t>
      </w:r>
      <w:r w:rsidR="00180233" w:rsidRPr="008D797E">
        <w:rPr>
          <w:lang w:eastAsia="en-US"/>
        </w:rPr>
        <w:t xml:space="preserve"> For these reasons, the PBAC considered that </w:t>
      </w:r>
      <w:r w:rsidR="00180233" w:rsidRPr="008D797E">
        <w:t>the claim of superior effectiveness remained not adequately supported</w:t>
      </w:r>
      <w:r w:rsidR="00180233" w:rsidRPr="008D797E">
        <w:rPr>
          <w:lang w:eastAsia="en-US"/>
        </w:rPr>
        <w:t xml:space="preserve"> by the data.</w:t>
      </w:r>
    </w:p>
    <w:p w:rsidR="004221B4" w:rsidRPr="008D797E" w:rsidRDefault="00E20440" w:rsidP="004221B4">
      <w:pPr>
        <w:pStyle w:val="3-BodyText"/>
        <w:rPr>
          <w:lang w:eastAsia="en-US"/>
        </w:rPr>
      </w:pPr>
      <w:r w:rsidRPr="008D797E">
        <w:rPr>
          <w:rFonts w:eastAsia="Calibri"/>
        </w:rPr>
        <w:t>The ESC considered that the claim of inferior safety was reasonable, but that it is unclear whether it is clinically manageable compared with nab-P alone.</w:t>
      </w:r>
      <w:r w:rsidR="005A4C24" w:rsidRPr="008D797E">
        <w:rPr>
          <w:rFonts w:eastAsia="Calibri"/>
        </w:rPr>
        <w:t xml:space="preserve"> </w:t>
      </w:r>
      <w:r w:rsidR="004221B4" w:rsidRPr="008D797E">
        <w:rPr>
          <w:lang w:eastAsia="en-US"/>
        </w:rPr>
        <w:t xml:space="preserve">The PBAC </w:t>
      </w:r>
      <w:r w:rsidR="00180233" w:rsidRPr="008D797E">
        <w:rPr>
          <w:rFonts w:eastAsia="Calibri"/>
        </w:rPr>
        <w:t>considered that the claim of inferior safety was reasonable</w:t>
      </w:r>
      <w:r w:rsidR="00180233" w:rsidRPr="008D797E">
        <w:rPr>
          <w:lang w:eastAsia="en-US"/>
        </w:rPr>
        <w:t>.</w:t>
      </w:r>
    </w:p>
    <w:p w:rsidR="00622DEB" w:rsidRPr="008D797E" w:rsidRDefault="00622DEB" w:rsidP="00622DEB">
      <w:pPr>
        <w:pStyle w:val="4-SubsectionHeading"/>
      </w:pPr>
      <w:bookmarkStart w:id="38" w:name="_Toc60915064"/>
      <w:bookmarkStart w:id="39" w:name="_Toc61965003"/>
      <w:bookmarkEnd w:id="18"/>
      <w:r w:rsidRPr="008D797E">
        <w:t>Economic analysis</w:t>
      </w:r>
      <w:bookmarkEnd w:id="38"/>
      <w:bookmarkEnd w:id="39"/>
      <w:r w:rsidRPr="008D797E">
        <w:t xml:space="preserve"> </w:t>
      </w:r>
    </w:p>
    <w:p w:rsidR="00622DEB" w:rsidRPr="008D797E" w:rsidRDefault="00622DEB" w:rsidP="00622DEB">
      <w:pPr>
        <w:pStyle w:val="3-BodyText"/>
        <w:ind w:left="709"/>
      </w:pPr>
      <w:r w:rsidRPr="008D797E">
        <w:t>The resubmission presented a modelled evaluation based on the IMpassion130</w:t>
      </w:r>
      <w:r w:rsidR="007047BD" w:rsidRPr="008D797E">
        <w:t xml:space="preserve"> trial data</w:t>
      </w:r>
      <w:r w:rsidRPr="008D797E">
        <w:t>. The types of economic evaluation presented were a cost-effectiveness (cost-per-life-year-gained</w:t>
      </w:r>
      <w:r w:rsidR="007A6596" w:rsidRPr="008D797E">
        <w:t xml:space="preserve"> (LYG)</w:t>
      </w:r>
      <w:r w:rsidRPr="008D797E">
        <w:t xml:space="preserve">) and a cost-utility analysis (cost-per-quality-adjusted life-year (QALY)-gained). This </w:t>
      </w:r>
      <w:r w:rsidR="007047BD" w:rsidRPr="008D797E">
        <w:t>wa</w:t>
      </w:r>
      <w:r w:rsidRPr="008D797E">
        <w:t xml:space="preserve">s unchanged from the previous submission. </w:t>
      </w:r>
      <w:r w:rsidRPr="008D797E">
        <w:rPr>
          <w:rFonts w:eastAsia="Calibri"/>
          <w:szCs w:val="22"/>
          <w:lang w:eastAsia="en-US"/>
        </w:rPr>
        <w:t xml:space="preserve">The ESC previously considered that the clinical claim was not supported by the evidence, as the difference in PFS was small and may not be clinically meaningful, and no statistically significant difference in OS was established for the PD-L1-positive population. In addition, benefits are likely to be overestimated </w:t>
      </w:r>
      <w:r w:rsidR="006B1600" w:rsidRPr="008D797E">
        <w:rPr>
          <w:rFonts w:eastAsia="Calibri"/>
          <w:szCs w:val="22"/>
          <w:lang w:eastAsia="en-US"/>
        </w:rPr>
        <w:t>given the potentially inferior comparator used in IMpassion130</w:t>
      </w:r>
      <w:r w:rsidRPr="008D797E">
        <w:rPr>
          <w:rFonts w:eastAsia="Calibri"/>
          <w:szCs w:val="22"/>
          <w:lang w:eastAsia="en-US"/>
        </w:rPr>
        <w:t>. As such, the ESC considered that modelling a non-significant treatment benefit was not appropriate and resulted in a high level of uncertainty in the model results (para 6.42, atezolizumab PSD, March 2020 PBAC meeting). The</w:t>
      </w:r>
      <w:r w:rsidR="00C302F5" w:rsidRPr="008D797E">
        <w:rPr>
          <w:rFonts w:eastAsia="Calibri"/>
          <w:szCs w:val="22"/>
          <w:lang w:eastAsia="en-US"/>
        </w:rPr>
        <w:t xml:space="preserve"> </w:t>
      </w:r>
      <w:r w:rsidR="007047BD" w:rsidRPr="008D797E">
        <w:rPr>
          <w:rFonts w:eastAsia="Calibri"/>
          <w:szCs w:val="22"/>
          <w:lang w:eastAsia="en-US"/>
        </w:rPr>
        <w:t xml:space="preserve">PBAC agreed with the </w:t>
      </w:r>
      <w:r w:rsidR="00C302F5" w:rsidRPr="008D797E">
        <w:rPr>
          <w:rFonts w:eastAsia="Calibri"/>
          <w:szCs w:val="22"/>
          <w:lang w:eastAsia="en-US"/>
        </w:rPr>
        <w:t>ESC that the</w:t>
      </w:r>
      <w:r w:rsidRPr="008D797E">
        <w:rPr>
          <w:rFonts w:eastAsia="Calibri"/>
          <w:szCs w:val="22"/>
          <w:lang w:eastAsia="en-US"/>
        </w:rPr>
        <w:t xml:space="preserve">se concerns remain outstanding. </w:t>
      </w:r>
    </w:p>
    <w:p w:rsidR="00622DEB" w:rsidRPr="008D797E" w:rsidRDefault="00622DEB" w:rsidP="00622DEB">
      <w:pPr>
        <w:pStyle w:val="3-BodyText"/>
        <w:ind w:left="709"/>
      </w:pPr>
      <w:r w:rsidRPr="008D797E">
        <w:t>The key components of the economic evaluation are summarised in the table below.</w:t>
      </w:r>
    </w:p>
    <w:p w:rsidR="00622DEB" w:rsidRPr="008D797E" w:rsidRDefault="00622DEB" w:rsidP="00FA018B">
      <w:pPr>
        <w:pStyle w:val="TableFigureHeading"/>
        <w:keepLines/>
        <w:widowControl w:val="0"/>
      </w:pPr>
      <w:r w:rsidRPr="008D797E">
        <w:t xml:space="preserve">Table </w:t>
      </w:r>
      <w:r w:rsidR="00C92F02" w:rsidRPr="006E5C4D">
        <w:t>11</w:t>
      </w:r>
      <w:r w:rsidRPr="008D797E">
        <w:t>: Summary of model structure, key inputs and rationale</w:t>
      </w:r>
    </w:p>
    <w:tbl>
      <w:tblPr>
        <w:tblStyle w:val="TableGrid"/>
        <w:tblW w:w="0" w:type="auto"/>
        <w:tblLook w:val="04A0" w:firstRow="1" w:lastRow="0" w:firstColumn="1" w:lastColumn="0" w:noHBand="0" w:noVBand="1"/>
        <w:tblCaption w:val="Table 11: Summary of model structure, key inputs and rationale"/>
      </w:tblPr>
      <w:tblGrid>
        <w:gridCol w:w="1837"/>
        <w:gridCol w:w="3365"/>
        <w:gridCol w:w="3814"/>
      </w:tblGrid>
      <w:tr w:rsidR="00622DEB" w:rsidRPr="008D797E" w:rsidTr="00FA018B">
        <w:trPr>
          <w:tblHeader/>
        </w:trPr>
        <w:tc>
          <w:tcPr>
            <w:tcW w:w="1838" w:type="dxa"/>
          </w:tcPr>
          <w:p w:rsidR="00622DEB" w:rsidRPr="00115C2F" w:rsidRDefault="00622DEB" w:rsidP="00FA018B">
            <w:pPr>
              <w:pStyle w:val="In-tableHeading"/>
              <w:keepLines/>
              <w:widowControl w:val="0"/>
              <w:rPr>
                <w:lang w:val="en-AU"/>
              </w:rPr>
            </w:pPr>
            <w:r w:rsidRPr="00115C2F">
              <w:rPr>
                <w:lang w:val="en-AU"/>
              </w:rPr>
              <w:t>Component</w:t>
            </w:r>
          </w:p>
        </w:tc>
        <w:tc>
          <w:tcPr>
            <w:tcW w:w="3365" w:type="dxa"/>
          </w:tcPr>
          <w:p w:rsidR="00622DEB" w:rsidRPr="008D797E" w:rsidRDefault="00622DEB" w:rsidP="00FA018B">
            <w:pPr>
              <w:pStyle w:val="In-tableHeading"/>
              <w:keepLines/>
              <w:widowControl w:val="0"/>
              <w:rPr>
                <w:lang w:val="en-AU"/>
              </w:rPr>
            </w:pPr>
            <w:r w:rsidRPr="008D797E">
              <w:rPr>
                <w:lang w:val="en-AU"/>
              </w:rPr>
              <w:t>Summary</w:t>
            </w:r>
          </w:p>
        </w:tc>
        <w:tc>
          <w:tcPr>
            <w:tcW w:w="3814" w:type="dxa"/>
          </w:tcPr>
          <w:p w:rsidR="00622DEB" w:rsidRPr="008D797E" w:rsidRDefault="00622DEB" w:rsidP="00FA018B">
            <w:pPr>
              <w:pStyle w:val="In-tableHeading"/>
              <w:keepLines/>
              <w:widowControl w:val="0"/>
              <w:rPr>
                <w:lang w:val="en-AU"/>
              </w:rPr>
            </w:pPr>
            <w:r w:rsidRPr="008D797E">
              <w:rPr>
                <w:lang w:val="en-AU"/>
              </w:rPr>
              <w:t>Comparison with previous submission</w:t>
            </w:r>
          </w:p>
        </w:tc>
      </w:tr>
      <w:tr w:rsidR="00622DEB" w:rsidRPr="008D797E" w:rsidTr="003028C8">
        <w:tc>
          <w:tcPr>
            <w:tcW w:w="1838" w:type="dxa"/>
          </w:tcPr>
          <w:p w:rsidR="00622DEB" w:rsidRPr="008D797E" w:rsidRDefault="00622DEB" w:rsidP="003028C8">
            <w:pPr>
              <w:pStyle w:val="In-tableHeading"/>
              <w:keepNext w:val="0"/>
              <w:widowControl w:val="0"/>
              <w:rPr>
                <w:b w:val="0"/>
                <w:lang w:val="en-AU"/>
              </w:rPr>
            </w:pPr>
            <w:r w:rsidRPr="008D797E">
              <w:rPr>
                <w:b w:val="0"/>
                <w:lang w:val="en-AU"/>
              </w:rPr>
              <w:t>Treatments</w:t>
            </w:r>
          </w:p>
        </w:tc>
        <w:tc>
          <w:tcPr>
            <w:tcW w:w="3365" w:type="dxa"/>
          </w:tcPr>
          <w:p w:rsidR="00622DEB" w:rsidRPr="008D797E" w:rsidRDefault="00622DEB" w:rsidP="003028C8">
            <w:pPr>
              <w:pStyle w:val="In-tableHeading"/>
              <w:keepNext w:val="0"/>
              <w:widowControl w:val="0"/>
              <w:rPr>
                <w:b w:val="0"/>
                <w:lang w:val="en-AU"/>
              </w:rPr>
            </w:pPr>
            <w:r w:rsidRPr="008D797E">
              <w:rPr>
                <w:b w:val="0"/>
                <w:lang w:val="en-AU"/>
              </w:rPr>
              <w:t xml:space="preserve">PD-L1 testing using the </w:t>
            </w:r>
            <w:r w:rsidR="00D350F6" w:rsidRPr="008D797E">
              <w:rPr>
                <w:b w:val="0"/>
                <w:lang w:val="en-AU"/>
              </w:rPr>
              <w:t>Ventana</w:t>
            </w:r>
            <w:r w:rsidRPr="008D797E">
              <w:rPr>
                <w:b w:val="0"/>
                <w:lang w:val="en-AU"/>
              </w:rPr>
              <w:t xml:space="preserve"> SP142 and treatment with ATZ plus nab-P for patients whose tumours express PD-L1 IC ≥1%, and nab-P alone for those whose tumours do not express PD-L1 (the proposed scenario), compared with no PD-L1 testing and treatment with nab-P for all patients (the current scenario).</w:t>
            </w:r>
          </w:p>
        </w:tc>
        <w:tc>
          <w:tcPr>
            <w:tcW w:w="3814" w:type="dxa"/>
          </w:tcPr>
          <w:p w:rsidR="00622DEB" w:rsidRPr="008D797E" w:rsidRDefault="00622DEB" w:rsidP="003028C8">
            <w:pPr>
              <w:pStyle w:val="In-tableHeading"/>
              <w:keepNext w:val="0"/>
              <w:widowControl w:val="0"/>
              <w:rPr>
                <w:b w:val="0"/>
                <w:lang w:val="en-AU"/>
              </w:rPr>
            </w:pPr>
            <w:r w:rsidRPr="008D797E">
              <w:rPr>
                <w:b w:val="0"/>
                <w:lang w:val="en-AU"/>
              </w:rPr>
              <w:t>Unchanged</w:t>
            </w:r>
          </w:p>
        </w:tc>
      </w:tr>
      <w:tr w:rsidR="00622DEB" w:rsidRPr="008D797E" w:rsidTr="003028C8">
        <w:tc>
          <w:tcPr>
            <w:tcW w:w="1838" w:type="dxa"/>
          </w:tcPr>
          <w:p w:rsidR="00622DEB" w:rsidRPr="008D797E" w:rsidRDefault="00622DEB" w:rsidP="003028C8">
            <w:pPr>
              <w:pStyle w:val="In-tableHeading"/>
              <w:keepNext w:val="0"/>
              <w:widowControl w:val="0"/>
              <w:rPr>
                <w:b w:val="0"/>
                <w:lang w:val="en-AU"/>
              </w:rPr>
            </w:pPr>
            <w:r w:rsidRPr="008D797E">
              <w:rPr>
                <w:b w:val="0"/>
                <w:lang w:val="en-AU"/>
              </w:rPr>
              <w:t>Time horizon</w:t>
            </w:r>
          </w:p>
        </w:tc>
        <w:tc>
          <w:tcPr>
            <w:tcW w:w="3365" w:type="dxa"/>
          </w:tcPr>
          <w:p w:rsidR="00622DEB" w:rsidRPr="008D797E" w:rsidRDefault="00622DEB" w:rsidP="003028C8">
            <w:pPr>
              <w:pStyle w:val="In-tableHeading"/>
              <w:keepNext w:val="0"/>
              <w:widowControl w:val="0"/>
              <w:rPr>
                <w:b w:val="0"/>
                <w:lang w:val="en-AU"/>
              </w:rPr>
            </w:pPr>
            <w:r w:rsidRPr="008D797E">
              <w:rPr>
                <w:b w:val="0"/>
                <w:lang w:val="en-AU"/>
              </w:rPr>
              <w:t>10 years compared with a median follow up of 18.8 months in IMpassion130</w:t>
            </w:r>
          </w:p>
        </w:tc>
        <w:tc>
          <w:tcPr>
            <w:tcW w:w="3814" w:type="dxa"/>
          </w:tcPr>
          <w:p w:rsidR="00622DEB" w:rsidRPr="008D797E" w:rsidRDefault="00622DEB" w:rsidP="003028C8">
            <w:pPr>
              <w:pStyle w:val="In-tableHeading"/>
              <w:keepNext w:val="0"/>
              <w:widowControl w:val="0"/>
              <w:rPr>
                <w:b w:val="0"/>
                <w:lang w:val="en-AU"/>
              </w:rPr>
            </w:pPr>
            <w:r w:rsidRPr="008D797E">
              <w:rPr>
                <w:b w:val="0"/>
                <w:lang w:val="en-AU"/>
              </w:rPr>
              <w:t>Unchanged</w:t>
            </w:r>
          </w:p>
        </w:tc>
      </w:tr>
      <w:tr w:rsidR="00622DEB" w:rsidRPr="008D797E" w:rsidTr="003028C8">
        <w:tc>
          <w:tcPr>
            <w:tcW w:w="1838" w:type="dxa"/>
          </w:tcPr>
          <w:p w:rsidR="00622DEB" w:rsidRPr="008D797E" w:rsidRDefault="00622DEB" w:rsidP="003028C8">
            <w:pPr>
              <w:pStyle w:val="In-tableHeading"/>
              <w:keepNext w:val="0"/>
              <w:widowControl w:val="0"/>
              <w:rPr>
                <w:b w:val="0"/>
                <w:lang w:val="en-AU"/>
              </w:rPr>
            </w:pPr>
            <w:r w:rsidRPr="008D797E">
              <w:rPr>
                <w:b w:val="0"/>
                <w:lang w:val="en-AU"/>
              </w:rPr>
              <w:t>Outcomes</w:t>
            </w:r>
          </w:p>
        </w:tc>
        <w:tc>
          <w:tcPr>
            <w:tcW w:w="3365" w:type="dxa"/>
          </w:tcPr>
          <w:p w:rsidR="00622DEB" w:rsidRPr="008D797E" w:rsidRDefault="00622DEB" w:rsidP="003028C8">
            <w:pPr>
              <w:pStyle w:val="In-tableHeading"/>
              <w:keepNext w:val="0"/>
              <w:widowControl w:val="0"/>
              <w:rPr>
                <w:b w:val="0"/>
                <w:lang w:val="en-AU"/>
              </w:rPr>
            </w:pPr>
            <w:r w:rsidRPr="008D797E">
              <w:rPr>
                <w:b w:val="0"/>
                <w:lang w:val="en-AU"/>
              </w:rPr>
              <w:t>Life-years gained (LYG) and quality-adjusted life-years gained (QALYG)</w:t>
            </w:r>
          </w:p>
        </w:tc>
        <w:tc>
          <w:tcPr>
            <w:tcW w:w="3814" w:type="dxa"/>
          </w:tcPr>
          <w:p w:rsidR="00622DEB" w:rsidRPr="008D797E" w:rsidRDefault="00622DEB" w:rsidP="003028C8">
            <w:pPr>
              <w:pStyle w:val="In-tableHeading"/>
              <w:keepNext w:val="0"/>
              <w:widowControl w:val="0"/>
              <w:rPr>
                <w:b w:val="0"/>
                <w:lang w:val="en-AU"/>
              </w:rPr>
            </w:pPr>
            <w:r w:rsidRPr="008D797E">
              <w:rPr>
                <w:b w:val="0"/>
                <w:lang w:val="en-AU"/>
              </w:rPr>
              <w:t>Unchanged</w:t>
            </w:r>
          </w:p>
        </w:tc>
      </w:tr>
      <w:tr w:rsidR="00622DEB" w:rsidRPr="008D797E" w:rsidTr="003028C8">
        <w:tc>
          <w:tcPr>
            <w:tcW w:w="1838" w:type="dxa"/>
          </w:tcPr>
          <w:p w:rsidR="00622DEB" w:rsidRPr="008D797E" w:rsidRDefault="00622DEB" w:rsidP="003028C8">
            <w:pPr>
              <w:pStyle w:val="In-tableHeading"/>
              <w:keepNext w:val="0"/>
              <w:widowControl w:val="0"/>
              <w:rPr>
                <w:b w:val="0"/>
                <w:lang w:val="en-AU"/>
              </w:rPr>
            </w:pPr>
            <w:r w:rsidRPr="008D797E">
              <w:rPr>
                <w:b w:val="0"/>
                <w:lang w:val="en-AU"/>
              </w:rPr>
              <w:t>Methods used to generate results</w:t>
            </w:r>
          </w:p>
        </w:tc>
        <w:tc>
          <w:tcPr>
            <w:tcW w:w="3365" w:type="dxa"/>
          </w:tcPr>
          <w:p w:rsidR="00622DEB" w:rsidRPr="008D797E" w:rsidRDefault="00622DEB" w:rsidP="003028C8">
            <w:pPr>
              <w:pStyle w:val="In-tableHeading"/>
              <w:keepNext w:val="0"/>
              <w:widowControl w:val="0"/>
              <w:rPr>
                <w:b w:val="0"/>
                <w:lang w:val="en-AU"/>
              </w:rPr>
            </w:pPr>
            <w:r w:rsidRPr="008D797E">
              <w:rPr>
                <w:b w:val="0"/>
                <w:lang w:val="en-AU"/>
              </w:rPr>
              <w:t>Partitioned survival (area under the curve) analysis</w:t>
            </w:r>
          </w:p>
        </w:tc>
        <w:tc>
          <w:tcPr>
            <w:tcW w:w="3814" w:type="dxa"/>
          </w:tcPr>
          <w:p w:rsidR="00622DEB" w:rsidRPr="008D797E" w:rsidRDefault="00622DEB" w:rsidP="003028C8">
            <w:pPr>
              <w:pStyle w:val="In-tableHeading"/>
              <w:keepNext w:val="0"/>
              <w:widowControl w:val="0"/>
              <w:rPr>
                <w:b w:val="0"/>
                <w:lang w:val="en-AU"/>
              </w:rPr>
            </w:pPr>
            <w:r w:rsidRPr="008D797E">
              <w:rPr>
                <w:b w:val="0"/>
                <w:lang w:val="en-AU"/>
              </w:rPr>
              <w:t>Unchanged</w:t>
            </w:r>
          </w:p>
        </w:tc>
      </w:tr>
      <w:tr w:rsidR="00622DEB" w:rsidRPr="008D797E" w:rsidTr="003028C8">
        <w:tc>
          <w:tcPr>
            <w:tcW w:w="1838" w:type="dxa"/>
          </w:tcPr>
          <w:p w:rsidR="00622DEB" w:rsidRPr="008D797E" w:rsidRDefault="00622DEB" w:rsidP="003028C8">
            <w:pPr>
              <w:pStyle w:val="In-tableHeading"/>
              <w:keepNext w:val="0"/>
              <w:widowControl w:val="0"/>
              <w:rPr>
                <w:b w:val="0"/>
                <w:lang w:val="en-AU"/>
              </w:rPr>
            </w:pPr>
            <w:r w:rsidRPr="008D797E">
              <w:rPr>
                <w:b w:val="0"/>
                <w:lang w:val="en-AU"/>
              </w:rPr>
              <w:t>Health states</w:t>
            </w:r>
          </w:p>
        </w:tc>
        <w:tc>
          <w:tcPr>
            <w:tcW w:w="3365" w:type="dxa"/>
          </w:tcPr>
          <w:p w:rsidR="00622DEB" w:rsidRPr="008D797E" w:rsidRDefault="00622DEB" w:rsidP="003028C8">
            <w:pPr>
              <w:pStyle w:val="In-tableHeading"/>
              <w:keepNext w:val="0"/>
              <w:widowControl w:val="0"/>
              <w:rPr>
                <w:b w:val="0"/>
                <w:lang w:val="en-AU"/>
              </w:rPr>
            </w:pPr>
            <w:r w:rsidRPr="008D797E">
              <w:rPr>
                <w:b w:val="0"/>
                <w:lang w:val="en-AU"/>
              </w:rPr>
              <w:t>Three: Progression-free survival (PFS), Progression, and Death</w:t>
            </w:r>
          </w:p>
        </w:tc>
        <w:tc>
          <w:tcPr>
            <w:tcW w:w="3814" w:type="dxa"/>
          </w:tcPr>
          <w:p w:rsidR="00622DEB" w:rsidRPr="008D797E" w:rsidRDefault="00622DEB" w:rsidP="003028C8">
            <w:pPr>
              <w:pStyle w:val="In-tableHeading"/>
              <w:keepNext w:val="0"/>
              <w:widowControl w:val="0"/>
              <w:rPr>
                <w:b w:val="0"/>
                <w:lang w:val="en-AU"/>
              </w:rPr>
            </w:pPr>
            <w:r w:rsidRPr="008D797E">
              <w:rPr>
                <w:b w:val="0"/>
                <w:lang w:val="en-AU"/>
              </w:rPr>
              <w:t>Unchanged</w:t>
            </w:r>
          </w:p>
        </w:tc>
      </w:tr>
      <w:tr w:rsidR="00622DEB" w:rsidRPr="008D797E" w:rsidTr="003028C8">
        <w:tc>
          <w:tcPr>
            <w:tcW w:w="1838" w:type="dxa"/>
          </w:tcPr>
          <w:p w:rsidR="00622DEB" w:rsidRPr="008D797E" w:rsidRDefault="00622DEB" w:rsidP="003028C8">
            <w:pPr>
              <w:pStyle w:val="In-tableHeading"/>
              <w:keepNext w:val="0"/>
              <w:widowControl w:val="0"/>
              <w:rPr>
                <w:b w:val="0"/>
                <w:lang w:val="en-AU"/>
              </w:rPr>
            </w:pPr>
            <w:r w:rsidRPr="008D797E">
              <w:rPr>
                <w:b w:val="0"/>
                <w:lang w:val="en-AU"/>
              </w:rPr>
              <w:t>Cycle length</w:t>
            </w:r>
          </w:p>
        </w:tc>
        <w:tc>
          <w:tcPr>
            <w:tcW w:w="3365" w:type="dxa"/>
          </w:tcPr>
          <w:p w:rsidR="00622DEB" w:rsidRPr="008D797E" w:rsidRDefault="00622DEB" w:rsidP="003028C8">
            <w:pPr>
              <w:pStyle w:val="In-tableHeading"/>
              <w:keepNext w:val="0"/>
              <w:widowControl w:val="0"/>
              <w:rPr>
                <w:b w:val="0"/>
                <w:lang w:val="en-AU"/>
              </w:rPr>
            </w:pPr>
            <w:r w:rsidRPr="008D797E">
              <w:rPr>
                <w:b w:val="0"/>
                <w:lang w:val="en-AU"/>
              </w:rPr>
              <w:t>1 week</w:t>
            </w:r>
          </w:p>
        </w:tc>
        <w:tc>
          <w:tcPr>
            <w:tcW w:w="3814" w:type="dxa"/>
          </w:tcPr>
          <w:p w:rsidR="00622DEB" w:rsidRPr="008D797E" w:rsidRDefault="00622DEB" w:rsidP="003028C8">
            <w:pPr>
              <w:pStyle w:val="In-tableHeading"/>
              <w:keepNext w:val="0"/>
              <w:widowControl w:val="0"/>
              <w:rPr>
                <w:b w:val="0"/>
                <w:lang w:val="en-AU"/>
              </w:rPr>
            </w:pPr>
            <w:r w:rsidRPr="008D797E">
              <w:rPr>
                <w:b w:val="0"/>
                <w:lang w:val="en-AU"/>
              </w:rPr>
              <w:t>Unchanged</w:t>
            </w:r>
          </w:p>
        </w:tc>
      </w:tr>
      <w:tr w:rsidR="00622DEB" w:rsidRPr="008D797E" w:rsidTr="003028C8">
        <w:tc>
          <w:tcPr>
            <w:tcW w:w="1838" w:type="dxa"/>
          </w:tcPr>
          <w:p w:rsidR="00622DEB" w:rsidRPr="008D797E" w:rsidRDefault="00622DEB" w:rsidP="003028C8">
            <w:pPr>
              <w:pStyle w:val="In-tableHeading"/>
              <w:keepNext w:val="0"/>
              <w:widowControl w:val="0"/>
              <w:rPr>
                <w:b w:val="0"/>
                <w:lang w:val="en-AU"/>
              </w:rPr>
            </w:pPr>
            <w:r w:rsidRPr="008D797E">
              <w:rPr>
                <w:b w:val="0"/>
                <w:lang w:val="en-AU"/>
              </w:rPr>
              <w:t>Allocation to health states</w:t>
            </w:r>
          </w:p>
        </w:tc>
        <w:tc>
          <w:tcPr>
            <w:tcW w:w="3365" w:type="dxa"/>
          </w:tcPr>
          <w:p w:rsidR="00622DEB" w:rsidRPr="008D797E" w:rsidRDefault="00622DEB" w:rsidP="003028C8">
            <w:pPr>
              <w:pStyle w:val="In-tableHeading"/>
              <w:keepNext w:val="0"/>
              <w:widowControl w:val="0"/>
              <w:rPr>
                <w:b w:val="0"/>
                <w:lang w:val="en-AU"/>
              </w:rPr>
            </w:pPr>
            <w:r w:rsidRPr="008D797E">
              <w:rPr>
                <w:b w:val="0"/>
                <w:lang w:val="en-AU"/>
              </w:rPr>
              <w:t>Health state allocation over time determined by PFS and overall survival (OS) curves from IMpassion130 at the 14 April 2020 clinical data cut-off, extrapolated using standard parametric functions over the time horizon of the model.</w:t>
            </w:r>
          </w:p>
        </w:tc>
        <w:tc>
          <w:tcPr>
            <w:tcW w:w="3814" w:type="dxa"/>
          </w:tcPr>
          <w:p w:rsidR="00622DEB" w:rsidRPr="008D797E" w:rsidRDefault="00622DEB" w:rsidP="003028C8">
            <w:pPr>
              <w:pStyle w:val="In-tableHeading"/>
              <w:keepNext w:val="0"/>
              <w:widowControl w:val="0"/>
              <w:rPr>
                <w:b w:val="0"/>
                <w:lang w:val="en-AU"/>
              </w:rPr>
            </w:pPr>
            <w:r w:rsidRPr="008D797E">
              <w:rPr>
                <w:b w:val="0"/>
                <w:lang w:val="en-AU"/>
              </w:rPr>
              <w:t>OS and PFS data have been updated compared with the previous submission, in which data were based on IMpassion130 at the 2 January 2019 data cut-off.</w:t>
            </w:r>
          </w:p>
        </w:tc>
      </w:tr>
      <w:tr w:rsidR="00622DEB" w:rsidRPr="008D797E" w:rsidTr="003028C8">
        <w:tc>
          <w:tcPr>
            <w:tcW w:w="1838" w:type="dxa"/>
          </w:tcPr>
          <w:p w:rsidR="00622DEB" w:rsidRPr="008D797E" w:rsidRDefault="00622DEB" w:rsidP="003028C8">
            <w:pPr>
              <w:pStyle w:val="In-tableHeading"/>
              <w:keepNext w:val="0"/>
              <w:widowControl w:val="0"/>
              <w:rPr>
                <w:b w:val="0"/>
                <w:lang w:val="en-AU"/>
              </w:rPr>
            </w:pPr>
            <w:r w:rsidRPr="008D797E">
              <w:rPr>
                <w:b w:val="0"/>
                <w:lang w:val="en-AU"/>
              </w:rPr>
              <w:t>Extrapolation method in the submission base case</w:t>
            </w:r>
          </w:p>
        </w:tc>
        <w:tc>
          <w:tcPr>
            <w:tcW w:w="3365" w:type="dxa"/>
          </w:tcPr>
          <w:p w:rsidR="00622DEB" w:rsidRPr="008D797E" w:rsidRDefault="00622DEB" w:rsidP="003028C8">
            <w:pPr>
              <w:pStyle w:val="In-tableHeading"/>
              <w:keepNext w:val="0"/>
              <w:widowControl w:val="0"/>
              <w:rPr>
                <w:b w:val="0"/>
                <w:lang w:val="en-AU"/>
              </w:rPr>
            </w:pPr>
            <w:r w:rsidRPr="008D797E">
              <w:rPr>
                <w:b w:val="0"/>
                <w:lang w:val="en-AU"/>
              </w:rPr>
              <w:t>The resubmission extrapolated the KM curves of OS, PFS and time to off treatment (TTOT) from median duration of follow-up of 18.8 months in IMpassion130. Log-logistic distributions were chosen to extrapolate the PFS and TTOT curves for all patient populations in both comparative scenarios. Gamma distributions were chosen to extrapolate OS curves for all patients in both scenarios. The model is sensitive to the parametric functions used for OS extrapolation.</w:t>
            </w:r>
          </w:p>
          <w:p w:rsidR="00622DEB" w:rsidRPr="008D797E" w:rsidRDefault="00622DEB" w:rsidP="003028C8">
            <w:pPr>
              <w:pStyle w:val="In-tableHeading"/>
              <w:keepNext w:val="0"/>
              <w:widowControl w:val="0"/>
              <w:rPr>
                <w:b w:val="0"/>
                <w:lang w:val="en-AU"/>
              </w:rPr>
            </w:pPr>
            <w:r w:rsidRPr="008D797E">
              <w:rPr>
                <w:b w:val="0"/>
                <w:lang w:val="en-AU"/>
              </w:rPr>
              <w:t>The survival curves of the two comparative scenarios did not converge within the modelled time horizon in the resubmission base case, but was allowed given the model structure.</w:t>
            </w:r>
          </w:p>
        </w:tc>
        <w:tc>
          <w:tcPr>
            <w:tcW w:w="3814" w:type="dxa"/>
          </w:tcPr>
          <w:p w:rsidR="00622DEB" w:rsidRPr="008D797E" w:rsidRDefault="00622DEB" w:rsidP="003028C8">
            <w:pPr>
              <w:pStyle w:val="In-tableHeading"/>
              <w:keepNext w:val="0"/>
              <w:widowControl w:val="0"/>
              <w:rPr>
                <w:b w:val="0"/>
                <w:lang w:val="en-AU"/>
              </w:rPr>
            </w:pPr>
            <w:r w:rsidRPr="008D797E">
              <w:rPr>
                <w:b w:val="0"/>
                <w:lang w:val="en-AU"/>
              </w:rPr>
              <w:t>Updated. The previous submission extrapolated the KM curves of OS, PFS and TTOT from median duration of follow-up of 18 months in IMpassion130. Log-logistic distributions were chosen to extrapolate the PFS, OS and TTOT curves for patient populations in the proposed scenario (regardless of treatment received or PD-L1 status). In contrast, in the current scenario where there was no test and all patients received nab-P, log-logistic distributions were used to extrapolate PFS and TTOT and Weibull was chosen for OS extrapolation. The PBAC previously considered that the selection of a different parametric function for OS extrapolation in the comparative scenario was unjustified (para 7.15, atezolizumab PSD, March 2020 PBAC meeting).</w:t>
            </w:r>
          </w:p>
        </w:tc>
      </w:tr>
      <w:tr w:rsidR="00622DEB" w:rsidRPr="008D797E" w:rsidTr="003028C8">
        <w:tc>
          <w:tcPr>
            <w:tcW w:w="1838" w:type="dxa"/>
          </w:tcPr>
          <w:p w:rsidR="00622DEB" w:rsidRPr="008D797E" w:rsidRDefault="00622DEB" w:rsidP="003028C8">
            <w:pPr>
              <w:pStyle w:val="In-tableHeading"/>
              <w:keepNext w:val="0"/>
              <w:widowControl w:val="0"/>
              <w:rPr>
                <w:b w:val="0"/>
                <w:lang w:val="en-AU"/>
              </w:rPr>
            </w:pPr>
            <w:r w:rsidRPr="008D797E">
              <w:rPr>
                <w:b w:val="0"/>
                <w:lang w:val="en-AU"/>
              </w:rPr>
              <w:t>Health related quality of life in the submission base case</w:t>
            </w:r>
          </w:p>
        </w:tc>
        <w:tc>
          <w:tcPr>
            <w:tcW w:w="3365" w:type="dxa"/>
          </w:tcPr>
          <w:p w:rsidR="00622DEB" w:rsidRPr="008D797E" w:rsidRDefault="00622DEB" w:rsidP="003028C8">
            <w:pPr>
              <w:pStyle w:val="In-tableHeading"/>
              <w:keepNext w:val="0"/>
              <w:widowControl w:val="0"/>
              <w:rPr>
                <w:b w:val="0"/>
                <w:lang w:val="en-AU"/>
              </w:rPr>
            </w:pPr>
            <w:r w:rsidRPr="008D797E">
              <w:rPr>
                <w:b w:val="0"/>
                <w:lang w:val="en-AU"/>
              </w:rPr>
              <w:t>EQ-5D-5L results from IMpassion130, converted into utilities using the Australian scoring algorithm.</w:t>
            </w:r>
          </w:p>
        </w:tc>
        <w:tc>
          <w:tcPr>
            <w:tcW w:w="3814" w:type="dxa"/>
          </w:tcPr>
          <w:p w:rsidR="00622DEB" w:rsidRPr="00115C2F" w:rsidRDefault="00622DEB" w:rsidP="003028C8">
            <w:pPr>
              <w:pStyle w:val="In-tableHeading"/>
              <w:keepNext w:val="0"/>
              <w:widowControl w:val="0"/>
              <w:rPr>
                <w:b w:val="0"/>
                <w:lang w:val="en-AU"/>
              </w:rPr>
            </w:pPr>
            <w:r w:rsidRPr="008D797E">
              <w:rPr>
                <w:b w:val="0"/>
                <w:lang w:val="en-AU"/>
              </w:rPr>
              <w:t>Updated. The previous submission converted the EQ-5D-5L data from IMpassion130 using the UK scoring algorithm</w:t>
            </w:r>
            <w:r w:rsidR="008D797E">
              <w:rPr>
                <w:b w:val="0"/>
                <w:lang w:val="en-AU"/>
              </w:rPr>
              <w:t xml:space="preserve">. </w:t>
            </w:r>
            <w:r w:rsidRPr="008D797E">
              <w:rPr>
                <w:b w:val="0"/>
                <w:lang w:val="en-AU"/>
              </w:rPr>
              <w:t>The PBAC previously considered that the rationale for the approaches used to estimate utility values in the submission and also in the pre-PBAC response were not adequately justified. Further, the utility values were not conservative compared with values that have been used in other economic evaluations of advanced breast cancer (para 7.17, atezolizumab PSD, March 2020 PBAC me</w:t>
            </w:r>
            <w:r w:rsidRPr="00115C2F">
              <w:rPr>
                <w:b w:val="0"/>
                <w:lang w:val="en-AU"/>
              </w:rPr>
              <w:t>eting).</w:t>
            </w:r>
          </w:p>
        </w:tc>
      </w:tr>
      <w:tr w:rsidR="00622DEB" w:rsidRPr="008D797E" w:rsidTr="003028C8">
        <w:tc>
          <w:tcPr>
            <w:tcW w:w="1838" w:type="dxa"/>
          </w:tcPr>
          <w:p w:rsidR="00622DEB" w:rsidRPr="008D797E" w:rsidRDefault="00622DEB" w:rsidP="003028C8">
            <w:pPr>
              <w:pStyle w:val="In-tableHeading"/>
              <w:keepNext w:val="0"/>
              <w:widowControl w:val="0"/>
              <w:rPr>
                <w:b w:val="0"/>
                <w:lang w:val="en-AU"/>
              </w:rPr>
            </w:pPr>
            <w:r w:rsidRPr="008D797E">
              <w:rPr>
                <w:b w:val="0"/>
                <w:lang w:val="en-AU"/>
              </w:rPr>
              <w:t>Duration of treatment – both nab-P and ATZ</w:t>
            </w:r>
          </w:p>
        </w:tc>
        <w:tc>
          <w:tcPr>
            <w:tcW w:w="3365" w:type="dxa"/>
          </w:tcPr>
          <w:p w:rsidR="00622DEB" w:rsidRPr="008D797E" w:rsidRDefault="00622DEB" w:rsidP="003028C8">
            <w:pPr>
              <w:pStyle w:val="In-tableHeading"/>
              <w:keepNext w:val="0"/>
              <w:widowControl w:val="0"/>
              <w:rPr>
                <w:b w:val="0"/>
                <w:lang w:val="en-AU"/>
              </w:rPr>
            </w:pPr>
            <w:r w:rsidRPr="008D797E">
              <w:rPr>
                <w:b w:val="0"/>
                <w:lang w:val="en-AU"/>
              </w:rPr>
              <w:t xml:space="preserve">The resubmission limited the costs of ATZ and nab-P by applying a cap on the average number of ATZ administrations to </w:t>
            </w:r>
            <w:r w:rsidR="006470F1">
              <w:rPr>
                <w:b w:val="0"/>
                <w:noProof/>
                <w:color w:val="000000"/>
                <w:highlight w:val="black"/>
                <w:lang w:val="en-AU"/>
              </w:rPr>
              <w:t>''''''</w:t>
            </w:r>
            <w:r w:rsidRPr="008D797E">
              <w:rPr>
                <w:b w:val="0"/>
                <w:lang w:val="en-AU"/>
              </w:rPr>
              <w:t xml:space="preserve"> and a cap on the number of nab-P to 10.</w:t>
            </w:r>
          </w:p>
        </w:tc>
        <w:tc>
          <w:tcPr>
            <w:tcW w:w="3814" w:type="dxa"/>
          </w:tcPr>
          <w:p w:rsidR="00622DEB" w:rsidRPr="008D797E" w:rsidRDefault="00622DEB" w:rsidP="003028C8">
            <w:pPr>
              <w:pStyle w:val="In-tableHeading"/>
              <w:keepNext w:val="0"/>
              <w:widowControl w:val="0"/>
              <w:rPr>
                <w:b w:val="0"/>
                <w:lang w:val="en-AU"/>
              </w:rPr>
            </w:pPr>
            <w:r w:rsidRPr="008D797E">
              <w:rPr>
                <w:b w:val="0"/>
                <w:lang w:val="en-AU"/>
              </w:rPr>
              <w:t>New to the revised model. The previous model did not apply caps to the duration of treatments, which were based on trial-observed and extrapolated TTOT.</w:t>
            </w:r>
            <w:r w:rsidR="00156A89" w:rsidRPr="008D797E">
              <w:rPr>
                <w:b w:val="0"/>
                <w:lang w:val="en-AU"/>
              </w:rPr>
              <w:t xml:space="preserve"> The pre-PBAC response to the previous submission proposed caps to the ATZ duration of treatment and presented a revised model.</w:t>
            </w:r>
          </w:p>
        </w:tc>
      </w:tr>
    </w:tbl>
    <w:p w:rsidR="00622DEB" w:rsidRPr="008D797E" w:rsidRDefault="00622DEB" w:rsidP="00622DEB">
      <w:pPr>
        <w:pStyle w:val="TableFigureFooter"/>
      </w:pPr>
      <w:r w:rsidRPr="008D797E">
        <w:t>Source: Sections 3.1 to 3.5 of the resubmission.</w:t>
      </w:r>
    </w:p>
    <w:p w:rsidR="00622DEB" w:rsidRPr="006E5C4D" w:rsidRDefault="00622DEB" w:rsidP="00622DEB">
      <w:pPr>
        <w:pStyle w:val="TableFigureFooter"/>
      </w:pPr>
      <w:r w:rsidRPr="008D797E">
        <w:t>ATZ = Atezolizumab; IC = immune cells; nab-P = nanoparticle albumin–bound paclitaxel; PD-L1 = programmed death ligand 1; PSD = Public Summary Document.</w:t>
      </w:r>
    </w:p>
    <w:p w:rsidR="00622DEB" w:rsidRPr="00115C2F" w:rsidRDefault="00622DEB" w:rsidP="00622DEB">
      <w:pPr>
        <w:numPr>
          <w:ilvl w:val="1"/>
          <w:numId w:val="1"/>
        </w:numPr>
        <w:spacing w:after="120"/>
        <w:rPr>
          <w:rFonts w:asciiTheme="minorHAnsi" w:hAnsiTheme="minorHAnsi"/>
          <w:snapToGrid w:val="0"/>
        </w:rPr>
      </w:pPr>
      <w:r w:rsidRPr="008D797E">
        <w:rPr>
          <w:rFonts w:asciiTheme="minorHAnsi" w:hAnsiTheme="minorHAnsi"/>
          <w:snapToGrid w:val="0"/>
        </w:rPr>
        <w:t>Compared with the previous submission, the key changes in the revised economic model presented in the resubmission were</w:t>
      </w:r>
      <w:r w:rsidR="0004442C" w:rsidRPr="008D797E">
        <w:rPr>
          <w:rFonts w:asciiTheme="minorHAnsi" w:hAnsiTheme="minorHAnsi"/>
          <w:snapToGrid w:val="0"/>
        </w:rPr>
        <w:t xml:space="preserve"> the parametric functions for extrapolation of OS, caps on ATZ and nab-P administrations and application of the Australian algorithm for utility values.</w:t>
      </w:r>
    </w:p>
    <w:p w:rsidR="00622DEB" w:rsidRPr="008D797E" w:rsidRDefault="00622DEB" w:rsidP="00F02C22">
      <w:pPr>
        <w:numPr>
          <w:ilvl w:val="1"/>
          <w:numId w:val="1"/>
        </w:numPr>
        <w:spacing w:after="120"/>
        <w:rPr>
          <w:rFonts w:asciiTheme="minorHAnsi" w:hAnsiTheme="minorHAnsi"/>
          <w:snapToGrid w:val="0"/>
        </w:rPr>
      </w:pPr>
      <w:r w:rsidRPr="008D797E">
        <w:rPr>
          <w:rFonts w:asciiTheme="minorHAnsi" w:hAnsiTheme="minorHAnsi"/>
          <w:snapToGrid w:val="0"/>
        </w:rPr>
        <w:t xml:space="preserve">The resubmission chose Gamma functions to extrapolate the OS curves from the median follow-up of 18.8 months, and stated that the Gamma function was more clinically plausible (than the Weibull functions) and the best fit upon visual inspection and </w:t>
      </w:r>
      <w:r w:rsidRPr="006E5C4D">
        <w:t>Akaike information criterion</w:t>
      </w:r>
      <w:r w:rsidRPr="008D797E">
        <w:t xml:space="preserve"> (AIC) </w:t>
      </w:r>
      <w:r w:rsidRPr="008D797E">
        <w:rPr>
          <w:rFonts w:asciiTheme="minorHAnsi" w:hAnsiTheme="minorHAnsi"/>
          <w:snapToGrid w:val="0"/>
        </w:rPr>
        <w:t>statistics.</w:t>
      </w:r>
      <w:r w:rsidRPr="008D797E">
        <w:t xml:space="preserve"> Gamma, Log-logistic and Weibull functions had a similar goodness of fit to within-trial OS data, based on AIC and </w:t>
      </w:r>
      <w:r w:rsidRPr="006E5C4D">
        <w:t>Bayesian information criterion</w:t>
      </w:r>
      <w:r w:rsidRPr="008D797E">
        <w:t xml:space="preserve"> (BIC) statistics</w:t>
      </w:r>
      <w:r w:rsidRPr="008D797E">
        <w:rPr>
          <w:rFonts w:asciiTheme="minorHAnsi" w:hAnsiTheme="minorHAnsi"/>
          <w:snapToGrid w:val="0"/>
        </w:rPr>
        <w:t xml:space="preserve"> </w:t>
      </w:r>
      <w:r w:rsidRPr="008D797E">
        <w:t xml:space="preserve">and visual inspection. However, the application of these different extrapolation methods resulted in noticeably </w:t>
      </w:r>
      <w:r w:rsidRPr="00115C2F">
        <w:t>different extent of separation of OS curves beyond the point of extrapolation of the trial data, particularly within the later part of the modelled time horizon (</w:t>
      </w:r>
      <w:r w:rsidR="00232E9D" w:rsidRPr="008D797E">
        <w:t xml:space="preserve">Figure </w:t>
      </w:r>
      <w:r w:rsidR="00232E9D" w:rsidRPr="006E5C4D">
        <w:t>2</w:t>
      </w:r>
      <w:r w:rsidRPr="008D797E">
        <w:t xml:space="preserve"> below), which has no robust clinical data to support it. </w:t>
      </w:r>
      <w:r w:rsidR="008F2E18" w:rsidRPr="008D797E">
        <w:t xml:space="preserve">The ESC noted that all functions presented fit the KM data reasonably well but selection of the Gamma extrapolation lead to a significant plateau in the curve for the true positive population. The ESC </w:t>
      </w:r>
      <w:r w:rsidR="007B32E8" w:rsidRPr="008D797E">
        <w:t>considered</w:t>
      </w:r>
      <w:r w:rsidR="008F2E18" w:rsidRPr="008D797E">
        <w:t xml:space="preserve"> that although there is some evidence of ongo</w:t>
      </w:r>
      <w:r w:rsidR="008F2E18" w:rsidRPr="00115C2F">
        <w:t>ing treatment effect for PD-L1 inhibitors</w:t>
      </w:r>
      <w:r w:rsidR="007B32E8" w:rsidRPr="00115C2F">
        <w:t xml:space="preserve"> in some indications</w:t>
      </w:r>
      <w:r w:rsidR="008F2E18" w:rsidRPr="008D797E">
        <w:t xml:space="preserve">, in this indication it may not be </w:t>
      </w:r>
      <w:r w:rsidR="007B32E8" w:rsidRPr="008D797E">
        <w:t xml:space="preserve">clinically plausible to </w:t>
      </w:r>
      <w:r w:rsidR="008F2E18" w:rsidRPr="008D797E">
        <w:t>assume ongoing benefit</w:t>
      </w:r>
      <w:r w:rsidR="007B32E8" w:rsidRPr="008D797E">
        <w:t xml:space="preserve"> and survival for some patients up to 10 years, as TNBC is an aggressive disease and median survival is typically only 15-16 months. The ESC considered that assuming ongoing </w:t>
      </w:r>
      <w:r w:rsidR="00D93A5A" w:rsidRPr="008D797E">
        <w:t xml:space="preserve">survival </w:t>
      </w:r>
      <w:r w:rsidR="007B32E8" w:rsidRPr="008D797E">
        <w:t>benefit was not consistent with the broader evidence for PD-L1 inhibitors in this population, where trials have not demonstrated</w:t>
      </w:r>
      <w:r w:rsidR="00D93A5A" w:rsidRPr="008D797E">
        <w:t xml:space="preserve"> substantial OS benefit</w:t>
      </w:r>
      <w:r w:rsidR="007B32E8" w:rsidRPr="008D797E">
        <w:t>.</w:t>
      </w:r>
      <w:r w:rsidR="00836E32" w:rsidRPr="008D797E">
        <w:t xml:space="preserve"> </w:t>
      </w:r>
      <w:r w:rsidR="00F02C22" w:rsidRPr="008D797E">
        <w:t>The pre</w:t>
      </w:r>
      <w:r w:rsidR="00F02C22" w:rsidRPr="008D797E">
        <w:noBreakHyphen/>
        <w:t xml:space="preserve">PBAC response reiterated that the sponsor considered gamma extrapolation the most clinically plausible based on advice from clinicians at the </w:t>
      </w:r>
      <w:r w:rsidR="00F02C22" w:rsidRPr="008D797E">
        <w:rPr>
          <w:rFonts w:asciiTheme="minorHAnsi" w:hAnsiTheme="minorHAnsi" w:cstheme="minorHAnsi"/>
        </w:rPr>
        <w:t xml:space="preserve">Roche Advisory board meeting where </w:t>
      </w:r>
      <w:r w:rsidR="00F02C22" w:rsidRPr="008D797E">
        <w:rPr>
          <w:rFonts w:asciiTheme="minorHAnsi" w:hAnsiTheme="minorHAnsi" w:cstheme="minorHAnsi"/>
          <w:iCs/>
        </w:rPr>
        <w:t xml:space="preserve">attendees agreed they </w:t>
      </w:r>
      <w:r w:rsidR="00F02C22" w:rsidRPr="008D797E">
        <w:rPr>
          <w:rFonts w:asciiTheme="minorHAnsi" w:hAnsiTheme="minorHAnsi" w:cstheme="minorHAnsi"/>
        </w:rPr>
        <w:t xml:space="preserve">would expect to see some flattening of the curve. </w:t>
      </w:r>
    </w:p>
    <w:p w:rsidR="00622DEB" w:rsidRPr="008D797E" w:rsidRDefault="00622DEB" w:rsidP="00622DEB">
      <w:pPr>
        <w:numPr>
          <w:ilvl w:val="1"/>
          <w:numId w:val="1"/>
        </w:numPr>
        <w:spacing w:after="120"/>
        <w:rPr>
          <w:rFonts w:asciiTheme="minorHAnsi" w:hAnsiTheme="minorHAnsi"/>
          <w:snapToGrid w:val="0"/>
        </w:rPr>
      </w:pPr>
      <w:r w:rsidRPr="008D797E">
        <w:rPr>
          <w:rFonts w:eastAsia="Calibri"/>
          <w:szCs w:val="22"/>
          <w:lang w:eastAsia="en-US"/>
        </w:rPr>
        <w:t>The figure below presents the modelled overall survival curves using Gamma (base case of the resubmission’s model) and Weibull functions respectively.</w:t>
      </w:r>
    </w:p>
    <w:p w:rsidR="00622DEB" w:rsidRPr="00115C2F" w:rsidRDefault="00622DEB" w:rsidP="00622DEB">
      <w:pPr>
        <w:pStyle w:val="TableFigureHeading"/>
        <w:rPr>
          <w:lang w:eastAsia="en-US"/>
        </w:rPr>
      </w:pPr>
      <w:bookmarkStart w:id="40" w:name="_Ref58663042"/>
      <w:r w:rsidRPr="008D797E">
        <w:t xml:space="preserve">Figure </w:t>
      </w:r>
      <w:r w:rsidR="00232E9D" w:rsidRPr="006E5C4D">
        <w:t>2</w:t>
      </w:r>
      <w:bookmarkEnd w:id="40"/>
      <w:r w:rsidRPr="008D797E">
        <w:t xml:space="preserve">: </w:t>
      </w:r>
      <w:r w:rsidRPr="008D797E">
        <w:rPr>
          <w:lang w:eastAsia="en-US"/>
        </w:rPr>
        <w:t>Kaplan-Meier OS and extrapolations from median follow up using Gamma (left graph) and Weibull (right graph) functions</w:t>
      </w:r>
    </w:p>
    <w:p w:rsidR="00622DEB" w:rsidRPr="008D797E" w:rsidRDefault="00622DEB" w:rsidP="00622DEB">
      <w:pPr>
        <w:pStyle w:val="TableFigureFooter"/>
      </w:pPr>
      <w:r w:rsidRPr="00D1278A">
        <w:rPr>
          <w:noProof/>
        </w:rPr>
        <w:drawing>
          <wp:inline distT="0" distB="0" distL="0" distR="0" wp14:anchorId="30CD1E8D" wp14:editId="4819C736">
            <wp:extent cx="2661920" cy="2237490"/>
            <wp:effectExtent l="0" t="0" r="5080" b="0"/>
            <wp:docPr id="19" name="Picture 19" title="Figure 2: Kaplan-Meier OS and extrapolations from median follow up using Gamma (left graph) and Weibull (right graph) fun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661920" cy="2237490"/>
                    </a:xfrm>
                    <a:prstGeom prst="rect">
                      <a:avLst/>
                    </a:prstGeom>
                  </pic:spPr>
                </pic:pic>
              </a:graphicData>
            </a:graphic>
          </wp:inline>
        </w:drawing>
      </w:r>
      <w:r w:rsidRPr="00D1278A">
        <w:rPr>
          <w:noProof/>
        </w:rPr>
        <w:drawing>
          <wp:inline distT="0" distB="0" distL="0" distR="0" wp14:anchorId="1FFC411B" wp14:editId="2B5A5E29">
            <wp:extent cx="3011805" cy="2221190"/>
            <wp:effectExtent l="0" t="0" r="0" b="8255"/>
            <wp:docPr id="104" name="Picture 104" title="Figure 2: Kaplan-Meier OS and extrapolations from median follow up using Gamma (left graph) and Weibull (right graph) fun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011805" cy="2221190"/>
                    </a:xfrm>
                    <a:prstGeom prst="rect">
                      <a:avLst/>
                    </a:prstGeom>
                  </pic:spPr>
                </pic:pic>
              </a:graphicData>
            </a:graphic>
          </wp:inline>
        </w:drawing>
      </w:r>
    </w:p>
    <w:p w:rsidR="00622DEB" w:rsidRPr="008D797E" w:rsidRDefault="00622DEB" w:rsidP="00622DEB">
      <w:pPr>
        <w:pStyle w:val="TableFigureFooter"/>
      </w:pPr>
      <w:r w:rsidRPr="008D797E">
        <w:t>Source: Figure 3.6, p58 of the resubmission for the Gamma extrapolation and constructed during the evaluation using “Revised Economic Evaluation.xlsx” for the Weibull extrapolation.</w:t>
      </w:r>
    </w:p>
    <w:p w:rsidR="002E7978" w:rsidRPr="008D797E" w:rsidRDefault="002E7978" w:rsidP="00622DEB">
      <w:pPr>
        <w:pStyle w:val="TableFigureFooter"/>
        <w:rPr>
          <w:rFonts w:ascii="Calibri" w:hAnsi="Calibri"/>
          <w:i/>
        </w:rPr>
      </w:pPr>
      <w:r w:rsidRPr="006E5C4D">
        <w:rPr>
          <w:rFonts w:eastAsia="Calibri"/>
          <w:lang w:eastAsia="en-US"/>
        </w:rPr>
        <w:t>OS = overall survival; PD-L1 = programmed cell death ligand 1; TNP = Tecentriq (atezolizumab) +</w:t>
      </w:r>
      <w:r w:rsidRPr="008D797E">
        <w:t xml:space="preserve"> nanoparticle albumin–bound paclitaxel</w:t>
      </w:r>
      <w:r w:rsidRPr="006E5C4D">
        <w:rPr>
          <w:rFonts w:eastAsia="Calibri"/>
          <w:lang w:eastAsia="en-US"/>
        </w:rPr>
        <w:t xml:space="preserve">; NP = </w:t>
      </w:r>
      <w:r w:rsidRPr="008D797E">
        <w:t>nanoparticle albumin–bound paclitaxel;</w:t>
      </w:r>
      <w:r w:rsidRPr="006E5C4D">
        <w:rPr>
          <w:rFonts w:eastAsia="Calibri"/>
          <w:lang w:eastAsia="en-US"/>
        </w:rPr>
        <w:t xml:space="preserve"> ITT = intention to treat; KM = Kaplan-Meier.</w:t>
      </w:r>
    </w:p>
    <w:p w:rsidR="00622DEB" w:rsidRPr="008D797E" w:rsidRDefault="00622DEB" w:rsidP="00622DEB">
      <w:pPr>
        <w:numPr>
          <w:ilvl w:val="1"/>
          <w:numId w:val="1"/>
        </w:numPr>
        <w:spacing w:after="120"/>
        <w:rPr>
          <w:snapToGrid w:val="0"/>
        </w:rPr>
      </w:pPr>
      <w:r w:rsidRPr="008D797E">
        <w:rPr>
          <w:rFonts w:asciiTheme="minorHAnsi" w:hAnsiTheme="minorHAnsi"/>
          <w:snapToGrid w:val="0"/>
        </w:rPr>
        <w:t>The key concern over the previous submission was the use of different extrapolation m</w:t>
      </w:r>
      <w:r w:rsidRPr="00115C2F">
        <w:rPr>
          <w:rFonts w:asciiTheme="minorHAnsi" w:hAnsiTheme="minorHAnsi"/>
          <w:snapToGrid w:val="0"/>
        </w:rPr>
        <w:t xml:space="preserve">ethods for the comparative scenarios. Using the optimistic log-logistic extrapolation for the proposed scenario and the pessimistic Weibull extrapolation for the current scenario in the previous submission overestimated the incremental OS benefit of proposed scenario compared with current scenario. </w:t>
      </w:r>
      <w:r w:rsidR="006311B9" w:rsidRPr="008D797E">
        <w:t>The PBAC previously advised that, “in the absence of a statistically significant OS benefit (when adjusted for multiplicity), the economic model would need to be based on conservative assumptions regarding the magnitude of any modelled OS gains”</w:t>
      </w:r>
      <w:r w:rsidR="000415EB" w:rsidRPr="008D797E">
        <w:t xml:space="preserve"> </w:t>
      </w:r>
      <w:r w:rsidR="006311B9" w:rsidRPr="008D797E">
        <w:t xml:space="preserve">(para 7.22, atezolizumab PSD, March 2020 PBAC meeting). </w:t>
      </w:r>
      <w:r w:rsidRPr="008D797E">
        <w:rPr>
          <w:rFonts w:asciiTheme="minorHAnsi" w:hAnsiTheme="minorHAnsi"/>
          <w:snapToGrid w:val="0"/>
        </w:rPr>
        <w:t xml:space="preserve">In the revised economic model presented with the resubmission, when using the same parametric functions for OS extrapolation in both scenarios, regardless whether it is log-logistic or Weibull, the incremental OS benefit is similar, and both result in a smaller OS benefit than from extrapolation using the Gamma function. Therefore the application of the Gamma function to extrapolate OS curves did not result in a conservative estimate of the OS benefit from treatment with ATZ+nab-P. </w:t>
      </w:r>
      <w:r w:rsidRPr="008D797E">
        <w:t xml:space="preserve">The PBAC previously considered that using the Weibull function (in all arms) resulted in OS estimates that were more clinically plausible (para 7.15, atezolizumab PSD, March 2020 PBAC meeting). </w:t>
      </w:r>
      <w:r w:rsidRPr="008D797E">
        <w:rPr>
          <w:rFonts w:asciiTheme="minorHAnsi" w:hAnsiTheme="minorHAnsi"/>
          <w:snapToGrid w:val="0"/>
        </w:rPr>
        <w:t>The model was sensitive to the parametric functions used for OS extrapolation.</w:t>
      </w:r>
    </w:p>
    <w:p w:rsidR="00622DEB" w:rsidRPr="008D797E" w:rsidRDefault="00622DEB" w:rsidP="00622DEB">
      <w:pPr>
        <w:numPr>
          <w:ilvl w:val="1"/>
          <w:numId w:val="1"/>
        </w:numPr>
        <w:spacing w:after="120"/>
        <w:rPr>
          <w:snapToGrid w:val="0"/>
        </w:rPr>
      </w:pPr>
      <w:r w:rsidRPr="008D797E">
        <w:rPr>
          <w:rFonts w:asciiTheme="minorHAnsi" w:hAnsiTheme="minorHAnsi"/>
          <w:snapToGrid w:val="0"/>
        </w:rPr>
        <w:t xml:space="preserve">The revised model presented in the resubmission allowed the OS curve for PD-L1 true positive patients treated with ATZ+nab-P in the proposed scenario to converge with the OS curve for the patients in the current scenario (starting from 90 months and converging at the end of time horizon of 10 years), although neither the base case nor sensitivity analyses presented in the resubmission incorporated the factor of convergence. </w:t>
      </w:r>
      <w:r w:rsidRPr="008D797E">
        <w:t xml:space="preserve">The revised base case in the pre-PBAC response to the previous submission applied convergence of the ATZ+nab-P OS curve to the current scenario curve; commencing from 90 months with convergence occurring at the end of the time horizon (120 months). The PBAC noted that no justification was provided for the point at which convergence was commenced (para 6.50, atezolizumab PSD, March 2020 PBAC meeting). The resubmission </w:t>
      </w:r>
      <w:r w:rsidR="00C302F5" w:rsidRPr="008D797E">
        <w:t>did not</w:t>
      </w:r>
      <w:r w:rsidRPr="008D797E">
        <w:t xml:space="preserve"> provide a justification for the selection of time point for commencing convergence, and the model was sensitive to the time points assumed for OS convergence.</w:t>
      </w:r>
    </w:p>
    <w:p w:rsidR="00622DEB" w:rsidRPr="00115C2F" w:rsidRDefault="00622DEB" w:rsidP="00622DEB">
      <w:pPr>
        <w:numPr>
          <w:ilvl w:val="1"/>
          <w:numId w:val="1"/>
        </w:numPr>
        <w:spacing w:after="120"/>
        <w:rPr>
          <w:snapToGrid w:val="0"/>
        </w:rPr>
      </w:pPr>
      <w:r w:rsidRPr="008D797E">
        <w:rPr>
          <w:snapToGrid w:val="0"/>
        </w:rPr>
        <w:t xml:space="preserve">The resubmission applied a cap of </w:t>
      </w:r>
      <w:r w:rsidR="006470F1">
        <w:rPr>
          <w:noProof/>
          <w:snapToGrid w:val="0"/>
          <w:color w:val="000000"/>
          <w:highlight w:val="black"/>
        </w:rPr>
        <w:t>'''''</w:t>
      </w:r>
      <w:r w:rsidRPr="008D797E">
        <w:rPr>
          <w:snapToGrid w:val="0"/>
        </w:rPr>
        <w:t xml:space="preserve"> on the accumulated average number of administrations of ATZ, based on the time to off treatment (TTOT) data, which resulted in an average of </w:t>
      </w:r>
      <w:r w:rsidR="006470F1">
        <w:rPr>
          <w:noProof/>
          <w:snapToGrid w:val="0"/>
          <w:color w:val="000000"/>
          <w:highlight w:val="black"/>
        </w:rPr>
        <w:t xml:space="preserve">'''''''''' </w:t>
      </w:r>
      <w:r w:rsidRPr="008D797E">
        <w:rPr>
          <w:snapToGrid w:val="0"/>
        </w:rPr>
        <w:t xml:space="preserve">ATZ administrations being costed in the base case for PD-L1 true positive patients treated with ATZ+nab-P. The most recent data from IMpassion130 indicated that the mean </w:t>
      </w:r>
      <w:r w:rsidR="00460281" w:rsidRPr="008D797E">
        <w:rPr>
          <w:snapToGrid w:val="0"/>
        </w:rPr>
        <w:t>number</w:t>
      </w:r>
      <w:r w:rsidR="0075793C" w:rsidRPr="008D797E">
        <w:rPr>
          <w:snapToGrid w:val="0"/>
        </w:rPr>
        <w:t xml:space="preserve"> of </w:t>
      </w:r>
      <w:r w:rsidRPr="008D797E">
        <w:rPr>
          <w:snapToGrid w:val="0"/>
        </w:rPr>
        <w:t>treatment</w:t>
      </w:r>
      <w:r w:rsidR="00460281" w:rsidRPr="008D797E">
        <w:rPr>
          <w:snapToGrid w:val="0"/>
        </w:rPr>
        <w:t>s</w:t>
      </w:r>
      <w:r w:rsidRPr="008D797E">
        <w:rPr>
          <w:snapToGrid w:val="0"/>
        </w:rPr>
        <w:t xml:space="preserve"> with ATZ was 23 administrations for </w:t>
      </w:r>
      <w:r w:rsidR="00082308" w:rsidRPr="008D797E">
        <w:rPr>
          <w:snapToGrid w:val="0"/>
        </w:rPr>
        <w:t>PD-L1-positive</w:t>
      </w:r>
      <w:r w:rsidRPr="008D797E">
        <w:rPr>
          <w:snapToGrid w:val="0"/>
        </w:rPr>
        <w:t xml:space="preserve"> patients (</w:t>
      </w:r>
      <w:r w:rsidR="0075793C" w:rsidRPr="008D797E">
        <w:rPr>
          <w:snapToGrid w:val="0"/>
        </w:rPr>
        <w:t xml:space="preserve">Table 35, p102 of </w:t>
      </w:r>
      <w:r w:rsidR="0043772E" w:rsidRPr="008D797E">
        <w:rPr>
          <w:snapToGrid w:val="0"/>
        </w:rPr>
        <w:t>f</w:t>
      </w:r>
      <w:r w:rsidR="0075793C" w:rsidRPr="008D797E">
        <w:rPr>
          <w:snapToGrid w:val="0"/>
        </w:rPr>
        <w:t>inal updated IMpassion130 Clinical Study Report (CSR)</w:t>
      </w:r>
      <w:r w:rsidRPr="008D797E">
        <w:rPr>
          <w:snapToGrid w:val="0"/>
        </w:rPr>
        <w:t xml:space="preserve">). </w:t>
      </w:r>
      <w:r w:rsidR="0043772E" w:rsidRPr="008D797E">
        <w:rPr>
          <w:snapToGrid w:val="0"/>
        </w:rPr>
        <w:t>At this data cut off, 26 patients in the ITT population remained on treatment with ATZ alone or ATZ+nab-P (</w:t>
      </w:r>
      <w:r w:rsidR="00232E9D" w:rsidRPr="008D797E">
        <w:t xml:space="preserve">Table </w:t>
      </w:r>
      <w:r w:rsidR="00232E9D" w:rsidRPr="006E5C4D">
        <w:t>6</w:t>
      </w:r>
      <w:r w:rsidR="0043772E" w:rsidRPr="008D797E">
        <w:rPr>
          <w:snapToGrid w:val="0"/>
        </w:rPr>
        <w:t xml:space="preserve"> above). </w:t>
      </w:r>
      <w:r w:rsidRPr="008D797E">
        <w:rPr>
          <w:snapToGrid w:val="0"/>
        </w:rPr>
        <w:t>The extrapolated TTOT from trial median follow-up of 18.8 months indicated that true positive patients would receive an average of 28.25 administrations of ATZ during the full treatment course</w:t>
      </w:r>
      <w:r w:rsidR="00DC0A0E" w:rsidRPr="008D797E">
        <w:rPr>
          <w:snapToGrid w:val="0"/>
        </w:rPr>
        <w:t xml:space="preserve"> (</w:t>
      </w:r>
      <w:r w:rsidR="00232E9D" w:rsidRPr="008D797E">
        <w:t xml:space="preserve">Table </w:t>
      </w:r>
      <w:r w:rsidR="00232E9D" w:rsidRPr="006E5C4D">
        <w:t>15</w:t>
      </w:r>
      <w:r w:rsidR="00DC0A0E" w:rsidRPr="008D797E">
        <w:rPr>
          <w:snapToGrid w:val="0"/>
        </w:rPr>
        <w:t xml:space="preserve"> below)</w:t>
      </w:r>
      <w:r w:rsidRPr="008D797E">
        <w:rPr>
          <w:snapToGrid w:val="0"/>
        </w:rPr>
        <w:t>. The application of a cap on the average number of ATZ administrations considerably reduced the cost of the proposed scenario a</w:t>
      </w:r>
      <w:r w:rsidRPr="00115C2F">
        <w:rPr>
          <w:snapToGrid w:val="0"/>
        </w:rPr>
        <w:t xml:space="preserve">nd, consequently, the incremental cost between the two comparative scenarios. </w:t>
      </w:r>
    </w:p>
    <w:p w:rsidR="00622DEB" w:rsidRPr="008D797E" w:rsidRDefault="00622DEB" w:rsidP="00622DEB">
      <w:pPr>
        <w:numPr>
          <w:ilvl w:val="1"/>
          <w:numId w:val="1"/>
        </w:numPr>
        <w:spacing w:after="120"/>
        <w:rPr>
          <w:snapToGrid w:val="0"/>
        </w:rPr>
      </w:pPr>
      <w:r w:rsidRPr="008D797E">
        <w:rPr>
          <w:snapToGrid w:val="0"/>
        </w:rPr>
        <w:t xml:space="preserve">The resubmission claimed </w:t>
      </w:r>
      <w:r w:rsidRPr="008D797E">
        <w:t xml:space="preserve">that an episode of care (EoC) cap for ATZ at </w:t>
      </w:r>
      <w:r w:rsidR="006470F1">
        <w:rPr>
          <w:noProof/>
          <w:color w:val="000000"/>
          <w:highlight w:val="black"/>
        </w:rPr>
        <w:t>''''' '''''''''''</w:t>
      </w:r>
      <w:r w:rsidRPr="008D797E">
        <w:t xml:space="preserve"> would be implemented in the form of subsidisation caps. </w:t>
      </w:r>
      <w:r w:rsidRPr="008D797E">
        <w:rPr>
          <w:lang w:eastAsia="en-US"/>
        </w:rPr>
        <w:t xml:space="preserve">These annual subsidisation caps would be calculated by multiplying the predicted number of patients treated by the effective price of </w:t>
      </w:r>
      <w:r w:rsidR="006470F1">
        <w:rPr>
          <w:noProof/>
          <w:color w:val="000000"/>
          <w:highlight w:val="black"/>
          <w:lang w:eastAsia="en-US"/>
        </w:rPr>
        <w:t>''''''</w:t>
      </w:r>
      <w:r w:rsidRPr="008D797E">
        <w:rPr>
          <w:lang w:eastAsia="en-US"/>
        </w:rPr>
        <w:t xml:space="preserve"> ATZ doses. It was proposed that the sponsor would rebate </w:t>
      </w:r>
      <w:r w:rsidR="006470F1">
        <w:rPr>
          <w:noProof/>
          <w:color w:val="000000"/>
          <w:highlight w:val="black"/>
          <w:lang w:eastAsia="en-US"/>
        </w:rPr>
        <w:t>'''''''</w:t>
      </w:r>
      <w:r w:rsidRPr="008D797E">
        <w:rPr>
          <w:lang w:eastAsia="en-US"/>
        </w:rPr>
        <w:t xml:space="preserve">% of expenditure above the agreed subsidisation caps. </w:t>
      </w:r>
      <w:r w:rsidRPr="008D797E">
        <w:t>Whether the total cost of ATZ reaches the annual subsidisation cap would depend on the accuracy of the resubmission’s estimation of the number of patients likely to be treated each year</w:t>
      </w:r>
      <w:r w:rsidR="0017307D">
        <w:t xml:space="preserve"> and the duration of treatment</w:t>
      </w:r>
      <w:r w:rsidRPr="008D797E">
        <w:t>. If the number of patients per year is overestimated, the cost per patient for ATZ in clinical practice may exceed the cost per patient applied in the model.</w:t>
      </w:r>
      <w:r w:rsidR="0054338F" w:rsidRPr="008D797E">
        <w:t xml:space="preserve"> The ESC noted that reliance on subsidisation caps to achieve a cost-effective price introduced substantial additional uncertainty in the ICERs derived and the </w:t>
      </w:r>
      <w:r w:rsidR="006311B9" w:rsidRPr="008D797E">
        <w:t xml:space="preserve">PBAC agreed with the </w:t>
      </w:r>
      <w:r w:rsidR="0054338F" w:rsidRPr="008D797E">
        <w:t>ESC that the ICERs without application of the proposed caps were the appropriate base case for decision-making.</w:t>
      </w:r>
    </w:p>
    <w:p w:rsidR="00622DEB" w:rsidRPr="008D797E" w:rsidRDefault="00622DEB" w:rsidP="00622DEB">
      <w:pPr>
        <w:numPr>
          <w:ilvl w:val="1"/>
          <w:numId w:val="1"/>
        </w:numPr>
        <w:spacing w:after="120"/>
        <w:rPr>
          <w:rFonts w:asciiTheme="minorHAnsi" w:hAnsiTheme="minorHAnsi"/>
          <w:snapToGrid w:val="0"/>
        </w:rPr>
      </w:pPr>
      <w:r w:rsidRPr="008D797E">
        <w:rPr>
          <w:rFonts w:asciiTheme="minorHAnsi" w:hAnsiTheme="minorHAnsi"/>
          <w:snapToGrid w:val="0"/>
        </w:rPr>
        <w:t xml:space="preserve">The resubmission also applied a cap of 10 treatments on the number of nab-P administrations for all patients in both scenarios, based on their respective TTOT curves. This resulted in an average of approximately 8 or 9 administrations being costed depending on PD-L1 status and comparative scenarios. This is compared with an average of 30.20 administrations for true positive patients and 21.77 for true negative patients in the proposed scenario, and 20.07 for patients in the current scenario, when treatment durations were based on TTOT curves. </w:t>
      </w:r>
    </w:p>
    <w:p w:rsidR="00622DEB" w:rsidRPr="008D797E" w:rsidRDefault="00622DEB" w:rsidP="00622DEB">
      <w:pPr>
        <w:numPr>
          <w:ilvl w:val="1"/>
          <w:numId w:val="1"/>
        </w:numPr>
        <w:spacing w:after="120"/>
        <w:rPr>
          <w:rFonts w:asciiTheme="minorHAnsi" w:hAnsiTheme="minorHAnsi"/>
          <w:snapToGrid w:val="0"/>
        </w:rPr>
      </w:pPr>
      <w:r w:rsidRPr="008D797E">
        <w:rPr>
          <w:rFonts w:asciiTheme="minorHAnsi" w:hAnsiTheme="minorHAnsi"/>
          <w:snapToGrid w:val="0"/>
        </w:rPr>
        <w:t xml:space="preserve">The resubmission justified the application of a cap of 10 administrations for nab-P based on dose-limiting toxicity, as suggested by DUSC (para 6.75, atezolizumab PSD, March 2020 PBAC meeting). However, the health outcomes observed from IMpassion130 and those extrapolated over 10-year time horizon were based on a much longer </w:t>
      </w:r>
      <w:r w:rsidR="005700B4" w:rsidRPr="008D797E">
        <w:rPr>
          <w:rFonts w:asciiTheme="minorHAnsi" w:hAnsiTheme="minorHAnsi"/>
          <w:snapToGrid w:val="0"/>
        </w:rPr>
        <w:t xml:space="preserve">average </w:t>
      </w:r>
      <w:r w:rsidRPr="008D797E">
        <w:rPr>
          <w:rFonts w:asciiTheme="minorHAnsi" w:hAnsiTheme="minorHAnsi"/>
          <w:snapToGrid w:val="0"/>
        </w:rPr>
        <w:t>nab-P treatment</w:t>
      </w:r>
      <w:r w:rsidR="005700B4" w:rsidRPr="008D797E">
        <w:rPr>
          <w:rFonts w:asciiTheme="minorHAnsi" w:hAnsiTheme="minorHAnsi"/>
          <w:snapToGrid w:val="0"/>
        </w:rPr>
        <w:t xml:space="preserve"> duration</w:t>
      </w:r>
      <w:r w:rsidRPr="008D797E">
        <w:rPr>
          <w:rFonts w:asciiTheme="minorHAnsi" w:hAnsiTheme="minorHAnsi"/>
          <w:snapToGrid w:val="0"/>
        </w:rPr>
        <w:t xml:space="preserve">. The most recent data from IMpassion130 indicated that, </w:t>
      </w:r>
      <w:r w:rsidR="00082308" w:rsidRPr="008D797E">
        <w:rPr>
          <w:rFonts w:asciiTheme="minorHAnsi" w:hAnsiTheme="minorHAnsi"/>
          <w:snapToGrid w:val="0"/>
        </w:rPr>
        <w:t>PD-L1-positive</w:t>
      </w:r>
      <w:r w:rsidRPr="008D797E">
        <w:rPr>
          <w:rFonts w:asciiTheme="minorHAnsi" w:hAnsiTheme="minorHAnsi"/>
          <w:snapToGrid w:val="0"/>
        </w:rPr>
        <w:t xml:space="preserve"> patients received nab-P (when used in combination with ATZ) for </w:t>
      </w:r>
      <w:r w:rsidR="00983BA9" w:rsidRPr="008D797E">
        <w:rPr>
          <w:rFonts w:asciiTheme="minorHAnsi" w:hAnsiTheme="minorHAnsi"/>
          <w:snapToGrid w:val="0"/>
        </w:rPr>
        <w:t xml:space="preserve">an average of </w:t>
      </w:r>
      <w:r w:rsidRPr="008D797E">
        <w:rPr>
          <w:rFonts w:asciiTheme="minorHAnsi" w:hAnsiTheme="minorHAnsi"/>
          <w:snapToGrid w:val="0"/>
        </w:rPr>
        <w:t xml:space="preserve">approximately </w:t>
      </w:r>
      <w:r w:rsidR="00983BA9" w:rsidRPr="008D797E">
        <w:rPr>
          <w:rFonts w:asciiTheme="minorHAnsi" w:hAnsiTheme="minorHAnsi"/>
          <w:snapToGrid w:val="0"/>
        </w:rPr>
        <w:t>28.2</w:t>
      </w:r>
      <w:r w:rsidRPr="008D797E">
        <w:rPr>
          <w:rFonts w:asciiTheme="minorHAnsi" w:hAnsiTheme="minorHAnsi"/>
          <w:snapToGrid w:val="0"/>
        </w:rPr>
        <w:t xml:space="preserve"> administrations, while patients (both </w:t>
      </w:r>
      <w:r w:rsidR="00082308" w:rsidRPr="008D797E">
        <w:rPr>
          <w:rFonts w:asciiTheme="minorHAnsi" w:hAnsiTheme="minorHAnsi"/>
          <w:snapToGrid w:val="0"/>
        </w:rPr>
        <w:t>PD-L1-positive</w:t>
      </w:r>
      <w:r w:rsidRPr="008D797E">
        <w:rPr>
          <w:rFonts w:asciiTheme="minorHAnsi" w:hAnsiTheme="minorHAnsi"/>
          <w:snapToGrid w:val="0"/>
        </w:rPr>
        <w:t xml:space="preserve"> and negative) in the control arm received nab-P for </w:t>
      </w:r>
      <w:r w:rsidR="00983BA9" w:rsidRPr="008D797E">
        <w:rPr>
          <w:rFonts w:asciiTheme="minorHAnsi" w:hAnsiTheme="minorHAnsi"/>
          <w:snapToGrid w:val="0"/>
        </w:rPr>
        <w:t>an average</w:t>
      </w:r>
      <w:r w:rsidRPr="008D797E">
        <w:rPr>
          <w:rFonts w:asciiTheme="minorHAnsi" w:hAnsiTheme="minorHAnsi"/>
          <w:snapToGrid w:val="0"/>
        </w:rPr>
        <w:t xml:space="preserve"> of </w:t>
      </w:r>
      <w:r w:rsidR="00983BA9" w:rsidRPr="008D797E">
        <w:rPr>
          <w:rFonts w:asciiTheme="minorHAnsi" w:hAnsiTheme="minorHAnsi"/>
          <w:snapToGrid w:val="0"/>
        </w:rPr>
        <w:t>19.8</w:t>
      </w:r>
      <w:r w:rsidRPr="008D797E">
        <w:rPr>
          <w:rFonts w:asciiTheme="minorHAnsi" w:hAnsiTheme="minorHAnsi"/>
          <w:snapToGrid w:val="0"/>
        </w:rPr>
        <w:t xml:space="preserve"> administrations</w:t>
      </w:r>
      <w:r w:rsidR="0043772E" w:rsidRPr="008D797E">
        <w:rPr>
          <w:rFonts w:asciiTheme="minorHAnsi" w:hAnsiTheme="minorHAnsi"/>
          <w:snapToGrid w:val="0"/>
        </w:rPr>
        <w:t xml:space="preserve"> (</w:t>
      </w:r>
      <w:r w:rsidR="0043772E" w:rsidRPr="008D797E">
        <w:rPr>
          <w:snapToGrid w:val="0"/>
        </w:rPr>
        <w:t>Table 35,</w:t>
      </w:r>
      <w:r w:rsidR="00154C66" w:rsidRPr="008D797E">
        <w:rPr>
          <w:snapToGrid w:val="0"/>
        </w:rPr>
        <w:t xml:space="preserve"> p102 of final updated IMpassion130 CSR</w:t>
      </w:r>
      <w:r w:rsidR="0043772E" w:rsidRPr="008D797E">
        <w:rPr>
          <w:snapToGrid w:val="0"/>
        </w:rPr>
        <w:t>),</w:t>
      </w:r>
      <w:r w:rsidR="00DC0A0E" w:rsidRPr="008D797E">
        <w:rPr>
          <w:rFonts w:asciiTheme="minorHAnsi" w:hAnsiTheme="minorHAnsi"/>
          <w:snapToGrid w:val="0"/>
        </w:rPr>
        <w:t xml:space="preserve"> when most patients had discontinued nab-P</w:t>
      </w:r>
      <w:r w:rsidRPr="008D797E">
        <w:rPr>
          <w:rFonts w:asciiTheme="minorHAnsi" w:hAnsiTheme="minorHAnsi"/>
          <w:snapToGrid w:val="0"/>
        </w:rPr>
        <w:t xml:space="preserve"> (</w:t>
      </w:r>
      <w:r w:rsidR="00232E9D" w:rsidRPr="008D797E">
        <w:t xml:space="preserve">Table </w:t>
      </w:r>
      <w:r w:rsidR="00232E9D" w:rsidRPr="006E5C4D">
        <w:t>6</w:t>
      </w:r>
      <w:r w:rsidR="00BF5B78" w:rsidRPr="008D797E">
        <w:rPr>
          <w:rFonts w:asciiTheme="minorHAnsi" w:hAnsiTheme="minorHAnsi"/>
          <w:snapToGrid w:val="0"/>
        </w:rPr>
        <w:t xml:space="preserve">, </w:t>
      </w:r>
      <w:r w:rsidRPr="008D797E">
        <w:rPr>
          <w:rFonts w:asciiTheme="minorHAnsi" w:hAnsiTheme="minorHAnsi"/>
          <w:snapToGrid w:val="0"/>
        </w:rPr>
        <w:t>above). Reducing the cost of na</w:t>
      </w:r>
      <w:r w:rsidRPr="00115C2F">
        <w:rPr>
          <w:rFonts w:asciiTheme="minorHAnsi" w:hAnsiTheme="minorHAnsi"/>
          <w:snapToGrid w:val="0"/>
        </w:rPr>
        <w:t>b-P due to potentially intolerable toxicity without adjusting corresponding health outcomes was not appropriate. The application of the cap on the number of nab-P administrations substantially reduced the incremental cost between the two comparative scenarios and favoured the proposed scenario.</w:t>
      </w:r>
      <w:r w:rsidR="009A571F" w:rsidRPr="008D797E">
        <w:rPr>
          <w:rFonts w:asciiTheme="minorHAnsi" w:hAnsiTheme="minorHAnsi"/>
          <w:snapToGrid w:val="0"/>
        </w:rPr>
        <w:t xml:space="preserve"> The PSCR </w:t>
      </w:r>
      <w:r w:rsidR="006311B9" w:rsidRPr="008D797E">
        <w:rPr>
          <w:rFonts w:asciiTheme="minorHAnsi" w:hAnsiTheme="minorHAnsi"/>
          <w:snapToGrid w:val="0"/>
        </w:rPr>
        <w:t xml:space="preserve">and pre-PBAC response </w:t>
      </w:r>
      <w:r w:rsidR="009A571F" w:rsidRPr="008D797E">
        <w:rPr>
          <w:rFonts w:asciiTheme="minorHAnsi" w:hAnsiTheme="minorHAnsi"/>
          <w:snapToGrid w:val="0"/>
        </w:rPr>
        <w:t>argued that reducing the number of nab-P doses followed the recommendation by DUSC. While the number of doses of nab-P may be limited in clinical practice</w:t>
      </w:r>
      <w:r w:rsidR="0054338F" w:rsidRPr="008D797E">
        <w:rPr>
          <w:rFonts w:asciiTheme="minorHAnsi" w:hAnsiTheme="minorHAnsi"/>
          <w:snapToGrid w:val="0"/>
        </w:rPr>
        <w:t xml:space="preserve"> due to cumulative toxicity, (especially where patients have previously been treated with taxanes) the ESC considered </w:t>
      </w:r>
      <w:r w:rsidR="009A571F" w:rsidRPr="008D797E">
        <w:rPr>
          <w:rFonts w:cs="Calibri"/>
          <w:bCs/>
          <w:lang w:eastAsia="en-US"/>
        </w:rPr>
        <w:t xml:space="preserve">it is not reasonable to adjust the duration (cost) of the treatment, but not the outcomes in the model; these should reflect treatment </w:t>
      </w:r>
      <w:r w:rsidR="00A77021" w:rsidRPr="008D797E">
        <w:rPr>
          <w:rFonts w:cs="Calibri"/>
          <w:bCs/>
          <w:lang w:eastAsia="en-US"/>
        </w:rPr>
        <w:t xml:space="preserve">and outcomes </w:t>
      </w:r>
      <w:r w:rsidR="009A571F" w:rsidRPr="008D797E">
        <w:rPr>
          <w:rFonts w:cs="Calibri"/>
          <w:bCs/>
          <w:lang w:eastAsia="en-US"/>
        </w:rPr>
        <w:t xml:space="preserve">received in IMpassion130. As advised by DUSC, it </w:t>
      </w:r>
      <w:r w:rsidR="0054338F" w:rsidRPr="008D797E">
        <w:rPr>
          <w:rFonts w:cs="Calibri"/>
          <w:bCs/>
          <w:lang w:eastAsia="en-US"/>
        </w:rPr>
        <w:t>may</w:t>
      </w:r>
      <w:r w:rsidR="009A571F" w:rsidRPr="008D797E">
        <w:rPr>
          <w:rFonts w:cs="Calibri"/>
          <w:bCs/>
          <w:lang w:eastAsia="en-US"/>
        </w:rPr>
        <w:t xml:space="preserve"> be appropriate to limit the number of nab-P doses in the financial estimates, which should reflect the expected use in Australian practice. </w:t>
      </w:r>
    </w:p>
    <w:p w:rsidR="00622DEB" w:rsidRPr="008D797E" w:rsidRDefault="00622DEB" w:rsidP="00622DEB">
      <w:pPr>
        <w:numPr>
          <w:ilvl w:val="1"/>
          <w:numId w:val="1"/>
        </w:numPr>
        <w:spacing w:after="120"/>
        <w:rPr>
          <w:rFonts w:asciiTheme="minorHAnsi" w:hAnsiTheme="minorHAnsi"/>
          <w:snapToGrid w:val="0"/>
        </w:rPr>
      </w:pPr>
      <w:r w:rsidRPr="008D797E">
        <w:t xml:space="preserve">The resubmission revised the utility estimates by applying the EQ-5D-5L data derived from IMpassion130 with preference weights from Norman (2012), based on an Australian population, in the base-case of the revised economic model. The progression-free and progressive disease health state utility values were 0.695 and 0.583, respectively. The revised utility estimates appeared reasonable. The utility estimate for progressive disease was generally consistent with the utility value that was previously considered reasonable by the PBAC for advanced breast cancer (0.555 for progressive disease, para 6.50, Pertuzumab and trastuzumab, PSD, November 2014 PBAC meeting). The resubmission presented sensitivity analyses using utility values sourced from literature. </w:t>
      </w:r>
      <w:r w:rsidR="0017307D">
        <w:t xml:space="preserve">The utility values used have a modest impact on the model results. </w:t>
      </w:r>
      <w:r w:rsidRPr="008D797E">
        <w:t>A higher utility value for either the progression-free or the progressive disease health state will favour the proposed scenario over the current scenario given a modelled prolonged PFS and OS from treatment with ATZ+nab-P.</w:t>
      </w:r>
    </w:p>
    <w:p w:rsidR="00622DEB" w:rsidRPr="008D797E" w:rsidRDefault="00622DEB" w:rsidP="00622DEB">
      <w:pPr>
        <w:numPr>
          <w:ilvl w:val="1"/>
          <w:numId w:val="1"/>
        </w:numPr>
        <w:spacing w:after="120"/>
        <w:rPr>
          <w:rFonts w:asciiTheme="minorHAnsi" w:hAnsiTheme="minorHAnsi"/>
          <w:snapToGrid w:val="0"/>
        </w:rPr>
      </w:pPr>
      <w:r w:rsidRPr="008D797E">
        <w:rPr>
          <w:rFonts w:asciiTheme="minorHAnsi" w:hAnsiTheme="minorHAnsi"/>
          <w:snapToGrid w:val="0"/>
        </w:rPr>
        <w:t>The key drivers of the model are summarised below.</w:t>
      </w:r>
    </w:p>
    <w:p w:rsidR="00622DEB" w:rsidRPr="008D797E" w:rsidRDefault="00622DEB" w:rsidP="00622DEB">
      <w:pPr>
        <w:pStyle w:val="TableFigureHeading"/>
      </w:pPr>
      <w:r w:rsidRPr="008D797E">
        <w:t xml:space="preserve">Table </w:t>
      </w:r>
      <w:r w:rsidR="00232E9D" w:rsidRPr="006E5C4D">
        <w:t>12</w:t>
      </w:r>
      <w:r w:rsidRPr="008D797E">
        <w:t>: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014"/>
        <w:gridCol w:w="1249"/>
        <w:gridCol w:w="3608"/>
        <w:gridCol w:w="3145"/>
      </w:tblGrid>
      <w:tr w:rsidR="00622DEB" w:rsidRPr="008D797E" w:rsidTr="003028C8">
        <w:trPr>
          <w:trHeight w:val="127"/>
          <w:tblHeader/>
        </w:trPr>
        <w:tc>
          <w:tcPr>
            <w:tcW w:w="1255" w:type="pct"/>
            <w:gridSpan w:val="2"/>
            <w:vMerge w:val="restart"/>
            <w:shd w:val="clear" w:color="auto" w:fill="auto"/>
            <w:vAlign w:val="bottom"/>
          </w:tcPr>
          <w:p w:rsidR="00622DEB" w:rsidRPr="00115C2F" w:rsidRDefault="00622DEB" w:rsidP="003028C8">
            <w:pPr>
              <w:pStyle w:val="TableText0"/>
              <w:rPr>
                <w:b/>
              </w:rPr>
            </w:pPr>
            <w:r w:rsidRPr="00115C2F">
              <w:rPr>
                <w:b/>
              </w:rPr>
              <w:t>Description</w:t>
            </w:r>
          </w:p>
        </w:tc>
        <w:tc>
          <w:tcPr>
            <w:tcW w:w="2001" w:type="pct"/>
            <w:vMerge w:val="restart"/>
            <w:shd w:val="clear" w:color="auto" w:fill="auto"/>
            <w:vAlign w:val="bottom"/>
          </w:tcPr>
          <w:p w:rsidR="00622DEB" w:rsidRPr="008D797E" w:rsidRDefault="00622DEB" w:rsidP="003028C8">
            <w:pPr>
              <w:pStyle w:val="TableText0"/>
              <w:rPr>
                <w:b/>
              </w:rPr>
            </w:pPr>
            <w:r w:rsidRPr="008D797E">
              <w:rPr>
                <w:b/>
              </w:rPr>
              <w:t>Method/Value</w:t>
            </w:r>
          </w:p>
        </w:tc>
        <w:tc>
          <w:tcPr>
            <w:tcW w:w="1744" w:type="pct"/>
            <w:shd w:val="clear" w:color="auto" w:fill="auto"/>
            <w:vAlign w:val="bottom"/>
          </w:tcPr>
          <w:p w:rsidR="00622DEB" w:rsidRPr="008D797E" w:rsidRDefault="00622DEB" w:rsidP="003028C8">
            <w:pPr>
              <w:pStyle w:val="TableText0"/>
              <w:rPr>
                <w:b/>
              </w:rPr>
            </w:pPr>
            <w:r w:rsidRPr="008D797E">
              <w:rPr>
                <w:b/>
              </w:rPr>
              <w:t>Impact</w:t>
            </w:r>
            <w:r w:rsidR="00457929" w:rsidRPr="008D797E">
              <w:rPr>
                <w:b/>
                <w:vertAlign w:val="superscript"/>
              </w:rPr>
              <w:t>#</w:t>
            </w:r>
          </w:p>
        </w:tc>
      </w:tr>
      <w:tr w:rsidR="00622DEB" w:rsidRPr="008D797E" w:rsidTr="003028C8">
        <w:trPr>
          <w:cantSplit/>
          <w:trHeight w:val="126"/>
          <w:tblHeader/>
        </w:trPr>
        <w:tc>
          <w:tcPr>
            <w:tcW w:w="1255" w:type="pct"/>
            <w:gridSpan w:val="2"/>
            <w:vMerge/>
            <w:shd w:val="clear" w:color="auto" w:fill="auto"/>
            <w:vAlign w:val="bottom"/>
          </w:tcPr>
          <w:p w:rsidR="00622DEB" w:rsidRPr="008D797E" w:rsidRDefault="00622DEB" w:rsidP="003028C8">
            <w:pPr>
              <w:pStyle w:val="TableText0"/>
            </w:pPr>
          </w:p>
        </w:tc>
        <w:tc>
          <w:tcPr>
            <w:tcW w:w="2001" w:type="pct"/>
            <w:vMerge/>
            <w:shd w:val="clear" w:color="auto" w:fill="auto"/>
            <w:vAlign w:val="bottom"/>
          </w:tcPr>
          <w:p w:rsidR="00622DEB" w:rsidRPr="008D797E" w:rsidRDefault="00622DEB" w:rsidP="003028C8">
            <w:pPr>
              <w:pStyle w:val="TableText0"/>
            </w:pPr>
          </w:p>
        </w:tc>
        <w:tc>
          <w:tcPr>
            <w:tcW w:w="1744" w:type="pct"/>
            <w:shd w:val="clear" w:color="auto" w:fill="auto"/>
            <w:vAlign w:val="bottom"/>
          </w:tcPr>
          <w:p w:rsidR="00622DEB" w:rsidRPr="008D797E" w:rsidRDefault="00622DEB" w:rsidP="00F02763">
            <w:pPr>
              <w:pStyle w:val="TableText0"/>
            </w:pPr>
            <w:r w:rsidRPr="008D797E">
              <w:t>Resubmission base case: $</w:t>
            </w:r>
            <w:r w:rsidR="006470F1">
              <w:rPr>
                <w:noProof/>
                <w:color w:val="000000"/>
                <w:highlight w:val="black"/>
              </w:rPr>
              <w:t>''''''''''''''''''</w:t>
            </w:r>
            <w:r w:rsidR="008F1E37">
              <w:rPr>
                <w:vertAlign w:val="superscript"/>
              </w:rPr>
              <w:t>1</w:t>
            </w:r>
            <w:r w:rsidRPr="008D797E">
              <w:t>/QALY*</w:t>
            </w:r>
          </w:p>
        </w:tc>
      </w:tr>
      <w:tr w:rsidR="00622DEB" w:rsidRPr="008D797E" w:rsidTr="003028C8">
        <w:tc>
          <w:tcPr>
            <w:tcW w:w="1255" w:type="pct"/>
            <w:gridSpan w:val="2"/>
            <w:shd w:val="clear" w:color="auto" w:fill="auto"/>
            <w:vAlign w:val="center"/>
          </w:tcPr>
          <w:p w:rsidR="00622DEB" w:rsidRPr="008D797E" w:rsidRDefault="00622DEB" w:rsidP="003028C8">
            <w:pPr>
              <w:pStyle w:val="TableText0"/>
            </w:pPr>
            <w:r w:rsidRPr="008D797E">
              <w:t>Modelling OS</w:t>
            </w:r>
          </w:p>
        </w:tc>
        <w:tc>
          <w:tcPr>
            <w:tcW w:w="2001" w:type="pct"/>
            <w:shd w:val="clear" w:color="auto" w:fill="auto"/>
            <w:vAlign w:val="bottom"/>
          </w:tcPr>
          <w:p w:rsidR="00622DEB" w:rsidRPr="008D797E" w:rsidRDefault="00622DEB" w:rsidP="003028C8">
            <w:pPr>
              <w:pStyle w:val="TableText0"/>
            </w:pPr>
            <w:r w:rsidRPr="008D797E">
              <w:t>Use of OS data from IMpassion130 trial, where no statistically significant benefit in OS was demonstrated.</w:t>
            </w:r>
          </w:p>
        </w:tc>
        <w:tc>
          <w:tcPr>
            <w:tcW w:w="1744" w:type="pct"/>
            <w:shd w:val="clear" w:color="auto" w:fill="auto"/>
          </w:tcPr>
          <w:p w:rsidR="00622DEB" w:rsidRPr="008D797E" w:rsidRDefault="00622DEB" w:rsidP="003028C8">
            <w:pPr>
              <w:pStyle w:val="TableText0"/>
            </w:pPr>
            <w:r w:rsidRPr="008D797E">
              <w:t>High, likely to favour the proposed scenario</w:t>
            </w:r>
          </w:p>
        </w:tc>
      </w:tr>
      <w:tr w:rsidR="00622DEB" w:rsidRPr="008D797E" w:rsidTr="003028C8">
        <w:trPr>
          <w:trHeight w:val="380"/>
        </w:trPr>
        <w:tc>
          <w:tcPr>
            <w:tcW w:w="562" w:type="pct"/>
            <w:vMerge w:val="restart"/>
            <w:shd w:val="clear" w:color="auto" w:fill="auto"/>
            <w:vAlign w:val="center"/>
          </w:tcPr>
          <w:p w:rsidR="00622DEB" w:rsidRPr="008D797E" w:rsidRDefault="00622DEB" w:rsidP="003028C8">
            <w:pPr>
              <w:pStyle w:val="TableText0"/>
            </w:pPr>
            <w:r w:rsidRPr="008D797E">
              <w:t>Extrapolation of OS</w:t>
            </w:r>
          </w:p>
        </w:tc>
        <w:tc>
          <w:tcPr>
            <w:tcW w:w="693" w:type="pct"/>
            <w:shd w:val="clear" w:color="auto" w:fill="auto"/>
            <w:vAlign w:val="center"/>
          </w:tcPr>
          <w:p w:rsidR="00622DEB" w:rsidRPr="008D797E" w:rsidRDefault="00622DEB" w:rsidP="003028C8">
            <w:pPr>
              <w:pStyle w:val="TableText0"/>
            </w:pPr>
            <w:r w:rsidRPr="008D797E">
              <w:t>Parametric functions</w:t>
            </w:r>
          </w:p>
        </w:tc>
        <w:tc>
          <w:tcPr>
            <w:tcW w:w="2001" w:type="pct"/>
            <w:shd w:val="clear" w:color="auto" w:fill="auto"/>
            <w:vAlign w:val="center"/>
          </w:tcPr>
          <w:p w:rsidR="00622DEB" w:rsidRPr="008D797E" w:rsidRDefault="00622DEB" w:rsidP="003028C8">
            <w:pPr>
              <w:pStyle w:val="TableText0"/>
            </w:pPr>
            <w:r w:rsidRPr="008D797E">
              <w:t>Gamma distribution was used to extrapolate OS curves for all patients in both comparative scenarios from median duration of follow-up 18.8 months</w:t>
            </w:r>
          </w:p>
        </w:tc>
        <w:tc>
          <w:tcPr>
            <w:tcW w:w="1744" w:type="pct"/>
            <w:shd w:val="clear" w:color="auto" w:fill="auto"/>
            <w:vAlign w:val="center"/>
          </w:tcPr>
          <w:p w:rsidR="00622DEB" w:rsidRPr="008D797E" w:rsidRDefault="00622DEB" w:rsidP="00F02763">
            <w:pPr>
              <w:pStyle w:val="TableText0"/>
            </w:pPr>
            <w:r w:rsidRPr="008D797E">
              <w:t>High, favours the proposed scenario. When using either the Weibull distribution or the Log-logistic distribution for OS extrapolation in both scenarios, the ICER increased to approximately $</w:t>
            </w:r>
            <w:r w:rsidR="006470F1">
              <w:rPr>
                <w:noProof/>
                <w:color w:val="000000"/>
                <w:highlight w:val="black"/>
              </w:rPr>
              <w:t>''''''''''''''''''</w:t>
            </w:r>
            <w:r w:rsidR="008F1E37">
              <w:rPr>
                <w:vertAlign w:val="superscript"/>
              </w:rPr>
              <w:t>2</w:t>
            </w:r>
            <w:r w:rsidRPr="008D797E">
              <w:t>/QALY.</w:t>
            </w:r>
          </w:p>
        </w:tc>
      </w:tr>
      <w:tr w:rsidR="00622DEB" w:rsidRPr="008D797E" w:rsidTr="003028C8">
        <w:trPr>
          <w:trHeight w:val="380"/>
        </w:trPr>
        <w:tc>
          <w:tcPr>
            <w:tcW w:w="562" w:type="pct"/>
            <w:vMerge/>
            <w:shd w:val="clear" w:color="auto" w:fill="auto"/>
            <w:vAlign w:val="center"/>
          </w:tcPr>
          <w:p w:rsidR="00622DEB" w:rsidRPr="008D797E" w:rsidRDefault="00622DEB" w:rsidP="003028C8">
            <w:pPr>
              <w:pStyle w:val="TableText0"/>
            </w:pPr>
          </w:p>
        </w:tc>
        <w:tc>
          <w:tcPr>
            <w:tcW w:w="693" w:type="pct"/>
            <w:shd w:val="clear" w:color="auto" w:fill="auto"/>
            <w:vAlign w:val="center"/>
          </w:tcPr>
          <w:p w:rsidR="00622DEB" w:rsidRPr="008D797E" w:rsidRDefault="00622DEB" w:rsidP="003028C8">
            <w:pPr>
              <w:pStyle w:val="TableText0"/>
            </w:pPr>
            <w:r w:rsidRPr="008D797E">
              <w:t>Convergence of OS curves</w:t>
            </w:r>
          </w:p>
        </w:tc>
        <w:tc>
          <w:tcPr>
            <w:tcW w:w="2001" w:type="pct"/>
            <w:shd w:val="clear" w:color="auto" w:fill="auto"/>
            <w:vAlign w:val="center"/>
          </w:tcPr>
          <w:p w:rsidR="00622DEB" w:rsidRPr="008D797E" w:rsidRDefault="00622DEB" w:rsidP="003028C8">
            <w:pPr>
              <w:pStyle w:val="TableText0"/>
            </w:pPr>
            <w:r w:rsidRPr="008D797E">
              <w:t xml:space="preserve">The base case did not model a convergence of OS curves of </w:t>
            </w:r>
            <w:r w:rsidR="00082308" w:rsidRPr="008D797E">
              <w:t>PD-L1-positive</w:t>
            </w:r>
            <w:r w:rsidRPr="008D797E">
              <w:t xml:space="preserve"> patients treated with ATZ+nab-P in the proposed scenario and those treated with nab-P in the current scenario</w:t>
            </w:r>
          </w:p>
        </w:tc>
        <w:tc>
          <w:tcPr>
            <w:tcW w:w="1744" w:type="pct"/>
            <w:shd w:val="clear" w:color="auto" w:fill="auto"/>
            <w:vAlign w:val="center"/>
          </w:tcPr>
          <w:p w:rsidR="00622DEB" w:rsidRPr="008D797E" w:rsidRDefault="00622DEB" w:rsidP="00F02763">
            <w:pPr>
              <w:pStyle w:val="TableText0"/>
            </w:pPr>
            <w:r w:rsidRPr="008D797E">
              <w:t>High, favours the proposed scenario. When assuming convergence commencing from 90 or 60 months, the ICER increased to $</w:t>
            </w:r>
            <w:r w:rsidR="006470F1">
              <w:rPr>
                <w:noProof/>
                <w:color w:val="000000"/>
                <w:highlight w:val="black"/>
              </w:rPr>
              <w:t>''''''''''''''''</w:t>
            </w:r>
            <w:r w:rsidR="008B51FC">
              <w:rPr>
                <w:vertAlign w:val="superscript"/>
              </w:rPr>
              <w:t>2</w:t>
            </w:r>
            <w:r w:rsidRPr="008D797E">
              <w:t>/QALY and $</w:t>
            </w:r>
            <w:r w:rsidR="006470F1">
              <w:rPr>
                <w:noProof/>
                <w:color w:val="000000"/>
                <w:highlight w:val="black"/>
              </w:rPr>
              <w:t>'''''''''''''''''</w:t>
            </w:r>
            <w:r w:rsidR="008B51FC">
              <w:rPr>
                <w:vertAlign w:val="superscript"/>
              </w:rPr>
              <w:t>2</w:t>
            </w:r>
            <w:r w:rsidRPr="008D797E">
              <w:t>/QALY respectively.</w:t>
            </w:r>
          </w:p>
        </w:tc>
      </w:tr>
      <w:tr w:rsidR="00622DEB" w:rsidRPr="008D797E" w:rsidTr="003028C8">
        <w:tc>
          <w:tcPr>
            <w:tcW w:w="1255" w:type="pct"/>
            <w:gridSpan w:val="2"/>
            <w:shd w:val="clear" w:color="auto" w:fill="auto"/>
            <w:vAlign w:val="center"/>
          </w:tcPr>
          <w:p w:rsidR="00622DEB" w:rsidRPr="008D797E" w:rsidRDefault="00622DEB" w:rsidP="003028C8">
            <w:pPr>
              <w:pStyle w:val="TableText0"/>
            </w:pPr>
            <w:r w:rsidRPr="008D797E">
              <w:t>Duration of ATZ treatment</w:t>
            </w:r>
          </w:p>
        </w:tc>
        <w:tc>
          <w:tcPr>
            <w:tcW w:w="2001" w:type="pct"/>
            <w:shd w:val="clear" w:color="auto" w:fill="auto"/>
            <w:vAlign w:val="center"/>
          </w:tcPr>
          <w:p w:rsidR="00622DEB" w:rsidRPr="008D797E" w:rsidRDefault="00622DEB" w:rsidP="003028C8">
            <w:pPr>
              <w:pStyle w:val="TableText0"/>
            </w:pPr>
            <w:r w:rsidRPr="008D797E">
              <w:t xml:space="preserve">A cap of average </w:t>
            </w:r>
            <w:r w:rsidR="006470F1">
              <w:rPr>
                <w:noProof/>
                <w:color w:val="000000"/>
                <w:highlight w:val="black"/>
              </w:rPr>
              <w:t>''''''</w:t>
            </w:r>
            <w:r w:rsidRPr="008D797E">
              <w:t xml:space="preserve"> administrations was applied to TTOT curves</w:t>
            </w:r>
          </w:p>
        </w:tc>
        <w:tc>
          <w:tcPr>
            <w:tcW w:w="1744" w:type="pct"/>
            <w:shd w:val="clear" w:color="auto" w:fill="auto"/>
            <w:vAlign w:val="center"/>
          </w:tcPr>
          <w:p w:rsidR="00622DEB" w:rsidRPr="008D797E" w:rsidRDefault="00622DEB" w:rsidP="00F02763">
            <w:pPr>
              <w:pStyle w:val="TableText0"/>
            </w:pPr>
            <w:r w:rsidRPr="008D797E">
              <w:t>High, favours the proposed scenario. Excluding the cap, the ICER increased to $</w:t>
            </w:r>
            <w:r w:rsidR="006470F1">
              <w:rPr>
                <w:noProof/>
                <w:color w:val="000000"/>
                <w:highlight w:val="black"/>
              </w:rPr>
              <w:t>'''''''''''''''''</w:t>
            </w:r>
            <w:r w:rsidR="008B51FC">
              <w:rPr>
                <w:vertAlign w:val="superscript"/>
              </w:rPr>
              <w:t>2</w:t>
            </w:r>
            <w:r w:rsidRPr="008D797E">
              <w:t>/QALY.</w:t>
            </w:r>
          </w:p>
        </w:tc>
      </w:tr>
      <w:tr w:rsidR="00622DEB" w:rsidRPr="008D797E" w:rsidTr="003028C8">
        <w:tc>
          <w:tcPr>
            <w:tcW w:w="1255" w:type="pct"/>
            <w:gridSpan w:val="2"/>
            <w:shd w:val="clear" w:color="auto" w:fill="auto"/>
            <w:vAlign w:val="center"/>
          </w:tcPr>
          <w:p w:rsidR="00622DEB" w:rsidRPr="008D797E" w:rsidRDefault="00622DEB" w:rsidP="003028C8">
            <w:pPr>
              <w:pStyle w:val="TableText0"/>
            </w:pPr>
            <w:r w:rsidRPr="008D797E">
              <w:t>Duration of nab-P treatment</w:t>
            </w:r>
          </w:p>
        </w:tc>
        <w:tc>
          <w:tcPr>
            <w:tcW w:w="2001" w:type="pct"/>
            <w:shd w:val="clear" w:color="auto" w:fill="auto"/>
            <w:vAlign w:val="center"/>
          </w:tcPr>
          <w:p w:rsidR="00622DEB" w:rsidRPr="008D797E" w:rsidRDefault="00622DEB" w:rsidP="003028C8">
            <w:pPr>
              <w:pStyle w:val="TableText0"/>
            </w:pPr>
            <w:r w:rsidRPr="008D797E">
              <w:t>A cap of 10 administrations was applied to TTOT curves</w:t>
            </w:r>
          </w:p>
        </w:tc>
        <w:tc>
          <w:tcPr>
            <w:tcW w:w="1744" w:type="pct"/>
            <w:shd w:val="clear" w:color="auto" w:fill="auto"/>
            <w:vAlign w:val="center"/>
          </w:tcPr>
          <w:p w:rsidR="00622DEB" w:rsidRPr="008D797E" w:rsidRDefault="00622DEB" w:rsidP="00F02763">
            <w:pPr>
              <w:pStyle w:val="TableText0"/>
            </w:pPr>
            <w:r w:rsidRPr="008D797E">
              <w:t>High, favours the proposed scenario. Excluding the cap, the ICER increased to $</w:t>
            </w:r>
            <w:r w:rsidR="006470F1">
              <w:rPr>
                <w:noProof/>
                <w:color w:val="000000"/>
                <w:highlight w:val="black"/>
              </w:rPr>
              <w:t>''''''''''''''''''</w:t>
            </w:r>
            <w:r w:rsidR="008B51FC">
              <w:rPr>
                <w:vertAlign w:val="superscript"/>
              </w:rPr>
              <w:t>2</w:t>
            </w:r>
            <w:r w:rsidRPr="008D797E">
              <w:t>/QALY</w:t>
            </w:r>
          </w:p>
        </w:tc>
      </w:tr>
    </w:tbl>
    <w:p w:rsidR="00622DEB" w:rsidRPr="008D797E" w:rsidRDefault="00622DEB" w:rsidP="00622DEB">
      <w:pPr>
        <w:pStyle w:val="TableFigureFooter"/>
      </w:pPr>
      <w:r w:rsidRPr="008D797E">
        <w:t xml:space="preserve">Source: </w:t>
      </w:r>
      <w:r w:rsidRPr="006E5C4D">
        <w:t>Compiled during the evaluation based on information presented in ‘Revised Economic Evaluation.xlsx’ of the resubmission.</w:t>
      </w:r>
    </w:p>
    <w:p w:rsidR="00622DEB" w:rsidRPr="00115C2F" w:rsidRDefault="00622DEB" w:rsidP="00622DEB">
      <w:pPr>
        <w:pStyle w:val="TableFigureFooter"/>
      </w:pPr>
      <w:r w:rsidRPr="008D797E">
        <w:t xml:space="preserve">OS = overall survival; PD-L1 = programmed death ligand 1; ICER = incremental cost effectiveness ratio; QALY = quality-adjusted life year; ATZ = atezolizumab; nab-P = nanoparticle albumin–bound paclitaxel; </w:t>
      </w:r>
      <w:r w:rsidRPr="00115C2F">
        <w:t>TTOT = time to off treatment.</w:t>
      </w:r>
    </w:p>
    <w:p w:rsidR="00622DEB" w:rsidRPr="008D797E" w:rsidRDefault="00622DEB" w:rsidP="00622DEB">
      <w:pPr>
        <w:pStyle w:val="TableFigureFooter"/>
      </w:pPr>
      <w:r w:rsidRPr="008D797E">
        <w:t>*The results of ICER were updated during the evaluation using the MBS item 13950 for ch</w:t>
      </w:r>
      <w:r w:rsidR="001F6CA5" w:rsidRPr="008D797E">
        <w:t>emotherapy drug administration.</w:t>
      </w:r>
    </w:p>
    <w:p w:rsidR="00457929" w:rsidRDefault="00457929" w:rsidP="00622DEB">
      <w:pPr>
        <w:pStyle w:val="TableFigureFooter"/>
      </w:pPr>
      <w:r w:rsidRPr="008D797E">
        <w:rPr>
          <w:vertAlign w:val="superscript"/>
        </w:rPr>
        <w:t>#</w:t>
      </w:r>
      <w:r w:rsidRPr="008D797E">
        <w:t xml:space="preserve"> Values include reduction in ATZ cost due to proposed treatment cap implemented via RSA caps</w:t>
      </w:r>
    </w:p>
    <w:p w:rsidR="008F1E37" w:rsidRPr="00BB7BCB" w:rsidRDefault="008F1E37" w:rsidP="00622DEB">
      <w:pPr>
        <w:pStyle w:val="TableFigureFooter"/>
        <w:rPr>
          <w:i/>
        </w:rPr>
      </w:pPr>
      <w:r w:rsidRPr="00BB7BCB">
        <w:rPr>
          <w:i/>
        </w:rPr>
        <w:t>The redacted values correspond to the following ranges:</w:t>
      </w:r>
    </w:p>
    <w:p w:rsidR="008F1E37" w:rsidRDefault="008F1E37" w:rsidP="00622DEB">
      <w:pPr>
        <w:pStyle w:val="TableFigureFooter"/>
        <w:rPr>
          <w:i/>
        </w:rPr>
      </w:pPr>
      <w:r w:rsidRPr="00BB7BCB">
        <w:rPr>
          <w:i/>
          <w:vertAlign w:val="superscript"/>
        </w:rPr>
        <w:t>1</w:t>
      </w:r>
      <w:r w:rsidRPr="00BB7BCB">
        <w:rPr>
          <w:i/>
        </w:rPr>
        <w:t>$55,000 to &lt;$75,000/QALY gained</w:t>
      </w:r>
    </w:p>
    <w:p w:rsidR="008F1E37" w:rsidRDefault="008F1E37" w:rsidP="00622DEB">
      <w:pPr>
        <w:pStyle w:val="TableFigureFooter"/>
        <w:rPr>
          <w:i/>
        </w:rPr>
      </w:pPr>
      <w:r>
        <w:rPr>
          <w:i/>
          <w:vertAlign w:val="superscript"/>
        </w:rPr>
        <w:t>2</w:t>
      </w:r>
      <w:r w:rsidR="008B51FC">
        <w:rPr>
          <w:i/>
        </w:rPr>
        <w:t xml:space="preserve">$75,000 to &lt;$95,000/QALY gained </w:t>
      </w:r>
    </w:p>
    <w:p w:rsidR="008B51FC" w:rsidRPr="00BB7BCB" w:rsidRDefault="008B51FC" w:rsidP="00622DEB">
      <w:pPr>
        <w:pStyle w:val="TableFigureFooter"/>
        <w:rPr>
          <w:i/>
        </w:rPr>
      </w:pPr>
    </w:p>
    <w:p w:rsidR="00622DEB" w:rsidRPr="008D797E" w:rsidRDefault="00622DEB" w:rsidP="00622DEB">
      <w:pPr>
        <w:numPr>
          <w:ilvl w:val="1"/>
          <w:numId w:val="1"/>
        </w:numPr>
        <w:spacing w:after="120"/>
      </w:pPr>
      <w:r w:rsidRPr="008D797E">
        <w:t>The results of the stepped economic evaluation are presented below.</w:t>
      </w:r>
    </w:p>
    <w:p w:rsidR="00622DEB" w:rsidRPr="008D797E" w:rsidRDefault="00622DEB" w:rsidP="00622DEB">
      <w:pPr>
        <w:pStyle w:val="TableFigureHeading"/>
        <w:rPr>
          <w:rFonts w:ascii="Calibri" w:eastAsia="Times New Roman" w:hAnsi="Calibri" w:cs="Arial"/>
          <w:sz w:val="18"/>
        </w:rPr>
      </w:pPr>
      <w:r w:rsidRPr="008D797E">
        <w:t xml:space="preserve">Table </w:t>
      </w:r>
      <w:r w:rsidR="00232E9D" w:rsidRPr="006E5C4D">
        <w:t>13</w:t>
      </w:r>
      <w:r w:rsidRPr="008D797E">
        <w:t>: Results of the stepped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757"/>
        <w:gridCol w:w="2451"/>
        <w:gridCol w:w="2297"/>
        <w:gridCol w:w="1511"/>
      </w:tblGrid>
      <w:tr w:rsidR="00622DEB" w:rsidRPr="008D797E" w:rsidTr="003028C8">
        <w:trPr>
          <w:tblHeader/>
        </w:trPr>
        <w:tc>
          <w:tcPr>
            <w:tcW w:w="1529" w:type="pct"/>
            <w:vAlign w:val="center"/>
          </w:tcPr>
          <w:p w:rsidR="00622DEB" w:rsidRPr="006E5C4D" w:rsidRDefault="00622DEB" w:rsidP="003028C8">
            <w:pPr>
              <w:pStyle w:val="In-tableHeading"/>
              <w:rPr>
                <w:lang w:val="en-AU"/>
              </w:rPr>
            </w:pPr>
            <w:r w:rsidRPr="006E5C4D">
              <w:rPr>
                <w:lang w:val="en-AU"/>
              </w:rPr>
              <w:t>Step and component</w:t>
            </w:r>
          </w:p>
        </w:tc>
        <w:tc>
          <w:tcPr>
            <w:tcW w:w="1359" w:type="pct"/>
            <w:vAlign w:val="center"/>
          </w:tcPr>
          <w:p w:rsidR="00622DEB" w:rsidRPr="006E5C4D" w:rsidRDefault="00622DEB" w:rsidP="003028C8">
            <w:pPr>
              <w:pStyle w:val="In-tableHeading"/>
              <w:jc w:val="center"/>
              <w:rPr>
                <w:lang w:val="en-AU"/>
              </w:rPr>
            </w:pPr>
            <w:r w:rsidRPr="006E5C4D">
              <w:rPr>
                <w:lang w:val="en-AU"/>
              </w:rPr>
              <w:t>Proposed scenario</w:t>
            </w:r>
          </w:p>
        </w:tc>
        <w:tc>
          <w:tcPr>
            <w:tcW w:w="1274" w:type="pct"/>
            <w:vAlign w:val="center"/>
          </w:tcPr>
          <w:p w:rsidR="00622DEB" w:rsidRPr="006E5C4D" w:rsidRDefault="00622DEB" w:rsidP="003028C8">
            <w:pPr>
              <w:pStyle w:val="In-tableHeading"/>
              <w:jc w:val="center"/>
              <w:rPr>
                <w:lang w:val="en-AU"/>
              </w:rPr>
            </w:pPr>
            <w:r w:rsidRPr="006E5C4D">
              <w:rPr>
                <w:lang w:val="en-AU"/>
              </w:rPr>
              <w:t>Current scenario</w:t>
            </w:r>
          </w:p>
        </w:tc>
        <w:tc>
          <w:tcPr>
            <w:tcW w:w="838" w:type="pct"/>
            <w:vAlign w:val="center"/>
          </w:tcPr>
          <w:p w:rsidR="00622DEB" w:rsidRPr="006E5C4D" w:rsidRDefault="00622DEB" w:rsidP="003028C8">
            <w:pPr>
              <w:pStyle w:val="In-tableHeading"/>
              <w:jc w:val="center"/>
              <w:rPr>
                <w:lang w:val="en-AU"/>
              </w:rPr>
            </w:pPr>
            <w:r w:rsidRPr="006E5C4D">
              <w:rPr>
                <w:lang w:val="en-AU"/>
              </w:rPr>
              <w:t>Increment</w:t>
            </w:r>
          </w:p>
        </w:tc>
      </w:tr>
      <w:tr w:rsidR="00622DEB" w:rsidRPr="008D797E" w:rsidTr="003028C8">
        <w:tc>
          <w:tcPr>
            <w:tcW w:w="5000" w:type="pct"/>
            <w:gridSpan w:val="4"/>
            <w:vAlign w:val="center"/>
          </w:tcPr>
          <w:p w:rsidR="00622DEB" w:rsidRPr="008D797E" w:rsidRDefault="00622DEB" w:rsidP="003028C8">
            <w:pPr>
              <w:pStyle w:val="TableText0"/>
              <w:rPr>
                <w:b/>
              </w:rPr>
            </w:pPr>
            <w:r w:rsidRPr="008D797E">
              <w:rPr>
                <w:b/>
              </w:rPr>
              <w:t>Step 1: trial-based costs and outcomes (PFS KM truncated at 41.89 months, OS KM 53.03 months and TTOT KM 37.49 months)</w:t>
            </w:r>
          </w:p>
        </w:tc>
      </w:tr>
      <w:tr w:rsidR="00622DEB" w:rsidRPr="008D797E" w:rsidTr="003028C8">
        <w:tc>
          <w:tcPr>
            <w:tcW w:w="1529" w:type="pct"/>
            <w:vAlign w:val="center"/>
          </w:tcPr>
          <w:p w:rsidR="00622DEB" w:rsidRPr="008D797E" w:rsidRDefault="00622DEB" w:rsidP="003028C8">
            <w:pPr>
              <w:pStyle w:val="TableText0"/>
              <w:rPr>
                <w:rFonts w:ascii="Times" w:hAnsi="Times"/>
              </w:rPr>
            </w:pPr>
            <w:r w:rsidRPr="008D797E">
              <w:t>Costs</w:t>
            </w:r>
          </w:p>
        </w:tc>
        <w:tc>
          <w:tcPr>
            <w:tcW w:w="1359" w:type="pct"/>
            <w:vAlign w:val="center"/>
          </w:tcPr>
          <w:p w:rsidR="00622DEB" w:rsidRPr="008D797E" w:rsidRDefault="00622DEB" w:rsidP="003028C8">
            <w:pPr>
              <w:pStyle w:val="TableText0"/>
              <w:jc w:val="center"/>
              <w:rPr>
                <w:rFonts w:ascii="Times" w:hAnsi="Times"/>
              </w:rPr>
            </w:pPr>
            <w:r w:rsidRPr="008D797E">
              <w:t>$</w:t>
            </w:r>
            <w:r w:rsidR="006470F1">
              <w:rPr>
                <w:noProof/>
                <w:color w:val="000000"/>
                <w:highlight w:val="black"/>
              </w:rPr>
              <w:t>''''''''''''''''</w:t>
            </w:r>
          </w:p>
        </w:tc>
        <w:tc>
          <w:tcPr>
            <w:tcW w:w="1274" w:type="pct"/>
            <w:vAlign w:val="center"/>
          </w:tcPr>
          <w:p w:rsidR="00622DEB" w:rsidRPr="008D797E" w:rsidRDefault="00622DEB" w:rsidP="003028C8">
            <w:pPr>
              <w:pStyle w:val="TableText0"/>
              <w:jc w:val="center"/>
              <w:rPr>
                <w:rFonts w:ascii="Times" w:hAnsi="Times"/>
              </w:rPr>
            </w:pPr>
            <w:r w:rsidRPr="008D797E">
              <w:t>$</w:t>
            </w:r>
            <w:r w:rsidRPr="00285B48">
              <w:t>7,938</w:t>
            </w:r>
          </w:p>
        </w:tc>
        <w:tc>
          <w:tcPr>
            <w:tcW w:w="838" w:type="pct"/>
            <w:vAlign w:val="center"/>
          </w:tcPr>
          <w:p w:rsidR="00622DEB" w:rsidRPr="008D797E" w:rsidRDefault="00622DEB" w:rsidP="003028C8">
            <w:pPr>
              <w:pStyle w:val="TableText0"/>
              <w:jc w:val="center"/>
              <w:rPr>
                <w:rFonts w:ascii="Times" w:hAnsi="Times"/>
              </w:rPr>
            </w:pPr>
            <w:r w:rsidRPr="008D797E">
              <w:t>$</w:t>
            </w:r>
            <w:r w:rsidR="006470F1">
              <w:rPr>
                <w:noProof/>
                <w:color w:val="000000"/>
                <w:highlight w:val="black"/>
              </w:rPr>
              <w:t>'''''''''''''''</w:t>
            </w:r>
          </w:p>
        </w:tc>
      </w:tr>
      <w:tr w:rsidR="00622DEB" w:rsidRPr="008D797E" w:rsidTr="003028C8">
        <w:tc>
          <w:tcPr>
            <w:tcW w:w="1529" w:type="pct"/>
            <w:vAlign w:val="center"/>
          </w:tcPr>
          <w:p w:rsidR="00622DEB" w:rsidRPr="008D797E" w:rsidRDefault="00622DEB" w:rsidP="003028C8">
            <w:pPr>
              <w:pStyle w:val="TableText0"/>
              <w:rPr>
                <w:rFonts w:ascii="Times" w:hAnsi="Times"/>
              </w:rPr>
            </w:pPr>
            <w:r w:rsidRPr="008D797E">
              <w:t>LYG</w:t>
            </w:r>
          </w:p>
        </w:tc>
        <w:tc>
          <w:tcPr>
            <w:tcW w:w="1359" w:type="pct"/>
            <w:vAlign w:val="center"/>
          </w:tcPr>
          <w:p w:rsidR="00622DEB" w:rsidRPr="008D797E" w:rsidRDefault="00622DEB" w:rsidP="003028C8">
            <w:pPr>
              <w:pStyle w:val="TableText0"/>
              <w:jc w:val="center"/>
              <w:rPr>
                <w:rFonts w:ascii="Times" w:hAnsi="Times"/>
              </w:rPr>
            </w:pPr>
            <w:r w:rsidRPr="008D797E">
              <w:t>2.03</w:t>
            </w:r>
          </w:p>
        </w:tc>
        <w:tc>
          <w:tcPr>
            <w:tcW w:w="1274" w:type="pct"/>
            <w:vAlign w:val="center"/>
          </w:tcPr>
          <w:p w:rsidR="00622DEB" w:rsidRPr="008D797E" w:rsidRDefault="00622DEB" w:rsidP="003028C8">
            <w:pPr>
              <w:pStyle w:val="TableText0"/>
              <w:jc w:val="center"/>
              <w:rPr>
                <w:rFonts w:ascii="Times" w:hAnsi="Times"/>
              </w:rPr>
            </w:pPr>
            <w:r w:rsidRPr="008D797E">
              <w:t>1.87</w:t>
            </w:r>
          </w:p>
        </w:tc>
        <w:tc>
          <w:tcPr>
            <w:tcW w:w="838" w:type="pct"/>
            <w:vAlign w:val="center"/>
          </w:tcPr>
          <w:p w:rsidR="00622DEB" w:rsidRPr="008D797E" w:rsidRDefault="00622DEB" w:rsidP="003028C8">
            <w:pPr>
              <w:pStyle w:val="TableText0"/>
              <w:jc w:val="center"/>
            </w:pPr>
            <w:r w:rsidRPr="008D797E">
              <w:t>0.16</w:t>
            </w:r>
          </w:p>
        </w:tc>
      </w:tr>
      <w:tr w:rsidR="00622DEB" w:rsidRPr="008D797E" w:rsidTr="003028C8">
        <w:tc>
          <w:tcPr>
            <w:tcW w:w="4162" w:type="pct"/>
            <w:gridSpan w:val="3"/>
            <w:vAlign w:val="center"/>
          </w:tcPr>
          <w:p w:rsidR="00622DEB" w:rsidRPr="008D797E" w:rsidRDefault="00622DEB" w:rsidP="003028C8">
            <w:pPr>
              <w:pStyle w:val="TableText0"/>
              <w:rPr>
                <w:rFonts w:ascii="Times" w:hAnsi="Times"/>
              </w:rPr>
            </w:pPr>
            <w:r w:rsidRPr="008D797E">
              <w:t>Incremental cost/extra LYG gained</w:t>
            </w:r>
          </w:p>
        </w:tc>
        <w:tc>
          <w:tcPr>
            <w:tcW w:w="838" w:type="pct"/>
            <w:vAlign w:val="center"/>
          </w:tcPr>
          <w:p w:rsidR="00622DEB" w:rsidRPr="00BB7BCB" w:rsidRDefault="00622DEB" w:rsidP="003028C8">
            <w:pPr>
              <w:pStyle w:val="TableText0"/>
              <w:jc w:val="center"/>
              <w:rPr>
                <w:rFonts w:ascii="Times" w:hAnsi="Times"/>
                <w:vertAlign w:val="superscript"/>
              </w:rPr>
            </w:pPr>
            <w:r w:rsidRPr="008D797E">
              <w:t>$</w:t>
            </w:r>
            <w:r w:rsidR="006470F1">
              <w:rPr>
                <w:noProof/>
                <w:color w:val="000000"/>
                <w:highlight w:val="black"/>
              </w:rPr>
              <w:t>'''''''''''''''''</w:t>
            </w:r>
            <w:r w:rsidR="00D505E0" w:rsidRPr="00BB7BCB">
              <w:rPr>
                <w:vertAlign w:val="superscript"/>
              </w:rPr>
              <w:t>1</w:t>
            </w:r>
          </w:p>
        </w:tc>
      </w:tr>
      <w:tr w:rsidR="00622DEB" w:rsidRPr="008D797E" w:rsidTr="003028C8">
        <w:tc>
          <w:tcPr>
            <w:tcW w:w="5000" w:type="pct"/>
            <w:gridSpan w:val="4"/>
            <w:vAlign w:val="center"/>
          </w:tcPr>
          <w:p w:rsidR="00622DEB" w:rsidRPr="006E5C4D" w:rsidRDefault="00622DEB" w:rsidP="003028C8">
            <w:pPr>
              <w:pStyle w:val="In-tableHeading"/>
              <w:rPr>
                <w:lang w:val="en-AU"/>
              </w:rPr>
            </w:pPr>
            <w:r w:rsidRPr="006E5C4D">
              <w:rPr>
                <w:lang w:val="en-AU"/>
              </w:rPr>
              <w:t>Step 2: time horizon extended to 10 years (PFS, OS and TTOT KM curves in IMpassion130 extrapolated from 18.83 months)</w:t>
            </w:r>
          </w:p>
        </w:tc>
      </w:tr>
      <w:tr w:rsidR="00622DEB" w:rsidRPr="008D797E" w:rsidTr="003028C8">
        <w:tc>
          <w:tcPr>
            <w:tcW w:w="1529" w:type="pct"/>
            <w:vAlign w:val="center"/>
          </w:tcPr>
          <w:p w:rsidR="00622DEB" w:rsidRPr="008D797E" w:rsidRDefault="00622DEB" w:rsidP="003028C8">
            <w:pPr>
              <w:pStyle w:val="TableText0"/>
              <w:rPr>
                <w:rFonts w:ascii="Times" w:hAnsi="Times"/>
              </w:rPr>
            </w:pPr>
            <w:r w:rsidRPr="008D797E">
              <w:t>Costs</w:t>
            </w:r>
          </w:p>
        </w:tc>
        <w:tc>
          <w:tcPr>
            <w:tcW w:w="1359" w:type="pct"/>
            <w:vAlign w:val="center"/>
          </w:tcPr>
          <w:p w:rsidR="00622DEB" w:rsidRPr="008D797E" w:rsidRDefault="00622DEB" w:rsidP="003028C8">
            <w:pPr>
              <w:pStyle w:val="TableText0"/>
              <w:jc w:val="center"/>
              <w:rPr>
                <w:rFonts w:ascii="Times" w:hAnsi="Times"/>
              </w:rPr>
            </w:pPr>
            <w:r w:rsidRPr="008D797E">
              <w:t>$</w:t>
            </w:r>
            <w:r w:rsidR="006470F1">
              <w:rPr>
                <w:noProof/>
                <w:color w:val="000000"/>
                <w:highlight w:val="black"/>
              </w:rPr>
              <w:t>'''''''''''''''''</w:t>
            </w:r>
          </w:p>
        </w:tc>
        <w:tc>
          <w:tcPr>
            <w:tcW w:w="1274" w:type="pct"/>
            <w:vAlign w:val="center"/>
          </w:tcPr>
          <w:p w:rsidR="00622DEB" w:rsidRPr="008D797E" w:rsidRDefault="00622DEB" w:rsidP="003028C8">
            <w:pPr>
              <w:pStyle w:val="TableText0"/>
              <w:jc w:val="center"/>
              <w:rPr>
                <w:rFonts w:ascii="Times" w:hAnsi="Times"/>
              </w:rPr>
            </w:pPr>
            <w:r w:rsidRPr="008D797E">
              <w:t>$</w:t>
            </w:r>
            <w:r w:rsidRPr="00285B48">
              <w:t>7,938</w:t>
            </w:r>
          </w:p>
        </w:tc>
        <w:tc>
          <w:tcPr>
            <w:tcW w:w="838" w:type="pct"/>
            <w:vAlign w:val="center"/>
          </w:tcPr>
          <w:p w:rsidR="00622DEB" w:rsidRPr="008D797E" w:rsidRDefault="00622DEB" w:rsidP="003028C8">
            <w:pPr>
              <w:pStyle w:val="TableText0"/>
              <w:jc w:val="center"/>
              <w:rPr>
                <w:rFonts w:ascii="Times" w:hAnsi="Times"/>
              </w:rPr>
            </w:pPr>
            <w:r w:rsidRPr="008D797E">
              <w:t>$</w:t>
            </w:r>
            <w:r w:rsidR="006470F1">
              <w:rPr>
                <w:noProof/>
                <w:color w:val="000000"/>
                <w:highlight w:val="black"/>
              </w:rPr>
              <w:t>''''''''''''''''''</w:t>
            </w:r>
          </w:p>
        </w:tc>
      </w:tr>
      <w:tr w:rsidR="00622DEB" w:rsidRPr="008D797E" w:rsidTr="003028C8">
        <w:tc>
          <w:tcPr>
            <w:tcW w:w="1529" w:type="pct"/>
            <w:vAlign w:val="center"/>
          </w:tcPr>
          <w:p w:rsidR="00622DEB" w:rsidRPr="008D797E" w:rsidRDefault="00622DEB" w:rsidP="003028C8">
            <w:pPr>
              <w:pStyle w:val="TableText0"/>
              <w:rPr>
                <w:rFonts w:ascii="Times" w:hAnsi="Times"/>
              </w:rPr>
            </w:pPr>
            <w:r w:rsidRPr="008D797E">
              <w:t>LYG</w:t>
            </w:r>
          </w:p>
        </w:tc>
        <w:tc>
          <w:tcPr>
            <w:tcW w:w="1359" w:type="pct"/>
            <w:vAlign w:val="center"/>
          </w:tcPr>
          <w:p w:rsidR="00622DEB" w:rsidRPr="008D797E" w:rsidRDefault="00622DEB" w:rsidP="003028C8">
            <w:pPr>
              <w:pStyle w:val="TableText0"/>
              <w:jc w:val="center"/>
              <w:rPr>
                <w:rFonts w:ascii="Times" w:hAnsi="Times"/>
              </w:rPr>
            </w:pPr>
            <w:r w:rsidRPr="008D797E">
              <w:t>2.32</w:t>
            </w:r>
          </w:p>
        </w:tc>
        <w:tc>
          <w:tcPr>
            <w:tcW w:w="1274" w:type="pct"/>
            <w:vAlign w:val="center"/>
          </w:tcPr>
          <w:p w:rsidR="00622DEB" w:rsidRPr="008D797E" w:rsidRDefault="00622DEB" w:rsidP="003028C8">
            <w:pPr>
              <w:pStyle w:val="TableText0"/>
              <w:jc w:val="center"/>
              <w:rPr>
                <w:rFonts w:ascii="Times" w:hAnsi="Times"/>
              </w:rPr>
            </w:pPr>
            <w:r w:rsidRPr="008D797E">
              <w:t>2.04</w:t>
            </w:r>
          </w:p>
        </w:tc>
        <w:tc>
          <w:tcPr>
            <w:tcW w:w="838" w:type="pct"/>
            <w:vAlign w:val="center"/>
          </w:tcPr>
          <w:p w:rsidR="00622DEB" w:rsidRPr="008D797E" w:rsidRDefault="00622DEB" w:rsidP="003028C8">
            <w:pPr>
              <w:pStyle w:val="TableText0"/>
              <w:jc w:val="center"/>
            </w:pPr>
            <w:r w:rsidRPr="008D797E">
              <w:t>0.28</w:t>
            </w:r>
          </w:p>
        </w:tc>
      </w:tr>
      <w:tr w:rsidR="00622DEB" w:rsidRPr="008D797E" w:rsidTr="003028C8">
        <w:tc>
          <w:tcPr>
            <w:tcW w:w="4162" w:type="pct"/>
            <w:gridSpan w:val="3"/>
            <w:vAlign w:val="center"/>
          </w:tcPr>
          <w:p w:rsidR="00622DEB" w:rsidRPr="008D797E" w:rsidRDefault="00622DEB" w:rsidP="003028C8">
            <w:pPr>
              <w:pStyle w:val="TableText0"/>
              <w:rPr>
                <w:rFonts w:ascii="Times" w:hAnsi="Times"/>
              </w:rPr>
            </w:pPr>
            <w:r w:rsidRPr="008D797E">
              <w:t>Incremental cost/extra LYG gained</w:t>
            </w:r>
          </w:p>
        </w:tc>
        <w:tc>
          <w:tcPr>
            <w:tcW w:w="838" w:type="pct"/>
            <w:vAlign w:val="center"/>
          </w:tcPr>
          <w:p w:rsidR="00622DEB" w:rsidRPr="00BB7BCB" w:rsidRDefault="00622DEB" w:rsidP="003028C8">
            <w:pPr>
              <w:pStyle w:val="TableText0"/>
              <w:jc w:val="center"/>
              <w:rPr>
                <w:rFonts w:ascii="Times" w:hAnsi="Times"/>
                <w:vertAlign w:val="superscript"/>
              </w:rPr>
            </w:pPr>
            <w:r w:rsidRPr="008D797E">
              <w:t>$</w:t>
            </w:r>
            <w:r w:rsidR="006470F1">
              <w:rPr>
                <w:noProof/>
                <w:color w:val="000000"/>
                <w:highlight w:val="black"/>
              </w:rPr>
              <w:t>'''''''''''''''</w:t>
            </w:r>
            <w:r w:rsidR="00D505E0" w:rsidRPr="00BB7BCB">
              <w:rPr>
                <w:vertAlign w:val="superscript"/>
              </w:rPr>
              <w:t>2</w:t>
            </w:r>
          </w:p>
        </w:tc>
      </w:tr>
      <w:tr w:rsidR="00622DEB" w:rsidRPr="008D797E" w:rsidTr="003028C8">
        <w:tc>
          <w:tcPr>
            <w:tcW w:w="5000" w:type="pct"/>
            <w:gridSpan w:val="4"/>
            <w:vAlign w:val="center"/>
          </w:tcPr>
          <w:p w:rsidR="00622DEB" w:rsidRPr="006E5C4D" w:rsidRDefault="00622DEB" w:rsidP="003028C8">
            <w:pPr>
              <w:pStyle w:val="In-tableHeading"/>
              <w:rPr>
                <w:lang w:val="en-AU"/>
              </w:rPr>
            </w:pPr>
            <w:r w:rsidRPr="006E5C4D">
              <w:rPr>
                <w:lang w:val="en-AU"/>
              </w:rPr>
              <w:t>Step 3: Inclusion of MRU cost</w:t>
            </w:r>
          </w:p>
        </w:tc>
      </w:tr>
      <w:tr w:rsidR="00622DEB" w:rsidRPr="008D797E" w:rsidTr="003028C8">
        <w:tc>
          <w:tcPr>
            <w:tcW w:w="1529" w:type="pct"/>
            <w:vAlign w:val="center"/>
          </w:tcPr>
          <w:p w:rsidR="00622DEB" w:rsidRPr="008D797E" w:rsidRDefault="00622DEB" w:rsidP="003028C8">
            <w:pPr>
              <w:pStyle w:val="TableText0"/>
              <w:rPr>
                <w:rFonts w:ascii="Times" w:hAnsi="Times"/>
              </w:rPr>
            </w:pPr>
            <w:r w:rsidRPr="008D797E">
              <w:t>Costs</w:t>
            </w:r>
          </w:p>
        </w:tc>
        <w:tc>
          <w:tcPr>
            <w:tcW w:w="1359" w:type="pct"/>
            <w:vAlign w:val="center"/>
          </w:tcPr>
          <w:p w:rsidR="00622DEB" w:rsidRPr="008D797E" w:rsidRDefault="00622DEB" w:rsidP="003028C8">
            <w:pPr>
              <w:pStyle w:val="TableText0"/>
              <w:jc w:val="center"/>
              <w:rPr>
                <w:rFonts w:ascii="Times" w:hAnsi="Times"/>
              </w:rPr>
            </w:pPr>
            <w:r w:rsidRPr="008D797E">
              <w:t>$</w:t>
            </w:r>
            <w:r w:rsidR="006470F1">
              <w:rPr>
                <w:noProof/>
                <w:color w:val="000000"/>
                <w:highlight w:val="black"/>
              </w:rPr>
              <w:t>''''''''''''''''''</w:t>
            </w:r>
          </w:p>
        </w:tc>
        <w:tc>
          <w:tcPr>
            <w:tcW w:w="1274" w:type="pct"/>
            <w:vAlign w:val="center"/>
          </w:tcPr>
          <w:p w:rsidR="00622DEB" w:rsidRPr="008D797E" w:rsidRDefault="00622DEB" w:rsidP="003028C8">
            <w:pPr>
              <w:pStyle w:val="TableText0"/>
              <w:jc w:val="center"/>
              <w:rPr>
                <w:rFonts w:ascii="Times" w:hAnsi="Times"/>
              </w:rPr>
            </w:pPr>
            <w:r w:rsidRPr="008D797E">
              <w:t>$</w:t>
            </w:r>
            <w:r w:rsidRPr="00285B48">
              <w:t>9,967</w:t>
            </w:r>
          </w:p>
        </w:tc>
        <w:tc>
          <w:tcPr>
            <w:tcW w:w="838" w:type="pct"/>
            <w:vAlign w:val="center"/>
          </w:tcPr>
          <w:p w:rsidR="00622DEB" w:rsidRPr="008D797E" w:rsidRDefault="00622DEB" w:rsidP="003028C8">
            <w:pPr>
              <w:pStyle w:val="TableText0"/>
              <w:jc w:val="center"/>
              <w:rPr>
                <w:rFonts w:ascii="Times" w:hAnsi="Times"/>
              </w:rPr>
            </w:pPr>
            <w:r w:rsidRPr="008D797E">
              <w:t>$</w:t>
            </w:r>
            <w:r w:rsidR="006470F1">
              <w:rPr>
                <w:noProof/>
                <w:color w:val="000000"/>
                <w:highlight w:val="black"/>
              </w:rPr>
              <w:t>''''''''''''''''</w:t>
            </w:r>
          </w:p>
        </w:tc>
      </w:tr>
      <w:tr w:rsidR="00622DEB" w:rsidRPr="008D797E" w:rsidTr="003028C8">
        <w:tc>
          <w:tcPr>
            <w:tcW w:w="1529" w:type="pct"/>
            <w:vAlign w:val="center"/>
          </w:tcPr>
          <w:p w:rsidR="00622DEB" w:rsidRPr="008D797E" w:rsidRDefault="00622DEB" w:rsidP="003028C8">
            <w:pPr>
              <w:pStyle w:val="TableText0"/>
              <w:rPr>
                <w:rFonts w:ascii="Times" w:hAnsi="Times"/>
              </w:rPr>
            </w:pPr>
            <w:r w:rsidRPr="008D797E">
              <w:t>LYG</w:t>
            </w:r>
          </w:p>
        </w:tc>
        <w:tc>
          <w:tcPr>
            <w:tcW w:w="1359" w:type="pct"/>
            <w:vAlign w:val="center"/>
          </w:tcPr>
          <w:p w:rsidR="00622DEB" w:rsidRPr="008D797E" w:rsidRDefault="00622DEB" w:rsidP="003028C8">
            <w:pPr>
              <w:pStyle w:val="TableText0"/>
              <w:jc w:val="center"/>
              <w:rPr>
                <w:rFonts w:ascii="Times" w:hAnsi="Times"/>
              </w:rPr>
            </w:pPr>
            <w:r w:rsidRPr="008D797E">
              <w:t>2.32</w:t>
            </w:r>
          </w:p>
        </w:tc>
        <w:tc>
          <w:tcPr>
            <w:tcW w:w="1274" w:type="pct"/>
            <w:vAlign w:val="center"/>
          </w:tcPr>
          <w:p w:rsidR="00622DEB" w:rsidRPr="008D797E" w:rsidRDefault="00622DEB" w:rsidP="003028C8">
            <w:pPr>
              <w:pStyle w:val="TableText0"/>
              <w:jc w:val="center"/>
              <w:rPr>
                <w:rFonts w:ascii="Times" w:hAnsi="Times"/>
              </w:rPr>
            </w:pPr>
            <w:r w:rsidRPr="008D797E">
              <w:t>2.04</w:t>
            </w:r>
          </w:p>
        </w:tc>
        <w:tc>
          <w:tcPr>
            <w:tcW w:w="838" w:type="pct"/>
            <w:vAlign w:val="center"/>
          </w:tcPr>
          <w:p w:rsidR="00622DEB" w:rsidRPr="008D797E" w:rsidRDefault="00622DEB" w:rsidP="003028C8">
            <w:pPr>
              <w:pStyle w:val="TableText0"/>
              <w:jc w:val="center"/>
            </w:pPr>
            <w:r w:rsidRPr="008D797E">
              <w:t>0.28</w:t>
            </w:r>
          </w:p>
        </w:tc>
      </w:tr>
      <w:tr w:rsidR="00622DEB" w:rsidRPr="008D797E" w:rsidTr="003028C8">
        <w:tc>
          <w:tcPr>
            <w:tcW w:w="4162" w:type="pct"/>
            <w:gridSpan w:val="3"/>
            <w:vAlign w:val="center"/>
          </w:tcPr>
          <w:p w:rsidR="00622DEB" w:rsidRPr="008D797E" w:rsidRDefault="00622DEB" w:rsidP="003028C8">
            <w:pPr>
              <w:pStyle w:val="TableText0"/>
              <w:rPr>
                <w:rFonts w:ascii="Times" w:hAnsi="Times"/>
              </w:rPr>
            </w:pPr>
            <w:r w:rsidRPr="008D797E">
              <w:t>Incremental cost/extra LYG gained</w:t>
            </w:r>
          </w:p>
        </w:tc>
        <w:tc>
          <w:tcPr>
            <w:tcW w:w="838" w:type="pct"/>
            <w:vAlign w:val="center"/>
          </w:tcPr>
          <w:p w:rsidR="00622DEB" w:rsidRPr="008D797E" w:rsidRDefault="00622DEB" w:rsidP="003028C8">
            <w:pPr>
              <w:pStyle w:val="TableText0"/>
              <w:jc w:val="center"/>
              <w:rPr>
                <w:rFonts w:ascii="Times" w:hAnsi="Times"/>
              </w:rPr>
            </w:pPr>
            <w:r w:rsidRPr="008D797E">
              <w:t>$</w:t>
            </w:r>
            <w:r w:rsidR="006470F1">
              <w:rPr>
                <w:noProof/>
                <w:color w:val="000000"/>
                <w:highlight w:val="black"/>
              </w:rPr>
              <w:t>'''''''''''''''</w:t>
            </w:r>
            <w:r w:rsidR="00D505E0" w:rsidRPr="00D7671F">
              <w:rPr>
                <w:vertAlign w:val="superscript"/>
              </w:rPr>
              <w:t>2</w:t>
            </w:r>
          </w:p>
        </w:tc>
      </w:tr>
      <w:tr w:rsidR="00622DEB" w:rsidRPr="008D797E" w:rsidTr="003028C8">
        <w:tc>
          <w:tcPr>
            <w:tcW w:w="5000" w:type="pct"/>
            <w:gridSpan w:val="4"/>
            <w:vAlign w:val="center"/>
          </w:tcPr>
          <w:p w:rsidR="00622DEB" w:rsidRPr="006E5C4D" w:rsidRDefault="00622DEB" w:rsidP="003028C8">
            <w:pPr>
              <w:pStyle w:val="In-tableHeading"/>
              <w:rPr>
                <w:lang w:val="en-AU"/>
              </w:rPr>
            </w:pPr>
            <w:r w:rsidRPr="006E5C4D">
              <w:rPr>
                <w:lang w:val="en-AU"/>
              </w:rPr>
              <w:t>Step 4: Inclusion of AE cost</w:t>
            </w:r>
          </w:p>
        </w:tc>
      </w:tr>
      <w:tr w:rsidR="00622DEB" w:rsidRPr="008D797E" w:rsidTr="003028C8">
        <w:tc>
          <w:tcPr>
            <w:tcW w:w="1529" w:type="pct"/>
            <w:vAlign w:val="center"/>
          </w:tcPr>
          <w:p w:rsidR="00622DEB" w:rsidRPr="008D797E" w:rsidRDefault="00622DEB" w:rsidP="003028C8">
            <w:pPr>
              <w:pStyle w:val="TableText0"/>
              <w:rPr>
                <w:rFonts w:ascii="Times" w:hAnsi="Times"/>
              </w:rPr>
            </w:pPr>
            <w:r w:rsidRPr="008D797E">
              <w:t>Costs</w:t>
            </w:r>
          </w:p>
        </w:tc>
        <w:tc>
          <w:tcPr>
            <w:tcW w:w="1359" w:type="pct"/>
            <w:vAlign w:val="center"/>
          </w:tcPr>
          <w:p w:rsidR="00622DEB" w:rsidRPr="008D797E" w:rsidRDefault="00622DEB" w:rsidP="003028C8">
            <w:pPr>
              <w:pStyle w:val="TableText0"/>
              <w:jc w:val="center"/>
              <w:rPr>
                <w:rFonts w:ascii="Times" w:hAnsi="Times"/>
              </w:rPr>
            </w:pPr>
            <w:r w:rsidRPr="008D797E">
              <w:t>$</w:t>
            </w:r>
            <w:r w:rsidR="006470F1">
              <w:rPr>
                <w:noProof/>
                <w:color w:val="000000"/>
                <w:highlight w:val="black"/>
              </w:rPr>
              <w:t>'''''''''''''''</w:t>
            </w:r>
          </w:p>
        </w:tc>
        <w:tc>
          <w:tcPr>
            <w:tcW w:w="1274" w:type="pct"/>
            <w:vAlign w:val="center"/>
          </w:tcPr>
          <w:p w:rsidR="00622DEB" w:rsidRPr="008D797E" w:rsidRDefault="00622DEB" w:rsidP="003028C8">
            <w:pPr>
              <w:pStyle w:val="TableText0"/>
              <w:jc w:val="center"/>
              <w:rPr>
                <w:rFonts w:ascii="Times" w:hAnsi="Times"/>
              </w:rPr>
            </w:pPr>
            <w:r w:rsidRPr="008D797E">
              <w:t>$</w:t>
            </w:r>
            <w:r w:rsidRPr="00285B48">
              <w:t>10,089</w:t>
            </w:r>
          </w:p>
        </w:tc>
        <w:tc>
          <w:tcPr>
            <w:tcW w:w="838" w:type="pct"/>
            <w:vAlign w:val="center"/>
          </w:tcPr>
          <w:p w:rsidR="00622DEB" w:rsidRPr="008D797E" w:rsidRDefault="00622DEB" w:rsidP="003028C8">
            <w:pPr>
              <w:pStyle w:val="TableText0"/>
              <w:jc w:val="center"/>
              <w:rPr>
                <w:rFonts w:ascii="Times" w:hAnsi="Times"/>
              </w:rPr>
            </w:pPr>
            <w:r w:rsidRPr="008D797E">
              <w:t>$</w:t>
            </w:r>
            <w:r w:rsidR="006470F1">
              <w:rPr>
                <w:noProof/>
                <w:color w:val="000000"/>
                <w:highlight w:val="black"/>
              </w:rPr>
              <w:t>''''''''''''''''</w:t>
            </w:r>
          </w:p>
        </w:tc>
      </w:tr>
      <w:tr w:rsidR="00622DEB" w:rsidRPr="008D797E" w:rsidTr="003028C8">
        <w:tc>
          <w:tcPr>
            <w:tcW w:w="1529" w:type="pct"/>
            <w:vAlign w:val="center"/>
          </w:tcPr>
          <w:p w:rsidR="00622DEB" w:rsidRPr="008D797E" w:rsidRDefault="00622DEB" w:rsidP="003028C8">
            <w:pPr>
              <w:pStyle w:val="TableText0"/>
              <w:rPr>
                <w:rFonts w:ascii="Times" w:hAnsi="Times"/>
              </w:rPr>
            </w:pPr>
            <w:r w:rsidRPr="008D797E">
              <w:t>LYG</w:t>
            </w:r>
          </w:p>
        </w:tc>
        <w:tc>
          <w:tcPr>
            <w:tcW w:w="1359" w:type="pct"/>
            <w:vAlign w:val="center"/>
          </w:tcPr>
          <w:p w:rsidR="00622DEB" w:rsidRPr="008D797E" w:rsidRDefault="00622DEB" w:rsidP="003028C8">
            <w:pPr>
              <w:pStyle w:val="TableText0"/>
              <w:jc w:val="center"/>
              <w:rPr>
                <w:rFonts w:ascii="Times" w:hAnsi="Times"/>
              </w:rPr>
            </w:pPr>
            <w:r w:rsidRPr="008D797E">
              <w:t>2.32</w:t>
            </w:r>
          </w:p>
        </w:tc>
        <w:tc>
          <w:tcPr>
            <w:tcW w:w="1274" w:type="pct"/>
            <w:vAlign w:val="center"/>
          </w:tcPr>
          <w:p w:rsidR="00622DEB" w:rsidRPr="008D797E" w:rsidRDefault="00622DEB" w:rsidP="003028C8">
            <w:pPr>
              <w:pStyle w:val="TableText0"/>
              <w:jc w:val="center"/>
              <w:rPr>
                <w:rFonts w:ascii="Times" w:hAnsi="Times"/>
              </w:rPr>
            </w:pPr>
            <w:r w:rsidRPr="008D797E">
              <w:t>2.04</w:t>
            </w:r>
          </w:p>
        </w:tc>
        <w:tc>
          <w:tcPr>
            <w:tcW w:w="838" w:type="pct"/>
            <w:vAlign w:val="center"/>
          </w:tcPr>
          <w:p w:rsidR="00622DEB" w:rsidRPr="008D797E" w:rsidRDefault="00622DEB" w:rsidP="003028C8">
            <w:pPr>
              <w:pStyle w:val="TableText0"/>
              <w:jc w:val="center"/>
            </w:pPr>
            <w:r w:rsidRPr="008D797E">
              <w:t>0.28</w:t>
            </w:r>
          </w:p>
        </w:tc>
      </w:tr>
      <w:tr w:rsidR="00622DEB" w:rsidRPr="008D797E" w:rsidTr="003028C8">
        <w:tc>
          <w:tcPr>
            <w:tcW w:w="4162" w:type="pct"/>
            <w:gridSpan w:val="3"/>
            <w:vAlign w:val="center"/>
          </w:tcPr>
          <w:p w:rsidR="00622DEB" w:rsidRPr="008D797E" w:rsidRDefault="00622DEB" w:rsidP="003028C8">
            <w:pPr>
              <w:pStyle w:val="TableText0"/>
              <w:rPr>
                <w:rFonts w:ascii="Times" w:hAnsi="Times"/>
              </w:rPr>
            </w:pPr>
            <w:r w:rsidRPr="008D797E">
              <w:t>Incremental cost/extra LYG gained</w:t>
            </w:r>
          </w:p>
        </w:tc>
        <w:tc>
          <w:tcPr>
            <w:tcW w:w="838" w:type="pct"/>
            <w:vAlign w:val="center"/>
          </w:tcPr>
          <w:p w:rsidR="00622DEB" w:rsidRPr="008D797E" w:rsidRDefault="00622DEB" w:rsidP="003028C8">
            <w:pPr>
              <w:pStyle w:val="TableText0"/>
              <w:jc w:val="center"/>
              <w:rPr>
                <w:rFonts w:ascii="Times" w:hAnsi="Times"/>
              </w:rPr>
            </w:pPr>
            <w:r w:rsidRPr="008D797E">
              <w:t>$</w:t>
            </w:r>
            <w:r w:rsidR="006470F1">
              <w:rPr>
                <w:noProof/>
                <w:color w:val="000000"/>
                <w:highlight w:val="black"/>
              </w:rPr>
              <w:t>''''''''''''''''</w:t>
            </w:r>
            <w:r w:rsidR="00D505E0" w:rsidRPr="00D7671F">
              <w:rPr>
                <w:vertAlign w:val="superscript"/>
              </w:rPr>
              <w:t>2</w:t>
            </w:r>
          </w:p>
        </w:tc>
      </w:tr>
      <w:tr w:rsidR="00622DEB" w:rsidRPr="008D797E" w:rsidTr="003028C8">
        <w:tc>
          <w:tcPr>
            <w:tcW w:w="5000" w:type="pct"/>
            <w:gridSpan w:val="4"/>
            <w:vAlign w:val="center"/>
          </w:tcPr>
          <w:p w:rsidR="00622DEB" w:rsidRPr="006E5C4D" w:rsidRDefault="00622DEB" w:rsidP="003028C8">
            <w:pPr>
              <w:pStyle w:val="In-tableHeading"/>
              <w:rPr>
                <w:lang w:val="en-AU"/>
              </w:rPr>
            </w:pPr>
            <w:r w:rsidRPr="006E5C4D">
              <w:rPr>
                <w:lang w:val="en-AU"/>
              </w:rPr>
              <w:t xml:space="preserve">Step 5: utility weights applied </w:t>
            </w:r>
          </w:p>
        </w:tc>
      </w:tr>
      <w:tr w:rsidR="00622DEB" w:rsidRPr="008D797E" w:rsidTr="003028C8">
        <w:tc>
          <w:tcPr>
            <w:tcW w:w="1529" w:type="pct"/>
            <w:vAlign w:val="center"/>
          </w:tcPr>
          <w:p w:rsidR="00622DEB" w:rsidRPr="008D797E" w:rsidRDefault="00622DEB" w:rsidP="003028C8">
            <w:pPr>
              <w:pStyle w:val="TableText0"/>
              <w:rPr>
                <w:rFonts w:ascii="Times" w:hAnsi="Times"/>
              </w:rPr>
            </w:pPr>
            <w:r w:rsidRPr="008D797E">
              <w:t>Costs</w:t>
            </w:r>
          </w:p>
        </w:tc>
        <w:tc>
          <w:tcPr>
            <w:tcW w:w="1359" w:type="pct"/>
            <w:vAlign w:val="center"/>
          </w:tcPr>
          <w:p w:rsidR="00622DEB" w:rsidRPr="008D797E" w:rsidRDefault="00622DEB" w:rsidP="003028C8">
            <w:pPr>
              <w:pStyle w:val="TableText0"/>
              <w:jc w:val="center"/>
              <w:rPr>
                <w:rFonts w:ascii="Times" w:hAnsi="Times"/>
              </w:rPr>
            </w:pPr>
            <w:r w:rsidRPr="008D797E">
              <w:t>$</w:t>
            </w:r>
            <w:r w:rsidR="006470F1">
              <w:rPr>
                <w:noProof/>
                <w:color w:val="000000"/>
                <w:highlight w:val="black"/>
              </w:rPr>
              <w:t>''''''''''''''''</w:t>
            </w:r>
          </w:p>
        </w:tc>
        <w:tc>
          <w:tcPr>
            <w:tcW w:w="1274" w:type="pct"/>
            <w:vAlign w:val="center"/>
          </w:tcPr>
          <w:p w:rsidR="00622DEB" w:rsidRPr="008D797E" w:rsidRDefault="00622DEB" w:rsidP="003028C8">
            <w:pPr>
              <w:pStyle w:val="TableText0"/>
              <w:jc w:val="center"/>
              <w:rPr>
                <w:rFonts w:ascii="Times" w:hAnsi="Times"/>
              </w:rPr>
            </w:pPr>
            <w:r w:rsidRPr="008D797E">
              <w:t>$</w:t>
            </w:r>
            <w:r w:rsidRPr="00285B48">
              <w:t>10,089</w:t>
            </w:r>
          </w:p>
        </w:tc>
        <w:tc>
          <w:tcPr>
            <w:tcW w:w="838" w:type="pct"/>
            <w:vAlign w:val="center"/>
          </w:tcPr>
          <w:p w:rsidR="00622DEB" w:rsidRPr="008D797E" w:rsidRDefault="00622DEB" w:rsidP="003028C8">
            <w:pPr>
              <w:pStyle w:val="TableText0"/>
              <w:jc w:val="center"/>
              <w:rPr>
                <w:rFonts w:ascii="Times" w:hAnsi="Times"/>
              </w:rPr>
            </w:pPr>
            <w:r w:rsidRPr="008D797E">
              <w:t>$</w:t>
            </w:r>
            <w:r w:rsidR="006470F1">
              <w:rPr>
                <w:noProof/>
                <w:color w:val="000000"/>
                <w:highlight w:val="black"/>
              </w:rPr>
              <w:t>'''''''''''''''</w:t>
            </w:r>
          </w:p>
        </w:tc>
      </w:tr>
      <w:tr w:rsidR="00622DEB" w:rsidRPr="008D797E" w:rsidTr="003028C8">
        <w:tc>
          <w:tcPr>
            <w:tcW w:w="1529" w:type="pct"/>
            <w:vAlign w:val="center"/>
          </w:tcPr>
          <w:p w:rsidR="00622DEB" w:rsidRPr="008D797E" w:rsidRDefault="00622DEB" w:rsidP="003028C8">
            <w:pPr>
              <w:pStyle w:val="TableText0"/>
              <w:rPr>
                <w:rFonts w:ascii="Times" w:hAnsi="Times"/>
              </w:rPr>
            </w:pPr>
            <w:r w:rsidRPr="008D797E">
              <w:t>QALYs</w:t>
            </w:r>
          </w:p>
        </w:tc>
        <w:tc>
          <w:tcPr>
            <w:tcW w:w="1359" w:type="pct"/>
            <w:vAlign w:val="center"/>
          </w:tcPr>
          <w:p w:rsidR="00622DEB" w:rsidRPr="008D797E" w:rsidRDefault="00622DEB" w:rsidP="003028C8">
            <w:pPr>
              <w:pStyle w:val="TableText0"/>
              <w:jc w:val="center"/>
              <w:rPr>
                <w:rFonts w:ascii="Times" w:hAnsi="Times"/>
              </w:rPr>
            </w:pPr>
            <w:r w:rsidRPr="008D797E">
              <w:t>1.45</w:t>
            </w:r>
          </w:p>
        </w:tc>
        <w:tc>
          <w:tcPr>
            <w:tcW w:w="1274" w:type="pct"/>
            <w:vAlign w:val="center"/>
          </w:tcPr>
          <w:p w:rsidR="00622DEB" w:rsidRPr="008D797E" w:rsidRDefault="00622DEB" w:rsidP="003028C8">
            <w:pPr>
              <w:pStyle w:val="TableText0"/>
              <w:jc w:val="center"/>
              <w:rPr>
                <w:rFonts w:ascii="Times" w:hAnsi="Times"/>
              </w:rPr>
            </w:pPr>
            <w:r w:rsidRPr="008D797E">
              <w:t>1.27</w:t>
            </w:r>
          </w:p>
        </w:tc>
        <w:tc>
          <w:tcPr>
            <w:tcW w:w="838" w:type="pct"/>
            <w:vAlign w:val="center"/>
          </w:tcPr>
          <w:p w:rsidR="00622DEB" w:rsidRPr="008D797E" w:rsidRDefault="00622DEB" w:rsidP="003028C8">
            <w:pPr>
              <w:pStyle w:val="TableText0"/>
              <w:jc w:val="center"/>
            </w:pPr>
            <w:r w:rsidRPr="008D797E">
              <w:t>0.18</w:t>
            </w:r>
          </w:p>
        </w:tc>
      </w:tr>
      <w:tr w:rsidR="00622DEB" w:rsidRPr="008D797E" w:rsidTr="003028C8">
        <w:tc>
          <w:tcPr>
            <w:tcW w:w="4162" w:type="pct"/>
            <w:gridSpan w:val="3"/>
            <w:vAlign w:val="center"/>
          </w:tcPr>
          <w:p w:rsidR="00622DEB" w:rsidRPr="008D797E" w:rsidRDefault="00622DEB" w:rsidP="003028C8">
            <w:pPr>
              <w:pStyle w:val="TableText0"/>
              <w:rPr>
                <w:rFonts w:ascii="Times" w:hAnsi="Times"/>
              </w:rPr>
            </w:pPr>
            <w:r w:rsidRPr="008D797E">
              <w:t xml:space="preserve">Incremental cost/extra QALY gained </w:t>
            </w:r>
          </w:p>
        </w:tc>
        <w:tc>
          <w:tcPr>
            <w:tcW w:w="838" w:type="pct"/>
            <w:vAlign w:val="center"/>
          </w:tcPr>
          <w:p w:rsidR="00622DEB" w:rsidRPr="008D797E" w:rsidRDefault="00622DEB" w:rsidP="003028C8">
            <w:pPr>
              <w:pStyle w:val="TableText0"/>
              <w:jc w:val="center"/>
              <w:rPr>
                <w:rFonts w:ascii="Times" w:hAnsi="Times"/>
              </w:rPr>
            </w:pPr>
            <w:r w:rsidRPr="008D797E">
              <w:t>$</w:t>
            </w:r>
            <w:r w:rsidR="006470F1">
              <w:rPr>
                <w:noProof/>
                <w:color w:val="000000"/>
                <w:highlight w:val="black"/>
              </w:rPr>
              <w:t>''''''''''''''''</w:t>
            </w:r>
            <w:r w:rsidR="00D505E0">
              <w:rPr>
                <w:vertAlign w:val="superscript"/>
              </w:rPr>
              <w:t>3</w:t>
            </w:r>
          </w:p>
        </w:tc>
      </w:tr>
      <w:tr w:rsidR="00622DEB" w:rsidRPr="008D797E" w:rsidTr="003028C8">
        <w:tc>
          <w:tcPr>
            <w:tcW w:w="5000" w:type="pct"/>
            <w:gridSpan w:val="4"/>
            <w:vAlign w:val="center"/>
          </w:tcPr>
          <w:p w:rsidR="00622DEB" w:rsidRPr="006E5C4D" w:rsidRDefault="00622DEB" w:rsidP="003028C8">
            <w:pPr>
              <w:pStyle w:val="In-tableHeading"/>
              <w:rPr>
                <w:lang w:val="en-AU"/>
              </w:rPr>
            </w:pPr>
            <w:r w:rsidRPr="006E5C4D">
              <w:rPr>
                <w:lang w:val="en-AU"/>
              </w:rPr>
              <w:t>Step 6: Inclusion of progression treatment cost</w:t>
            </w:r>
          </w:p>
        </w:tc>
      </w:tr>
      <w:tr w:rsidR="00622DEB" w:rsidRPr="008D797E" w:rsidTr="003028C8">
        <w:tc>
          <w:tcPr>
            <w:tcW w:w="1529" w:type="pct"/>
            <w:vAlign w:val="center"/>
          </w:tcPr>
          <w:p w:rsidR="00622DEB" w:rsidRPr="008D797E" w:rsidRDefault="00622DEB" w:rsidP="003028C8">
            <w:pPr>
              <w:pStyle w:val="TableText0"/>
              <w:rPr>
                <w:rFonts w:ascii="Times" w:hAnsi="Times"/>
              </w:rPr>
            </w:pPr>
            <w:r w:rsidRPr="008D797E">
              <w:t>Costs</w:t>
            </w:r>
          </w:p>
        </w:tc>
        <w:tc>
          <w:tcPr>
            <w:tcW w:w="1359" w:type="pct"/>
            <w:vAlign w:val="center"/>
          </w:tcPr>
          <w:p w:rsidR="00622DEB" w:rsidRPr="008D797E" w:rsidRDefault="00622DEB" w:rsidP="003028C8">
            <w:pPr>
              <w:pStyle w:val="TableText0"/>
              <w:jc w:val="center"/>
              <w:rPr>
                <w:rFonts w:ascii="Times" w:hAnsi="Times"/>
              </w:rPr>
            </w:pPr>
            <w:r w:rsidRPr="008D797E">
              <w:t>$</w:t>
            </w:r>
            <w:r w:rsidR="006470F1">
              <w:rPr>
                <w:noProof/>
                <w:color w:val="000000"/>
                <w:highlight w:val="black"/>
              </w:rPr>
              <w:t>'''''''''''''''''</w:t>
            </w:r>
          </w:p>
        </w:tc>
        <w:tc>
          <w:tcPr>
            <w:tcW w:w="1274" w:type="pct"/>
            <w:vAlign w:val="center"/>
          </w:tcPr>
          <w:p w:rsidR="00622DEB" w:rsidRPr="008D797E" w:rsidRDefault="00622DEB" w:rsidP="003028C8">
            <w:pPr>
              <w:pStyle w:val="TableText0"/>
              <w:jc w:val="center"/>
              <w:rPr>
                <w:rFonts w:ascii="Times" w:hAnsi="Times"/>
              </w:rPr>
            </w:pPr>
            <w:r w:rsidRPr="008D797E">
              <w:t>$</w:t>
            </w:r>
            <w:r w:rsidRPr="00285B48">
              <w:t>14,152</w:t>
            </w:r>
          </w:p>
        </w:tc>
        <w:tc>
          <w:tcPr>
            <w:tcW w:w="838" w:type="pct"/>
            <w:vAlign w:val="center"/>
          </w:tcPr>
          <w:p w:rsidR="00622DEB" w:rsidRPr="008D797E" w:rsidRDefault="00622DEB" w:rsidP="003028C8">
            <w:pPr>
              <w:pStyle w:val="TableText0"/>
              <w:jc w:val="center"/>
              <w:rPr>
                <w:rFonts w:ascii="Times" w:hAnsi="Times"/>
              </w:rPr>
            </w:pPr>
            <w:r w:rsidRPr="008D797E">
              <w:t>$</w:t>
            </w:r>
            <w:r w:rsidR="006470F1">
              <w:rPr>
                <w:noProof/>
                <w:color w:val="000000"/>
                <w:highlight w:val="black"/>
              </w:rPr>
              <w:t>''''''''''''''''''</w:t>
            </w:r>
          </w:p>
        </w:tc>
      </w:tr>
      <w:tr w:rsidR="00622DEB" w:rsidRPr="008D797E" w:rsidTr="003028C8">
        <w:tc>
          <w:tcPr>
            <w:tcW w:w="1529" w:type="pct"/>
            <w:vAlign w:val="center"/>
          </w:tcPr>
          <w:p w:rsidR="00622DEB" w:rsidRPr="008D797E" w:rsidRDefault="00622DEB" w:rsidP="003028C8">
            <w:pPr>
              <w:pStyle w:val="TableText0"/>
              <w:rPr>
                <w:rFonts w:ascii="Times" w:hAnsi="Times"/>
              </w:rPr>
            </w:pPr>
            <w:r w:rsidRPr="008D797E">
              <w:t>QALYs</w:t>
            </w:r>
          </w:p>
        </w:tc>
        <w:tc>
          <w:tcPr>
            <w:tcW w:w="1359" w:type="pct"/>
            <w:vAlign w:val="center"/>
          </w:tcPr>
          <w:p w:rsidR="00622DEB" w:rsidRPr="008D797E" w:rsidRDefault="00622DEB" w:rsidP="003028C8">
            <w:pPr>
              <w:pStyle w:val="TableText0"/>
              <w:jc w:val="center"/>
              <w:rPr>
                <w:rFonts w:ascii="Times" w:hAnsi="Times"/>
              </w:rPr>
            </w:pPr>
            <w:r w:rsidRPr="008D797E">
              <w:t>1.45</w:t>
            </w:r>
          </w:p>
        </w:tc>
        <w:tc>
          <w:tcPr>
            <w:tcW w:w="1274" w:type="pct"/>
            <w:vAlign w:val="center"/>
          </w:tcPr>
          <w:p w:rsidR="00622DEB" w:rsidRPr="008D797E" w:rsidRDefault="00622DEB" w:rsidP="003028C8">
            <w:pPr>
              <w:pStyle w:val="TableText0"/>
              <w:jc w:val="center"/>
              <w:rPr>
                <w:rFonts w:ascii="Times" w:hAnsi="Times"/>
              </w:rPr>
            </w:pPr>
            <w:r w:rsidRPr="008D797E">
              <w:t>1.27</w:t>
            </w:r>
          </w:p>
        </w:tc>
        <w:tc>
          <w:tcPr>
            <w:tcW w:w="838" w:type="pct"/>
            <w:vAlign w:val="center"/>
          </w:tcPr>
          <w:p w:rsidR="00622DEB" w:rsidRPr="008D797E" w:rsidRDefault="00622DEB" w:rsidP="003028C8">
            <w:pPr>
              <w:pStyle w:val="TableText0"/>
              <w:jc w:val="center"/>
            </w:pPr>
            <w:r w:rsidRPr="008D797E">
              <w:t>0.18</w:t>
            </w:r>
          </w:p>
        </w:tc>
      </w:tr>
      <w:tr w:rsidR="00622DEB" w:rsidRPr="008D797E" w:rsidTr="003028C8">
        <w:tc>
          <w:tcPr>
            <w:tcW w:w="4162" w:type="pct"/>
            <w:gridSpan w:val="3"/>
            <w:vAlign w:val="center"/>
          </w:tcPr>
          <w:p w:rsidR="00622DEB" w:rsidRPr="008D797E" w:rsidRDefault="00622DEB" w:rsidP="003028C8">
            <w:pPr>
              <w:pStyle w:val="TableText0"/>
              <w:rPr>
                <w:rFonts w:ascii="Times" w:hAnsi="Times"/>
              </w:rPr>
            </w:pPr>
            <w:r w:rsidRPr="008D797E">
              <w:t>Incremental cost/extra QALY gained</w:t>
            </w:r>
          </w:p>
        </w:tc>
        <w:tc>
          <w:tcPr>
            <w:tcW w:w="838" w:type="pct"/>
            <w:vAlign w:val="center"/>
          </w:tcPr>
          <w:p w:rsidR="00622DEB" w:rsidRPr="008D797E" w:rsidRDefault="00622DEB" w:rsidP="003028C8">
            <w:pPr>
              <w:pStyle w:val="TableText0"/>
              <w:jc w:val="center"/>
              <w:rPr>
                <w:rFonts w:ascii="Times" w:hAnsi="Times"/>
              </w:rPr>
            </w:pPr>
            <w:r w:rsidRPr="008D797E">
              <w:t>$</w:t>
            </w:r>
            <w:r w:rsidR="006470F1">
              <w:rPr>
                <w:noProof/>
                <w:color w:val="000000"/>
                <w:highlight w:val="black"/>
              </w:rPr>
              <w:t>'''''''''''''''</w:t>
            </w:r>
            <w:r w:rsidR="00D505E0">
              <w:rPr>
                <w:vertAlign w:val="superscript"/>
              </w:rPr>
              <w:t>3</w:t>
            </w:r>
          </w:p>
        </w:tc>
      </w:tr>
      <w:tr w:rsidR="00622DEB" w:rsidRPr="008D797E" w:rsidTr="003028C8">
        <w:tc>
          <w:tcPr>
            <w:tcW w:w="5000" w:type="pct"/>
            <w:gridSpan w:val="4"/>
            <w:vAlign w:val="center"/>
          </w:tcPr>
          <w:p w:rsidR="00622DEB" w:rsidRPr="006E5C4D" w:rsidRDefault="00622DEB" w:rsidP="003028C8">
            <w:pPr>
              <w:pStyle w:val="In-tableHeading"/>
              <w:rPr>
                <w:lang w:val="en-AU"/>
              </w:rPr>
            </w:pPr>
            <w:r w:rsidRPr="006E5C4D">
              <w:rPr>
                <w:lang w:val="en-AU"/>
              </w:rPr>
              <w:t>Step 7: Inclusion of end of life cost</w:t>
            </w:r>
          </w:p>
        </w:tc>
      </w:tr>
      <w:tr w:rsidR="00622DEB" w:rsidRPr="008D797E" w:rsidTr="003028C8">
        <w:tc>
          <w:tcPr>
            <w:tcW w:w="1529" w:type="pct"/>
            <w:vAlign w:val="center"/>
          </w:tcPr>
          <w:p w:rsidR="00622DEB" w:rsidRPr="008D797E" w:rsidRDefault="00622DEB" w:rsidP="003028C8">
            <w:pPr>
              <w:pStyle w:val="TableText0"/>
              <w:rPr>
                <w:rFonts w:ascii="Times" w:hAnsi="Times"/>
              </w:rPr>
            </w:pPr>
            <w:r w:rsidRPr="008D797E">
              <w:t>Costs</w:t>
            </w:r>
          </w:p>
        </w:tc>
        <w:tc>
          <w:tcPr>
            <w:tcW w:w="1359" w:type="pct"/>
            <w:vAlign w:val="center"/>
          </w:tcPr>
          <w:p w:rsidR="00622DEB" w:rsidRPr="008D797E" w:rsidRDefault="00622DEB" w:rsidP="003028C8">
            <w:pPr>
              <w:pStyle w:val="TableText0"/>
              <w:jc w:val="center"/>
              <w:rPr>
                <w:rFonts w:ascii="Times" w:hAnsi="Times"/>
              </w:rPr>
            </w:pPr>
            <w:r w:rsidRPr="008D797E">
              <w:t>$</w:t>
            </w:r>
            <w:r w:rsidR="006470F1">
              <w:rPr>
                <w:noProof/>
                <w:color w:val="000000"/>
                <w:highlight w:val="black"/>
              </w:rPr>
              <w:t>'''''''''''''''</w:t>
            </w:r>
          </w:p>
        </w:tc>
        <w:tc>
          <w:tcPr>
            <w:tcW w:w="1274" w:type="pct"/>
            <w:vAlign w:val="center"/>
          </w:tcPr>
          <w:p w:rsidR="00622DEB" w:rsidRPr="008D797E" w:rsidRDefault="00622DEB" w:rsidP="003028C8">
            <w:pPr>
              <w:pStyle w:val="TableText0"/>
              <w:jc w:val="center"/>
              <w:rPr>
                <w:rFonts w:ascii="Times" w:hAnsi="Times"/>
              </w:rPr>
            </w:pPr>
            <w:r w:rsidRPr="008D797E">
              <w:t>$</w:t>
            </w:r>
            <w:r w:rsidRPr="00285B48">
              <w:t>16,592</w:t>
            </w:r>
          </w:p>
        </w:tc>
        <w:tc>
          <w:tcPr>
            <w:tcW w:w="838" w:type="pct"/>
            <w:vAlign w:val="center"/>
          </w:tcPr>
          <w:p w:rsidR="00622DEB" w:rsidRPr="008D797E" w:rsidRDefault="00622DEB" w:rsidP="003028C8">
            <w:pPr>
              <w:pStyle w:val="TableText0"/>
              <w:jc w:val="center"/>
              <w:rPr>
                <w:rFonts w:ascii="Times" w:hAnsi="Times"/>
              </w:rPr>
            </w:pPr>
            <w:r w:rsidRPr="008D797E">
              <w:t>$</w:t>
            </w:r>
            <w:r w:rsidR="006470F1">
              <w:rPr>
                <w:noProof/>
                <w:color w:val="000000"/>
                <w:highlight w:val="black"/>
              </w:rPr>
              <w:t>''''''''''''''''</w:t>
            </w:r>
          </w:p>
        </w:tc>
      </w:tr>
      <w:tr w:rsidR="00622DEB" w:rsidRPr="008D797E" w:rsidTr="003028C8">
        <w:tc>
          <w:tcPr>
            <w:tcW w:w="1529" w:type="pct"/>
            <w:vAlign w:val="center"/>
          </w:tcPr>
          <w:p w:rsidR="00622DEB" w:rsidRPr="008D797E" w:rsidRDefault="00622DEB" w:rsidP="003028C8">
            <w:pPr>
              <w:pStyle w:val="TableText0"/>
              <w:rPr>
                <w:rFonts w:ascii="Times" w:hAnsi="Times"/>
              </w:rPr>
            </w:pPr>
            <w:r w:rsidRPr="008D797E">
              <w:t>QALYs</w:t>
            </w:r>
          </w:p>
        </w:tc>
        <w:tc>
          <w:tcPr>
            <w:tcW w:w="1359" w:type="pct"/>
            <w:vAlign w:val="center"/>
          </w:tcPr>
          <w:p w:rsidR="00622DEB" w:rsidRPr="008D797E" w:rsidRDefault="00622DEB" w:rsidP="003028C8">
            <w:pPr>
              <w:pStyle w:val="TableText0"/>
              <w:jc w:val="center"/>
              <w:rPr>
                <w:rFonts w:ascii="Times" w:hAnsi="Times"/>
              </w:rPr>
            </w:pPr>
            <w:r w:rsidRPr="008D797E">
              <w:t>1.45</w:t>
            </w:r>
          </w:p>
        </w:tc>
        <w:tc>
          <w:tcPr>
            <w:tcW w:w="1274" w:type="pct"/>
            <w:vAlign w:val="center"/>
          </w:tcPr>
          <w:p w:rsidR="00622DEB" w:rsidRPr="008D797E" w:rsidRDefault="00622DEB" w:rsidP="003028C8">
            <w:pPr>
              <w:pStyle w:val="TableText0"/>
              <w:jc w:val="center"/>
              <w:rPr>
                <w:rFonts w:ascii="Times" w:hAnsi="Times"/>
              </w:rPr>
            </w:pPr>
            <w:r w:rsidRPr="008D797E">
              <w:t>1.27</w:t>
            </w:r>
          </w:p>
        </w:tc>
        <w:tc>
          <w:tcPr>
            <w:tcW w:w="838" w:type="pct"/>
            <w:vAlign w:val="center"/>
          </w:tcPr>
          <w:p w:rsidR="00622DEB" w:rsidRPr="008D797E" w:rsidRDefault="00622DEB" w:rsidP="003028C8">
            <w:pPr>
              <w:pStyle w:val="TableText0"/>
              <w:jc w:val="center"/>
            </w:pPr>
            <w:r w:rsidRPr="008D797E">
              <w:t>0.18</w:t>
            </w:r>
          </w:p>
        </w:tc>
      </w:tr>
      <w:tr w:rsidR="00622DEB" w:rsidRPr="008D797E" w:rsidTr="003028C8">
        <w:tc>
          <w:tcPr>
            <w:tcW w:w="4162" w:type="pct"/>
            <w:gridSpan w:val="3"/>
            <w:vAlign w:val="center"/>
          </w:tcPr>
          <w:p w:rsidR="00622DEB" w:rsidRPr="008D797E" w:rsidRDefault="00622DEB" w:rsidP="003028C8">
            <w:pPr>
              <w:pStyle w:val="TableText0"/>
              <w:rPr>
                <w:rFonts w:ascii="Times" w:hAnsi="Times"/>
              </w:rPr>
            </w:pPr>
            <w:r w:rsidRPr="008D797E">
              <w:t>Incremental cost/extra QALY gained</w:t>
            </w:r>
          </w:p>
        </w:tc>
        <w:tc>
          <w:tcPr>
            <w:tcW w:w="838" w:type="pct"/>
            <w:vAlign w:val="center"/>
          </w:tcPr>
          <w:p w:rsidR="00622DEB" w:rsidRPr="008D797E" w:rsidRDefault="00622DEB" w:rsidP="003028C8">
            <w:pPr>
              <w:pStyle w:val="TableText0"/>
              <w:jc w:val="center"/>
              <w:rPr>
                <w:rFonts w:ascii="Times" w:hAnsi="Times"/>
              </w:rPr>
            </w:pPr>
            <w:r w:rsidRPr="008D797E">
              <w:t>$</w:t>
            </w:r>
            <w:r w:rsidR="006470F1">
              <w:rPr>
                <w:noProof/>
                <w:color w:val="000000"/>
                <w:highlight w:val="black"/>
              </w:rPr>
              <w:t>''''''''''''''''</w:t>
            </w:r>
            <w:r w:rsidR="00D505E0">
              <w:rPr>
                <w:vertAlign w:val="superscript"/>
              </w:rPr>
              <w:t>3</w:t>
            </w:r>
          </w:p>
        </w:tc>
      </w:tr>
      <w:tr w:rsidR="00622DEB" w:rsidRPr="008D797E" w:rsidTr="003028C8">
        <w:tc>
          <w:tcPr>
            <w:tcW w:w="5000" w:type="pct"/>
            <w:gridSpan w:val="4"/>
            <w:vAlign w:val="center"/>
          </w:tcPr>
          <w:p w:rsidR="00622DEB" w:rsidRPr="006E5C4D" w:rsidRDefault="00622DEB" w:rsidP="003028C8">
            <w:pPr>
              <w:pStyle w:val="In-tableHeading"/>
              <w:rPr>
                <w:lang w:val="en-AU"/>
              </w:rPr>
            </w:pPr>
            <w:r w:rsidRPr="006E5C4D">
              <w:rPr>
                <w:lang w:val="en-AU"/>
              </w:rPr>
              <w:t>Step 8: Inclusion of episode of care cap</w:t>
            </w:r>
          </w:p>
        </w:tc>
      </w:tr>
      <w:tr w:rsidR="00622DEB" w:rsidRPr="008D797E" w:rsidTr="003028C8">
        <w:tc>
          <w:tcPr>
            <w:tcW w:w="1529" w:type="pct"/>
            <w:vAlign w:val="center"/>
          </w:tcPr>
          <w:p w:rsidR="00622DEB" w:rsidRPr="008D797E" w:rsidRDefault="00622DEB" w:rsidP="003028C8">
            <w:pPr>
              <w:pStyle w:val="TableText0"/>
              <w:rPr>
                <w:rFonts w:ascii="Times" w:hAnsi="Times"/>
              </w:rPr>
            </w:pPr>
            <w:r w:rsidRPr="008D797E">
              <w:t>Costs</w:t>
            </w:r>
          </w:p>
        </w:tc>
        <w:tc>
          <w:tcPr>
            <w:tcW w:w="1359" w:type="pct"/>
            <w:vAlign w:val="center"/>
          </w:tcPr>
          <w:p w:rsidR="00622DEB" w:rsidRPr="008D797E" w:rsidRDefault="00622DEB" w:rsidP="003028C8">
            <w:pPr>
              <w:pStyle w:val="TableText0"/>
              <w:jc w:val="center"/>
              <w:rPr>
                <w:rFonts w:ascii="Times" w:hAnsi="Times"/>
              </w:rPr>
            </w:pPr>
            <w:r w:rsidRPr="008D797E">
              <w:t>$</w:t>
            </w:r>
            <w:r w:rsidR="006470F1">
              <w:rPr>
                <w:noProof/>
                <w:color w:val="000000"/>
                <w:highlight w:val="black"/>
              </w:rPr>
              <w:t>''''''''''''''''''</w:t>
            </w:r>
          </w:p>
        </w:tc>
        <w:tc>
          <w:tcPr>
            <w:tcW w:w="1274" w:type="pct"/>
            <w:vAlign w:val="center"/>
          </w:tcPr>
          <w:p w:rsidR="00622DEB" w:rsidRPr="008D797E" w:rsidRDefault="00622DEB" w:rsidP="003028C8">
            <w:pPr>
              <w:pStyle w:val="TableText0"/>
              <w:jc w:val="center"/>
              <w:rPr>
                <w:rFonts w:ascii="Times" w:hAnsi="Times"/>
              </w:rPr>
            </w:pPr>
            <w:r w:rsidRPr="008D797E">
              <w:t>$</w:t>
            </w:r>
            <w:r w:rsidRPr="00285B48">
              <w:t>16,592</w:t>
            </w:r>
          </w:p>
        </w:tc>
        <w:tc>
          <w:tcPr>
            <w:tcW w:w="838" w:type="pct"/>
            <w:vAlign w:val="center"/>
          </w:tcPr>
          <w:p w:rsidR="00622DEB" w:rsidRPr="008D797E" w:rsidRDefault="00622DEB" w:rsidP="003028C8">
            <w:pPr>
              <w:pStyle w:val="TableText0"/>
              <w:jc w:val="center"/>
              <w:rPr>
                <w:rFonts w:ascii="Times" w:hAnsi="Times"/>
              </w:rPr>
            </w:pPr>
            <w:r w:rsidRPr="008D797E">
              <w:t>$</w:t>
            </w:r>
            <w:r w:rsidR="006470F1">
              <w:rPr>
                <w:noProof/>
                <w:color w:val="000000"/>
                <w:highlight w:val="black"/>
              </w:rPr>
              <w:t>'''''''''''''''''</w:t>
            </w:r>
          </w:p>
        </w:tc>
      </w:tr>
      <w:tr w:rsidR="00622DEB" w:rsidRPr="008D797E" w:rsidTr="003028C8">
        <w:tc>
          <w:tcPr>
            <w:tcW w:w="1529" w:type="pct"/>
            <w:vAlign w:val="center"/>
          </w:tcPr>
          <w:p w:rsidR="00622DEB" w:rsidRPr="008D797E" w:rsidRDefault="00622DEB" w:rsidP="003028C8">
            <w:pPr>
              <w:pStyle w:val="TableText0"/>
              <w:rPr>
                <w:rFonts w:ascii="Times" w:hAnsi="Times"/>
              </w:rPr>
            </w:pPr>
            <w:r w:rsidRPr="008D797E">
              <w:t>QALYs</w:t>
            </w:r>
          </w:p>
        </w:tc>
        <w:tc>
          <w:tcPr>
            <w:tcW w:w="1359" w:type="pct"/>
            <w:vAlign w:val="center"/>
          </w:tcPr>
          <w:p w:rsidR="00622DEB" w:rsidRPr="008D797E" w:rsidRDefault="00622DEB" w:rsidP="003028C8">
            <w:pPr>
              <w:pStyle w:val="TableText0"/>
              <w:jc w:val="center"/>
              <w:rPr>
                <w:rFonts w:ascii="Times" w:hAnsi="Times"/>
              </w:rPr>
            </w:pPr>
            <w:r w:rsidRPr="008D797E">
              <w:t>1.45</w:t>
            </w:r>
          </w:p>
        </w:tc>
        <w:tc>
          <w:tcPr>
            <w:tcW w:w="1274" w:type="pct"/>
            <w:vAlign w:val="center"/>
          </w:tcPr>
          <w:p w:rsidR="00622DEB" w:rsidRPr="008D797E" w:rsidRDefault="00622DEB" w:rsidP="003028C8">
            <w:pPr>
              <w:pStyle w:val="TableText0"/>
              <w:jc w:val="center"/>
              <w:rPr>
                <w:rFonts w:ascii="Times" w:hAnsi="Times"/>
              </w:rPr>
            </w:pPr>
            <w:r w:rsidRPr="008D797E">
              <w:t>1.27</w:t>
            </w:r>
          </w:p>
        </w:tc>
        <w:tc>
          <w:tcPr>
            <w:tcW w:w="838" w:type="pct"/>
            <w:vAlign w:val="center"/>
          </w:tcPr>
          <w:p w:rsidR="00622DEB" w:rsidRPr="008D797E" w:rsidRDefault="00622DEB" w:rsidP="003028C8">
            <w:pPr>
              <w:pStyle w:val="TableText0"/>
              <w:jc w:val="center"/>
            </w:pPr>
            <w:r w:rsidRPr="008D797E">
              <w:t>0.18</w:t>
            </w:r>
          </w:p>
        </w:tc>
      </w:tr>
      <w:tr w:rsidR="00622DEB" w:rsidRPr="008D797E" w:rsidTr="003028C8">
        <w:tc>
          <w:tcPr>
            <w:tcW w:w="4162" w:type="pct"/>
            <w:gridSpan w:val="3"/>
            <w:vAlign w:val="center"/>
          </w:tcPr>
          <w:p w:rsidR="00622DEB" w:rsidRPr="008D797E" w:rsidRDefault="00622DEB" w:rsidP="003028C8">
            <w:pPr>
              <w:pStyle w:val="TableText0"/>
              <w:rPr>
                <w:rFonts w:ascii="Times" w:hAnsi="Times"/>
                <w:b/>
              </w:rPr>
            </w:pPr>
            <w:r w:rsidRPr="008D797E">
              <w:rPr>
                <w:b/>
              </w:rPr>
              <w:t>Incremental cost/extra QALY gained (resubmission’s base case)</w:t>
            </w:r>
          </w:p>
        </w:tc>
        <w:tc>
          <w:tcPr>
            <w:tcW w:w="838" w:type="pct"/>
            <w:vAlign w:val="center"/>
          </w:tcPr>
          <w:p w:rsidR="00622DEB" w:rsidRPr="00BB7BCB" w:rsidRDefault="00622DEB" w:rsidP="003028C8">
            <w:pPr>
              <w:pStyle w:val="TableText0"/>
              <w:jc w:val="center"/>
              <w:rPr>
                <w:rFonts w:ascii="Times" w:hAnsi="Times"/>
                <w:b/>
                <w:vertAlign w:val="superscript"/>
              </w:rPr>
            </w:pPr>
            <w:r w:rsidRPr="008D797E">
              <w:rPr>
                <w:b/>
              </w:rPr>
              <w:t>$</w:t>
            </w:r>
            <w:r w:rsidR="006470F1">
              <w:rPr>
                <w:b/>
                <w:noProof/>
                <w:color w:val="000000"/>
                <w:highlight w:val="black"/>
              </w:rPr>
              <w:t>'''''''''''''</w:t>
            </w:r>
            <w:r w:rsidR="00F7014A" w:rsidRPr="00D7671F">
              <w:rPr>
                <w:vertAlign w:val="superscript"/>
              </w:rPr>
              <w:t>2</w:t>
            </w:r>
          </w:p>
        </w:tc>
      </w:tr>
    </w:tbl>
    <w:p w:rsidR="00622DEB" w:rsidRPr="008D797E" w:rsidRDefault="00622DEB" w:rsidP="00622DEB">
      <w:pPr>
        <w:pStyle w:val="TableFigureFooter"/>
      </w:pPr>
      <w:r w:rsidRPr="008D797E">
        <w:t>Source: Compiled during the evaluation using “Results” worksheet of “Revised Economic Evaluation.xlsx”.</w:t>
      </w:r>
    </w:p>
    <w:p w:rsidR="00622DEB" w:rsidRPr="008D797E" w:rsidRDefault="00622DEB" w:rsidP="00622DEB">
      <w:pPr>
        <w:pStyle w:val="TableFigureFooter"/>
      </w:pPr>
      <w:r w:rsidRPr="008D797E">
        <w:t xml:space="preserve">PFS = progression-free survival; KM = Kaplan-Meier; OS = overall survival; TTOT = time to off treatment; LYG = life years gained; MRU = medical resources use for disease monitoring and management; AE = adverse events; QALY = quality-adjusted life year. </w:t>
      </w:r>
    </w:p>
    <w:p w:rsidR="00622DEB" w:rsidRPr="008D797E" w:rsidRDefault="00622DEB" w:rsidP="00622DEB">
      <w:pPr>
        <w:pStyle w:val="TableFigureFooter"/>
      </w:pPr>
      <w:r w:rsidRPr="008D797E">
        <w:t>Note that the results presented above are slightly different from those presented in the resubmission, due to the updated cost of drug administration (MBS item 13950 $111.40 replacing both Items 13915 and 13918) used in the “Treatment and MRU costs” worksheet of “Revised Economic Evaluation.xlsx” .</w:t>
      </w:r>
    </w:p>
    <w:p w:rsidR="00622DEB" w:rsidRDefault="00622DEB" w:rsidP="00622DEB">
      <w:pPr>
        <w:pStyle w:val="TableFigureFooter"/>
      </w:pPr>
      <w:r w:rsidRPr="008D797E">
        <w:t>Note that the numbers may not add up due to rounding.</w:t>
      </w:r>
    </w:p>
    <w:p w:rsidR="00D505E0" w:rsidRPr="00BB7BCB" w:rsidRDefault="00D505E0" w:rsidP="00622DEB">
      <w:pPr>
        <w:pStyle w:val="TableFigureFooter"/>
        <w:rPr>
          <w:i/>
        </w:rPr>
      </w:pPr>
      <w:r w:rsidRPr="00BB7BCB">
        <w:rPr>
          <w:i/>
        </w:rPr>
        <w:t>The redacted values correspond to the following ranges:</w:t>
      </w:r>
    </w:p>
    <w:p w:rsidR="00D505E0" w:rsidRPr="00BB7BCB" w:rsidRDefault="00D505E0" w:rsidP="00622DEB">
      <w:pPr>
        <w:pStyle w:val="TableFigureFooter"/>
        <w:rPr>
          <w:i/>
        </w:rPr>
      </w:pPr>
      <w:r w:rsidRPr="00BB7BCB">
        <w:rPr>
          <w:i/>
          <w:vertAlign w:val="superscript"/>
        </w:rPr>
        <w:t>1</w:t>
      </w:r>
      <w:r w:rsidRPr="00BB7BCB">
        <w:rPr>
          <w:i/>
        </w:rPr>
        <w:t>$95,000 to &lt;$115,000/QALY gained</w:t>
      </w:r>
    </w:p>
    <w:p w:rsidR="00D505E0" w:rsidRPr="00BB7BCB" w:rsidRDefault="00D505E0" w:rsidP="00622DEB">
      <w:pPr>
        <w:pStyle w:val="TableFigureFooter"/>
        <w:rPr>
          <w:i/>
        </w:rPr>
      </w:pPr>
      <w:r w:rsidRPr="00BB7BCB">
        <w:rPr>
          <w:i/>
          <w:vertAlign w:val="superscript"/>
        </w:rPr>
        <w:t>2</w:t>
      </w:r>
      <w:r w:rsidRPr="00BB7BCB">
        <w:rPr>
          <w:i/>
        </w:rPr>
        <w:t>$55,000 to &lt;$75,000/QALY gained</w:t>
      </w:r>
    </w:p>
    <w:p w:rsidR="00D505E0" w:rsidRPr="00BB7BCB" w:rsidRDefault="00D505E0" w:rsidP="00622DEB">
      <w:pPr>
        <w:pStyle w:val="TableFigureFooter"/>
        <w:rPr>
          <w:i/>
          <w:sz w:val="20"/>
        </w:rPr>
      </w:pPr>
      <w:r w:rsidRPr="00BB7BCB">
        <w:rPr>
          <w:i/>
          <w:sz w:val="20"/>
          <w:vertAlign w:val="superscript"/>
        </w:rPr>
        <w:t>3</w:t>
      </w:r>
      <w:r w:rsidRPr="00BB7BCB">
        <w:rPr>
          <w:i/>
          <w:sz w:val="20"/>
        </w:rPr>
        <w:t>$75,000 to &lt;$95,000/QALY gained</w:t>
      </w:r>
    </w:p>
    <w:p w:rsidR="00622DEB" w:rsidRPr="008D797E" w:rsidRDefault="00622DEB" w:rsidP="00622DEB">
      <w:pPr>
        <w:numPr>
          <w:ilvl w:val="1"/>
          <w:numId w:val="1"/>
        </w:numPr>
        <w:spacing w:after="120"/>
        <w:rPr>
          <w:rFonts w:asciiTheme="minorHAnsi" w:hAnsiTheme="minorHAnsi"/>
          <w:snapToGrid w:val="0"/>
        </w:rPr>
      </w:pPr>
      <w:r w:rsidRPr="008D797E">
        <w:t>The above table indicates that extrapolation of health outcomes from trial-based data to 10 years increases the incremental LYG considerably, which results in a substantial decrease in</w:t>
      </w:r>
      <w:r w:rsidR="00457929" w:rsidRPr="008D797E">
        <w:t xml:space="preserve"> the</w:t>
      </w:r>
      <w:r w:rsidRPr="008D797E">
        <w:t xml:space="preserve"> </w:t>
      </w:r>
      <w:r w:rsidR="00080EC8" w:rsidRPr="008D797E">
        <w:t>incremental cost-effectiveness ratio (</w:t>
      </w:r>
      <w:r w:rsidRPr="008D797E">
        <w:t>ICER</w:t>
      </w:r>
      <w:r w:rsidR="00080EC8" w:rsidRPr="008D797E">
        <w:t>)</w:t>
      </w:r>
      <w:r w:rsidRPr="008D797E">
        <w:t xml:space="preserve"> from $</w:t>
      </w:r>
      <w:r w:rsidR="00CF6DDE">
        <w:t>95,000 to &lt;$115,000</w:t>
      </w:r>
      <w:r w:rsidRPr="008D797E">
        <w:t>/LYG to $</w:t>
      </w:r>
      <w:r w:rsidR="00CF6DDE">
        <w:t>55,000 to &lt;$75,000</w:t>
      </w:r>
      <w:r w:rsidRPr="008D797E">
        <w:t xml:space="preserve">/LYG. Extrapolation to 10 years had a minor impact on the cost of the proposed scenario, which also marginally favoured treatment with ATZ+nab-P, due to the very similar, but slightly favourable extrapolated TTOT curve for ATZ compared to the </w:t>
      </w:r>
      <w:r w:rsidR="00C52103" w:rsidRPr="008D797E">
        <w:t>Kaplan-Meier (</w:t>
      </w:r>
      <w:r w:rsidRPr="008D797E">
        <w:t>KM</w:t>
      </w:r>
      <w:r w:rsidR="00C52103" w:rsidRPr="008D797E">
        <w:t>)</w:t>
      </w:r>
      <w:r w:rsidRPr="008D797E">
        <w:t xml:space="preserve"> TTOT curve for ATZ used in Step 1 (</w:t>
      </w:r>
      <w:r w:rsidR="00FD6B42" w:rsidRPr="008D797E">
        <w:t>truncated at</w:t>
      </w:r>
      <w:r w:rsidRPr="008D797E">
        <w:t xml:space="preserve"> 37.49 months).</w:t>
      </w:r>
    </w:p>
    <w:p w:rsidR="00622DEB" w:rsidRPr="008D797E" w:rsidRDefault="00622DEB" w:rsidP="00622DEB">
      <w:pPr>
        <w:numPr>
          <w:ilvl w:val="1"/>
          <w:numId w:val="1"/>
        </w:numPr>
        <w:spacing w:after="120"/>
        <w:rPr>
          <w:rFonts w:asciiTheme="minorHAnsi" w:hAnsiTheme="minorHAnsi"/>
          <w:snapToGrid w:val="0"/>
        </w:rPr>
      </w:pPr>
      <w:r w:rsidRPr="008D797E">
        <w:t>The vast majority (85%) of the incremental life years gained were accrued during the extrapolated period of the model. The figure below presents the life years gained within the trial period and within the extrapolation period.</w:t>
      </w:r>
    </w:p>
    <w:p w:rsidR="00622DEB" w:rsidRPr="008D797E" w:rsidRDefault="00622DEB" w:rsidP="00622DEB">
      <w:pPr>
        <w:pStyle w:val="TableFigureHeading"/>
        <w:rPr>
          <w:rFonts w:asciiTheme="minorHAnsi" w:hAnsiTheme="minorHAnsi"/>
          <w:snapToGrid w:val="0"/>
        </w:rPr>
      </w:pPr>
      <w:r w:rsidRPr="008D797E">
        <w:t xml:space="preserve">Figure </w:t>
      </w:r>
      <w:r w:rsidR="00232E9D" w:rsidRPr="006E5C4D">
        <w:t>3</w:t>
      </w:r>
      <w:r w:rsidRPr="008D797E">
        <w:t>: Life years gained during IMpassion130 and during the extrapolated modelled time horizon in both the proposed and current scenarios (resubmission’s base case)</w:t>
      </w:r>
    </w:p>
    <w:p w:rsidR="00622DEB" w:rsidRPr="008D797E" w:rsidRDefault="00622DEB" w:rsidP="00DD35FD">
      <w:pPr>
        <w:pStyle w:val="TableFigureFooter"/>
      </w:pPr>
      <w:r w:rsidRPr="00D1278A">
        <w:rPr>
          <w:noProof/>
        </w:rPr>
        <w:drawing>
          <wp:inline distT="0" distB="0" distL="0" distR="0" wp14:anchorId="44DB0AF5" wp14:editId="22403E75">
            <wp:extent cx="5289550" cy="3000954"/>
            <wp:effectExtent l="0" t="0" r="6350" b="9525"/>
            <wp:docPr id="21" name="Picture 21" title="Figure 3: Life years gained during IMpassion130 and during the extrapolated modelled time horizon in both the proposed and current scenarios (resubmission’s base c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45439" cy="3032662"/>
                    </a:xfrm>
                    <a:prstGeom prst="rect">
                      <a:avLst/>
                    </a:prstGeom>
                    <a:noFill/>
                  </pic:spPr>
                </pic:pic>
              </a:graphicData>
            </a:graphic>
          </wp:inline>
        </w:drawing>
      </w:r>
    </w:p>
    <w:p w:rsidR="00622DEB" w:rsidRPr="008D797E" w:rsidRDefault="00622DEB" w:rsidP="00622DEB">
      <w:pPr>
        <w:pStyle w:val="TableFigureFooter"/>
        <w:rPr>
          <w:i/>
        </w:rPr>
      </w:pPr>
      <w:r w:rsidRPr="008D797E">
        <w:rPr>
          <w:i/>
        </w:rPr>
        <w:t>Source: Constructed during the evaluation using data presented in “Revised Economic Evaluation.xlsx”.</w:t>
      </w:r>
    </w:p>
    <w:p w:rsidR="00B32278" w:rsidRPr="00115C2F" w:rsidRDefault="00B32278" w:rsidP="00622DEB">
      <w:pPr>
        <w:pStyle w:val="TableFigureFooter"/>
      </w:pPr>
      <w:r w:rsidRPr="00115C2F">
        <w:t>LYG = life-years gained</w:t>
      </w:r>
    </w:p>
    <w:p w:rsidR="00622DEB" w:rsidRPr="008D797E" w:rsidRDefault="00622DEB" w:rsidP="00622DEB">
      <w:pPr>
        <w:numPr>
          <w:ilvl w:val="1"/>
          <w:numId w:val="1"/>
        </w:numPr>
        <w:spacing w:after="120"/>
        <w:rPr>
          <w:rFonts w:asciiTheme="minorHAnsi" w:hAnsiTheme="minorHAnsi"/>
          <w:snapToGrid w:val="0"/>
        </w:rPr>
      </w:pPr>
      <w:r w:rsidRPr="008D797E">
        <w:t xml:space="preserve">The other step that had a large impact on the result of economic evaluation was the inclusion of an episode of care cap of an average of </w:t>
      </w:r>
      <w:r w:rsidR="006470F1">
        <w:rPr>
          <w:noProof/>
          <w:color w:val="000000"/>
          <w:highlight w:val="black"/>
        </w:rPr>
        <w:t>'''''</w:t>
      </w:r>
      <w:r w:rsidRPr="008D797E">
        <w:t xml:space="preserve"> doses of ATZ, which resulted in a decrease of almost $</w:t>
      </w:r>
      <w:r w:rsidR="00F02763">
        <w:t>15,000 to &lt;$25,000</w:t>
      </w:r>
      <w:r w:rsidRPr="008D797E">
        <w:t>/QALY gained (from $</w:t>
      </w:r>
      <w:r w:rsidR="00F02763">
        <w:t>75,000 to &lt;$95,000</w:t>
      </w:r>
      <w:r w:rsidRPr="008D797E">
        <w:t>/QALY to the base case of $</w:t>
      </w:r>
      <w:r w:rsidR="00F02763">
        <w:t>55,000 to &lt;$75,000</w:t>
      </w:r>
      <w:r w:rsidRPr="008D797E">
        <w:t>/QALY).</w:t>
      </w:r>
    </w:p>
    <w:p w:rsidR="00622DEB" w:rsidRPr="008D797E" w:rsidRDefault="00622DEB" w:rsidP="00622DEB">
      <w:pPr>
        <w:numPr>
          <w:ilvl w:val="1"/>
          <w:numId w:val="1"/>
        </w:numPr>
        <w:spacing w:after="120"/>
        <w:rPr>
          <w:rFonts w:asciiTheme="minorHAnsi" w:hAnsiTheme="minorHAnsi"/>
          <w:snapToGrid w:val="0"/>
        </w:rPr>
      </w:pPr>
      <w:r w:rsidRPr="008D797E">
        <w:t>The estimated cost of nab-P in Step 1 of the economic evaluation presented in the resubmission was not trial-based; the number of nab-P administrations was limited to 10 treatments. The inclusion of the cap on the number of nab-P treatments had a significant impact on the result of economic evaluation</w:t>
      </w:r>
      <w:r w:rsidR="00457929" w:rsidRPr="008D797E">
        <w:rPr>
          <w:i/>
        </w:rPr>
        <w:t xml:space="preserve"> </w:t>
      </w:r>
      <w:r w:rsidR="00457929" w:rsidRPr="008D797E">
        <w:t>reducing the ICER from $</w:t>
      </w:r>
      <w:r w:rsidR="00F02763">
        <w:t>75,000 to &lt;$95,000</w:t>
      </w:r>
      <w:r w:rsidR="00457929" w:rsidRPr="008D797E">
        <w:t>/QALY to the submission’s base case of $</w:t>
      </w:r>
      <w:r w:rsidR="00F02763">
        <w:t>55,000 to &lt;$75,000</w:t>
      </w:r>
      <w:r w:rsidR="00457929" w:rsidRPr="008D797E">
        <w:t>/QALY</w:t>
      </w:r>
      <w:r w:rsidRPr="008D797E">
        <w:t>.</w:t>
      </w:r>
    </w:p>
    <w:p w:rsidR="00622DEB" w:rsidRPr="008D797E" w:rsidRDefault="00622DEB" w:rsidP="00622DEB">
      <w:pPr>
        <w:numPr>
          <w:ilvl w:val="1"/>
          <w:numId w:val="1"/>
        </w:numPr>
        <w:spacing w:after="120"/>
        <w:rPr>
          <w:rFonts w:asciiTheme="minorHAnsi" w:hAnsiTheme="minorHAnsi"/>
          <w:snapToGrid w:val="0"/>
        </w:rPr>
      </w:pPr>
      <w:r w:rsidRPr="008D797E">
        <w:rPr>
          <w:rFonts w:asciiTheme="minorHAnsi" w:hAnsiTheme="minorHAnsi"/>
          <w:snapToGrid w:val="0"/>
        </w:rPr>
        <w:t xml:space="preserve">The results of key sensitivity analyses </w:t>
      </w:r>
      <w:r w:rsidRPr="008D797E">
        <w:t>presented in the resubmission and performed during the evaluation are summarised below</w:t>
      </w:r>
      <w:r w:rsidRPr="008D797E">
        <w:rPr>
          <w:rFonts w:asciiTheme="minorHAnsi" w:hAnsiTheme="minorHAnsi"/>
          <w:snapToGrid w:val="0"/>
        </w:rPr>
        <w:t xml:space="preserve">. </w:t>
      </w:r>
      <w:r w:rsidRPr="008D797E">
        <w:t xml:space="preserve">Given that the EoC cap for ATZ appeared to be based on a proposed utilisation subsidisation cap, which would depend on the estimated total number of patients treated, it is uncertain whether the actual truncated cost, based on an average </w:t>
      </w:r>
      <w:r w:rsidR="006470F1">
        <w:rPr>
          <w:noProof/>
          <w:color w:val="000000"/>
          <w:highlight w:val="black"/>
        </w:rPr>
        <w:t>'''''</w:t>
      </w:r>
      <w:r w:rsidRPr="008D797E">
        <w:t xml:space="preserve"> doses of ATZ, will be realised in clinical practice. As such, the results of sensitivity analyses are presented with and without the EoC cap for ATZ applied.</w:t>
      </w:r>
    </w:p>
    <w:p w:rsidR="00622DEB" w:rsidRPr="00115C2F" w:rsidRDefault="00622DEB" w:rsidP="00622DEB">
      <w:pPr>
        <w:pStyle w:val="TableFigureHeading"/>
        <w:rPr>
          <w:rStyle w:val="CommentReference"/>
          <w:b/>
          <w:szCs w:val="24"/>
        </w:rPr>
      </w:pPr>
      <w:r w:rsidRPr="008D797E">
        <w:t xml:space="preserve">Table </w:t>
      </w:r>
      <w:r w:rsidR="00232E9D" w:rsidRPr="006E5C4D">
        <w:t>14</w:t>
      </w:r>
      <w:r w:rsidRPr="008D797E">
        <w:t xml:space="preserve">: </w:t>
      </w:r>
      <w:r w:rsidRPr="008D797E">
        <w:rPr>
          <w:rStyle w:val="CommentReference"/>
          <w:b/>
          <w:szCs w:val="24"/>
        </w:rPr>
        <w:t xml:space="preserve">Results of key </w:t>
      </w:r>
      <w:r w:rsidRPr="00115C2F">
        <w:rPr>
          <w:rStyle w:val="CommentReference"/>
          <w:b/>
          <w:szCs w:val="24"/>
        </w:rPr>
        <w:t>sensitivity analyses</w:t>
      </w:r>
    </w:p>
    <w:tbl>
      <w:tblPr>
        <w:tblW w:w="9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7"/>
        <w:gridCol w:w="1152"/>
        <w:gridCol w:w="1152"/>
        <w:gridCol w:w="996"/>
        <w:gridCol w:w="1159"/>
        <w:gridCol w:w="1204"/>
        <w:gridCol w:w="1027"/>
      </w:tblGrid>
      <w:tr w:rsidR="00622DEB" w:rsidRPr="008D797E" w:rsidTr="00BB7BCB">
        <w:trPr>
          <w:trHeight w:val="167"/>
          <w:tblHeader/>
        </w:trPr>
        <w:tc>
          <w:tcPr>
            <w:tcW w:w="2574" w:type="dxa"/>
            <w:vMerge w:val="restart"/>
          </w:tcPr>
          <w:p w:rsidR="00622DEB" w:rsidRPr="006E5C4D" w:rsidRDefault="00622DEB" w:rsidP="003028C8">
            <w:pPr>
              <w:pStyle w:val="In-tableHeading"/>
              <w:rPr>
                <w:lang w:val="en-AU"/>
              </w:rPr>
            </w:pPr>
            <w:r w:rsidRPr="006E5C4D">
              <w:rPr>
                <w:lang w:val="en-AU"/>
              </w:rPr>
              <w:t>Analyses</w:t>
            </w:r>
          </w:p>
        </w:tc>
        <w:tc>
          <w:tcPr>
            <w:tcW w:w="3280" w:type="dxa"/>
            <w:gridSpan w:val="3"/>
          </w:tcPr>
          <w:p w:rsidR="00622DEB" w:rsidRPr="006E5C4D" w:rsidRDefault="00622DEB" w:rsidP="003028C8">
            <w:pPr>
              <w:pStyle w:val="In-tableHeading"/>
              <w:jc w:val="center"/>
              <w:rPr>
                <w:lang w:val="en-AU"/>
              </w:rPr>
            </w:pPr>
            <w:r w:rsidRPr="006E5C4D">
              <w:rPr>
                <w:lang w:val="en-AU"/>
              </w:rPr>
              <w:t>With EoC cap for ATZ</w:t>
            </w:r>
          </w:p>
        </w:tc>
        <w:tc>
          <w:tcPr>
            <w:tcW w:w="3342" w:type="dxa"/>
            <w:gridSpan w:val="3"/>
          </w:tcPr>
          <w:p w:rsidR="00622DEB" w:rsidRPr="006E5C4D" w:rsidRDefault="00622DEB" w:rsidP="003028C8">
            <w:pPr>
              <w:pStyle w:val="In-tableHeading"/>
              <w:jc w:val="center"/>
              <w:rPr>
                <w:lang w:val="en-AU"/>
              </w:rPr>
            </w:pPr>
            <w:r w:rsidRPr="006E5C4D">
              <w:rPr>
                <w:lang w:val="en-AU"/>
              </w:rPr>
              <w:t>Without EoC cap for ATZ</w:t>
            </w:r>
          </w:p>
        </w:tc>
      </w:tr>
      <w:tr w:rsidR="00622DEB" w:rsidRPr="008D797E" w:rsidTr="00BB7BCB">
        <w:trPr>
          <w:trHeight w:val="166"/>
          <w:tblHeader/>
        </w:trPr>
        <w:tc>
          <w:tcPr>
            <w:tcW w:w="2574" w:type="dxa"/>
            <w:vMerge/>
          </w:tcPr>
          <w:p w:rsidR="00622DEB" w:rsidRPr="006E5C4D" w:rsidRDefault="00622DEB" w:rsidP="003028C8">
            <w:pPr>
              <w:pStyle w:val="In-tableHeading"/>
              <w:rPr>
                <w:lang w:val="en-AU"/>
              </w:rPr>
            </w:pPr>
          </w:p>
        </w:tc>
        <w:tc>
          <w:tcPr>
            <w:tcW w:w="1153" w:type="dxa"/>
          </w:tcPr>
          <w:p w:rsidR="00622DEB" w:rsidRPr="006E5C4D" w:rsidRDefault="00622DEB" w:rsidP="003028C8">
            <w:pPr>
              <w:pStyle w:val="In-tableHeading"/>
              <w:jc w:val="center"/>
              <w:rPr>
                <w:lang w:val="en-AU"/>
              </w:rPr>
            </w:pPr>
            <w:r w:rsidRPr="006E5C4D">
              <w:rPr>
                <w:lang w:val="en-AU"/>
              </w:rPr>
              <w:t>Incremental cost</w:t>
            </w:r>
          </w:p>
        </w:tc>
        <w:tc>
          <w:tcPr>
            <w:tcW w:w="1153" w:type="dxa"/>
          </w:tcPr>
          <w:p w:rsidR="00622DEB" w:rsidRPr="006E5C4D" w:rsidRDefault="00622DEB" w:rsidP="003028C8">
            <w:pPr>
              <w:pStyle w:val="In-tableHeading"/>
              <w:jc w:val="center"/>
              <w:rPr>
                <w:lang w:val="en-AU"/>
              </w:rPr>
            </w:pPr>
            <w:r w:rsidRPr="006E5C4D">
              <w:rPr>
                <w:lang w:val="en-AU"/>
              </w:rPr>
              <w:t>Incremental QALY</w:t>
            </w:r>
          </w:p>
        </w:tc>
        <w:tc>
          <w:tcPr>
            <w:tcW w:w="973" w:type="dxa"/>
          </w:tcPr>
          <w:p w:rsidR="00622DEB" w:rsidRPr="006E5C4D" w:rsidRDefault="00622DEB" w:rsidP="003028C8">
            <w:pPr>
              <w:pStyle w:val="In-tableHeading"/>
              <w:jc w:val="center"/>
              <w:rPr>
                <w:lang w:val="en-AU"/>
              </w:rPr>
            </w:pPr>
            <w:r w:rsidRPr="006E5C4D">
              <w:rPr>
                <w:lang w:val="en-AU"/>
              </w:rPr>
              <w:t>ICER</w:t>
            </w:r>
          </w:p>
        </w:tc>
        <w:tc>
          <w:tcPr>
            <w:tcW w:w="1160" w:type="dxa"/>
          </w:tcPr>
          <w:p w:rsidR="00622DEB" w:rsidRPr="006E5C4D" w:rsidRDefault="00622DEB" w:rsidP="003028C8">
            <w:pPr>
              <w:pStyle w:val="In-tableHeading"/>
              <w:jc w:val="center"/>
              <w:rPr>
                <w:lang w:val="en-AU"/>
              </w:rPr>
            </w:pPr>
            <w:r w:rsidRPr="006E5C4D">
              <w:rPr>
                <w:lang w:val="en-AU"/>
              </w:rPr>
              <w:t>Incremental cost</w:t>
            </w:r>
          </w:p>
        </w:tc>
        <w:tc>
          <w:tcPr>
            <w:tcW w:w="1208" w:type="dxa"/>
          </w:tcPr>
          <w:p w:rsidR="00622DEB" w:rsidRPr="006E5C4D" w:rsidRDefault="00622DEB" w:rsidP="003028C8">
            <w:pPr>
              <w:pStyle w:val="In-tableHeading"/>
              <w:jc w:val="center"/>
              <w:rPr>
                <w:lang w:val="en-AU"/>
              </w:rPr>
            </w:pPr>
            <w:r w:rsidRPr="006E5C4D">
              <w:rPr>
                <w:lang w:val="en-AU"/>
              </w:rPr>
              <w:t>Incremental QALY</w:t>
            </w:r>
          </w:p>
        </w:tc>
        <w:tc>
          <w:tcPr>
            <w:tcW w:w="973" w:type="dxa"/>
          </w:tcPr>
          <w:p w:rsidR="00622DEB" w:rsidRPr="006E5C4D" w:rsidRDefault="00622DEB" w:rsidP="003028C8">
            <w:pPr>
              <w:pStyle w:val="In-tableHeading"/>
              <w:jc w:val="center"/>
              <w:rPr>
                <w:lang w:val="en-AU"/>
              </w:rPr>
            </w:pPr>
            <w:r w:rsidRPr="006E5C4D">
              <w:rPr>
                <w:lang w:val="en-AU"/>
              </w:rPr>
              <w:t>ICER</w:t>
            </w:r>
          </w:p>
        </w:tc>
      </w:tr>
      <w:tr w:rsidR="00622DEB" w:rsidRPr="008D797E" w:rsidTr="00BB7BCB">
        <w:trPr>
          <w:trHeight w:val="231"/>
        </w:trPr>
        <w:tc>
          <w:tcPr>
            <w:tcW w:w="2574" w:type="dxa"/>
          </w:tcPr>
          <w:p w:rsidR="00622DEB" w:rsidRPr="008D797E" w:rsidRDefault="00622DEB" w:rsidP="003028C8">
            <w:pPr>
              <w:pStyle w:val="TableText0"/>
              <w:rPr>
                <w:b/>
              </w:rPr>
            </w:pPr>
            <w:r w:rsidRPr="008D797E">
              <w:rPr>
                <w:b/>
              </w:rPr>
              <w:t>Base case</w:t>
            </w:r>
          </w:p>
        </w:tc>
        <w:tc>
          <w:tcPr>
            <w:tcW w:w="1153" w:type="dxa"/>
          </w:tcPr>
          <w:p w:rsidR="00622DEB" w:rsidRPr="008D797E" w:rsidRDefault="00622DEB" w:rsidP="003028C8">
            <w:pPr>
              <w:pStyle w:val="TableText0"/>
              <w:jc w:val="center"/>
              <w:rPr>
                <w:b/>
              </w:rPr>
            </w:pPr>
            <w:r w:rsidRPr="008D797E">
              <w:rPr>
                <w:b/>
              </w:rPr>
              <w:t>$</w:t>
            </w:r>
            <w:r w:rsidR="006470F1">
              <w:rPr>
                <w:b/>
                <w:noProof/>
                <w:color w:val="000000"/>
                <w:highlight w:val="black"/>
              </w:rPr>
              <w:t>'''''''''''''</w:t>
            </w:r>
          </w:p>
        </w:tc>
        <w:tc>
          <w:tcPr>
            <w:tcW w:w="1153" w:type="dxa"/>
          </w:tcPr>
          <w:p w:rsidR="00622DEB" w:rsidRPr="008D797E" w:rsidRDefault="00622DEB" w:rsidP="003028C8">
            <w:pPr>
              <w:pStyle w:val="TableText0"/>
              <w:jc w:val="center"/>
              <w:rPr>
                <w:b/>
              </w:rPr>
            </w:pPr>
            <w:r w:rsidRPr="008D797E">
              <w:rPr>
                <w:b/>
              </w:rPr>
              <w:t>0.18</w:t>
            </w:r>
          </w:p>
        </w:tc>
        <w:tc>
          <w:tcPr>
            <w:tcW w:w="973" w:type="dxa"/>
          </w:tcPr>
          <w:p w:rsidR="00622DEB" w:rsidRPr="00D97A74" w:rsidRDefault="00622DEB" w:rsidP="003028C8">
            <w:pPr>
              <w:pStyle w:val="TableText0"/>
              <w:jc w:val="center"/>
              <w:rPr>
                <w:b/>
              </w:rPr>
            </w:pPr>
            <w:r w:rsidRPr="008D797E">
              <w:rPr>
                <w:b/>
              </w:rPr>
              <w:t>$</w:t>
            </w:r>
            <w:r w:rsidR="006470F1">
              <w:rPr>
                <w:b/>
                <w:noProof/>
                <w:color w:val="000000"/>
                <w:highlight w:val="black"/>
              </w:rPr>
              <w:t>''''''''''''</w:t>
            </w:r>
            <w:r w:rsidR="00B836F4" w:rsidRPr="00BB7BCB">
              <w:rPr>
                <w:vertAlign w:val="superscript"/>
              </w:rPr>
              <w:t>1</w:t>
            </w:r>
          </w:p>
        </w:tc>
        <w:tc>
          <w:tcPr>
            <w:tcW w:w="3342" w:type="dxa"/>
            <w:gridSpan w:val="3"/>
          </w:tcPr>
          <w:p w:rsidR="00622DEB" w:rsidRPr="008D797E" w:rsidRDefault="00622DEB" w:rsidP="003028C8">
            <w:pPr>
              <w:pStyle w:val="TableText0"/>
              <w:jc w:val="center"/>
              <w:rPr>
                <w:b/>
              </w:rPr>
            </w:pPr>
            <w:r w:rsidRPr="008D797E">
              <w:rPr>
                <w:b/>
              </w:rPr>
              <w:t>N/A</w:t>
            </w:r>
          </w:p>
        </w:tc>
      </w:tr>
      <w:tr w:rsidR="00622DEB" w:rsidRPr="008D797E" w:rsidTr="00BB7BCB">
        <w:trPr>
          <w:trHeight w:val="693"/>
        </w:trPr>
        <w:tc>
          <w:tcPr>
            <w:tcW w:w="2574" w:type="dxa"/>
          </w:tcPr>
          <w:p w:rsidR="00622DEB" w:rsidRPr="008D797E" w:rsidRDefault="00622DEB" w:rsidP="003028C8">
            <w:pPr>
              <w:pStyle w:val="TableText0"/>
              <w:rPr>
                <w:b/>
              </w:rPr>
            </w:pPr>
            <w:r w:rsidRPr="008D797E">
              <w:rPr>
                <w:b/>
              </w:rPr>
              <w:t>All else equal to base case but the application of EoC cap</w:t>
            </w:r>
          </w:p>
        </w:tc>
        <w:tc>
          <w:tcPr>
            <w:tcW w:w="3280" w:type="dxa"/>
            <w:gridSpan w:val="3"/>
          </w:tcPr>
          <w:p w:rsidR="00622DEB" w:rsidRPr="008D797E" w:rsidRDefault="00622DEB" w:rsidP="003028C8">
            <w:pPr>
              <w:pStyle w:val="TableText0"/>
              <w:jc w:val="center"/>
              <w:rPr>
                <w:b/>
              </w:rPr>
            </w:pPr>
            <w:r w:rsidRPr="008D797E">
              <w:rPr>
                <w:b/>
              </w:rPr>
              <w:t>N/A</w:t>
            </w:r>
          </w:p>
        </w:tc>
        <w:tc>
          <w:tcPr>
            <w:tcW w:w="1160" w:type="dxa"/>
          </w:tcPr>
          <w:p w:rsidR="00622DEB" w:rsidRPr="008D797E" w:rsidRDefault="00622DEB" w:rsidP="003028C8">
            <w:pPr>
              <w:pStyle w:val="TableText0"/>
              <w:jc w:val="center"/>
              <w:rPr>
                <w:b/>
              </w:rPr>
            </w:pPr>
            <w:r w:rsidRPr="008D797E">
              <w:rPr>
                <w:b/>
              </w:rPr>
              <w:t>$</w:t>
            </w:r>
            <w:r w:rsidR="006470F1">
              <w:rPr>
                <w:b/>
                <w:noProof/>
                <w:color w:val="000000"/>
                <w:highlight w:val="black"/>
              </w:rPr>
              <w:t>'''''''''''''</w:t>
            </w:r>
          </w:p>
        </w:tc>
        <w:tc>
          <w:tcPr>
            <w:tcW w:w="1208" w:type="dxa"/>
          </w:tcPr>
          <w:p w:rsidR="00622DEB" w:rsidRPr="008D797E" w:rsidRDefault="00622DEB" w:rsidP="003028C8">
            <w:pPr>
              <w:pStyle w:val="TableText0"/>
              <w:jc w:val="center"/>
              <w:rPr>
                <w:b/>
              </w:rPr>
            </w:pPr>
            <w:r w:rsidRPr="008D797E">
              <w:rPr>
                <w:b/>
              </w:rPr>
              <w:t>0.18</w:t>
            </w:r>
          </w:p>
        </w:tc>
        <w:tc>
          <w:tcPr>
            <w:tcW w:w="973" w:type="dxa"/>
          </w:tcPr>
          <w:p w:rsidR="00622DEB" w:rsidRPr="008D797E" w:rsidRDefault="00622DEB" w:rsidP="003028C8">
            <w:pPr>
              <w:pStyle w:val="TableText0"/>
              <w:jc w:val="center"/>
              <w:rPr>
                <w:b/>
              </w:rPr>
            </w:pPr>
            <w:r w:rsidRPr="008D797E">
              <w:rPr>
                <w:b/>
              </w:rPr>
              <w:t>$</w:t>
            </w:r>
            <w:r w:rsidR="006470F1">
              <w:rPr>
                <w:b/>
                <w:noProof/>
                <w:color w:val="000000"/>
                <w:highlight w:val="black"/>
              </w:rPr>
              <w:t>''''''''''''''</w:t>
            </w:r>
            <w:r w:rsidR="00B836F4" w:rsidRPr="00D7671F">
              <w:rPr>
                <w:vertAlign w:val="superscript"/>
              </w:rPr>
              <w:t>2</w:t>
            </w:r>
          </w:p>
        </w:tc>
      </w:tr>
      <w:tr w:rsidR="00622DEB" w:rsidRPr="008D797E" w:rsidTr="00BB7BCB">
        <w:trPr>
          <w:trHeight w:val="916"/>
        </w:trPr>
        <w:tc>
          <w:tcPr>
            <w:tcW w:w="2574" w:type="dxa"/>
          </w:tcPr>
          <w:p w:rsidR="00622DEB" w:rsidRPr="008D797E" w:rsidRDefault="00622DEB" w:rsidP="003028C8">
            <w:pPr>
              <w:pStyle w:val="TableText0"/>
            </w:pPr>
            <w:r w:rsidRPr="008D797E">
              <w:t>No cap on the number of nab-P treatments (base case assumed maximum 10 treatments)</w:t>
            </w:r>
          </w:p>
        </w:tc>
        <w:tc>
          <w:tcPr>
            <w:tcW w:w="1153" w:type="dxa"/>
          </w:tcPr>
          <w:p w:rsidR="00622DEB" w:rsidRPr="008D797E" w:rsidRDefault="00622DEB" w:rsidP="003028C8">
            <w:pPr>
              <w:pStyle w:val="TableText0"/>
              <w:jc w:val="center"/>
            </w:pPr>
            <w:r w:rsidRPr="008D797E">
              <w:t>$</w:t>
            </w:r>
            <w:r w:rsidR="006470F1">
              <w:rPr>
                <w:noProof/>
                <w:color w:val="000000"/>
                <w:highlight w:val="black"/>
              </w:rPr>
              <w:t>'''''''''''''''</w:t>
            </w:r>
          </w:p>
        </w:tc>
        <w:tc>
          <w:tcPr>
            <w:tcW w:w="1153" w:type="dxa"/>
          </w:tcPr>
          <w:p w:rsidR="00622DEB" w:rsidRPr="008D797E" w:rsidRDefault="00622DEB" w:rsidP="003028C8">
            <w:pPr>
              <w:pStyle w:val="TableText0"/>
              <w:jc w:val="center"/>
            </w:pPr>
            <w:r w:rsidRPr="008D797E">
              <w:t>0.18</w:t>
            </w:r>
          </w:p>
        </w:tc>
        <w:tc>
          <w:tcPr>
            <w:tcW w:w="973" w:type="dxa"/>
          </w:tcPr>
          <w:p w:rsidR="00622DEB" w:rsidRPr="00BB7BCB" w:rsidRDefault="00622DEB" w:rsidP="003028C8">
            <w:pPr>
              <w:pStyle w:val="TableText0"/>
              <w:jc w:val="center"/>
              <w:rPr>
                <w:vertAlign w:val="superscript"/>
              </w:rPr>
            </w:pPr>
            <w:r w:rsidRPr="008D797E">
              <w:t>$</w:t>
            </w:r>
            <w:r w:rsidR="006470F1">
              <w:rPr>
                <w:noProof/>
                <w:color w:val="000000"/>
                <w:highlight w:val="black"/>
              </w:rPr>
              <w:t>''''''''''''''''</w:t>
            </w:r>
            <w:r w:rsidR="00B836F4" w:rsidRPr="00BB7BCB">
              <w:rPr>
                <w:vertAlign w:val="superscript"/>
              </w:rPr>
              <w:t>2</w:t>
            </w:r>
          </w:p>
        </w:tc>
        <w:tc>
          <w:tcPr>
            <w:tcW w:w="1160" w:type="dxa"/>
          </w:tcPr>
          <w:p w:rsidR="00622DEB" w:rsidRPr="008D797E" w:rsidRDefault="00622DEB" w:rsidP="003028C8">
            <w:pPr>
              <w:pStyle w:val="TableText0"/>
              <w:jc w:val="center"/>
            </w:pPr>
            <w:r w:rsidRPr="008D797E">
              <w:t>$</w:t>
            </w:r>
            <w:r w:rsidR="006470F1">
              <w:rPr>
                <w:noProof/>
                <w:color w:val="000000"/>
                <w:highlight w:val="black"/>
              </w:rPr>
              <w:t>''''''''''''''''</w:t>
            </w:r>
          </w:p>
        </w:tc>
        <w:tc>
          <w:tcPr>
            <w:tcW w:w="1208" w:type="dxa"/>
          </w:tcPr>
          <w:p w:rsidR="00622DEB" w:rsidRPr="008D797E" w:rsidRDefault="00622DEB" w:rsidP="003028C8">
            <w:pPr>
              <w:pStyle w:val="TableText0"/>
              <w:jc w:val="center"/>
            </w:pPr>
            <w:r w:rsidRPr="008D797E">
              <w:t>0.18</w:t>
            </w:r>
          </w:p>
        </w:tc>
        <w:tc>
          <w:tcPr>
            <w:tcW w:w="973" w:type="dxa"/>
          </w:tcPr>
          <w:p w:rsidR="00622DEB" w:rsidRPr="008D797E" w:rsidRDefault="00622DEB" w:rsidP="003028C8">
            <w:pPr>
              <w:pStyle w:val="TableText0"/>
              <w:jc w:val="center"/>
            </w:pPr>
            <w:r w:rsidRPr="008D797E">
              <w:t>$</w:t>
            </w:r>
            <w:r w:rsidR="006470F1">
              <w:rPr>
                <w:noProof/>
                <w:color w:val="000000"/>
                <w:highlight w:val="black"/>
              </w:rPr>
              <w:t>''''''''''''''''''</w:t>
            </w:r>
            <w:r w:rsidR="009F3A33" w:rsidRPr="00D7671F">
              <w:rPr>
                <w:vertAlign w:val="superscript"/>
              </w:rPr>
              <w:t>3</w:t>
            </w:r>
          </w:p>
        </w:tc>
      </w:tr>
      <w:tr w:rsidR="00622DEB" w:rsidRPr="008D797E" w:rsidTr="00BB7BCB">
        <w:trPr>
          <w:trHeight w:val="947"/>
        </w:trPr>
        <w:tc>
          <w:tcPr>
            <w:tcW w:w="2574" w:type="dxa"/>
          </w:tcPr>
          <w:p w:rsidR="00622DEB" w:rsidRPr="008D797E" w:rsidRDefault="00622DEB" w:rsidP="003028C8">
            <w:pPr>
              <w:pStyle w:val="TableText0"/>
            </w:pPr>
            <w:r w:rsidRPr="008D797E">
              <w:t>Extrapolation of OS (base case Gamma extrapolation)</w:t>
            </w:r>
          </w:p>
          <w:p w:rsidR="00622DEB" w:rsidRPr="008D797E" w:rsidRDefault="00622DEB" w:rsidP="004221B4">
            <w:pPr>
              <w:pStyle w:val="TableText0"/>
              <w:numPr>
                <w:ilvl w:val="0"/>
                <w:numId w:val="6"/>
              </w:numPr>
            </w:pPr>
            <w:r w:rsidRPr="008D797E">
              <w:t>Weibull function</w:t>
            </w:r>
          </w:p>
          <w:p w:rsidR="00622DEB" w:rsidRPr="008D797E" w:rsidRDefault="00622DEB" w:rsidP="004221B4">
            <w:pPr>
              <w:pStyle w:val="TableText0"/>
              <w:numPr>
                <w:ilvl w:val="0"/>
                <w:numId w:val="6"/>
              </w:numPr>
            </w:pPr>
            <w:r w:rsidRPr="008D797E">
              <w:t>Log-logistic function</w:t>
            </w:r>
          </w:p>
        </w:tc>
        <w:tc>
          <w:tcPr>
            <w:tcW w:w="1153" w:type="dxa"/>
          </w:tcPr>
          <w:p w:rsidR="00622DEB" w:rsidRPr="008D797E" w:rsidRDefault="00622DEB" w:rsidP="003028C8">
            <w:pPr>
              <w:pStyle w:val="TableText0"/>
              <w:jc w:val="center"/>
            </w:pPr>
          </w:p>
          <w:p w:rsidR="00622DEB" w:rsidRPr="008D797E" w:rsidRDefault="00622DEB" w:rsidP="003028C8">
            <w:pPr>
              <w:pStyle w:val="TableText0"/>
              <w:jc w:val="center"/>
            </w:pPr>
          </w:p>
          <w:p w:rsidR="00622DEB" w:rsidRPr="008D797E" w:rsidRDefault="00622DEB" w:rsidP="003028C8">
            <w:pPr>
              <w:pStyle w:val="TableText0"/>
              <w:jc w:val="center"/>
            </w:pPr>
            <w:r w:rsidRPr="008D797E">
              <w:t>$</w:t>
            </w:r>
            <w:r w:rsidR="006470F1">
              <w:rPr>
                <w:noProof/>
                <w:color w:val="000000"/>
                <w:highlight w:val="black"/>
              </w:rPr>
              <w:t>'''''''''''''''</w:t>
            </w:r>
          </w:p>
          <w:p w:rsidR="00622DEB" w:rsidRPr="008D797E" w:rsidRDefault="00622DEB" w:rsidP="003028C8">
            <w:pPr>
              <w:pStyle w:val="TableText0"/>
              <w:jc w:val="center"/>
            </w:pPr>
            <w:r w:rsidRPr="008D797E">
              <w:t>$</w:t>
            </w:r>
            <w:r w:rsidR="006470F1">
              <w:rPr>
                <w:noProof/>
                <w:color w:val="000000"/>
                <w:highlight w:val="black"/>
              </w:rPr>
              <w:t>''''''''''''''''</w:t>
            </w:r>
          </w:p>
        </w:tc>
        <w:tc>
          <w:tcPr>
            <w:tcW w:w="1153" w:type="dxa"/>
          </w:tcPr>
          <w:p w:rsidR="00622DEB" w:rsidRPr="008D797E" w:rsidRDefault="00622DEB" w:rsidP="003028C8">
            <w:pPr>
              <w:pStyle w:val="TableText0"/>
              <w:jc w:val="center"/>
            </w:pPr>
          </w:p>
          <w:p w:rsidR="00622DEB" w:rsidRPr="008D797E" w:rsidRDefault="00622DEB" w:rsidP="003028C8">
            <w:pPr>
              <w:pStyle w:val="TableText0"/>
              <w:jc w:val="center"/>
            </w:pPr>
          </w:p>
          <w:p w:rsidR="00622DEB" w:rsidRPr="008D797E" w:rsidRDefault="00622DEB" w:rsidP="003028C8">
            <w:pPr>
              <w:pStyle w:val="TableText0"/>
              <w:jc w:val="center"/>
            </w:pPr>
            <w:r w:rsidRPr="008D797E">
              <w:t>0.16</w:t>
            </w:r>
          </w:p>
          <w:p w:rsidR="00622DEB" w:rsidRPr="008D797E" w:rsidRDefault="00622DEB" w:rsidP="003028C8">
            <w:pPr>
              <w:pStyle w:val="TableText0"/>
              <w:jc w:val="center"/>
            </w:pPr>
            <w:r w:rsidRPr="008D797E">
              <w:t>0.16</w:t>
            </w:r>
          </w:p>
        </w:tc>
        <w:tc>
          <w:tcPr>
            <w:tcW w:w="973" w:type="dxa"/>
          </w:tcPr>
          <w:p w:rsidR="00622DEB" w:rsidRPr="008D797E" w:rsidRDefault="00622DEB" w:rsidP="003028C8">
            <w:pPr>
              <w:pStyle w:val="TableText0"/>
              <w:jc w:val="center"/>
            </w:pPr>
          </w:p>
          <w:p w:rsidR="00622DEB" w:rsidRPr="008D797E" w:rsidRDefault="00622DEB" w:rsidP="003028C8">
            <w:pPr>
              <w:pStyle w:val="TableText0"/>
              <w:jc w:val="center"/>
            </w:pPr>
          </w:p>
          <w:p w:rsidR="00622DEB" w:rsidRPr="008D797E" w:rsidRDefault="00622DEB" w:rsidP="003028C8">
            <w:pPr>
              <w:pStyle w:val="TableText0"/>
              <w:jc w:val="center"/>
            </w:pPr>
            <w:r w:rsidRPr="008D797E">
              <w:t>$</w:t>
            </w:r>
            <w:r w:rsidR="006470F1">
              <w:rPr>
                <w:noProof/>
                <w:color w:val="000000"/>
                <w:highlight w:val="black"/>
              </w:rPr>
              <w:t>'''''''''''''''</w:t>
            </w:r>
            <w:r w:rsidR="00B836F4" w:rsidRPr="00D7671F">
              <w:rPr>
                <w:vertAlign w:val="superscript"/>
              </w:rPr>
              <w:t>2</w:t>
            </w:r>
          </w:p>
          <w:p w:rsidR="00622DEB" w:rsidRPr="008D797E" w:rsidRDefault="00622DEB" w:rsidP="003028C8">
            <w:pPr>
              <w:pStyle w:val="TableText0"/>
              <w:jc w:val="center"/>
            </w:pPr>
            <w:r w:rsidRPr="008D797E">
              <w:t>$</w:t>
            </w:r>
            <w:r w:rsidR="006470F1">
              <w:rPr>
                <w:noProof/>
                <w:color w:val="000000"/>
                <w:highlight w:val="black"/>
              </w:rPr>
              <w:t>'''''''''''''''</w:t>
            </w:r>
            <w:r w:rsidR="00B836F4" w:rsidRPr="00D7671F">
              <w:rPr>
                <w:vertAlign w:val="superscript"/>
              </w:rPr>
              <w:t>2</w:t>
            </w:r>
          </w:p>
        </w:tc>
        <w:tc>
          <w:tcPr>
            <w:tcW w:w="1160" w:type="dxa"/>
          </w:tcPr>
          <w:p w:rsidR="00622DEB" w:rsidRPr="008D797E" w:rsidRDefault="00622DEB" w:rsidP="003028C8">
            <w:pPr>
              <w:pStyle w:val="TableText0"/>
              <w:jc w:val="center"/>
            </w:pPr>
          </w:p>
          <w:p w:rsidR="00622DEB" w:rsidRPr="008D797E" w:rsidRDefault="00622DEB" w:rsidP="003028C8">
            <w:pPr>
              <w:pStyle w:val="TableText0"/>
              <w:jc w:val="center"/>
            </w:pPr>
          </w:p>
          <w:p w:rsidR="00622DEB" w:rsidRPr="008D797E" w:rsidRDefault="00622DEB" w:rsidP="003028C8">
            <w:pPr>
              <w:pStyle w:val="TableText0"/>
              <w:jc w:val="center"/>
            </w:pPr>
            <w:r w:rsidRPr="008D797E">
              <w:t>$</w:t>
            </w:r>
            <w:r w:rsidR="006470F1">
              <w:rPr>
                <w:noProof/>
                <w:color w:val="000000"/>
                <w:highlight w:val="black"/>
              </w:rPr>
              <w:t>'''''''''''''''</w:t>
            </w:r>
          </w:p>
          <w:p w:rsidR="00622DEB" w:rsidRPr="008D797E" w:rsidRDefault="00622DEB" w:rsidP="003028C8">
            <w:pPr>
              <w:pStyle w:val="TableText0"/>
              <w:jc w:val="center"/>
            </w:pPr>
            <w:r w:rsidRPr="008D797E">
              <w:t>$</w:t>
            </w:r>
            <w:r w:rsidR="006470F1">
              <w:rPr>
                <w:noProof/>
                <w:color w:val="000000"/>
                <w:highlight w:val="black"/>
              </w:rPr>
              <w:t>'''''''''''''''</w:t>
            </w:r>
          </w:p>
        </w:tc>
        <w:tc>
          <w:tcPr>
            <w:tcW w:w="1208" w:type="dxa"/>
          </w:tcPr>
          <w:p w:rsidR="00622DEB" w:rsidRPr="008D797E" w:rsidRDefault="00622DEB" w:rsidP="003028C8">
            <w:pPr>
              <w:pStyle w:val="TableText0"/>
              <w:jc w:val="center"/>
            </w:pPr>
          </w:p>
          <w:p w:rsidR="00622DEB" w:rsidRPr="008D797E" w:rsidRDefault="00622DEB" w:rsidP="003028C8">
            <w:pPr>
              <w:pStyle w:val="TableText0"/>
              <w:jc w:val="center"/>
            </w:pPr>
          </w:p>
          <w:p w:rsidR="00622DEB" w:rsidRPr="008D797E" w:rsidRDefault="00622DEB" w:rsidP="003028C8">
            <w:pPr>
              <w:pStyle w:val="TableText0"/>
              <w:jc w:val="center"/>
            </w:pPr>
            <w:r w:rsidRPr="008D797E">
              <w:t>0.16</w:t>
            </w:r>
          </w:p>
          <w:p w:rsidR="00622DEB" w:rsidRPr="008D797E" w:rsidRDefault="00622DEB" w:rsidP="003028C8">
            <w:pPr>
              <w:pStyle w:val="TableText0"/>
              <w:jc w:val="center"/>
            </w:pPr>
            <w:r w:rsidRPr="008D797E">
              <w:t>0.16</w:t>
            </w:r>
          </w:p>
        </w:tc>
        <w:tc>
          <w:tcPr>
            <w:tcW w:w="973" w:type="dxa"/>
          </w:tcPr>
          <w:p w:rsidR="00622DEB" w:rsidRPr="008D797E" w:rsidRDefault="00622DEB" w:rsidP="003028C8">
            <w:pPr>
              <w:pStyle w:val="TableText0"/>
              <w:jc w:val="center"/>
            </w:pPr>
          </w:p>
          <w:p w:rsidR="00622DEB" w:rsidRPr="008D797E" w:rsidRDefault="00622DEB" w:rsidP="003028C8">
            <w:pPr>
              <w:pStyle w:val="TableText0"/>
              <w:jc w:val="center"/>
            </w:pPr>
          </w:p>
          <w:p w:rsidR="00622DEB" w:rsidRPr="008D797E" w:rsidRDefault="00622DEB" w:rsidP="003028C8">
            <w:pPr>
              <w:pStyle w:val="TableText0"/>
              <w:jc w:val="center"/>
            </w:pPr>
            <w:r w:rsidRPr="008D797E">
              <w:t>$</w:t>
            </w:r>
            <w:r w:rsidR="006470F1">
              <w:rPr>
                <w:noProof/>
                <w:color w:val="000000"/>
                <w:highlight w:val="black"/>
              </w:rPr>
              <w:t>''''''''''''''''''''</w:t>
            </w:r>
            <w:r w:rsidR="009F3A33" w:rsidRPr="00D7671F">
              <w:rPr>
                <w:vertAlign w:val="superscript"/>
              </w:rPr>
              <w:t>3</w:t>
            </w:r>
          </w:p>
          <w:p w:rsidR="00622DEB" w:rsidRPr="008D797E" w:rsidRDefault="00622DEB" w:rsidP="003028C8">
            <w:pPr>
              <w:pStyle w:val="TableText0"/>
              <w:jc w:val="center"/>
            </w:pPr>
            <w:r w:rsidRPr="008D797E">
              <w:t>$</w:t>
            </w:r>
            <w:r w:rsidR="006470F1">
              <w:rPr>
                <w:noProof/>
                <w:color w:val="000000"/>
                <w:highlight w:val="black"/>
              </w:rPr>
              <w:t>'''''''''''''''''</w:t>
            </w:r>
            <w:r w:rsidR="009F3A33" w:rsidRPr="00D7671F">
              <w:rPr>
                <w:vertAlign w:val="superscript"/>
              </w:rPr>
              <w:t>3</w:t>
            </w:r>
          </w:p>
        </w:tc>
      </w:tr>
      <w:tr w:rsidR="00622DEB" w:rsidRPr="008D797E" w:rsidTr="00BB7BCB">
        <w:trPr>
          <w:trHeight w:val="1178"/>
        </w:trPr>
        <w:tc>
          <w:tcPr>
            <w:tcW w:w="2574" w:type="dxa"/>
          </w:tcPr>
          <w:p w:rsidR="00622DEB" w:rsidRPr="008D797E" w:rsidRDefault="00622DEB" w:rsidP="003028C8">
            <w:pPr>
              <w:pStyle w:val="TableText0"/>
            </w:pPr>
            <w:r w:rsidRPr="008D797E">
              <w:t xml:space="preserve">OS curves of two comparative scenarios converge at 10 years (no convergence </w:t>
            </w:r>
            <w:r w:rsidR="006B09DB" w:rsidRPr="008D797E">
              <w:t>in</w:t>
            </w:r>
            <w:r w:rsidRPr="008D797E">
              <w:t xml:space="preserve"> base case)</w:t>
            </w:r>
          </w:p>
          <w:p w:rsidR="00622DEB" w:rsidRPr="008D797E" w:rsidRDefault="00622DEB" w:rsidP="004221B4">
            <w:pPr>
              <w:pStyle w:val="TableText0"/>
              <w:numPr>
                <w:ilvl w:val="0"/>
                <w:numId w:val="5"/>
              </w:numPr>
            </w:pPr>
            <w:r w:rsidRPr="008D797E">
              <w:t>From 90 months</w:t>
            </w:r>
          </w:p>
          <w:p w:rsidR="00622DEB" w:rsidRPr="008D797E" w:rsidRDefault="00622DEB" w:rsidP="004221B4">
            <w:pPr>
              <w:pStyle w:val="TableText0"/>
              <w:numPr>
                <w:ilvl w:val="0"/>
                <w:numId w:val="5"/>
              </w:numPr>
            </w:pPr>
            <w:r w:rsidRPr="008D797E">
              <w:t>From 60 months</w:t>
            </w:r>
          </w:p>
        </w:tc>
        <w:tc>
          <w:tcPr>
            <w:tcW w:w="1153" w:type="dxa"/>
          </w:tcPr>
          <w:p w:rsidR="00622DEB" w:rsidRPr="008D797E" w:rsidRDefault="00622DEB" w:rsidP="003028C8">
            <w:pPr>
              <w:pStyle w:val="TableText0"/>
              <w:jc w:val="center"/>
            </w:pPr>
          </w:p>
          <w:p w:rsidR="00622DEB" w:rsidRPr="008D797E" w:rsidRDefault="00622DEB" w:rsidP="003028C8">
            <w:pPr>
              <w:pStyle w:val="TableText0"/>
              <w:jc w:val="center"/>
            </w:pPr>
          </w:p>
          <w:p w:rsidR="00622DEB" w:rsidRPr="008D797E" w:rsidRDefault="00622DEB" w:rsidP="003028C8">
            <w:pPr>
              <w:pStyle w:val="TableText0"/>
              <w:jc w:val="center"/>
            </w:pPr>
          </w:p>
          <w:p w:rsidR="00622DEB" w:rsidRPr="008D797E" w:rsidRDefault="00622DEB" w:rsidP="003028C8">
            <w:pPr>
              <w:pStyle w:val="TableText0"/>
              <w:jc w:val="center"/>
            </w:pPr>
            <w:r w:rsidRPr="008D797E">
              <w:t>$</w:t>
            </w:r>
            <w:r w:rsidR="006470F1">
              <w:rPr>
                <w:noProof/>
                <w:color w:val="000000"/>
                <w:highlight w:val="black"/>
              </w:rPr>
              <w:t>'''''''''''''''''</w:t>
            </w:r>
          </w:p>
          <w:p w:rsidR="00622DEB" w:rsidRPr="008D797E" w:rsidRDefault="00622DEB" w:rsidP="003028C8">
            <w:pPr>
              <w:pStyle w:val="TableText0"/>
              <w:jc w:val="center"/>
            </w:pPr>
            <w:r w:rsidRPr="008D797E">
              <w:t>$</w:t>
            </w:r>
            <w:r w:rsidR="006470F1">
              <w:rPr>
                <w:noProof/>
                <w:color w:val="000000"/>
                <w:highlight w:val="black"/>
              </w:rPr>
              <w:t>'''''''''''''''</w:t>
            </w:r>
          </w:p>
        </w:tc>
        <w:tc>
          <w:tcPr>
            <w:tcW w:w="1153" w:type="dxa"/>
          </w:tcPr>
          <w:p w:rsidR="00622DEB" w:rsidRPr="008D797E" w:rsidRDefault="00622DEB" w:rsidP="003028C8">
            <w:pPr>
              <w:pStyle w:val="TableText0"/>
              <w:jc w:val="center"/>
            </w:pPr>
          </w:p>
          <w:p w:rsidR="00622DEB" w:rsidRPr="008D797E" w:rsidRDefault="00622DEB" w:rsidP="003028C8">
            <w:pPr>
              <w:pStyle w:val="TableText0"/>
              <w:jc w:val="center"/>
            </w:pPr>
          </w:p>
          <w:p w:rsidR="00622DEB" w:rsidRPr="008D797E" w:rsidRDefault="00622DEB" w:rsidP="003028C8">
            <w:pPr>
              <w:pStyle w:val="TableText0"/>
              <w:jc w:val="center"/>
            </w:pPr>
          </w:p>
          <w:p w:rsidR="00622DEB" w:rsidRPr="008D797E" w:rsidRDefault="00622DEB" w:rsidP="003028C8">
            <w:pPr>
              <w:pStyle w:val="TableText0"/>
              <w:jc w:val="center"/>
            </w:pPr>
            <w:r w:rsidRPr="008D797E">
              <w:t>0.17</w:t>
            </w:r>
          </w:p>
          <w:p w:rsidR="00622DEB" w:rsidRPr="008D797E" w:rsidRDefault="00622DEB" w:rsidP="003028C8">
            <w:pPr>
              <w:pStyle w:val="TableText0"/>
              <w:jc w:val="center"/>
            </w:pPr>
            <w:r w:rsidRPr="008D797E">
              <w:t>0.15</w:t>
            </w:r>
          </w:p>
        </w:tc>
        <w:tc>
          <w:tcPr>
            <w:tcW w:w="973" w:type="dxa"/>
          </w:tcPr>
          <w:p w:rsidR="00622DEB" w:rsidRPr="008D797E" w:rsidRDefault="00622DEB" w:rsidP="003028C8">
            <w:pPr>
              <w:pStyle w:val="TableText0"/>
              <w:jc w:val="center"/>
            </w:pPr>
          </w:p>
          <w:p w:rsidR="00622DEB" w:rsidRPr="008D797E" w:rsidRDefault="00622DEB" w:rsidP="003028C8">
            <w:pPr>
              <w:pStyle w:val="TableText0"/>
              <w:jc w:val="center"/>
            </w:pPr>
          </w:p>
          <w:p w:rsidR="00622DEB" w:rsidRPr="008D797E" w:rsidRDefault="00622DEB" w:rsidP="003028C8">
            <w:pPr>
              <w:pStyle w:val="TableText0"/>
              <w:jc w:val="center"/>
            </w:pPr>
          </w:p>
          <w:p w:rsidR="00622DEB" w:rsidRPr="008D797E" w:rsidRDefault="00622DEB" w:rsidP="003028C8">
            <w:pPr>
              <w:pStyle w:val="TableText0"/>
              <w:jc w:val="center"/>
            </w:pPr>
            <w:r w:rsidRPr="008D797E">
              <w:t>$</w:t>
            </w:r>
            <w:r w:rsidR="006470F1">
              <w:rPr>
                <w:noProof/>
                <w:color w:val="000000"/>
                <w:highlight w:val="black"/>
              </w:rPr>
              <w:t>'''''''''''''''''</w:t>
            </w:r>
            <w:r w:rsidR="00B836F4" w:rsidRPr="00D7671F">
              <w:rPr>
                <w:vertAlign w:val="superscript"/>
              </w:rPr>
              <w:t>2</w:t>
            </w:r>
          </w:p>
          <w:p w:rsidR="00622DEB" w:rsidRPr="008D797E" w:rsidRDefault="00622DEB" w:rsidP="003028C8">
            <w:pPr>
              <w:pStyle w:val="TableText0"/>
              <w:jc w:val="center"/>
            </w:pPr>
            <w:r w:rsidRPr="008D797E">
              <w:t>$</w:t>
            </w:r>
            <w:r w:rsidR="006470F1">
              <w:rPr>
                <w:noProof/>
                <w:color w:val="000000"/>
                <w:highlight w:val="black"/>
              </w:rPr>
              <w:t>''''''''''''''''</w:t>
            </w:r>
            <w:r w:rsidR="00B836F4" w:rsidRPr="00D7671F">
              <w:rPr>
                <w:vertAlign w:val="superscript"/>
              </w:rPr>
              <w:t>2</w:t>
            </w:r>
          </w:p>
        </w:tc>
        <w:tc>
          <w:tcPr>
            <w:tcW w:w="1160" w:type="dxa"/>
          </w:tcPr>
          <w:p w:rsidR="00622DEB" w:rsidRPr="008D797E" w:rsidRDefault="00622DEB" w:rsidP="003028C8">
            <w:pPr>
              <w:pStyle w:val="TableText0"/>
              <w:jc w:val="center"/>
            </w:pPr>
          </w:p>
          <w:p w:rsidR="00622DEB" w:rsidRPr="008D797E" w:rsidRDefault="00622DEB" w:rsidP="003028C8">
            <w:pPr>
              <w:pStyle w:val="TableText0"/>
              <w:jc w:val="center"/>
            </w:pPr>
          </w:p>
          <w:p w:rsidR="00622DEB" w:rsidRPr="008D797E" w:rsidRDefault="00622DEB" w:rsidP="003028C8">
            <w:pPr>
              <w:pStyle w:val="TableText0"/>
              <w:jc w:val="center"/>
            </w:pPr>
          </w:p>
          <w:p w:rsidR="00622DEB" w:rsidRPr="008D797E" w:rsidRDefault="00622DEB" w:rsidP="003028C8">
            <w:pPr>
              <w:pStyle w:val="TableText0"/>
              <w:jc w:val="center"/>
            </w:pPr>
            <w:r w:rsidRPr="008D797E">
              <w:t>$</w:t>
            </w:r>
            <w:r w:rsidR="006470F1">
              <w:rPr>
                <w:noProof/>
                <w:color w:val="000000"/>
                <w:highlight w:val="black"/>
              </w:rPr>
              <w:t>''''''''''''''''</w:t>
            </w:r>
          </w:p>
          <w:p w:rsidR="00622DEB" w:rsidRPr="008D797E" w:rsidRDefault="00622DEB" w:rsidP="003028C8">
            <w:pPr>
              <w:pStyle w:val="TableText0"/>
              <w:jc w:val="center"/>
            </w:pPr>
            <w:r w:rsidRPr="008D797E">
              <w:t>$</w:t>
            </w:r>
            <w:r w:rsidR="006470F1">
              <w:rPr>
                <w:noProof/>
                <w:color w:val="000000"/>
                <w:highlight w:val="black"/>
              </w:rPr>
              <w:t>''''''''''''''''</w:t>
            </w:r>
          </w:p>
        </w:tc>
        <w:tc>
          <w:tcPr>
            <w:tcW w:w="1208" w:type="dxa"/>
          </w:tcPr>
          <w:p w:rsidR="00622DEB" w:rsidRPr="008D797E" w:rsidRDefault="00622DEB" w:rsidP="003028C8">
            <w:pPr>
              <w:pStyle w:val="TableText0"/>
              <w:jc w:val="center"/>
            </w:pPr>
          </w:p>
          <w:p w:rsidR="00622DEB" w:rsidRPr="008D797E" w:rsidRDefault="00622DEB" w:rsidP="003028C8">
            <w:pPr>
              <w:pStyle w:val="TableText0"/>
              <w:jc w:val="center"/>
            </w:pPr>
          </w:p>
          <w:p w:rsidR="00622DEB" w:rsidRPr="008D797E" w:rsidRDefault="00622DEB" w:rsidP="003028C8">
            <w:pPr>
              <w:pStyle w:val="TableText0"/>
              <w:jc w:val="center"/>
            </w:pPr>
          </w:p>
          <w:p w:rsidR="00622DEB" w:rsidRPr="008D797E" w:rsidRDefault="00622DEB" w:rsidP="003028C8">
            <w:pPr>
              <w:pStyle w:val="TableText0"/>
              <w:jc w:val="center"/>
            </w:pPr>
            <w:r w:rsidRPr="008D797E">
              <w:t>0.17</w:t>
            </w:r>
          </w:p>
          <w:p w:rsidR="00622DEB" w:rsidRPr="008D797E" w:rsidRDefault="00622DEB" w:rsidP="003028C8">
            <w:pPr>
              <w:pStyle w:val="TableText0"/>
              <w:jc w:val="center"/>
            </w:pPr>
            <w:r w:rsidRPr="008D797E">
              <w:t>0.15</w:t>
            </w:r>
          </w:p>
        </w:tc>
        <w:tc>
          <w:tcPr>
            <w:tcW w:w="973" w:type="dxa"/>
          </w:tcPr>
          <w:p w:rsidR="00622DEB" w:rsidRPr="008D797E" w:rsidRDefault="00622DEB" w:rsidP="003028C8">
            <w:pPr>
              <w:pStyle w:val="TableText0"/>
              <w:jc w:val="center"/>
            </w:pPr>
          </w:p>
          <w:p w:rsidR="00622DEB" w:rsidRPr="008D797E" w:rsidRDefault="00622DEB" w:rsidP="003028C8">
            <w:pPr>
              <w:pStyle w:val="TableText0"/>
              <w:jc w:val="center"/>
            </w:pPr>
          </w:p>
          <w:p w:rsidR="00622DEB" w:rsidRPr="008D797E" w:rsidRDefault="00622DEB" w:rsidP="003028C8">
            <w:pPr>
              <w:pStyle w:val="TableText0"/>
              <w:jc w:val="center"/>
            </w:pPr>
          </w:p>
          <w:p w:rsidR="00622DEB" w:rsidRPr="008D797E" w:rsidRDefault="00622DEB" w:rsidP="003028C8">
            <w:pPr>
              <w:pStyle w:val="TableText0"/>
              <w:jc w:val="center"/>
            </w:pPr>
            <w:r w:rsidRPr="008D797E">
              <w:t>$</w:t>
            </w:r>
            <w:r w:rsidR="006470F1">
              <w:rPr>
                <w:noProof/>
                <w:color w:val="000000"/>
                <w:highlight w:val="black"/>
              </w:rPr>
              <w:t>'''''''''''''''''</w:t>
            </w:r>
            <w:r w:rsidR="009F3A33" w:rsidRPr="00D7671F">
              <w:rPr>
                <w:vertAlign w:val="superscript"/>
              </w:rPr>
              <w:t>3</w:t>
            </w:r>
          </w:p>
          <w:p w:rsidR="00622DEB" w:rsidRPr="008D797E" w:rsidRDefault="00622DEB" w:rsidP="003028C8">
            <w:pPr>
              <w:pStyle w:val="TableText0"/>
              <w:jc w:val="center"/>
            </w:pPr>
            <w:r w:rsidRPr="008D797E">
              <w:t>$</w:t>
            </w:r>
            <w:r w:rsidR="006470F1">
              <w:rPr>
                <w:noProof/>
                <w:color w:val="000000"/>
                <w:highlight w:val="black"/>
              </w:rPr>
              <w:t>''''''''''''''''''''</w:t>
            </w:r>
            <w:r w:rsidR="009F3A33" w:rsidRPr="00D7671F">
              <w:rPr>
                <w:vertAlign w:val="superscript"/>
              </w:rPr>
              <w:t>3</w:t>
            </w:r>
          </w:p>
        </w:tc>
      </w:tr>
      <w:tr w:rsidR="00622DEB" w:rsidRPr="008D797E" w:rsidTr="00BB7BCB">
        <w:trPr>
          <w:trHeight w:val="1194"/>
        </w:trPr>
        <w:tc>
          <w:tcPr>
            <w:tcW w:w="2574" w:type="dxa"/>
          </w:tcPr>
          <w:p w:rsidR="00622DEB" w:rsidRPr="008D797E" w:rsidRDefault="00622DEB" w:rsidP="003028C8">
            <w:pPr>
              <w:pStyle w:val="TableText0"/>
            </w:pPr>
            <w:r w:rsidRPr="008D797E">
              <w:t>Time horizon (base case 10 years)</w:t>
            </w:r>
          </w:p>
          <w:p w:rsidR="00622DEB" w:rsidRPr="008D797E" w:rsidRDefault="00622DEB" w:rsidP="004221B4">
            <w:pPr>
              <w:pStyle w:val="TableText0"/>
              <w:numPr>
                <w:ilvl w:val="0"/>
                <w:numId w:val="5"/>
              </w:numPr>
            </w:pPr>
            <w:r w:rsidRPr="008D797E">
              <w:t>5 year</w:t>
            </w:r>
          </w:p>
          <w:p w:rsidR="00622DEB" w:rsidRPr="008D797E" w:rsidRDefault="00622DEB" w:rsidP="004221B4">
            <w:pPr>
              <w:pStyle w:val="TableText0"/>
              <w:numPr>
                <w:ilvl w:val="0"/>
                <w:numId w:val="5"/>
              </w:numPr>
            </w:pPr>
            <w:r w:rsidRPr="008D797E">
              <w:t>7.5 years</w:t>
            </w:r>
          </w:p>
          <w:p w:rsidR="00622DEB" w:rsidRPr="008D797E" w:rsidRDefault="00622DEB" w:rsidP="004221B4">
            <w:pPr>
              <w:pStyle w:val="TableText0"/>
              <w:numPr>
                <w:ilvl w:val="0"/>
                <w:numId w:val="5"/>
              </w:numPr>
            </w:pPr>
            <w:r w:rsidRPr="008D797E">
              <w:t>15 years</w:t>
            </w:r>
          </w:p>
        </w:tc>
        <w:tc>
          <w:tcPr>
            <w:tcW w:w="1153" w:type="dxa"/>
          </w:tcPr>
          <w:p w:rsidR="00622DEB" w:rsidRPr="008D797E" w:rsidRDefault="00622DEB" w:rsidP="003028C8">
            <w:pPr>
              <w:pStyle w:val="TableText0"/>
              <w:jc w:val="center"/>
            </w:pPr>
          </w:p>
          <w:p w:rsidR="00622DEB" w:rsidRPr="008D797E" w:rsidRDefault="00622DEB" w:rsidP="003028C8">
            <w:pPr>
              <w:pStyle w:val="TableText0"/>
              <w:jc w:val="center"/>
            </w:pPr>
          </w:p>
          <w:p w:rsidR="00622DEB" w:rsidRPr="008D797E" w:rsidRDefault="00622DEB" w:rsidP="003028C8">
            <w:pPr>
              <w:pStyle w:val="TableText0"/>
              <w:jc w:val="center"/>
            </w:pPr>
            <w:r w:rsidRPr="008D797E">
              <w:t>$</w:t>
            </w:r>
            <w:r w:rsidR="006470F1">
              <w:rPr>
                <w:noProof/>
                <w:color w:val="000000"/>
                <w:highlight w:val="black"/>
              </w:rPr>
              <w:t>'''''''''''''''</w:t>
            </w:r>
          </w:p>
          <w:p w:rsidR="00622DEB" w:rsidRPr="008D797E" w:rsidRDefault="00622DEB" w:rsidP="003028C8">
            <w:pPr>
              <w:pStyle w:val="TableText0"/>
              <w:jc w:val="center"/>
            </w:pPr>
            <w:r w:rsidRPr="008D797E">
              <w:t>$</w:t>
            </w:r>
            <w:r w:rsidR="006470F1">
              <w:rPr>
                <w:noProof/>
                <w:color w:val="000000"/>
                <w:highlight w:val="black"/>
              </w:rPr>
              <w:t>'''''''''''''''</w:t>
            </w:r>
          </w:p>
          <w:p w:rsidR="00622DEB" w:rsidRPr="008D797E" w:rsidRDefault="00622DEB" w:rsidP="003028C8">
            <w:pPr>
              <w:pStyle w:val="TableText0"/>
              <w:jc w:val="center"/>
            </w:pPr>
            <w:r w:rsidRPr="008D797E">
              <w:t>$</w:t>
            </w:r>
            <w:r w:rsidR="006470F1">
              <w:rPr>
                <w:noProof/>
                <w:color w:val="000000"/>
                <w:highlight w:val="black"/>
              </w:rPr>
              <w:t>''''''''''''''''''</w:t>
            </w:r>
          </w:p>
        </w:tc>
        <w:tc>
          <w:tcPr>
            <w:tcW w:w="1153" w:type="dxa"/>
          </w:tcPr>
          <w:p w:rsidR="00622DEB" w:rsidRPr="008D797E" w:rsidRDefault="00622DEB" w:rsidP="003028C8">
            <w:pPr>
              <w:pStyle w:val="TableText0"/>
              <w:jc w:val="center"/>
            </w:pPr>
          </w:p>
          <w:p w:rsidR="00622DEB" w:rsidRPr="008D797E" w:rsidRDefault="00622DEB" w:rsidP="003028C8">
            <w:pPr>
              <w:pStyle w:val="TableText0"/>
              <w:jc w:val="center"/>
            </w:pPr>
          </w:p>
          <w:p w:rsidR="00622DEB" w:rsidRPr="008D797E" w:rsidRDefault="00622DEB" w:rsidP="003028C8">
            <w:pPr>
              <w:pStyle w:val="TableText0"/>
              <w:jc w:val="center"/>
            </w:pPr>
            <w:r w:rsidRPr="008D797E">
              <w:t>0.12</w:t>
            </w:r>
          </w:p>
          <w:p w:rsidR="00622DEB" w:rsidRPr="008D797E" w:rsidRDefault="00622DEB" w:rsidP="003028C8">
            <w:pPr>
              <w:pStyle w:val="TableText0"/>
              <w:jc w:val="center"/>
            </w:pPr>
            <w:r w:rsidRPr="008D797E">
              <w:t>0.16</w:t>
            </w:r>
          </w:p>
          <w:p w:rsidR="00622DEB" w:rsidRPr="008D797E" w:rsidRDefault="00622DEB" w:rsidP="003028C8">
            <w:pPr>
              <w:pStyle w:val="TableText0"/>
              <w:jc w:val="center"/>
            </w:pPr>
            <w:r w:rsidRPr="008D797E">
              <w:t>0.20</w:t>
            </w:r>
          </w:p>
        </w:tc>
        <w:tc>
          <w:tcPr>
            <w:tcW w:w="973" w:type="dxa"/>
          </w:tcPr>
          <w:p w:rsidR="00622DEB" w:rsidRPr="008D797E" w:rsidRDefault="00622DEB" w:rsidP="003028C8">
            <w:pPr>
              <w:pStyle w:val="TableText0"/>
              <w:jc w:val="center"/>
            </w:pPr>
          </w:p>
          <w:p w:rsidR="00622DEB" w:rsidRPr="008D797E" w:rsidRDefault="00622DEB" w:rsidP="003028C8">
            <w:pPr>
              <w:pStyle w:val="TableText0"/>
              <w:jc w:val="center"/>
            </w:pPr>
          </w:p>
          <w:p w:rsidR="00622DEB" w:rsidRPr="00BB7BCB" w:rsidRDefault="00622DEB" w:rsidP="003028C8">
            <w:pPr>
              <w:pStyle w:val="TableText0"/>
              <w:jc w:val="center"/>
              <w:rPr>
                <w:vertAlign w:val="superscript"/>
              </w:rPr>
            </w:pPr>
            <w:r w:rsidRPr="008D797E">
              <w:t>$</w:t>
            </w:r>
            <w:r w:rsidR="006470F1">
              <w:rPr>
                <w:noProof/>
                <w:color w:val="000000"/>
                <w:highlight w:val="black"/>
              </w:rPr>
              <w:t>'''''''''''''''''''</w:t>
            </w:r>
            <w:r w:rsidR="009F3A33" w:rsidRPr="00BB7BCB">
              <w:rPr>
                <w:vertAlign w:val="superscript"/>
              </w:rPr>
              <w:t>3</w:t>
            </w:r>
          </w:p>
          <w:p w:rsidR="00622DEB" w:rsidRPr="008D797E" w:rsidRDefault="00622DEB" w:rsidP="003028C8">
            <w:pPr>
              <w:pStyle w:val="TableText0"/>
              <w:jc w:val="center"/>
            </w:pPr>
            <w:r w:rsidRPr="008D797E">
              <w:t>$</w:t>
            </w:r>
            <w:r w:rsidR="006470F1">
              <w:rPr>
                <w:noProof/>
                <w:color w:val="000000"/>
                <w:highlight w:val="black"/>
              </w:rPr>
              <w:t>'''''''''''''''''</w:t>
            </w:r>
            <w:r w:rsidR="00B836F4" w:rsidRPr="00D7671F">
              <w:rPr>
                <w:vertAlign w:val="superscript"/>
              </w:rPr>
              <w:t>2</w:t>
            </w:r>
          </w:p>
          <w:p w:rsidR="00622DEB" w:rsidRPr="00BB7BCB" w:rsidRDefault="00622DEB" w:rsidP="003028C8">
            <w:pPr>
              <w:pStyle w:val="TableText0"/>
              <w:jc w:val="center"/>
              <w:rPr>
                <w:vertAlign w:val="superscript"/>
              </w:rPr>
            </w:pPr>
            <w:r w:rsidRPr="008D797E">
              <w:t>$</w:t>
            </w:r>
            <w:r w:rsidR="006470F1">
              <w:rPr>
                <w:noProof/>
                <w:color w:val="000000"/>
                <w:highlight w:val="black"/>
              </w:rPr>
              <w:t>''''''''''''''''</w:t>
            </w:r>
            <w:r w:rsidR="000720CB" w:rsidRPr="00BB7BCB">
              <w:rPr>
                <w:vertAlign w:val="superscript"/>
              </w:rPr>
              <w:t>4</w:t>
            </w:r>
          </w:p>
        </w:tc>
        <w:tc>
          <w:tcPr>
            <w:tcW w:w="1160" w:type="dxa"/>
          </w:tcPr>
          <w:p w:rsidR="00622DEB" w:rsidRPr="008D797E" w:rsidRDefault="00622DEB" w:rsidP="003028C8">
            <w:pPr>
              <w:pStyle w:val="TableText0"/>
              <w:jc w:val="center"/>
            </w:pPr>
          </w:p>
          <w:p w:rsidR="00622DEB" w:rsidRPr="008D797E" w:rsidRDefault="00622DEB" w:rsidP="003028C8">
            <w:pPr>
              <w:pStyle w:val="TableText0"/>
              <w:jc w:val="center"/>
            </w:pPr>
          </w:p>
          <w:p w:rsidR="00622DEB" w:rsidRPr="008D797E" w:rsidRDefault="00622DEB" w:rsidP="003028C8">
            <w:pPr>
              <w:pStyle w:val="TableText0"/>
              <w:jc w:val="center"/>
            </w:pPr>
            <w:r w:rsidRPr="008D797E">
              <w:t>$</w:t>
            </w:r>
            <w:r w:rsidR="006470F1">
              <w:rPr>
                <w:noProof/>
                <w:color w:val="000000"/>
                <w:highlight w:val="black"/>
              </w:rPr>
              <w:t>''''''''''''''''</w:t>
            </w:r>
          </w:p>
          <w:p w:rsidR="00622DEB" w:rsidRPr="008D797E" w:rsidRDefault="00622DEB" w:rsidP="003028C8">
            <w:pPr>
              <w:pStyle w:val="TableText0"/>
              <w:jc w:val="center"/>
            </w:pPr>
            <w:r w:rsidRPr="008D797E">
              <w:t>$</w:t>
            </w:r>
            <w:r w:rsidR="006470F1">
              <w:rPr>
                <w:noProof/>
                <w:color w:val="000000"/>
                <w:highlight w:val="black"/>
              </w:rPr>
              <w:t>''''''''''''''''</w:t>
            </w:r>
          </w:p>
          <w:p w:rsidR="00622DEB" w:rsidRPr="008D797E" w:rsidRDefault="00622DEB" w:rsidP="003028C8">
            <w:pPr>
              <w:pStyle w:val="TableText0"/>
              <w:jc w:val="center"/>
            </w:pPr>
            <w:r w:rsidRPr="008D797E">
              <w:t>$</w:t>
            </w:r>
            <w:r w:rsidR="006470F1">
              <w:rPr>
                <w:noProof/>
                <w:color w:val="000000"/>
                <w:highlight w:val="black"/>
              </w:rPr>
              <w:t>''''''''''''''''</w:t>
            </w:r>
          </w:p>
        </w:tc>
        <w:tc>
          <w:tcPr>
            <w:tcW w:w="1208" w:type="dxa"/>
          </w:tcPr>
          <w:p w:rsidR="00622DEB" w:rsidRPr="008D797E" w:rsidRDefault="00622DEB" w:rsidP="003028C8">
            <w:pPr>
              <w:pStyle w:val="TableText0"/>
              <w:jc w:val="center"/>
            </w:pPr>
          </w:p>
          <w:p w:rsidR="00622DEB" w:rsidRPr="008D797E" w:rsidRDefault="00622DEB" w:rsidP="003028C8">
            <w:pPr>
              <w:pStyle w:val="TableText0"/>
              <w:jc w:val="center"/>
            </w:pPr>
          </w:p>
          <w:p w:rsidR="00622DEB" w:rsidRPr="008D797E" w:rsidRDefault="00622DEB" w:rsidP="003028C8">
            <w:pPr>
              <w:pStyle w:val="TableText0"/>
              <w:jc w:val="center"/>
            </w:pPr>
            <w:r w:rsidRPr="008D797E">
              <w:t>0.12</w:t>
            </w:r>
          </w:p>
          <w:p w:rsidR="00622DEB" w:rsidRPr="008D797E" w:rsidRDefault="00622DEB" w:rsidP="003028C8">
            <w:pPr>
              <w:pStyle w:val="TableText0"/>
              <w:jc w:val="center"/>
            </w:pPr>
            <w:r w:rsidRPr="008D797E">
              <w:t>0.16</w:t>
            </w:r>
          </w:p>
          <w:p w:rsidR="00622DEB" w:rsidRPr="008D797E" w:rsidRDefault="00622DEB" w:rsidP="003028C8">
            <w:pPr>
              <w:pStyle w:val="TableText0"/>
              <w:jc w:val="center"/>
            </w:pPr>
            <w:r w:rsidRPr="008D797E">
              <w:t>0.20</w:t>
            </w:r>
          </w:p>
        </w:tc>
        <w:tc>
          <w:tcPr>
            <w:tcW w:w="973" w:type="dxa"/>
          </w:tcPr>
          <w:p w:rsidR="00622DEB" w:rsidRPr="008D797E" w:rsidRDefault="00622DEB" w:rsidP="003028C8">
            <w:pPr>
              <w:pStyle w:val="TableText0"/>
              <w:jc w:val="center"/>
            </w:pPr>
          </w:p>
          <w:p w:rsidR="00622DEB" w:rsidRPr="008D797E" w:rsidRDefault="00622DEB" w:rsidP="003028C8">
            <w:pPr>
              <w:pStyle w:val="TableText0"/>
              <w:jc w:val="center"/>
            </w:pPr>
          </w:p>
          <w:p w:rsidR="00622DEB" w:rsidRPr="008D797E" w:rsidRDefault="00622DEB" w:rsidP="003028C8">
            <w:pPr>
              <w:pStyle w:val="TableText0"/>
              <w:jc w:val="center"/>
            </w:pPr>
            <w:r w:rsidRPr="008D797E">
              <w:t>$</w:t>
            </w:r>
            <w:r w:rsidR="006470F1">
              <w:rPr>
                <w:noProof/>
                <w:color w:val="000000"/>
                <w:highlight w:val="black"/>
              </w:rPr>
              <w:t>'''''''''''''''''''</w:t>
            </w:r>
            <w:r w:rsidR="000720CB">
              <w:rPr>
                <w:vertAlign w:val="superscript"/>
              </w:rPr>
              <w:t>5</w:t>
            </w:r>
          </w:p>
          <w:p w:rsidR="00622DEB" w:rsidRPr="008D797E" w:rsidRDefault="00622DEB" w:rsidP="003028C8">
            <w:pPr>
              <w:pStyle w:val="TableText0"/>
              <w:jc w:val="center"/>
            </w:pPr>
            <w:r w:rsidRPr="008D797E">
              <w:t>$</w:t>
            </w:r>
            <w:r w:rsidR="006470F1">
              <w:rPr>
                <w:noProof/>
                <w:color w:val="000000"/>
                <w:highlight w:val="black"/>
              </w:rPr>
              <w:t>''''''''''''''''''</w:t>
            </w:r>
            <w:r w:rsidR="009F3A33" w:rsidRPr="00D7671F">
              <w:rPr>
                <w:vertAlign w:val="superscript"/>
              </w:rPr>
              <w:t>3</w:t>
            </w:r>
          </w:p>
          <w:p w:rsidR="00622DEB" w:rsidRPr="008D797E" w:rsidRDefault="00622DEB" w:rsidP="003028C8">
            <w:pPr>
              <w:pStyle w:val="TableText0"/>
              <w:jc w:val="center"/>
            </w:pPr>
            <w:r w:rsidRPr="008D797E">
              <w:t>$</w:t>
            </w:r>
            <w:r w:rsidR="006470F1">
              <w:rPr>
                <w:noProof/>
                <w:color w:val="000000"/>
                <w:highlight w:val="black"/>
              </w:rPr>
              <w:t>''''''''''''''''''</w:t>
            </w:r>
            <w:r w:rsidR="00B836F4" w:rsidRPr="00D7671F">
              <w:rPr>
                <w:vertAlign w:val="superscript"/>
              </w:rPr>
              <w:t>2</w:t>
            </w:r>
          </w:p>
        </w:tc>
      </w:tr>
      <w:tr w:rsidR="00622DEB" w:rsidRPr="008D797E" w:rsidTr="00BB7BCB">
        <w:trPr>
          <w:trHeight w:val="1178"/>
        </w:trPr>
        <w:tc>
          <w:tcPr>
            <w:tcW w:w="2574" w:type="dxa"/>
          </w:tcPr>
          <w:p w:rsidR="00622DEB" w:rsidRPr="008D797E" w:rsidRDefault="00622DEB" w:rsidP="003028C8">
            <w:pPr>
              <w:pStyle w:val="TableText0"/>
            </w:pPr>
            <w:r w:rsidRPr="008D797E">
              <w:t>Utilities for PF and PD states (base case PF 0.695, PD 0.583)</w:t>
            </w:r>
          </w:p>
          <w:p w:rsidR="00622DEB" w:rsidRPr="008D797E" w:rsidRDefault="00622DEB" w:rsidP="004221B4">
            <w:pPr>
              <w:pStyle w:val="TableText0"/>
              <w:numPr>
                <w:ilvl w:val="0"/>
                <w:numId w:val="5"/>
              </w:numPr>
            </w:pPr>
            <w:r w:rsidRPr="008D797E">
              <w:t>PF 0.760; PD 0.550</w:t>
            </w:r>
          </w:p>
          <w:p w:rsidR="00622DEB" w:rsidRPr="008D797E" w:rsidRDefault="00622DEB" w:rsidP="004221B4">
            <w:pPr>
              <w:pStyle w:val="TableText0"/>
              <w:numPr>
                <w:ilvl w:val="0"/>
                <w:numId w:val="5"/>
              </w:numPr>
            </w:pPr>
            <w:r w:rsidRPr="008D797E">
              <w:t>PF 0.730; PD 0.450</w:t>
            </w:r>
          </w:p>
        </w:tc>
        <w:tc>
          <w:tcPr>
            <w:tcW w:w="1153" w:type="dxa"/>
          </w:tcPr>
          <w:p w:rsidR="00622DEB" w:rsidRPr="008D797E" w:rsidRDefault="00622DEB" w:rsidP="003028C8">
            <w:pPr>
              <w:pStyle w:val="TableText0"/>
              <w:jc w:val="center"/>
            </w:pPr>
          </w:p>
          <w:p w:rsidR="00622DEB" w:rsidRPr="008D797E" w:rsidRDefault="00622DEB" w:rsidP="003028C8">
            <w:pPr>
              <w:pStyle w:val="TableText0"/>
              <w:jc w:val="center"/>
            </w:pPr>
          </w:p>
          <w:p w:rsidR="00622DEB" w:rsidRPr="008D797E" w:rsidRDefault="00622DEB" w:rsidP="003028C8">
            <w:pPr>
              <w:pStyle w:val="TableText0"/>
              <w:jc w:val="center"/>
            </w:pPr>
            <w:r w:rsidRPr="008D797E">
              <w:t>$</w:t>
            </w:r>
            <w:r w:rsidR="006470F1">
              <w:rPr>
                <w:noProof/>
                <w:color w:val="000000"/>
                <w:highlight w:val="black"/>
              </w:rPr>
              <w:t>'''''''''''''''</w:t>
            </w:r>
          </w:p>
          <w:p w:rsidR="00622DEB" w:rsidRPr="008D797E" w:rsidRDefault="00622DEB" w:rsidP="003028C8">
            <w:pPr>
              <w:pStyle w:val="TableText0"/>
              <w:jc w:val="center"/>
            </w:pPr>
            <w:r w:rsidRPr="008D797E">
              <w:t>$</w:t>
            </w:r>
            <w:r w:rsidR="006470F1">
              <w:rPr>
                <w:noProof/>
                <w:color w:val="000000"/>
                <w:highlight w:val="black"/>
              </w:rPr>
              <w:t>''''''''''''''''</w:t>
            </w:r>
          </w:p>
        </w:tc>
        <w:tc>
          <w:tcPr>
            <w:tcW w:w="1153" w:type="dxa"/>
          </w:tcPr>
          <w:p w:rsidR="00622DEB" w:rsidRPr="008D797E" w:rsidRDefault="00622DEB" w:rsidP="003028C8">
            <w:pPr>
              <w:pStyle w:val="TableText0"/>
              <w:jc w:val="center"/>
            </w:pPr>
          </w:p>
          <w:p w:rsidR="00622DEB" w:rsidRPr="008D797E" w:rsidRDefault="00622DEB" w:rsidP="003028C8">
            <w:pPr>
              <w:pStyle w:val="TableText0"/>
              <w:jc w:val="center"/>
            </w:pPr>
          </w:p>
          <w:p w:rsidR="00622DEB" w:rsidRPr="008D797E" w:rsidRDefault="00622DEB" w:rsidP="003028C8">
            <w:pPr>
              <w:pStyle w:val="TableText0"/>
              <w:jc w:val="center"/>
            </w:pPr>
            <w:r w:rsidRPr="008D797E">
              <w:t>0.19</w:t>
            </w:r>
          </w:p>
          <w:p w:rsidR="00622DEB" w:rsidRPr="008D797E" w:rsidRDefault="00622DEB" w:rsidP="003028C8">
            <w:pPr>
              <w:pStyle w:val="TableText0"/>
              <w:jc w:val="center"/>
            </w:pPr>
            <w:r w:rsidRPr="008D797E">
              <w:t>0.17</w:t>
            </w:r>
          </w:p>
        </w:tc>
        <w:tc>
          <w:tcPr>
            <w:tcW w:w="973" w:type="dxa"/>
          </w:tcPr>
          <w:p w:rsidR="00622DEB" w:rsidRPr="008D797E" w:rsidRDefault="00622DEB" w:rsidP="003028C8">
            <w:pPr>
              <w:pStyle w:val="TableText0"/>
              <w:jc w:val="center"/>
            </w:pPr>
          </w:p>
          <w:p w:rsidR="00622DEB" w:rsidRPr="008D797E" w:rsidRDefault="00622DEB" w:rsidP="003028C8">
            <w:pPr>
              <w:pStyle w:val="TableText0"/>
              <w:jc w:val="center"/>
            </w:pPr>
          </w:p>
          <w:p w:rsidR="00622DEB" w:rsidRPr="008D797E" w:rsidRDefault="00622DEB" w:rsidP="003028C8">
            <w:pPr>
              <w:pStyle w:val="TableText0"/>
              <w:jc w:val="center"/>
            </w:pPr>
            <w:r w:rsidRPr="008D797E">
              <w:t>$</w:t>
            </w:r>
            <w:r w:rsidR="006470F1">
              <w:rPr>
                <w:noProof/>
                <w:color w:val="000000"/>
                <w:highlight w:val="black"/>
              </w:rPr>
              <w:t>'''''''''''''''</w:t>
            </w:r>
            <w:r w:rsidR="000720CB" w:rsidRPr="00D7671F">
              <w:rPr>
                <w:vertAlign w:val="superscript"/>
              </w:rPr>
              <w:t>4</w:t>
            </w:r>
          </w:p>
          <w:p w:rsidR="00622DEB" w:rsidRPr="008D797E" w:rsidRDefault="00622DEB" w:rsidP="003028C8">
            <w:pPr>
              <w:pStyle w:val="TableText0"/>
              <w:jc w:val="center"/>
            </w:pPr>
            <w:r w:rsidRPr="008D797E">
              <w:t>$</w:t>
            </w:r>
            <w:r w:rsidR="006470F1">
              <w:rPr>
                <w:noProof/>
                <w:color w:val="000000"/>
                <w:highlight w:val="black"/>
              </w:rPr>
              <w:t>'''''''''''''''</w:t>
            </w:r>
            <w:r w:rsidR="00B836F4" w:rsidRPr="00D7671F">
              <w:rPr>
                <w:vertAlign w:val="superscript"/>
              </w:rPr>
              <w:t>2</w:t>
            </w:r>
          </w:p>
        </w:tc>
        <w:tc>
          <w:tcPr>
            <w:tcW w:w="1160" w:type="dxa"/>
          </w:tcPr>
          <w:p w:rsidR="00622DEB" w:rsidRPr="008D797E" w:rsidRDefault="00622DEB" w:rsidP="003028C8">
            <w:pPr>
              <w:pStyle w:val="TableText0"/>
              <w:jc w:val="center"/>
            </w:pPr>
          </w:p>
          <w:p w:rsidR="00622DEB" w:rsidRPr="008D797E" w:rsidRDefault="00622DEB" w:rsidP="003028C8">
            <w:pPr>
              <w:pStyle w:val="TableText0"/>
              <w:jc w:val="center"/>
            </w:pPr>
          </w:p>
          <w:p w:rsidR="00622DEB" w:rsidRPr="008D797E" w:rsidRDefault="00622DEB" w:rsidP="003028C8">
            <w:pPr>
              <w:pStyle w:val="TableText0"/>
              <w:jc w:val="center"/>
            </w:pPr>
            <w:r w:rsidRPr="008D797E">
              <w:t>$</w:t>
            </w:r>
            <w:r w:rsidR="006470F1">
              <w:rPr>
                <w:noProof/>
                <w:color w:val="000000"/>
                <w:highlight w:val="black"/>
              </w:rPr>
              <w:t>''''''''''''''''</w:t>
            </w:r>
          </w:p>
          <w:p w:rsidR="00622DEB" w:rsidRPr="008D797E" w:rsidRDefault="00622DEB" w:rsidP="003028C8">
            <w:pPr>
              <w:pStyle w:val="TableText0"/>
              <w:jc w:val="center"/>
            </w:pPr>
            <w:r w:rsidRPr="008D797E">
              <w:t>$</w:t>
            </w:r>
            <w:r w:rsidR="006470F1">
              <w:rPr>
                <w:noProof/>
                <w:color w:val="000000"/>
                <w:highlight w:val="black"/>
              </w:rPr>
              <w:t>'''''''''''''''''</w:t>
            </w:r>
          </w:p>
        </w:tc>
        <w:tc>
          <w:tcPr>
            <w:tcW w:w="1208" w:type="dxa"/>
          </w:tcPr>
          <w:p w:rsidR="00622DEB" w:rsidRPr="008D797E" w:rsidRDefault="00622DEB" w:rsidP="003028C8">
            <w:pPr>
              <w:pStyle w:val="TableText0"/>
              <w:jc w:val="center"/>
            </w:pPr>
          </w:p>
          <w:p w:rsidR="00622DEB" w:rsidRPr="008D797E" w:rsidRDefault="00622DEB" w:rsidP="003028C8">
            <w:pPr>
              <w:pStyle w:val="TableText0"/>
              <w:jc w:val="center"/>
            </w:pPr>
          </w:p>
          <w:p w:rsidR="00622DEB" w:rsidRPr="008D797E" w:rsidRDefault="00622DEB" w:rsidP="003028C8">
            <w:pPr>
              <w:pStyle w:val="TableText0"/>
              <w:jc w:val="center"/>
            </w:pPr>
            <w:r w:rsidRPr="008D797E">
              <w:t>0.19</w:t>
            </w:r>
          </w:p>
          <w:p w:rsidR="00622DEB" w:rsidRPr="008D797E" w:rsidRDefault="00622DEB" w:rsidP="003028C8">
            <w:pPr>
              <w:pStyle w:val="TableText0"/>
              <w:jc w:val="center"/>
            </w:pPr>
            <w:r w:rsidRPr="008D797E">
              <w:t>0.17</w:t>
            </w:r>
          </w:p>
        </w:tc>
        <w:tc>
          <w:tcPr>
            <w:tcW w:w="973" w:type="dxa"/>
          </w:tcPr>
          <w:p w:rsidR="00622DEB" w:rsidRPr="008D797E" w:rsidRDefault="00622DEB" w:rsidP="003028C8">
            <w:pPr>
              <w:pStyle w:val="TableText0"/>
              <w:jc w:val="center"/>
            </w:pPr>
          </w:p>
          <w:p w:rsidR="00622DEB" w:rsidRPr="008D797E" w:rsidRDefault="00622DEB" w:rsidP="003028C8">
            <w:pPr>
              <w:pStyle w:val="TableText0"/>
              <w:jc w:val="center"/>
            </w:pPr>
          </w:p>
          <w:p w:rsidR="00622DEB" w:rsidRPr="008D797E" w:rsidRDefault="00622DEB" w:rsidP="003028C8">
            <w:pPr>
              <w:pStyle w:val="TableText0"/>
              <w:jc w:val="center"/>
            </w:pPr>
            <w:r w:rsidRPr="008D797E">
              <w:t>$</w:t>
            </w:r>
            <w:r w:rsidR="006470F1">
              <w:rPr>
                <w:noProof/>
                <w:color w:val="000000"/>
                <w:highlight w:val="black"/>
              </w:rPr>
              <w:t>''''''''''''''''''</w:t>
            </w:r>
            <w:r w:rsidR="00B836F4" w:rsidRPr="00D7671F">
              <w:rPr>
                <w:vertAlign w:val="superscript"/>
              </w:rPr>
              <w:t>2</w:t>
            </w:r>
          </w:p>
          <w:p w:rsidR="00622DEB" w:rsidRPr="008D797E" w:rsidRDefault="00622DEB" w:rsidP="003028C8">
            <w:pPr>
              <w:pStyle w:val="TableText0"/>
              <w:jc w:val="center"/>
            </w:pPr>
            <w:r w:rsidRPr="008D797E">
              <w:t>$</w:t>
            </w:r>
            <w:r w:rsidR="006470F1">
              <w:rPr>
                <w:noProof/>
                <w:color w:val="000000"/>
                <w:highlight w:val="black"/>
              </w:rPr>
              <w:t>'''''''''''''''''</w:t>
            </w:r>
            <w:r w:rsidR="009F3A33" w:rsidRPr="00D7671F">
              <w:rPr>
                <w:vertAlign w:val="superscript"/>
              </w:rPr>
              <w:t>3</w:t>
            </w:r>
          </w:p>
        </w:tc>
      </w:tr>
      <w:tr w:rsidR="00622DEB" w:rsidRPr="008D797E" w:rsidTr="00BB7BCB">
        <w:trPr>
          <w:trHeight w:val="231"/>
        </w:trPr>
        <w:tc>
          <w:tcPr>
            <w:tcW w:w="9197" w:type="dxa"/>
            <w:gridSpan w:val="7"/>
          </w:tcPr>
          <w:p w:rsidR="00622DEB" w:rsidRPr="006E5C4D" w:rsidRDefault="00622DEB" w:rsidP="003028C8">
            <w:pPr>
              <w:pStyle w:val="In-tableHeading"/>
              <w:rPr>
                <w:lang w:val="en-AU"/>
              </w:rPr>
            </w:pPr>
            <w:r w:rsidRPr="006E5C4D">
              <w:rPr>
                <w:lang w:val="en-AU"/>
              </w:rPr>
              <w:t>Multivariate analyses</w:t>
            </w:r>
          </w:p>
        </w:tc>
      </w:tr>
      <w:tr w:rsidR="00622DEB" w:rsidRPr="008D797E" w:rsidTr="00BB7BCB">
        <w:trPr>
          <w:trHeight w:val="693"/>
        </w:trPr>
        <w:tc>
          <w:tcPr>
            <w:tcW w:w="2574" w:type="dxa"/>
          </w:tcPr>
          <w:p w:rsidR="00622DEB" w:rsidRPr="008D797E" w:rsidRDefault="00622DEB" w:rsidP="003028C8">
            <w:pPr>
              <w:pStyle w:val="TableText0"/>
            </w:pPr>
            <w:r w:rsidRPr="008D797E">
              <w:t>#1:No cap on nab-P treatments and Weibull extrapolation for OS</w:t>
            </w:r>
          </w:p>
        </w:tc>
        <w:tc>
          <w:tcPr>
            <w:tcW w:w="1153" w:type="dxa"/>
          </w:tcPr>
          <w:p w:rsidR="00622DEB" w:rsidRPr="008D797E" w:rsidRDefault="00622DEB" w:rsidP="003028C8">
            <w:pPr>
              <w:pStyle w:val="TableText0"/>
              <w:jc w:val="center"/>
            </w:pPr>
            <w:r w:rsidRPr="008D797E">
              <w:t>$</w:t>
            </w:r>
            <w:r w:rsidR="006470F1">
              <w:rPr>
                <w:noProof/>
                <w:color w:val="000000"/>
                <w:highlight w:val="black"/>
              </w:rPr>
              <w:t>'''''''''''''''</w:t>
            </w:r>
          </w:p>
        </w:tc>
        <w:tc>
          <w:tcPr>
            <w:tcW w:w="1153" w:type="dxa"/>
          </w:tcPr>
          <w:p w:rsidR="00622DEB" w:rsidRPr="008D797E" w:rsidRDefault="00622DEB" w:rsidP="003028C8">
            <w:pPr>
              <w:pStyle w:val="TableText0"/>
              <w:jc w:val="center"/>
            </w:pPr>
            <w:r w:rsidRPr="008D797E">
              <w:t>0.16</w:t>
            </w:r>
          </w:p>
        </w:tc>
        <w:tc>
          <w:tcPr>
            <w:tcW w:w="973" w:type="dxa"/>
          </w:tcPr>
          <w:p w:rsidR="00622DEB" w:rsidRPr="008D797E" w:rsidRDefault="00622DEB" w:rsidP="003028C8">
            <w:pPr>
              <w:pStyle w:val="TableText0"/>
              <w:jc w:val="center"/>
            </w:pPr>
            <w:r w:rsidRPr="008D797E">
              <w:t>$</w:t>
            </w:r>
            <w:r w:rsidR="006470F1">
              <w:rPr>
                <w:noProof/>
                <w:color w:val="000000"/>
                <w:highlight w:val="black"/>
              </w:rPr>
              <w:t>'''''''''''''''''''</w:t>
            </w:r>
            <w:r w:rsidR="009F3A33" w:rsidRPr="00D7671F">
              <w:rPr>
                <w:vertAlign w:val="superscript"/>
              </w:rPr>
              <w:t>3</w:t>
            </w:r>
          </w:p>
        </w:tc>
        <w:tc>
          <w:tcPr>
            <w:tcW w:w="1160" w:type="dxa"/>
          </w:tcPr>
          <w:p w:rsidR="00622DEB" w:rsidRPr="008D797E" w:rsidRDefault="00622DEB" w:rsidP="003028C8">
            <w:pPr>
              <w:pStyle w:val="TableText0"/>
              <w:jc w:val="center"/>
            </w:pPr>
            <w:r w:rsidRPr="008D797E">
              <w:t>$</w:t>
            </w:r>
            <w:r w:rsidR="006470F1">
              <w:rPr>
                <w:noProof/>
                <w:color w:val="000000"/>
                <w:highlight w:val="black"/>
              </w:rPr>
              <w:t>''''''''''''''''</w:t>
            </w:r>
          </w:p>
        </w:tc>
        <w:tc>
          <w:tcPr>
            <w:tcW w:w="1208" w:type="dxa"/>
          </w:tcPr>
          <w:p w:rsidR="00622DEB" w:rsidRPr="008D797E" w:rsidRDefault="00622DEB" w:rsidP="003028C8">
            <w:pPr>
              <w:pStyle w:val="TableText0"/>
              <w:jc w:val="center"/>
            </w:pPr>
            <w:r w:rsidRPr="008D797E">
              <w:t>0.16</w:t>
            </w:r>
          </w:p>
        </w:tc>
        <w:tc>
          <w:tcPr>
            <w:tcW w:w="973" w:type="dxa"/>
          </w:tcPr>
          <w:p w:rsidR="00622DEB" w:rsidRPr="008D797E" w:rsidRDefault="00622DEB" w:rsidP="003028C8">
            <w:pPr>
              <w:pStyle w:val="TableText0"/>
              <w:jc w:val="center"/>
            </w:pPr>
            <w:r w:rsidRPr="008D797E">
              <w:t>$</w:t>
            </w:r>
            <w:r w:rsidR="006470F1">
              <w:rPr>
                <w:noProof/>
                <w:color w:val="000000"/>
                <w:highlight w:val="black"/>
              </w:rPr>
              <w:t>''''''''''''''''''</w:t>
            </w:r>
            <w:r w:rsidR="000720CB">
              <w:rPr>
                <w:vertAlign w:val="superscript"/>
              </w:rPr>
              <w:t>5</w:t>
            </w:r>
          </w:p>
          <w:p w:rsidR="00622DEB" w:rsidRPr="008D797E" w:rsidRDefault="00622DEB" w:rsidP="003028C8">
            <w:pPr>
              <w:pStyle w:val="TableText0"/>
              <w:jc w:val="center"/>
            </w:pPr>
          </w:p>
        </w:tc>
      </w:tr>
      <w:tr w:rsidR="00622DEB" w:rsidRPr="008D797E" w:rsidTr="00BB7BCB">
        <w:trPr>
          <w:trHeight w:val="685"/>
        </w:trPr>
        <w:tc>
          <w:tcPr>
            <w:tcW w:w="2574" w:type="dxa"/>
          </w:tcPr>
          <w:p w:rsidR="00622DEB" w:rsidRPr="008D797E" w:rsidRDefault="00622DEB" w:rsidP="003028C8">
            <w:pPr>
              <w:pStyle w:val="TableText0"/>
            </w:pPr>
            <w:r w:rsidRPr="008D797E">
              <w:t>#2: No cap on nab-P treatments and log-logistic extrapolation for OS</w:t>
            </w:r>
          </w:p>
        </w:tc>
        <w:tc>
          <w:tcPr>
            <w:tcW w:w="1153" w:type="dxa"/>
          </w:tcPr>
          <w:p w:rsidR="00622DEB" w:rsidRPr="008D797E" w:rsidRDefault="00622DEB" w:rsidP="003028C8">
            <w:pPr>
              <w:pStyle w:val="TableText0"/>
              <w:jc w:val="center"/>
            </w:pPr>
            <w:r w:rsidRPr="008D797E">
              <w:t xml:space="preserve">$ </w:t>
            </w:r>
            <w:r w:rsidR="006470F1">
              <w:rPr>
                <w:noProof/>
                <w:color w:val="000000"/>
                <w:highlight w:val="black"/>
              </w:rPr>
              <w:t>'''''''''''''''''</w:t>
            </w:r>
          </w:p>
        </w:tc>
        <w:tc>
          <w:tcPr>
            <w:tcW w:w="1153" w:type="dxa"/>
          </w:tcPr>
          <w:p w:rsidR="00622DEB" w:rsidRPr="008D797E" w:rsidRDefault="00622DEB" w:rsidP="003028C8">
            <w:pPr>
              <w:pStyle w:val="TableText0"/>
              <w:jc w:val="center"/>
            </w:pPr>
            <w:r w:rsidRPr="008D797E">
              <w:t>0.16</w:t>
            </w:r>
          </w:p>
        </w:tc>
        <w:tc>
          <w:tcPr>
            <w:tcW w:w="973" w:type="dxa"/>
          </w:tcPr>
          <w:p w:rsidR="00622DEB" w:rsidRPr="008D797E" w:rsidRDefault="00622DEB" w:rsidP="003028C8">
            <w:pPr>
              <w:pStyle w:val="TableText0"/>
              <w:jc w:val="center"/>
            </w:pPr>
            <w:r w:rsidRPr="008D797E">
              <w:t>$</w:t>
            </w:r>
            <w:r w:rsidR="006470F1">
              <w:rPr>
                <w:noProof/>
                <w:color w:val="000000"/>
                <w:highlight w:val="black"/>
              </w:rPr>
              <w:t>''''''''''''''''''''</w:t>
            </w:r>
            <w:r w:rsidR="009F3A33" w:rsidRPr="00D7671F">
              <w:rPr>
                <w:vertAlign w:val="superscript"/>
              </w:rPr>
              <w:t>3</w:t>
            </w:r>
          </w:p>
        </w:tc>
        <w:tc>
          <w:tcPr>
            <w:tcW w:w="1160" w:type="dxa"/>
          </w:tcPr>
          <w:p w:rsidR="00622DEB" w:rsidRPr="008D797E" w:rsidRDefault="00622DEB" w:rsidP="003028C8">
            <w:pPr>
              <w:pStyle w:val="TableText0"/>
              <w:jc w:val="center"/>
            </w:pPr>
            <w:r w:rsidRPr="008D797E">
              <w:t>$</w:t>
            </w:r>
            <w:r w:rsidR="006470F1">
              <w:rPr>
                <w:noProof/>
                <w:color w:val="000000"/>
                <w:highlight w:val="black"/>
              </w:rPr>
              <w:t>''''''''''''''''</w:t>
            </w:r>
          </w:p>
        </w:tc>
        <w:tc>
          <w:tcPr>
            <w:tcW w:w="1208" w:type="dxa"/>
          </w:tcPr>
          <w:p w:rsidR="00622DEB" w:rsidRPr="008D797E" w:rsidRDefault="00622DEB" w:rsidP="003028C8">
            <w:pPr>
              <w:pStyle w:val="TableText0"/>
              <w:jc w:val="center"/>
            </w:pPr>
            <w:r w:rsidRPr="008D797E">
              <w:t>0.16</w:t>
            </w:r>
          </w:p>
        </w:tc>
        <w:tc>
          <w:tcPr>
            <w:tcW w:w="973" w:type="dxa"/>
          </w:tcPr>
          <w:p w:rsidR="00622DEB" w:rsidRPr="008D797E" w:rsidRDefault="00622DEB" w:rsidP="003028C8">
            <w:pPr>
              <w:pStyle w:val="TableText0"/>
              <w:jc w:val="center"/>
            </w:pPr>
            <w:r w:rsidRPr="008D797E">
              <w:t>$</w:t>
            </w:r>
            <w:r w:rsidR="006470F1">
              <w:rPr>
                <w:noProof/>
                <w:color w:val="000000"/>
                <w:highlight w:val="black"/>
              </w:rPr>
              <w:t>'''''''''''''''''''''</w:t>
            </w:r>
            <w:r w:rsidR="000720CB">
              <w:rPr>
                <w:vertAlign w:val="superscript"/>
              </w:rPr>
              <w:t>5</w:t>
            </w:r>
          </w:p>
        </w:tc>
      </w:tr>
      <w:tr w:rsidR="00622DEB" w:rsidRPr="008D797E" w:rsidTr="00BB7BCB">
        <w:trPr>
          <w:trHeight w:val="693"/>
        </w:trPr>
        <w:tc>
          <w:tcPr>
            <w:tcW w:w="2574" w:type="dxa"/>
          </w:tcPr>
          <w:p w:rsidR="00622DEB" w:rsidRPr="008D797E" w:rsidRDefault="00622DEB" w:rsidP="003028C8">
            <w:pPr>
              <w:pStyle w:val="TableText0"/>
            </w:pPr>
            <w:r w:rsidRPr="008D797E">
              <w:t>#3: No cap on nab-P treatments and OS curves converge from 90 months</w:t>
            </w:r>
          </w:p>
        </w:tc>
        <w:tc>
          <w:tcPr>
            <w:tcW w:w="1153" w:type="dxa"/>
          </w:tcPr>
          <w:p w:rsidR="00622DEB" w:rsidRPr="008D797E" w:rsidRDefault="00622DEB" w:rsidP="003028C8">
            <w:pPr>
              <w:pStyle w:val="TableText0"/>
              <w:jc w:val="center"/>
            </w:pPr>
            <w:r w:rsidRPr="008D797E">
              <w:t>$</w:t>
            </w:r>
            <w:r w:rsidR="006470F1">
              <w:rPr>
                <w:noProof/>
                <w:color w:val="000000"/>
                <w:highlight w:val="black"/>
              </w:rPr>
              <w:t>'''''''''''''''</w:t>
            </w:r>
          </w:p>
        </w:tc>
        <w:tc>
          <w:tcPr>
            <w:tcW w:w="1153" w:type="dxa"/>
          </w:tcPr>
          <w:p w:rsidR="00622DEB" w:rsidRPr="008D797E" w:rsidRDefault="00622DEB" w:rsidP="003028C8">
            <w:pPr>
              <w:pStyle w:val="TableText0"/>
              <w:jc w:val="center"/>
            </w:pPr>
            <w:r w:rsidRPr="008D797E">
              <w:t>0.17</w:t>
            </w:r>
          </w:p>
        </w:tc>
        <w:tc>
          <w:tcPr>
            <w:tcW w:w="973" w:type="dxa"/>
          </w:tcPr>
          <w:p w:rsidR="00622DEB" w:rsidRPr="008D797E" w:rsidRDefault="00622DEB" w:rsidP="003028C8">
            <w:pPr>
              <w:pStyle w:val="TableText0"/>
              <w:jc w:val="center"/>
            </w:pPr>
            <w:r w:rsidRPr="008D797E">
              <w:t>$</w:t>
            </w:r>
            <w:r w:rsidR="006470F1">
              <w:rPr>
                <w:noProof/>
                <w:color w:val="000000"/>
                <w:highlight w:val="black"/>
              </w:rPr>
              <w:t>''''''''''''''''''</w:t>
            </w:r>
            <w:r w:rsidR="000720CB" w:rsidRPr="00D7671F">
              <w:rPr>
                <w:vertAlign w:val="superscript"/>
              </w:rPr>
              <w:t>3</w:t>
            </w:r>
          </w:p>
        </w:tc>
        <w:tc>
          <w:tcPr>
            <w:tcW w:w="1160" w:type="dxa"/>
          </w:tcPr>
          <w:p w:rsidR="00622DEB" w:rsidRPr="008D797E" w:rsidRDefault="00622DEB" w:rsidP="003028C8">
            <w:pPr>
              <w:pStyle w:val="TableText0"/>
              <w:jc w:val="center"/>
            </w:pPr>
            <w:r w:rsidRPr="008D797E">
              <w:t>$</w:t>
            </w:r>
            <w:r w:rsidR="006470F1">
              <w:rPr>
                <w:noProof/>
                <w:color w:val="000000"/>
                <w:highlight w:val="black"/>
              </w:rPr>
              <w:t>'''''''''''''''''</w:t>
            </w:r>
          </w:p>
        </w:tc>
        <w:tc>
          <w:tcPr>
            <w:tcW w:w="1208" w:type="dxa"/>
          </w:tcPr>
          <w:p w:rsidR="00622DEB" w:rsidRPr="008D797E" w:rsidRDefault="00622DEB" w:rsidP="003028C8">
            <w:pPr>
              <w:pStyle w:val="TableText0"/>
              <w:jc w:val="center"/>
            </w:pPr>
            <w:r w:rsidRPr="008D797E">
              <w:t>0.17</w:t>
            </w:r>
          </w:p>
        </w:tc>
        <w:tc>
          <w:tcPr>
            <w:tcW w:w="973" w:type="dxa"/>
          </w:tcPr>
          <w:p w:rsidR="00622DEB" w:rsidRPr="008D797E" w:rsidRDefault="00622DEB" w:rsidP="003028C8">
            <w:pPr>
              <w:pStyle w:val="TableText0"/>
              <w:jc w:val="center"/>
            </w:pPr>
            <w:r w:rsidRPr="008D797E">
              <w:t>$</w:t>
            </w:r>
            <w:r w:rsidR="006470F1">
              <w:rPr>
                <w:noProof/>
                <w:color w:val="000000"/>
                <w:highlight w:val="black"/>
              </w:rPr>
              <w:t>''''''''''''''''''</w:t>
            </w:r>
            <w:r w:rsidR="000720CB">
              <w:rPr>
                <w:vertAlign w:val="superscript"/>
              </w:rPr>
              <w:t>5</w:t>
            </w:r>
          </w:p>
        </w:tc>
      </w:tr>
      <w:tr w:rsidR="00622DEB" w:rsidRPr="008D797E" w:rsidTr="00BB7BCB">
        <w:trPr>
          <w:trHeight w:val="693"/>
        </w:trPr>
        <w:tc>
          <w:tcPr>
            <w:tcW w:w="2574" w:type="dxa"/>
          </w:tcPr>
          <w:p w:rsidR="00622DEB" w:rsidRPr="008D797E" w:rsidRDefault="00622DEB" w:rsidP="003028C8">
            <w:pPr>
              <w:pStyle w:val="TableText0"/>
            </w:pPr>
            <w:r w:rsidRPr="008D797E">
              <w:t>#4: No cap on nab-P treatments and OS curves converge from 60 months</w:t>
            </w:r>
          </w:p>
        </w:tc>
        <w:tc>
          <w:tcPr>
            <w:tcW w:w="1153" w:type="dxa"/>
          </w:tcPr>
          <w:p w:rsidR="00622DEB" w:rsidRPr="008D797E" w:rsidRDefault="00622DEB" w:rsidP="003028C8">
            <w:pPr>
              <w:pStyle w:val="TableText0"/>
              <w:jc w:val="center"/>
            </w:pPr>
            <w:r w:rsidRPr="008D797E">
              <w:t>$</w:t>
            </w:r>
            <w:r w:rsidR="006470F1">
              <w:rPr>
                <w:noProof/>
                <w:color w:val="000000"/>
                <w:highlight w:val="black"/>
              </w:rPr>
              <w:t>''''''''''''''''''</w:t>
            </w:r>
          </w:p>
        </w:tc>
        <w:tc>
          <w:tcPr>
            <w:tcW w:w="1153" w:type="dxa"/>
          </w:tcPr>
          <w:p w:rsidR="00622DEB" w:rsidRPr="008D797E" w:rsidRDefault="00622DEB" w:rsidP="003028C8">
            <w:pPr>
              <w:pStyle w:val="TableText0"/>
              <w:jc w:val="center"/>
            </w:pPr>
            <w:r w:rsidRPr="008D797E">
              <w:t>0.15</w:t>
            </w:r>
          </w:p>
        </w:tc>
        <w:tc>
          <w:tcPr>
            <w:tcW w:w="973" w:type="dxa"/>
          </w:tcPr>
          <w:p w:rsidR="00622DEB" w:rsidRPr="008D797E" w:rsidRDefault="00622DEB" w:rsidP="003028C8">
            <w:pPr>
              <w:pStyle w:val="TableText0"/>
              <w:jc w:val="center"/>
            </w:pPr>
            <w:r w:rsidRPr="008D797E">
              <w:t>$</w:t>
            </w:r>
            <w:r w:rsidR="006470F1">
              <w:rPr>
                <w:noProof/>
                <w:color w:val="000000"/>
                <w:highlight w:val="black"/>
              </w:rPr>
              <w:t>''''''''''''''''''</w:t>
            </w:r>
            <w:r w:rsidR="009F3A33" w:rsidRPr="00D7671F">
              <w:rPr>
                <w:vertAlign w:val="superscript"/>
              </w:rPr>
              <w:t>3</w:t>
            </w:r>
          </w:p>
        </w:tc>
        <w:tc>
          <w:tcPr>
            <w:tcW w:w="1160" w:type="dxa"/>
          </w:tcPr>
          <w:p w:rsidR="00622DEB" w:rsidRPr="008D797E" w:rsidRDefault="00622DEB" w:rsidP="003028C8">
            <w:pPr>
              <w:pStyle w:val="TableText0"/>
              <w:jc w:val="center"/>
            </w:pPr>
            <w:r w:rsidRPr="008D797E">
              <w:t>$</w:t>
            </w:r>
            <w:r w:rsidR="006470F1">
              <w:rPr>
                <w:noProof/>
                <w:color w:val="000000"/>
                <w:highlight w:val="black"/>
              </w:rPr>
              <w:t>'''''''''''''''</w:t>
            </w:r>
          </w:p>
        </w:tc>
        <w:tc>
          <w:tcPr>
            <w:tcW w:w="1208" w:type="dxa"/>
          </w:tcPr>
          <w:p w:rsidR="00622DEB" w:rsidRPr="008D797E" w:rsidRDefault="00622DEB" w:rsidP="003028C8">
            <w:pPr>
              <w:pStyle w:val="TableText0"/>
              <w:jc w:val="center"/>
            </w:pPr>
            <w:r w:rsidRPr="008D797E">
              <w:t>0.15</w:t>
            </w:r>
          </w:p>
        </w:tc>
        <w:tc>
          <w:tcPr>
            <w:tcW w:w="973" w:type="dxa"/>
          </w:tcPr>
          <w:p w:rsidR="00622DEB" w:rsidRPr="008D797E" w:rsidRDefault="00622DEB" w:rsidP="003028C8">
            <w:pPr>
              <w:pStyle w:val="TableText0"/>
              <w:jc w:val="center"/>
            </w:pPr>
            <w:r w:rsidRPr="008D797E">
              <w:t>$</w:t>
            </w:r>
            <w:r w:rsidR="006470F1">
              <w:rPr>
                <w:noProof/>
                <w:color w:val="000000"/>
                <w:highlight w:val="black"/>
              </w:rPr>
              <w:t>'''''''''''''''''''''</w:t>
            </w:r>
            <w:r w:rsidR="000720CB">
              <w:rPr>
                <w:vertAlign w:val="superscript"/>
              </w:rPr>
              <w:t>6</w:t>
            </w:r>
          </w:p>
        </w:tc>
      </w:tr>
      <w:tr w:rsidR="00622DEB" w:rsidRPr="008D797E" w:rsidTr="00BB7BCB">
        <w:trPr>
          <w:trHeight w:val="231"/>
        </w:trPr>
        <w:tc>
          <w:tcPr>
            <w:tcW w:w="2574" w:type="dxa"/>
          </w:tcPr>
          <w:p w:rsidR="00622DEB" w:rsidRPr="008D797E" w:rsidRDefault="00622DEB" w:rsidP="003028C8">
            <w:pPr>
              <w:pStyle w:val="TableText0"/>
            </w:pPr>
            <w:r w:rsidRPr="008D797E">
              <w:t>#1 + #3</w:t>
            </w:r>
          </w:p>
        </w:tc>
        <w:tc>
          <w:tcPr>
            <w:tcW w:w="1153" w:type="dxa"/>
          </w:tcPr>
          <w:p w:rsidR="00622DEB" w:rsidRPr="008D797E" w:rsidRDefault="00622DEB" w:rsidP="003028C8">
            <w:pPr>
              <w:pStyle w:val="TableText0"/>
              <w:jc w:val="center"/>
            </w:pPr>
            <w:r w:rsidRPr="008D797E">
              <w:t>$</w:t>
            </w:r>
            <w:r w:rsidR="006470F1">
              <w:rPr>
                <w:noProof/>
                <w:color w:val="000000"/>
                <w:highlight w:val="black"/>
              </w:rPr>
              <w:t>'''''''''''''''''</w:t>
            </w:r>
          </w:p>
        </w:tc>
        <w:tc>
          <w:tcPr>
            <w:tcW w:w="1153" w:type="dxa"/>
          </w:tcPr>
          <w:p w:rsidR="00622DEB" w:rsidRPr="008D797E" w:rsidRDefault="00622DEB" w:rsidP="003028C8">
            <w:pPr>
              <w:pStyle w:val="TableText0"/>
              <w:jc w:val="center"/>
            </w:pPr>
            <w:r w:rsidRPr="008D797E">
              <w:t>0.15</w:t>
            </w:r>
          </w:p>
        </w:tc>
        <w:tc>
          <w:tcPr>
            <w:tcW w:w="973" w:type="dxa"/>
          </w:tcPr>
          <w:p w:rsidR="00622DEB" w:rsidRPr="008D797E" w:rsidRDefault="00622DEB" w:rsidP="003028C8">
            <w:pPr>
              <w:pStyle w:val="TableText0"/>
              <w:jc w:val="center"/>
            </w:pPr>
            <w:r w:rsidRPr="008D797E">
              <w:t>$</w:t>
            </w:r>
            <w:r w:rsidR="006470F1">
              <w:rPr>
                <w:noProof/>
                <w:color w:val="000000"/>
                <w:highlight w:val="black"/>
              </w:rPr>
              <w:t>''''''''''''''''''''</w:t>
            </w:r>
            <w:r w:rsidR="009F3A33" w:rsidRPr="00D7671F">
              <w:rPr>
                <w:vertAlign w:val="superscript"/>
              </w:rPr>
              <w:t>3</w:t>
            </w:r>
          </w:p>
        </w:tc>
        <w:tc>
          <w:tcPr>
            <w:tcW w:w="1160" w:type="dxa"/>
          </w:tcPr>
          <w:p w:rsidR="00622DEB" w:rsidRPr="008D797E" w:rsidRDefault="00622DEB" w:rsidP="003028C8">
            <w:pPr>
              <w:pStyle w:val="TableText0"/>
              <w:jc w:val="center"/>
            </w:pPr>
            <w:r w:rsidRPr="008D797E">
              <w:t>$</w:t>
            </w:r>
            <w:r w:rsidR="006470F1">
              <w:rPr>
                <w:noProof/>
                <w:color w:val="000000"/>
                <w:highlight w:val="black"/>
              </w:rPr>
              <w:t>''''''''''''''''''</w:t>
            </w:r>
          </w:p>
        </w:tc>
        <w:tc>
          <w:tcPr>
            <w:tcW w:w="1208" w:type="dxa"/>
          </w:tcPr>
          <w:p w:rsidR="00622DEB" w:rsidRPr="008D797E" w:rsidRDefault="00622DEB" w:rsidP="003028C8">
            <w:pPr>
              <w:pStyle w:val="TableText0"/>
              <w:jc w:val="center"/>
            </w:pPr>
            <w:r w:rsidRPr="008D797E">
              <w:t>0.15</w:t>
            </w:r>
          </w:p>
        </w:tc>
        <w:tc>
          <w:tcPr>
            <w:tcW w:w="973" w:type="dxa"/>
          </w:tcPr>
          <w:p w:rsidR="00622DEB" w:rsidRPr="008D797E" w:rsidRDefault="00622DEB" w:rsidP="003028C8">
            <w:pPr>
              <w:pStyle w:val="TableText0"/>
              <w:jc w:val="center"/>
            </w:pPr>
            <w:r w:rsidRPr="008D797E">
              <w:t>$</w:t>
            </w:r>
            <w:r w:rsidR="006470F1">
              <w:rPr>
                <w:noProof/>
                <w:color w:val="000000"/>
                <w:highlight w:val="black"/>
              </w:rPr>
              <w:t>'''''''''''''''''''''</w:t>
            </w:r>
            <w:r w:rsidR="000720CB">
              <w:rPr>
                <w:vertAlign w:val="superscript"/>
              </w:rPr>
              <w:t>5</w:t>
            </w:r>
          </w:p>
        </w:tc>
      </w:tr>
      <w:tr w:rsidR="00622DEB" w:rsidRPr="008D797E" w:rsidTr="00BB7BCB">
        <w:trPr>
          <w:trHeight w:val="231"/>
        </w:trPr>
        <w:tc>
          <w:tcPr>
            <w:tcW w:w="2574" w:type="dxa"/>
          </w:tcPr>
          <w:p w:rsidR="00622DEB" w:rsidRPr="008D797E" w:rsidRDefault="00622DEB" w:rsidP="003028C8">
            <w:pPr>
              <w:pStyle w:val="TableText0"/>
            </w:pPr>
            <w:r w:rsidRPr="008D797E">
              <w:t>#1 + #4</w:t>
            </w:r>
          </w:p>
        </w:tc>
        <w:tc>
          <w:tcPr>
            <w:tcW w:w="1153" w:type="dxa"/>
          </w:tcPr>
          <w:p w:rsidR="00622DEB" w:rsidRPr="008D797E" w:rsidRDefault="00622DEB" w:rsidP="003028C8">
            <w:pPr>
              <w:pStyle w:val="TableText0"/>
              <w:jc w:val="center"/>
            </w:pPr>
            <w:r w:rsidRPr="008D797E">
              <w:t>$</w:t>
            </w:r>
            <w:r w:rsidR="006470F1">
              <w:rPr>
                <w:noProof/>
                <w:color w:val="000000"/>
                <w:highlight w:val="black"/>
              </w:rPr>
              <w:t>'''''''''''''''</w:t>
            </w:r>
          </w:p>
        </w:tc>
        <w:tc>
          <w:tcPr>
            <w:tcW w:w="1153" w:type="dxa"/>
          </w:tcPr>
          <w:p w:rsidR="00622DEB" w:rsidRPr="008D797E" w:rsidRDefault="00622DEB" w:rsidP="003028C8">
            <w:pPr>
              <w:pStyle w:val="TableText0"/>
              <w:jc w:val="center"/>
            </w:pPr>
            <w:r w:rsidRPr="008D797E">
              <w:t>0.13</w:t>
            </w:r>
          </w:p>
        </w:tc>
        <w:tc>
          <w:tcPr>
            <w:tcW w:w="973" w:type="dxa"/>
          </w:tcPr>
          <w:p w:rsidR="00622DEB" w:rsidRPr="008D797E" w:rsidRDefault="00622DEB" w:rsidP="003028C8">
            <w:pPr>
              <w:pStyle w:val="TableText0"/>
              <w:jc w:val="center"/>
            </w:pPr>
            <w:r w:rsidRPr="008D797E">
              <w:t>$</w:t>
            </w:r>
            <w:r w:rsidR="006470F1">
              <w:rPr>
                <w:noProof/>
                <w:color w:val="000000"/>
                <w:highlight w:val="black"/>
              </w:rPr>
              <w:t>''''''''''''''''''</w:t>
            </w:r>
            <w:r w:rsidR="000720CB">
              <w:rPr>
                <w:vertAlign w:val="superscript"/>
              </w:rPr>
              <w:t>5</w:t>
            </w:r>
          </w:p>
        </w:tc>
        <w:tc>
          <w:tcPr>
            <w:tcW w:w="1160" w:type="dxa"/>
          </w:tcPr>
          <w:p w:rsidR="00622DEB" w:rsidRPr="008D797E" w:rsidRDefault="00622DEB" w:rsidP="003028C8">
            <w:pPr>
              <w:pStyle w:val="TableText0"/>
              <w:jc w:val="center"/>
            </w:pPr>
            <w:r w:rsidRPr="008D797E">
              <w:t>$</w:t>
            </w:r>
            <w:r w:rsidR="006470F1">
              <w:rPr>
                <w:noProof/>
                <w:color w:val="000000"/>
                <w:highlight w:val="black"/>
              </w:rPr>
              <w:t>''''''''''''''''''</w:t>
            </w:r>
          </w:p>
        </w:tc>
        <w:tc>
          <w:tcPr>
            <w:tcW w:w="1208" w:type="dxa"/>
          </w:tcPr>
          <w:p w:rsidR="00622DEB" w:rsidRPr="008D797E" w:rsidRDefault="00622DEB" w:rsidP="003028C8">
            <w:pPr>
              <w:pStyle w:val="TableText0"/>
              <w:jc w:val="center"/>
            </w:pPr>
            <w:r w:rsidRPr="008D797E">
              <w:t>0.13</w:t>
            </w:r>
          </w:p>
        </w:tc>
        <w:tc>
          <w:tcPr>
            <w:tcW w:w="973" w:type="dxa"/>
          </w:tcPr>
          <w:p w:rsidR="00622DEB" w:rsidRPr="008D797E" w:rsidRDefault="00622DEB" w:rsidP="003028C8">
            <w:pPr>
              <w:pStyle w:val="TableText0"/>
              <w:jc w:val="center"/>
            </w:pPr>
            <w:r w:rsidRPr="008D797E">
              <w:t>$</w:t>
            </w:r>
            <w:r w:rsidR="006470F1">
              <w:rPr>
                <w:noProof/>
                <w:color w:val="000000"/>
                <w:highlight w:val="black"/>
              </w:rPr>
              <w:t>''''''''''''''''''</w:t>
            </w:r>
            <w:r w:rsidR="000720CB">
              <w:rPr>
                <w:vertAlign w:val="superscript"/>
              </w:rPr>
              <w:t>6</w:t>
            </w:r>
          </w:p>
        </w:tc>
      </w:tr>
      <w:tr w:rsidR="00622DEB" w:rsidRPr="008D797E" w:rsidTr="00BB7BCB">
        <w:trPr>
          <w:trHeight w:val="231"/>
        </w:trPr>
        <w:tc>
          <w:tcPr>
            <w:tcW w:w="2574" w:type="dxa"/>
          </w:tcPr>
          <w:p w:rsidR="00622DEB" w:rsidRPr="008D797E" w:rsidRDefault="00622DEB" w:rsidP="003028C8">
            <w:pPr>
              <w:pStyle w:val="TableText0"/>
            </w:pPr>
            <w:r w:rsidRPr="008D797E">
              <w:t>#2 + #3</w:t>
            </w:r>
          </w:p>
        </w:tc>
        <w:tc>
          <w:tcPr>
            <w:tcW w:w="1153" w:type="dxa"/>
          </w:tcPr>
          <w:p w:rsidR="00622DEB" w:rsidRPr="008D797E" w:rsidRDefault="00622DEB" w:rsidP="003028C8">
            <w:pPr>
              <w:pStyle w:val="TableText0"/>
              <w:jc w:val="center"/>
            </w:pPr>
            <w:r w:rsidRPr="008D797E">
              <w:t>$</w:t>
            </w:r>
            <w:r w:rsidR="006470F1">
              <w:rPr>
                <w:noProof/>
                <w:color w:val="000000"/>
                <w:highlight w:val="black"/>
              </w:rPr>
              <w:t>''''''''''''''''</w:t>
            </w:r>
          </w:p>
        </w:tc>
        <w:tc>
          <w:tcPr>
            <w:tcW w:w="1153" w:type="dxa"/>
          </w:tcPr>
          <w:p w:rsidR="00622DEB" w:rsidRPr="008D797E" w:rsidRDefault="00622DEB" w:rsidP="003028C8">
            <w:pPr>
              <w:pStyle w:val="TableText0"/>
              <w:jc w:val="center"/>
            </w:pPr>
            <w:r w:rsidRPr="008D797E">
              <w:t>0.15</w:t>
            </w:r>
          </w:p>
        </w:tc>
        <w:tc>
          <w:tcPr>
            <w:tcW w:w="973" w:type="dxa"/>
          </w:tcPr>
          <w:p w:rsidR="00622DEB" w:rsidRPr="008D797E" w:rsidRDefault="00622DEB" w:rsidP="003028C8">
            <w:pPr>
              <w:pStyle w:val="TableText0"/>
              <w:jc w:val="center"/>
            </w:pPr>
            <w:r w:rsidRPr="008D797E">
              <w:t>$</w:t>
            </w:r>
            <w:r w:rsidR="006470F1">
              <w:rPr>
                <w:noProof/>
                <w:color w:val="000000"/>
                <w:highlight w:val="black"/>
              </w:rPr>
              <w:t>''''''''''''''''''</w:t>
            </w:r>
            <w:r w:rsidR="009F3A33" w:rsidRPr="00D7671F">
              <w:rPr>
                <w:vertAlign w:val="superscript"/>
              </w:rPr>
              <w:t>3</w:t>
            </w:r>
          </w:p>
        </w:tc>
        <w:tc>
          <w:tcPr>
            <w:tcW w:w="1160" w:type="dxa"/>
          </w:tcPr>
          <w:p w:rsidR="00622DEB" w:rsidRPr="008D797E" w:rsidRDefault="00622DEB" w:rsidP="003028C8">
            <w:pPr>
              <w:pStyle w:val="TableText0"/>
              <w:jc w:val="center"/>
            </w:pPr>
            <w:r w:rsidRPr="008D797E">
              <w:t>$</w:t>
            </w:r>
            <w:r w:rsidR="006470F1">
              <w:rPr>
                <w:noProof/>
                <w:color w:val="000000"/>
                <w:highlight w:val="black"/>
              </w:rPr>
              <w:t>'''''''''''''''</w:t>
            </w:r>
          </w:p>
        </w:tc>
        <w:tc>
          <w:tcPr>
            <w:tcW w:w="1208" w:type="dxa"/>
          </w:tcPr>
          <w:p w:rsidR="00622DEB" w:rsidRPr="008D797E" w:rsidRDefault="00622DEB" w:rsidP="003028C8">
            <w:pPr>
              <w:pStyle w:val="TableText0"/>
              <w:jc w:val="center"/>
            </w:pPr>
            <w:r w:rsidRPr="008D797E">
              <w:t>0.15</w:t>
            </w:r>
          </w:p>
        </w:tc>
        <w:tc>
          <w:tcPr>
            <w:tcW w:w="973" w:type="dxa"/>
          </w:tcPr>
          <w:p w:rsidR="00622DEB" w:rsidRPr="008D797E" w:rsidRDefault="00622DEB" w:rsidP="003028C8">
            <w:pPr>
              <w:pStyle w:val="TableText0"/>
              <w:jc w:val="center"/>
            </w:pPr>
            <w:r w:rsidRPr="008D797E">
              <w:t>$</w:t>
            </w:r>
            <w:r w:rsidR="006470F1">
              <w:rPr>
                <w:noProof/>
                <w:color w:val="000000"/>
                <w:highlight w:val="black"/>
              </w:rPr>
              <w:t>''''''''''''''''''</w:t>
            </w:r>
            <w:r w:rsidR="000720CB">
              <w:rPr>
                <w:vertAlign w:val="superscript"/>
              </w:rPr>
              <w:t>6</w:t>
            </w:r>
          </w:p>
        </w:tc>
      </w:tr>
      <w:tr w:rsidR="00622DEB" w:rsidRPr="008D797E" w:rsidTr="00BB7BCB">
        <w:trPr>
          <w:trHeight w:val="231"/>
        </w:trPr>
        <w:tc>
          <w:tcPr>
            <w:tcW w:w="2574" w:type="dxa"/>
          </w:tcPr>
          <w:p w:rsidR="00622DEB" w:rsidRPr="00115C2F" w:rsidRDefault="00622DEB" w:rsidP="003028C8">
            <w:pPr>
              <w:pStyle w:val="TableText0"/>
            </w:pPr>
            <w:r w:rsidRPr="008D797E">
              <w:t>#2</w:t>
            </w:r>
            <w:r w:rsidR="00115C2F">
              <w:t xml:space="preserve"> </w:t>
            </w:r>
            <w:r w:rsidRPr="00115C2F">
              <w:t>+ #4</w:t>
            </w:r>
          </w:p>
        </w:tc>
        <w:tc>
          <w:tcPr>
            <w:tcW w:w="1153" w:type="dxa"/>
          </w:tcPr>
          <w:p w:rsidR="00622DEB" w:rsidRPr="008D797E" w:rsidRDefault="00622DEB" w:rsidP="003028C8">
            <w:pPr>
              <w:pStyle w:val="TableText0"/>
              <w:jc w:val="center"/>
            </w:pPr>
            <w:r w:rsidRPr="008D797E">
              <w:t>$</w:t>
            </w:r>
            <w:r w:rsidR="006470F1">
              <w:rPr>
                <w:noProof/>
                <w:color w:val="000000"/>
                <w:highlight w:val="black"/>
              </w:rPr>
              <w:t>''''''''''''''''''</w:t>
            </w:r>
          </w:p>
        </w:tc>
        <w:tc>
          <w:tcPr>
            <w:tcW w:w="1153" w:type="dxa"/>
          </w:tcPr>
          <w:p w:rsidR="00622DEB" w:rsidRPr="008D797E" w:rsidRDefault="00622DEB" w:rsidP="003028C8">
            <w:pPr>
              <w:pStyle w:val="TableText0"/>
              <w:jc w:val="center"/>
            </w:pPr>
            <w:r w:rsidRPr="008D797E">
              <w:t>0.14</w:t>
            </w:r>
          </w:p>
        </w:tc>
        <w:tc>
          <w:tcPr>
            <w:tcW w:w="973" w:type="dxa"/>
          </w:tcPr>
          <w:p w:rsidR="00622DEB" w:rsidRPr="008D797E" w:rsidRDefault="00622DEB" w:rsidP="003028C8">
            <w:pPr>
              <w:pStyle w:val="TableText0"/>
              <w:jc w:val="center"/>
            </w:pPr>
            <w:r w:rsidRPr="008D797E">
              <w:t>$</w:t>
            </w:r>
            <w:r w:rsidR="006470F1">
              <w:rPr>
                <w:noProof/>
                <w:color w:val="000000"/>
                <w:highlight w:val="black"/>
              </w:rPr>
              <w:t>''''''''''''''''''</w:t>
            </w:r>
            <w:r w:rsidR="000720CB">
              <w:rPr>
                <w:vertAlign w:val="superscript"/>
              </w:rPr>
              <w:t>5</w:t>
            </w:r>
          </w:p>
        </w:tc>
        <w:tc>
          <w:tcPr>
            <w:tcW w:w="1160" w:type="dxa"/>
          </w:tcPr>
          <w:p w:rsidR="00622DEB" w:rsidRPr="008D797E" w:rsidRDefault="00622DEB" w:rsidP="003028C8">
            <w:pPr>
              <w:pStyle w:val="TableText0"/>
              <w:jc w:val="center"/>
            </w:pPr>
            <w:r w:rsidRPr="008D797E">
              <w:t>$</w:t>
            </w:r>
            <w:r w:rsidR="006470F1">
              <w:rPr>
                <w:noProof/>
                <w:color w:val="000000"/>
                <w:highlight w:val="black"/>
              </w:rPr>
              <w:t>''''''''''''''''</w:t>
            </w:r>
          </w:p>
        </w:tc>
        <w:tc>
          <w:tcPr>
            <w:tcW w:w="1208" w:type="dxa"/>
          </w:tcPr>
          <w:p w:rsidR="00622DEB" w:rsidRPr="008D797E" w:rsidRDefault="00622DEB" w:rsidP="003028C8">
            <w:pPr>
              <w:pStyle w:val="TableText0"/>
              <w:jc w:val="center"/>
            </w:pPr>
            <w:r w:rsidRPr="008D797E">
              <w:t>0.14</w:t>
            </w:r>
          </w:p>
        </w:tc>
        <w:tc>
          <w:tcPr>
            <w:tcW w:w="973" w:type="dxa"/>
          </w:tcPr>
          <w:p w:rsidR="00622DEB" w:rsidRPr="008D797E" w:rsidRDefault="00622DEB" w:rsidP="003028C8">
            <w:pPr>
              <w:pStyle w:val="TableText0"/>
              <w:jc w:val="center"/>
            </w:pPr>
            <w:r w:rsidRPr="008D797E">
              <w:t>$</w:t>
            </w:r>
            <w:r w:rsidR="006470F1">
              <w:rPr>
                <w:noProof/>
                <w:color w:val="000000"/>
                <w:highlight w:val="black"/>
              </w:rPr>
              <w:t>''''''''''''''''''</w:t>
            </w:r>
            <w:r w:rsidR="000720CB">
              <w:rPr>
                <w:vertAlign w:val="superscript"/>
              </w:rPr>
              <w:t>6</w:t>
            </w:r>
          </w:p>
        </w:tc>
      </w:tr>
    </w:tbl>
    <w:p w:rsidR="00622DEB" w:rsidRPr="008D797E" w:rsidRDefault="00622DEB" w:rsidP="00622DEB">
      <w:pPr>
        <w:pStyle w:val="TableFigureFooter"/>
      </w:pPr>
      <w:r w:rsidRPr="008D797E">
        <w:t>Source: Compiled during the evaluation using “Revised Economic Evaluation.xlsx”.</w:t>
      </w:r>
    </w:p>
    <w:p w:rsidR="00622DEB" w:rsidRPr="008D797E" w:rsidRDefault="00622DEB" w:rsidP="00622DEB">
      <w:pPr>
        <w:pStyle w:val="TableFigureFooter"/>
      </w:pPr>
      <w:r w:rsidRPr="008D797E">
        <w:t xml:space="preserve">EoC = episode of care; ATZ = atezolizumab; QALY = quality-adjusted life years; ICER = incremental cost effectiveness ratio; N/A = not applicable; nab-P = nanoparticle albumin–bound paclitaxel; OS = overall survival; PF = progression-free; PD = progressive disease; </w:t>
      </w:r>
    </w:p>
    <w:p w:rsidR="00622DEB" w:rsidRDefault="00622DEB" w:rsidP="00622DEB">
      <w:pPr>
        <w:pStyle w:val="TableFigureFooter"/>
      </w:pPr>
      <w:r w:rsidRPr="008D797E">
        <w:t>Note that the numbers may not add up due to rounding.</w:t>
      </w:r>
    </w:p>
    <w:p w:rsidR="00B836F4" w:rsidRPr="00BB7BCB" w:rsidRDefault="00B836F4" w:rsidP="00622DEB">
      <w:pPr>
        <w:pStyle w:val="TableFigureFooter"/>
        <w:rPr>
          <w:i/>
        </w:rPr>
      </w:pPr>
      <w:r w:rsidRPr="00BB7BCB">
        <w:rPr>
          <w:i/>
        </w:rPr>
        <w:t xml:space="preserve">The redacted values correspond to the following ranges: </w:t>
      </w:r>
    </w:p>
    <w:p w:rsidR="00B836F4" w:rsidRDefault="00B836F4" w:rsidP="00622DEB">
      <w:pPr>
        <w:pStyle w:val="TableFigureFooter"/>
        <w:rPr>
          <w:i/>
        </w:rPr>
      </w:pPr>
      <w:r w:rsidRPr="00BB7BCB">
        <w:rPr>
          <w:i/>
          <w:vertAlign w:val="superscript"/>
        </w:rPr>
        <w:t>1</w:t>
      </w:r>
      <w:r w:rsidRPr="00BB7BCB">
        <w:rPr>
          <w:i/>
        </w:rPr>
        <w:t xml:space="preserve">$55,000 to &lt;$75,000/QALY gained </w:t>
      </w:r>
    </w:p>
    <w:p w:rsidR="009F3A33" w:rsidRDefault="00B836F4" w:rsidP="00622DEB">
      <w:pPr>
        <w:pStyle w:val="TableFigureFooter"/>
        <w:rPr>
          <w:i/>
        </w:rPr>
      </w:pPr>
      <w:r>
        <w:rPr>
          <w:i/>
          <w:vertAlign w:val="superscript"/>
        </w:rPr>
        <w:t>2</w:t>
      </w:r>
      <w:r>
        <w:rPr>
          <w:i/>
        </w:rPr>
        <w:t xml:space="preserve">$75,000 to &lt;$95,000/QALY gained </w:t>
      </w:r>
    </w:p>
    <w:p w:rsidR="009F3A33" w:rsidRDefault="009F3A33" w:rsidP="00622DEB">
      <w:pPr>
        <w:pStyle w:val="TableFigureFooter"/>
        <w:rPr>
          <w:i/>
        </w:rPr>
      </w:pPr>
      <w:r>
        <w:rPr>
          <w:i/>
          <w:vertAlign w:val="superscript"/>
        </w:rPr>
        <w:t>3</w:t>
      </w:r>
      <w:r>
        <w:rPr>
          <w:i/>
        </w:rPr>
        <w:t>$95,000 to &lt;$115,000/QALY gained</w:t>
      </w:r>
    </w:p>
    <w:p w:rsidR="000720CB" w:rsidRDefault="000720CB" w:rsidP="00622DEB">
      <w:pPr>
        <w:pStyle w:val="TableFigureFooter"/>
        <w:rPr>
          <w:i/>
        </w:rPr>
      </w:pPr>
      <w:r>
        <w:rPr>
          <w:i/>
          <w:vertAlign w:val="superscript"/>
        </w:rPr>
        <w:t>4</w:t>
      </w:r>
      <w:r>
        <w:rPr>
          <w:i/>
        </w:rPr>
        <w:t>$55,000 to &lt;$75,000/QALY gained</w:t>
      </w:r>
    </w:p>
    <w:p w:rsidR="000720CB" w:rsidRDefault="000720CB" w:rsidP="00622DEB">
      <w:pPr>
        <w:pStyle w:val="TableFigureFooter"/>
        <w:rPr>
          <w:i/>
        </w:rPr>
      </w:pPr>
      <w:r>
        <w:rPr>
          <w:i/>
          <w:vertAlign w:val="superscript"/>
        </w:rPr>
        <w:t>5</w:t>
      </w:r>
      <w:r>
        <w:rPr>
          <w:i/>
        </w:rPr>
        <w:t>$115,000 to &lt;$135,000/QALY gained</w:t>
      </w:r>
    </w:p>
    <w:p w:rsidR="000720CB" w:rsidRPr="00BB7BCB" w:rsidRDefault="000720CB" w:rsidP="00622DEB">
      <w:pPr>
        <w:pStyle w:val="TableFigureFooter"/>
        <w:rPr>
          <w:i/>
        </w:rPr>
      </w:pPr>
      <w:r>
        <w:rPr>
          <w:i/>
          <w:vertAlign w:val="superscript"/>
        </w:rPr>
        <w:t>6</w:t>
      </w:r>
      <w:r>
        <w:rPr>
          <w:i/>
        </w:rPr>
        <w:t>$135,000 to &lt;$155,000/QALY gained</w:t>
      </w:r>
    </w:p>
    <w:p w:rsidR="00622DEB" w:rsidRPr="008D797E" w:rsidRDefault="00622DEB" w:rsidP="00622DEB">
      <w:pPr>
        <w:numPr>
          <w:ilvl w:val="1"/>
          <w:numId w:val="1"/>
        </w:numPr>
        <w:spacing w:after="120"/>
        <w:rPr>
          <w:rFonts w:asciiTheme="minorHAnsi" w:hAnsiTheme="minorHAnsi"/>
          <w:snapToGrid w:val="0"/>
        </w:rPr>
      </w:pPr>
      <w:r w:rsidRPr="008D797E">
        <w:t xml:space="preserve">As noted earlier, it is inappropriate to limit the number of treatments with nab-P in terms of costs without adjusting the corresponding health outcomes. It is also </w:t>
      </w:r>
      <w:r w:rsidR="00457929" w:rsidRPr="008D797E">
        <w:t xml:space="preserve">highly </w:t>
      </w:r>
      <w:r w:rsidRPr="008D797E">
        <w:t xml:space="preserve">uncertain whether the average cost of ATZ per patient would be able to be limited to </w:t>
      </w:r>
      <w:r w:rsidR="006470F1">
        <w:rPr>
          <w:noProof/>
          <w:color w:val="000000"/>
          <w:highlight w:val="black"/>
        </w:rPr>
        <w:t>'''''</w:t>
      </w:r>
      <w:r w:rsidRPr="008D797E">
        <w:t xml:space="preserve"> administrations in practice</w:t>
      </w:r>
      <w:r w:rsidR="00457929" w:rsidRPr="008D797E">
        <w:rPr>
          <w:i/>
        </w:rPr>
        <w:t xml:space="preserve">, </w:t>
      </w:r>
      <w:r w:rsidR="00457929" w:rsidRPr="008D797E">
        <w:t>through the use of RSA caps</w:t>
      </w:r>
      <w:r w:rsidRPr="008D797E">
        <w:t>. When excluding the caps on the number of treatments of both nab-P and ATZ, the ICER would increase to $</w:t>
      </w:r>
      <w:r w:rsidR="006B3B2D">
        <w:t>95,000 to &lt;$115,000</w:t>
      </w:r>
      <w:r w:rsidRPr="008D797E">
        <w:t xml:space="preserve">/QALY from the base case </w:t>
      </w:r>
      <w:r w:rsidR="00145ED2">
        <w:t>that included caps on both nab-P and ATZ (</w:t>
      </w:r>
      <w:r w:rsidRPr="008D797E">
        <w:t>$</w:t>
      </w:r>
      <w:r w:rsidR="006B3B2D">
        <w:t>55,000 to &lt;$75,000</w:t>
      </w:r>
      <w:r w:rsidRPr="008D797E">
        <w:t>/QALY</w:t>
      </w:r>
      <w:r w:rsidR="00145ED2">
        <w:t>)</w:t>
      </w:r>
      <w:r w:rsidRPr="008D797E">
        <w:t>.</w:t>
      </w:r>
    </w:p>
    <w:p w:rsidR="00622DEB" w:rsidRPr="008D797E" w:rsidRDefault="00622DEB" w:rsidP="00622DEB">
      <w:pPr>
        <w:numPr>
          <w:ilvl w:val="1"/>
          <w:numId w:val="1"/>
        </w:numPr>
        <w:spacing w:after="120"/>
        <w:rPr>
          <w:rFonts w:asciiTheme="minorHAnsi" w:hAnsiTheme="minorHAnsi"/>
          <w:snapToGrid w:val="0"/>
        </w:rPr>
      </w:pPr>
      <w:r w:rsidRPr="008D797E">
        <w:t xml:space="preserve">The model was sensitive to the parametric functions used for OS extrapolation. Compared with Gamma function used in the base case, both Weibull and log-logistic functions had similar fits to the observed Kaplan-Meier OS curves, but would produce a more conservative estimate of OS benefit. </w:t>
      </w:r>
      <w:r w:rsidR="006A3FBF" w:rsidRPr="008D797E">
        <w:t>Including treatment caps, t</w:t>
      </w:r>
      <w:r w:rsidRPr="008D797E">
        <w:t>he ICER w</w:t>
      </w:r>
      <w:r w:rsidR="006A3FBF" w:rsidRPr="008D797E">
        <w:t xml:space="preserve">as </w:t>
      </w:r>
      <w:r w:rsidRPr="008D797E">
        <w:t>$</w:t>
      </w:r>
      <w:r w:rsidR="006B3B2D">
        <w:t>75,000 to &lt;$95,000</w:t>
      </w:r>
      <w:r w:rsidRPr="008D797E">
        <w:t>/QALY and $</w:t>
      </w:r>
      <w:r w:rsidR="006B3B2D">
        <w:t>75,000 to &lt;$95,000</w:t>
      </w:r>
      <w:r w:rsidRPr="008D797E">
        <w:t xml:space="preserve">/QALY when using Weibull and Log-logistic functions, respectively. </w:t>
      </w:r>
    </w:p>
    <w:p w:rsidR="00622DEB" w:rsidRPr="008D797E" w:rsidRDefault="00622DEB" w:rsidP="00622DEB">
      <w:pPr>
        <w:numPr>
          <w:ilvl w:val="1"/>
          <w:numId w:val="1"/>
        </w:numPr>
        <w:spacing w:after="120"/>
        <w:rPr>
          <w:rFonts w:asciiTheme="minorHAnsi" w:hAnsiTheme="minorHAnsi"/>
          <w:snapToGrid w:val="0"/>
        </w:rPr>
      </w:pPr>
      <w:r w:rsidRPr="008D797E">
        <w:t>Multivariate sensitivity analyses indicated that excluding the caps on the number of treatments for both ATZ and nab-P and applying Weibull functions for OS extrapolation would increase the ICER to $</w:t>
      </w:r>
      <w:r w:rsidR="006B3B2D">
        <w:t>115,000 to &lt;$135,000</w:t>
      </w:r>
      <w:r w:rsidRPr="008D797E">
        <w:t>/QALY. Similarly, excluding the treatment caps and using Log-logistic functions to extrapolate OS would increase the ICER to $</w:t>
      </w:r>
      <w:r w:rsidR="006B3B2D">
        <w:t>115,000 to &lt;$135,000</w:t>
      </w:r>
      <w:r w:rsidRPr="008D797E">
        <w:t>/QALY.</w:t>
      </w:r>
    </w:p>
    <w:p w:rsidR="00622DEB" w:rsidRPr="008D797E" w:rsidRDefault="00622DEB" w:rsidP="00622DEB">
      <w:pPr>
        <w:pStyle w:val="4-SubsectionHeading"/>
      </w:pPr>
      <w:bookmarkStart w:id="41" w:name="_Toc22897646"/>
      <w:bookmarkStart w:id="42" w:name="_Toc60915065"/>
      <w:bookmarkStart w:id="43" w:name="_Toc61965004"/>
      <w:r w:rsidRPr="008D797E">
        <w:t>Drug cost/patient/course</w:t>
      </w:r>
      <w:bookmarkEnd w:id="41"/>
      <w:bookmarkEnd w:id="42"/>
      <w:bookmarkEnd w:id="43"/>
    </w:p>
    <w:p w:rsidR="00622DEB" w:rsidRPr="008D797E" w:rsidRDefault="00622DEB" w:rsidP="00622DEB">
      <w:pPr>
        <w:numPr>
          <w:ilvl w:val="1"/>
          <w:numId w:val="1"/>
        </w:numPr>
        <w:spacing w:after="120"/>
      </w:pPr>
      <w:r w:rsidRPr="008D797E">
        <w:t xml:space="preserve">Taking into account the </w:t>
      </w:r>
      <w:r w:rsidR="006470F1">
        <w:rPr>
          <w:noProof/>
          <w:color w:val="000000"/>
          <w:highlight w:val="black"/>
        </w:rPr>
        <w:t>''''''''''''</w:t>
      </w:r>
      <w:r w:rsidRPr="008D797E">
        <w:t xml:space="preserve">% discount on the </w:t>
      </w:r>
      <w:r w:rsidR="008900F0">
        <w:t>A</w:t>
      </w:r>
      <w:r w:rsidRPr="008D797E">
        <w:t xml:space="preserve">EMP proposed in the resubmission, and applying caps on the number of administrations for both ATZ and nab-P as presented in the base case of the model, the average dispensed drug cost per patient per course of ATZ for PD-L1-positive patients </w:t>
      </w:r>
      <w:r w:rsidR="006A3FBF" w:rsidRPr="008D797E">
        <w:t>wa</w:t>
      </w:r>
      <w:r w:rsidRPr="008D797E">
        <w:t>s $</w:t>
      </w:r>
      <w:r w:rsidR="006470F1">
        <w:rPr>
          <w:noProof/>
          <w:color w:val="000000"/>
          <w:highlight w:val="black"/>
        </w:rPr>
        <w:t>''''''''''''</w:t>
      </w:r>
      <w:r w:rsidRPr="008D797E">
        <w:t>, based on an average treatment duration of 9.19 months and a cost per dose of $</w:t>
      </w:r>
      <w:r w:rsidR="006470F1">
        <w:rPr>
          <w:noProof/>
          <w:color w:val="000000"/>
          <w:highlight w:val="black"/>
        </w:rPr>
        <w:t>''''''''''</w:t>
      </w:r>
      <w:r w:rsidRPr="008D797E">
        <w:t xml:space="preserve"> (an average dose of 840 mg every two weeks; 31.4% public hospital use). The average cost per patient per course for nab-P, when used in combination with ATZ, is $</w:t>
      </w:r>
      <w:r w:rsidR="006470F1">
        <w:rPr>
          <w:noProof/>
          <w:color w:val="000000"/>
          <w:highlight w:val="black"/>
        </w:rPr>
        <w:t>'''''''''''</w:t>
      </w:r>
      <w:r w:rsidRPr="008D797E">
        <w:t>, based on an average treatment duration of 2.76 months and a cost per dose of $</w:t>
      </w:r>
      <w:r w:rsidR="006470F1">
        <w:rPr>
          <w:noProof/>
          <w:color w:val="000000"/>
          <w:highlight w:val="black"/>
        </w:rPr>
        <w:t>''''''''''''''</w:t>
      </w:r>
      <w:r w:rsidRPr="008D797E">
        <w:t xml:space="preserve"> (dose of 100 mg/m</w:t>
      </w:r>
      <w:r w:rsidRPr="008D797E">
        <w:rPr>
          <w:vertAlign w:val="superscript"/>
        </w:rPr>
        <w:t>2</w:t>
      </w:r>
      <w:r w:rsidRPr="008D797E">
        <w:t>; body surface area (BSA) = 1.78; 2x100 mg vials; 31.4% public hospital use). This equalled a total cost of $</w:t>
      </w:r>
      <w:r w:rsidR="006470F1">
        <w:rPr>
          <w:noProof/>
          <w:color w:val="000000"/>
          <w:highlight w:val="black"/>
        </w:rPr>
        <w:t>''''''''''''''</w:t>
      </w:r>
      <w:r w:rsidRPr="008D797E">
        <w:t xml:space="preserve"> per patient. If treatment durations were based on KM and extrapolated TTOT curves (12.99 months of ATZ and 9.26 months of nab-P), the total cost per patient per course was $</w:t>
      </w:r>
      <w:r w:rsidR="006470F1">
        <w:rPr>
          <w:noProof/>
          <w:color w:val="000000"/>
          <w:highlight w:val="black"/>
        </w:rPr>
        <w:t>''''''''''''</w:t>
      </w:r>
      <w:r w:rsidRPr="008D797E">
        <w:t xml:space="preserve"> (cost for ATZ $</w:t>
      </w:r>
      <w:r w:rsidR="006470F1">
        <w:rPr>
          <w:noProof/>
          <w:color w:val="000000"/>
          <w:highlight w:val="black"/>
        </w:rPr>
        <w:t>''''''''''''''</w:t>
      </w:r>
      <w:r w:rsidRPr="008D797E">
        <w:t xml:space="preserve"> and cost for nab</w:t>
      </w:r>
      <w:r w:rsidR="004A199F" w:rsidRPr="008D797E">
        <w:noBreakHyphen/>
      </w:r>
      <w:r w:rsidRPr="008D797E">
        <w:t>P $</w:t>
      </w:r>
      <w:r w:rsidR="006470F1">
        <w:rPr>
          <w:noProof/>
          <w:color w:val="000000"/>
          <w:highlight w:val="black"/>
        </w:rPr>
        <w:t>''''''''''''''</w:t>
      </w:r>
      <w:r w:rsidRPr="008D797E">
        <w:t>).</w:t>
      </w:r>
    </w:p>
    <w:p w:rsidR="00622DEB" w:rsidRPr="008D797E" w:rsidRDefault="00622DEB" w:rsidP="00622DEB">
      <w:pPr>
        <w:numPr>
          <w:ilvl w:val="1"/>
          <w:numId w:val="1"/>
        </w:numPr>
        <w:spacing w:after="120"/>
      </w:pPr>
      <w:r w:rsidRPr="008D797E">
        <w:t>In the current scenario (as represented by false negative patients treated with nab</w:t>
      </w:r>
      <w:r w:rsidRPr="008D797E">
        <w:noBreakHyphen/>
        <w:t>P </w:t>
      </w:r>
      <w:r w:rsidRPr="008D797E">
        <w:rPr>
          <w:rStyle w:val="FootnoteReference"/>
        </w:rPr>
        <w:footnoteReference w:id="11"/>
      </w:r>
      <w:r w:rsidRPr="008D797E">
        <w:t>), the expected cost per patient per course of nab-P for PD-L1-positive patients, with the application of a cap of 10 doses, is $</w:t>
      </w:r>
      <w:r w:rsidR="006470F1">
        <w:rPr>
          <w:noProof/>
          <w:color w:val="000000"/>
          <w:highlight w:val="black"/>
        </w:rPr>
        <w:t>''''''''''</w:t>
      </w:r>
      <w:r w:rsidRPr="008D797E">
        <w:t>, based on an average duration of 2.58 months and a cost per dose of $</w:t>
      </w:r>
      <w:r w:rsidR="006470F1">
        <w:rPr>
          <w:noProof/>
          <w:color w:val="000000"/>
          <w:highlight w:val="black"/>
        </w:rPr>
        <w:t>''''''''''''</w:t>
      </w:r>
      <w:r w:rsidRPr="008D797E">
        <w:t xml:space="preserve"> (dose of 100 mg/m</w:t>
      </w:r>
      <w:r w:rsidRPr="00115C2F">
        <w:rPr>
          <w:vertAlign w:val="superscript"/>
        </w:rPr>
        <w:t>2</w:t>
      </w:r>
      <w:r w:rsidRPr="00115C2F">
        <w:t>; BSA = 1.78; 2x100 mg vials; 31.4% public hospital use). Without the cap, the cost per patient is $</w:t>
      </w:r>
      <w:r w:rsidR="006470F1">
        <w:rPr>
          <w:noProof/>
          <w:color w:val="000000"/>
          <w:highlight w:val="black"/>
        </w:rPr>
        <w:t>''''''''''''</w:t>
      </w:r>
      <w:r w:rsidRPr="00115C2F">
        <w:t>, based on an average treatment duration of 5.39 months (derived from KM and extrap</w:t>
      </w:r>
      <w:r w:rsidRPr="008D797E">
        <w:t>olated TTOT curves).</w:t>
      </w:r>
    </w:p>
    <w:p w:rsidR="00622DEB" w:rsidRPr="008D797E" w:rsidRDefault="00622DEB" w:rsidP="00622DEB">
      <w:pPr>
        <w:numPr>
          <w:ilvl w:val="1"/>
          <w:numId w:val="1"/>
        </w:numPr>
        <w:spacing w:after="120"/>
        <w:rPr>
          <w:i/>
        </w:rPr>
      </w:pPr>
      <w:r w:rsidRPr="008D797E">
        <w:t>The average duration of therapy and average medicine costs per patient for each of the test/treatment pathways are provided in the table below.</w:t>
      </w:r>
    </w:p>
    <w:p w:rsidR="00622DEB" w:rsidRPr="00115C2F" w:rsidRDefault="00622DEB" w:rsidP="00622DEB">
      <w:pPr>
        <w:pStyle w:val="TableFigureHeading"/>
      </w:pPr>
      <w:bookmarkStart w:id="44" w:name="_Ref61264633"/>
      <w:r w:rsidRPr="008D797E">
        <w:t xml:space="preserve">Table </w:t>
      </w:r>
      <w:r w:rsidR="00232E9D" w:rsidRPr="006E5C4D">
        <w:t>15</w:t>
      </w:r>
      <w:bookmarkEnd w:id="44"/>
      <w:r w:rsidRPr="008D797E">
        <w:t>: Calculation of the cost per patient p</w:t>
      </w:r>
      <w:r w:rsidRPr="00115C2F">
        <w:t>er course for each of the included medicines (undiscounted)</w:t>
      </w:r>
    </w:p>
    <w:tbl>
      <w:tblPr>
        <w:tblStyle w:val="PBACTableStyle3"/>
        <w:tblW w:w="0" w:type="auto"/>
        <w:tblLook w:val="04A0" w:firstRow="1" w:lastRow="0" w:firstColumn="1" w:lastColumn="0" w:noHBand="0" w:noVBand="1"/>
        <w:tblCaption w:val="Table 15: Calculation of the cost per patient per course for each of the included medicines (undiscounted)"/>
      </w:tblPr>
      <w:tblGrid>
        <w:gridCol w:w="1005"/>
        <w:gridCol w:w="842"/>
        <w:gridCol w:w="809"/>
        <w:gridCol w:w="850"/>
        <w:gridCol w:w="842"/>
        <w:gridCol w:w="747"/>
        <w:gridCol w:w="809"/>
        <w:gridCol w:w="747"/>
        <w:gridCol w:w="809"/>
        <w:gridCol w:w="747"/>
        <w:gridCol w:w="809"/>
      </w:tblGrid>
      <w:tr w:rsidR="00622DEB" w:rsidRPr="008D797E" w:rsidTr="007316B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19" w:type="dxa"/>
            <w:vMerge w:val="restart"/>
          </w:tcPr>
          <w:p w:rsidR="00622DEB" w:rsidRPr="008D797E" w:rsidRDefault="00622DEB" w:rsidP="003028C8">
            <w:pPr>
              <w:spacing w:before="40" w:after="40" w:line="256" w:lineRule="auto"/>
              <w:jc w:val="left"/>
              <w:rPr>
                <w:rFonts w:ascii="Arial Narrow" w:hAnsi="Arial Narrow"/>
                <w:sz w:val="20"/>
                <w:szCs w:val="20"/>
              </w:rPr>
            </w:pPr>
            <w:bookmarkStart w:id="45" w:name="_GoBack" w:colFirst="0" w:colLast="3"/>
          </w:p>
        </w:tc>
        <w:tc>
          <w:tcPr>
            <w:tcW w:w="6437" w:type="dxa"/>
            <w:gridSpan w:val="8"/>
          </w:tcPr>
          <w:p w:rsidR="00622DEB" w:rsidRPr="008D797E" w:rsidRDefault="00622DEB" w:rsidP="003028C8">
            <w:pPr>
              <w:spacing w:before="40" w:after="40" w:line="256"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sz w:val="20"/>
                <w:szCs w:val="20"/>
              </w:rPr>
            </w:pPr>
            <w:r w:rsidRPr="008D797E">
              <w:rPr>
                <w:rFonts w:ascii="Arial Narrow" w:hAnsi="Arial Narrow"/>
                <w:sz w:val="20"/>
                <w:szCs w:val="20"/>
              </w:rPr>
              <w:t>Proposed scenario</w:t>
            </w:r>
          </w:p>
        </w:tc>
        <w:tc>
          <w:tcPr>
            <w:tcW w:w="1561" w:type="dxa"/>
            <w:gridSpan w:val="2"/>
          </w:tcPr>
          <w:p w:rsidR="00622DEB" w:rsidRPr="008D797E" w:rsidRDefault="00622DEB" w:rsidP="003028C8">
            <w:pPr>
              <w:spacing w:before="40" w:after="40" w:line="256"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sz w:val="20"/>
                <w:szCs w:val="20"/>
              </w:rPr>
            </w:pPr>
            <w:r w:rsidRPr="008D797E">
              <w:rPr>
                <w:rFonts w:ascii="Arial Narrow" w:hAnsi="Arial Narrow"/>
                <w:sz w:val="20"/>
                <w:szCs w:val="20"/>
              </w:rPr>
              <w:t>Current scenario</w:t>
            </w:r>
          </w:p>
        </w:tc>
      </w:tr>
      <w:bookmarkEnd w:id="45"/>
      <w:tr w:rsidR="00622DEB" w:rsidRPr="008D797E" w:rsidTr="007316B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19" w:type="dxa"/>
            <w:vMerge/>
          </w:tcPr>
          <w:p w:rsidR="00622DEB" w:rsidRPr="008D797E" w:rsidRDefault="00622DEB" w:rsidP="003028C8">
            <w:pPr>
              <w:spacing w:before="40" w:after="40" w:line="256" w:lineRule="auto"/>
              <w:jc w:val="left"/>
              <w:rPr>
                <w:rFonts w:ascii="Arial Narrow" w:hAnsi="Arial Narrow"/>
                <w:sz w:val="20"/>
                <w:szCs w:val="20"/>
              </w:rPr>
            </w:pPr>
          </w:p>
        </w:tc>
        <w:tc>
          <w:tcPr>
            <w:tcW w:w="3315" w:type="dxa"/>
            <w:gridSpan w:val="4"/>
          </w:tcPr>
          <w:p w:rsidR="00622DEB" w:rsidRPr="008D797E" w:rsidRDefault="00622DEB" w:rsidP="003028C8">
            <w:pPr>
              <w:spacing w:before="40" w:after="40" w:line="256"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sz w:val="20"/>
                <w:szCs w:val="20"/>
              </w:rPr>
            </w:pPr>
            <w:r w:rsidRPr="008D797E">
              <w:rPr>
                <w:rFonts w:ascii="Arial Narrow" w:hAnsi="Arial Narrow"/>
                <w:b w:val="0"/>
                <w:sz w:val="20"/>
                <w:szCs w:val="20"/>
              </w:rPr>
              <w:t>Test positive: ATZ+nab-P</w:t>
            </w:r>
          </w:p>
        </w:tc>
        <w:tc>
          <w:tcPr>
            <w:tcW w:w="3122" w:type="dxa"/>
            <w:gridSpan w:val="4"/>
          </w:tcPr>
          <w:p w:rsidR="00622DEB" w:rsidRPr="008D797E" w:rsidRDefault="00622DEB" w:rsidP="003028C8">
            <w:pPr>
              <w:spacing w:before="40" w:after="40" w:line="256"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sz w:val="20"/>
                <w:szCs w:val="20"/>
              </w:rPr>
            </w:pPr>
            <w:r w:rsidRPr="008D797E">
              <w:rPr>
                <w:rFonts w:ascii="Arial Narrow" w:hAnsi="Arial Narrow"/>
                <w:b w:val="0"/>
                <w:sz w:val="20"/>
                <w:szCs w:val="20"/>
              </w:rPr>
              <w:t>Test negative: nab-P</w:t>
            </w:r>
          </w:p>
        </w:tc>
        <w:tc>
          <w:tcPr>
            <w:tcW w:w="1561" w:type="dxa"/>
            <w:gridSpan w:val="2"/>
            <w:vMerge w:val="restart"/>
          </w:tcPr>
          <w:p w:rsidR="00622DEB" w:rsidRPr="008D797E" w:rsidRDefault="00622DEB" w:rsidP="003028C8">
            <w:pPr>
              <w:spacing w:before="40" w:after="40" w:line="256"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sz w:val="20"/>
                <w:szCs w:val="20"/>
              </w:rPr>
            </w:pPr>
            <w:r w:rsidRPr="008D797E">
              <w:rPr>
                <w:rFonts w:ascii="Arial Narrow" w:hAnsi="Arial Narrow"/>
                <w:b w:val="0"/>
                <w:sz w:val="20"/>
                <w:szCs w:val="20"/>
              </w:rPr>
              <w:t>ITT</w:t>
            </w:r>
          </w:p>
        </w:tc>
      </w:tr>
      <w:tr w:rsidR="00622DEB" w:rsidRPr="008D797E" w:rsidTr="007316B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19" w:type="dxa"/>
            <w:vMerge/>
          </w:tcPr>
          <w:p w:rsidR="00622DEB" w:rsidRPr="008D797E" w:rsidRDefault="00622DEB" w:rsidP="003028C8">
            <w:pPr>
              <w:spacing w:before="40" w:after="40" w:line="256" w:lineRule="auto"/>
              <w:jc w:val="left"/>
              <w:rPr>
                <w:rFonts w:ascii="Arial Narrow" w:hAnsi="Arial Narrow"/>
                <w:sz w:val="20"/>
                <w:szCs w:val="20"/>
              </w:rPr>
            </w:pPr>
          </w:p>
        </w:tc>
        <w:tc>
          <w:tcPr>
            <w:tcW w:w="1650" w:type="dxa"/>
            <w:gridSpan w:val="2"/>
          </w:tcPr>
          <w:p w:rsidR="00622DEB" w:rsidRPr="008D797E" w:rsidRDefault="00622DEB" w:rsidP="003028C8">
            <w:pPr>
              <w:spacing w:before="40" w:after="40" w:line="256"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sz w:val="20"/>
                <w:szCs w:val="20"/>
              </w:rPr>
            </w:pPr>
            <w:r w:rsidRPr="008D797E">
              <w:rPr>
                <w:rFonts w:ascii="Arial Narrow" w:hAnsi="Arial Narrow"/>
                <w:b w:val="0"/>
                <w:sz w:val="20"/>
                <w:szCs w:val="20"/>
              </w:rPr>
              <w:t>True-positive</w:t>
            </w:r>
            <w:r w:rsidRPr="008D797E">
              <w:rPr>
                <w:rFonts w:ascii="Arial Narrow" w:hAnsi="Arial Narrow"/>
                <w:b w:val="0"/>
                <w:sz w:val="20"/>
                <w:szCs w:val="20"/>
                <w:vertAlign w:val="superscript"/>
              </w:rPr>
              <w:t>a</w:t>
            </w:r>
          </w:p>
        </w:tc>
        <w:tc>
          <w:tcPr>
            <w:tcW w:w="1665" w:type="dxa"/>
            <w:gridSpan w:val="2"/>
          </w:tcPr>
          <w:p w:rsidR="00622DEB" w:rsidRPr="008D797E" w:rsidRDefault="00622DEB">
            <w:pPr>
              <w:spacing w:before="40" w:after="40" w:line="256"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sz w:val="20"/>
                <w:szCs w:val="20"/>
              </w:rPr>
            </w:pPr>
            <w:r w:rsidRPr="008D797E">
              <w:rPr>
                <w:rFonts w:ascii="Arial Narrow" w:hAnsi="Arial Narrow"/>
                <w:b w:val="0"/>
                <w:sz w:val="20"/>
                <w:szCs w:val="20"/>
              </w:rPr>
              <w:t xml:space="preserve">False-positive </w:t>
            </w:r>
          </w:p>
        </w:tc>
        <w:tc>
          <w:tcPr>
            <w:tcW w:w="1561" w:type="dxa"/>
            <w:gridSpan w:val="2"/>
          </w:tcPr>
          <w:p w:rsidR="00622DEB" w:rsidRPr="008D797E" w:rsidRDefault="00622DEB" w:rsidP="003028C8">
            <w:pPr>
              <w:spacing w:before="40" w:after="40" w:line="256"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sz w:val="20"/>
                <w:szCs w:val="20"/>
              </w:rPr>
            </w:pPr>
            <w:r w:rsidRPr="008D797E">
              <w:rPr>
                <w:rFonts w:ascii="Arial Narrow" w:hAnsi="Arial Narrow"/>
                <w:b w:val="0"/>
                <w:sz w:val="20"/>
                <w:szCs w:val="20"/>
              </w:rPr>
              <w:t>True-negative</w:t>
            </w:r>
            <w:r w:rsidRPr="008D797E">
              <w:rPr>
                <w:rFonts w:ascii="Arial Narrow" w:hAnsi="Arial Narrow"/>
                <w:sz w:val="20"/>
                <w:szCs w:val="20"/>
                <w:vertAlign w:val="superscript"/>
              </w:rPr>
              <w:t>a</w:t>
            </w:r>
          </w:p>
        </w:tc>
        <w:tc>
          <w:tcPr>
            <w:tcW w:w="1561" w:type="dxa"/>
            <w:gridSpan w:val="2"/>
          </w:tcPr>
          <w:p w:rsidR="00622DEB" w:rsidRPr="008D797E" w:rsidRDefault="00622DEB">
            <w:pPr>
              <w:spacing w:before="40" w:after="40" w:line="256"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sz w:val="20"/>
                <w:szCs w:val="20"/>
              </w:rPr>
            </w:pPr>
            <w:r w:rsidRPr="008D797E">
              <w:rPr>
                <w:rFonts w:ascii="Arial Narrow" w:hAnsi="Arial Narrow"/>
                <w:b w:val="0"/>
                <w:sz w:val="20"/>
                <w:szCs w:val="20"/>
              </w:rPr>
              <w:t>False-negative</w:t>
            </w:r>
          </w:p>
        </w:tc>
        <w:tc>
          <w:tcPr>
            <w:tcW w:w="1561" w:type="dxa"/>
            <w:gridSpan w:val="2"/>
            <w:vMerge/>
          </w:tcPr>
          <w:p w:rsidR="00622DEB" w:rsidRPr="008D797E" w:rsidRDefault="00622DEB" w:rsidP="003028C8">
            <w:pPr>
              <w:spacing w:before="40" w:after="40" w:line="256" w:lineRule="auto"/>
              <w:jc w:val="left"/>
              <w:cnfStyle w:val="100000000000" w:firstRow="1" w:lastRow="0" w:firstColumn="0" w:lastColumn="0" w:oddVBand="0" w:evenVBand="0" w:oddHBand="0" w:evenHBand="0" w:firstRowFirstColumn="0" w:firstRowLastColumn="0" w:lastRowFirstColumn="0" w:lastRowLastColumn="0"/>
              <w:rPr>
                <w:rFonts w:ascii="Arial Narrow" w:hAnsi="Arial Narrow"/>
                <w:sz w:val="20"/>
                <w:szCs w:val="20"/>
              </w:rPr>
            </w:pPr>
          </w:p>
        </w:tc>
      </w:tr>
      <w:tr w:rsidR="00622DEB" w:rsidRPr="008D797E" w:rsidTr="003028C8">
        <w:tc>
          <w:tcPr>
            <w:cnfStyle w:val="001000000000" w:firstRow="0" w:lastRow="0" w:firstColumn="1" w:lastColumn="0" w:oddVBand="0" w:evenVBand="0" w:oddHBand="0" w:evenHBand="0" w:firstRowFirstColumn="0" w:firstRowLastColumn="0" w:lastRowFirstColumn="0" w:lastRowLastColumn="0"/>
            <w:tcW w:w="1019" w:type="dxa"/>
          </w:tcPr>
          <w:p w:rsidR="00622DEB" w:rsidRPr="008D797E" w:rsidRDefault="00622DEB" w:rsidP="003028C8">
            <w:pPr>
              <w:spacing w:before="40" w:after="40" w:line="256" w:lineRule="auto"/>
              <w:jc w:val="left"/>
              <w:rPr>
                <w:rFonts w:ascii="Arial Narrow" w:hAnsi="Arial Narrow"/>
                <w:sz w:val="20"/>
                <w:szCs w:val="20"/>
              </w:rPr>
            </w:pPr>
            <w:r w:rsidRPr="008D797E">
              <w:rPr>
                <w:rFonts w:ascii="Arial Narrow" w:hAnsi="Arial Narrow"/>
                <w:sz w:val="20"/>
                <w:szCs w:val="20"/>
              </w:rPr>
              <w:t>% patients (weight)</w:t>
            </w:r>
          </w:p>
        </w:tc>
        <w:tc>
          <w:tcPr>
            <w:tcW w:w="1650" w:type="dxa"/>
            <w:gridSpan w:val="2"/>
          </w:tcPr>
          <w:p w:rsidR="00622DEB" w:rsidRPr="008D797E" w:rsidRDefault="00622DEB" w:rsidP="003028C8">
            <w:pPr>
              <w:spacing w:before="40" w:after="40" w:line="25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20"/>
                <w:szCs w:val="20"/>
              </w:rPr>
            </w:pPr>
            <w:r w:rsidRPr="008D797E">
              <w:rPr>
                <w:rFonts w:ascii="Arial Narrow" w:hAnsi="Arial Narrow"/>
                <w:sz w:val="20"/>
                <w:szCs w:val="20"/>
              </w:rPr>
              <w:t>38.1%</w:t>
            </w:r>
          </w:p>
        </w:tc>
        <w:tc>
          <w:tcPr>
            <w:tcW w:w="1665" w:type="dxa"/>
            <w:gridSpan w:val="2"/>
          </w:tcPr>
          <w:p w:rsidR="00622DEB" w:rsidRPr="008D797E" w:rsidRDefault="00622DEB" w:rsidP="003028C8">
            <w:pPr>
              <w:spacing w:before="40" w:after="40" w:line="25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20"/>
                <w:szCs w:val="20"/>
              </w:rPr>
            </w:pPr>
            <w:r w:rsidRPr="008D797E">
              <w:rPr>
                <w:rFonts w:ascii="Arial Narrow" w:hAnsi="Arial Narrow"/>
                <w:sz w:val="20"/>
                <w:szCs w:val="20"/>
              </w:rPr>
              <w:t>2.8%</w:t>
            </w:r>
          </w:p>
        </w:tc>
        <w:tc>
          <w:tcPr>
            <w:tcW w:w="1561" w:type="dxa"/>
            <w:gridSpan w:val="2"/>
          </w:tcPr>
          <w:p w:rsidR="00622DEB" w:rsidRPr="008D797E" w:rsidRDefault="00622DEB" w:rsidP="003028C8">
            <w:pPr>
              <w:spacing w:before="40" w:after="40" w:line="25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20"/>
                <w:szCs w:val="20"/>
              </w:rPr>
            </w:pPr>
            <w:r w:rsidRPr="008D797E">
              <w:rPr>
                <w:rFonts w:ascii="Arial Narrow" w:hAnsi="Arial Narrow"/>
                <w:sz w:val="20"/>
                <w:szCs w:val="20"/>
              </w:rPr>
              <w:t>57.1%</w:t>
            </w:r>
          </w:p>
        </w:tc>
        <w:tc>
          <w:tcPr>
            <w:tcW w:w="1561" w:type="dxa"/>
            <w:gridSpan w:val="2"/>
          </w:tcPr>
          <w:p w:rsidR="00622DEB" w:rsidRPr="008D797E" w:rsidRDefault="00622DEB" w:rsidP="003028C8">
            <w:pPr>
              <w:spacing w:before="40" w:after="40" w:line="25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20"/>
                <w:szCs w:val="20"/>
              </w:rPr>
            </w:pPr>
            <w:r w:rsidRPr="008D797E">
              <w:rPr>
                <w:rFonts w:ascii="Arial Narrow" w:hAnsi="Arial Narrow"/>
                <w:sz w:val="20"/>
                <w:szCs w:val="20"/>
              </w:rPr>
              <w:t>2.0%</w:t>
            </w:r>
          </w:p>
        </w:tc>
        <w:tc>
          <w:tcPr>
            <w:tcW w:w="1561" w:type="dxa"/>
            <w:gridSpan w:val="2"/>
          </w:tcPr>
          <w:p w:rsidR="00622DEB" w:rsidRPr="008D797E" w:rsidRDefault="00622DEB" w:rsidP="003028C8">
            <w:pPr>
              <w:spacing w:before="40" w:after="40" w:line="25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8D797E">
              <w:rPr>
                <w:rFonts w:ascii="Arial Narrow" w:hAnsi="Arial Narrow"/>
                <w:sz w:val="20"/>
                <w:szCs w:val="20"/>
              </w:rPr>
              <w:t>100%</w:t>
            </w:r>
          </w:p>
        </w:tc>
      </w:tr>
      <w:tr w:rsidR="00622DEB" w:rsidRPr="008D797E" w:rsidTr="003028C8">
        <w:tc>
          <w:tcPr>
            <w:cnfStyle w:val="001000000000" w:firstRow="0" w:lastRow="0" w:firstColumn="1" w:lastColumn="0" w:oddVBand="0" w:evenVBand="0" w:oddHBand="0" w:evenHBand="0" w:firstRowFirstColumn="0" w:firstRowLastColumn="0" w:lastRowFirstColumn="0" w:lastRowLastColumn="0"/>
            <w:tcW w:w="9017" w:type="dxa"/>
            <w:gridSpan w:val="11"/>
          </w:tcPr>
          <w:p w:rsidR="00622DEB" w:rsidRPr="008D797E" w:rsidRDefault="00622DEB" w:rsidP="003028C8">
            <w:pPr>
              <w:spacing w:before="40" w:after="40" w:line="256" w:lineRule="auto"/>
              <w:jc w:val="left"/>
              <w:rPr>
                <w:rFonts w:ascii="Arial Narrow" w:hAnsi="Arial Narrow"/>
                <w:b/>
                <w:sz w:val="20"/>
                <w:szCs w:val="20"/>
              </w:rPr>
            </w:pPr>
            <w:r w:rsidRPr="008D797E">
              <w:rPr>
                <w:rFonts w:ascii="Arial Narrow" w:hAnsi="Arial Narrow"/>
                <w:b/>
                <w:sz w:val="20"/>
                <w:szCs w:val="20"/>
              </w:rPr>
              <w:t>Average duration of therapy</w:t>
            </w:r>
          </w:p>
        </w:tc>
      </w:tr>
      <w:tr w:rsidR="00622DEB" w:rsidRPr="008D797E" w:rsidTr="003028C8">
        <w:tc>
          <w:tcPr>
            <w:cnfStyle w:val="001000000000" w:firstRow="0" w:lastRow="0" w:firstColumn="1" w:lastColumn="0" w:oddVBand="0" w:evenVBand="0" w:oddHBand="0" w:evenHBand="0" w:firstRowFirstColumn="0" w:firstRowLastColumn="0" w:lastRowFirstColumn="0" w:lastRowLastColumn="0"/>
            <w:tcW w:w="1019" w:type="dxa"/>
          </w:tcPr>
          <w:p w:rsidR="00622DEB" w:rsidRPr="008D797E" w:rsidRDefault="00622DEB" w:rsidP="003028C8">
            <w:pPr>
              <w:spacing w:before="40" w:after="40" w:line="256" w:lineRule="auto"/>
              <w:jc w:val="left"/>
              <w:rPr>
                <w:rFonts w:ascii="Arial Narrow" w:hAnsi="Arial Narrow"/>
                <w:sz w:val="20"/>
                <w:szCs w:val="20"/>
              </w:rPr>
            </w:pPr>
          </w:p>
        </w:tc>
        <w:tc>
          <w:tcPr>
            <w:tcW w:w="841" w:type="dxa"/>
          </w:tcPr>
          <w:p w:rsidR="00622DEB" w:rsidRPr="008D797E" w:rsidRDefault="00622DEB" w:rsidP="003028C8">
            <w:pPr>
              <w:spacing w:before="40" w:after="40" w:line="25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20"/>
                <w:szCs w:val="20"/>
              </w:rPr>
            </w:pPr>
            <w:r w:rsidRPr="008D797E">
              <w:rPr>
                <w:rFonts w:ascii="Arial Narrow" w:hAnsi="Arial Narrow"/>
                <w:b/>
                <w:sz w:val="20"/>
                <w:szCs w:val="20"/>
              </w:rPr>
              <w:t>Base case</w:t>
            </w:r>
          </w:p>
        </w:tc>
        <w:tc>
          <w:tcPr>
            <w:tcW w:w="809" w:type="dxa"/>
          </w:tcPr>
          <w:p w:rsidR="00622DEB" w:rsidRPr="008D797E" w:rsidRDefault="00622DEB" w:rsidP="003028C8">
            <w:pPr>
              <w:spacing w:before="40" w:after="40" w:line="25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20"/>
                <w:szCs w:val="20"/>
              </w:rPr>
            </w:pPr>
            <w:r w:rsidRPr="008D797E">
              <w:rPr>
                <w:rFonts w:ascii="Arial Narrow" w:hAnsi="Arial Narrow"/>
                <w:b/>
                <w:sz w:val="20"/>
                <w:szCs w:val="20"/>
              </w:rPr>
              <w:t>TTOT</w:t>
            </w:r>
          </w:p>
        </w:tc>
        <w:tc>
          <w:tcPr>
            <w:tcW w:w="856" w:type="dxa"/>
          </w:tcPr>
          <w:p w:rsidR="00622DEB" w:rsidRPr="008D797E" w:rsidRDefault="00622DEB" w:rsidP="003028C8">
            <w:pPr>
              <w:spacing w:before="40" w:after="40" w:line="25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20"/>
                <w:szCs w:val="20"/>
              </w:rPr>
            </w:pPr>
            <w:r w:rsidRPr="008D797E">
              <w:rPr>
                <w:rFonts w:ascii="Arial Narrow" w:hAnsi="Arial Narrow"/>
                <w:b/>
                <w:sz w:val="20"/>
                <w:szCs w:val="20"/>
              </w:rPr>
              <w:t>Base case</w:t>
            </w:r>
          </w:p>
        </w:tc>
        <w:tc>
          <w:tcPr>
            <w:tcW w:w="809" w:type="dxa"/>
          </w:tcPr>
          <w:p w:rsidR="00622DEB" w:rsidRPr="008D797E" w:rsidRDefault="00622DEB" w:rsidP="003028C8">
            <w:pPr>
              <w:spacing w:before="40" w:after="40" w:line="25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20"/>
                <w:szCs w:val="20"/>
              </w:rPr>
            </w:pPr>
            <w:r w:rsidRPr="008D797E">
              <w:rPr>
                <w:rFonts w:ascii="Arial Narrow" w:hAnsi="Arial Narrow"/>
                <w:b/>
                <w:sz w:val="20"/>
                <w:szCs w:val="20"/>
              </w:rPr>
              <w:t>TTOT</w:t>
            </w:r>
          </w:p>
        </w:tc>
        <w:tc>
          <w:tcPr>
            <w:tcW w:w="752" w:type="dxa"/>
          </w:tcPr>
          <w:p w:rsidR="00622DEB" w:rsidRPr="008D797E" w:rsidRDefault="00622DEB" w:rsidP="003028C8">
            <w:pPr>
              <w:spacing w:before="40" w:after="40" w:line="25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20"/>
                <w:szCs w:val="20"/>
              </w:rPr>
            </w:pPr>
            <w:r w:rsidRPr="008D797E">
              <w:rPr>
                <w:rFonts w:ascii="Arial Narrow" w:hAnsi="Arial Narrow"/>
                <w:b/>
                <w:sz w:val="20"/>
                <w:szCs w:val="20"/>
              </w:rPr>
              <w:t>Base case</w:t>
            </w:r>
          </w:p>
        </w:tc>
        <w:tc>
          <w:tcPr>
            <w:tcW w:w="809" w:type="dxa"/>
          </w:tcPr>
          <w:p w:rsidR="00622DEB" w:rsidRPr="008D797E" w:rsidRDefault="00622DEB" w:rsidP="003028C8">
            <w:pPr>
              <w:spacing w:before="40" w:after="40" w:line="25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20"/>
                <w:szCs w:val="20"/>
              </w:rPr>
            </w:pPr>
            <w:r w:rsidRPr="008D797E">
              <w:rPr>
                <w:rFonts w:ascii="Arial Narrow" w:hAnsi="Arial Narrow"/>
                <w:b/>
                <w:sz w:val="20"/>
                <w:szCs w:val="20"/>
              </w:rPr>
              <w:t>TTOT</w:t>
            </w:r>
          </w:p>
        </w:tc>
        <w:tc>
          <w:tcPr>
            <w:tcW w:w="752" w:type="dxa"/>
          </w:tcPr>
          <w:p w:rsidR="00622DEB" w:rsidRPr="008D797E" w:rsidRDefault="00622DEB" w:rsidP="003028C8">
            <w:pPr>
              <w:spacing w:before="40" w:after="40" w:line="25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20"/>
                <w:szCs w:val="20"/>
              </w:rPr>
            </w:pPr>
            <w:r w:rsidRPr="008D797E">
              <w:rPr>
                <w:rFonts w:ascii="Arial Narrow" w:hAnsi="Arial Narrow"/>
                <w:b/>
                <w:sz w:val="20"/>
                <w:szCs w:val="20"/>
              </w:rPr>
              <w:t>Base case</w:t>
            </w:r>
          </w:p>
        </w:tc>
        <w:tc>
          <w:tcPr>
            <w:tcW w:w="809" w:type="dxa"/>
          </w:tcPr>
          <w:p w:rsidR="00622DEB" w:rsidRPr="008D797E" w:rsidRDefault="00622DEB" w:rsidP="003028C8">
            <w:pPr>
              <w:spacing w:before="40" w:after="40" w:line="25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20"/>
                <w:szCs w:val="20"/>
              </w:rPr>
            </w:pPr>
            <w:r w:rsidRPr="008D797E">
              <w:rPr>
                <w:rFonts w:ascii="Arial Narrow" w:hAnsi="Arial Narrow"/>
                <w:b/>
                <w:sz w:val="20"/>
                <w:szCs w:val="20"/>
              </w:rPr>
              <w:t>TTOT</w:t>
            </w:r>
          </w:p>
        </w:tc>
        <w:tc>
          <w:tcPr>
            <w:tcW w:w="752" w:type="dxa"/>
          </w:tcPr>
          <w:p w:rsidR="00622DEB" w:rsidRPr="008D797E" w:rsidRDefault="00622DEB" w:rsidP="003028C8">
            <w:pPr>
              <w:spacing w:before="40" w:after="40" w:line="25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20"/>
                <w:szCs w:val="20"/>
              </w:rPr>
            </w:pPr>
            <w:r w:rsidRPr="008D797E">
              <w:rPr>
                <w:rFonts w:ascii="Arial Narrow" w:hAnsi="Arial Narrow"/>
                <w:b/>
                <w:sz w:val="20"/>
                <w:szCs w:val="20"/>
              </w:rPr>
              <w:t>Base case</w:t>
            </w:r>
          </w:p>
        </w:tc>
        <w:tc>
          <w:tcPr>
            <w:tcW w:w="809" w:type="dxa"/>
          </w:tcPr>
          <w:p w:rsidR="00622DEB" w:rsidRPr="008D797E" w:rsidRDefault="00622DEB" w:rsidP="003028C8">
            <w:pPr>
              <w:spacing w:before="40" w:after="40" w:line="25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20"/>
                <w:szCs w:val="20"/>
              </w:rPr>
            </w:pPr>
            <w:r w:rsidRPr="008D797E">
              <w:rPr>
                <w:rFonts w:ascii="Arial Narrow" w:hAnsi="Arial Narrow"/>
                <w:b/>
                <w:sz w:val="20"/>
                <w:szCs w:val="20"/>
              </w:rPr>
              <w:t>TTOT</w:t>
            </w:r>
          </w:p>
        </w:tc>
      </w:tr>
      <w:tr w:rsidR="00622DEB" w:rsidRPr="008D797E" w:rsidTr="003028C8">
        <w:tc>
          <w:tcPr>
            <w:cnfStyle w:val="001000000000" w:firstRow="0" w:lastRow="0" w:firstColumn="1" w:lastColumn="0" w:oddVBand="0" w:evenVBand="0" w:oddHBand="0" w:evenHBand="0" w:firstRowFirstColumn="0" w:firstRowLastColumn="0" w:lastRowFirstColumn="0" w:lastRowLastColumn="0"/>
            <w:tcW w:w="1019" w:type="dxa"/>
          </w:tcPr>
          <w:p w:rsidR="00622DEB" w:rsidRPr="008D797E" w:rsidRDefault="00622DEB" w:rsidP="003028C8">
            <w:pPr>
              <w:spacing w:before="40" w:after="40" w:line="256" w:lineRule="auto"/>
              <w:jc w:val="left"/>
              <w:rPr>
                <w:rFonts w:ascii="Arial Narrow" w:hAnsi="Arial Narrow"/>
                <w:sz w:val="20"/>
                <w:szCs w:val="20"/>
              </w:rPr>
            </w:pPr>
            <w:r w:rsidRPr="008D797E">
              <w:rPr>
                <w:rFonts w:ascii="Arial Narrow" w:hAnsi="Arial Narrow"/>
                <w:sz w:val="20"/>
                <w:szCs w:val="20"/>
              </w:rPr>
              <w:t>ATZ</w:t>
            </w:r>
          </w:p>
        </w:tc>
        <w:tc>
          <w:tcPr>
            <w:tcW w:w="841" w:type="dxa"/>
          </w:tcPr>
          <w:p w:rsidR="00622DEB" w:rsidRPr="008D797E" w:rsidRDefault="006470F1" w:rsidP="003028C8">
            <w:pPr>
              <w:spacing w:before="40" w:after="40" w:line="25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Pr>
                <w:rFonts w:ascii="Arial Narrow" w:hAnsi="Arial Narrow"/>
                <w:noProof/>
                <w:sz w:val="20"/>
                <w:szCs w:val="20"/>
                <w:highlight w:val="black"/>
              </w:rPr>
              <w:t>''''''''''</w:t>
            </w:r>
            <w:r w:rsidR="00622DEB" w:rsidRPr="008D797E">
              <w:rPr>
                <w:rFonts w:ascii="Arial Narrow" w:hAnsi="Arial Narrow"/>
                <w:sz w:val="20"/>
                <w:szCs w:val="20"/>
              </w:rPr>
              <w:t xml:space="preserve"> mths (</w:t>
            </w:r>
            <w:r>
              <w:rPr>
                <w:rFonts w:ascii="Arial Narrow" w:hAnsi="Arial Narrow"/>
                <w:noProof/>
                <w:sz w:val="20"/>
                <w:szCs w:val="20"/>
                <w:highlight w:val="black"/>
              </w:rPr>
              <w:t>''''''''''''</w:t>
            </w:r>
            <w:r w:rsidR="00622DEB" w:rsidRPr="008D797E">
              <w:rPr>
                <w:rFonts w:ascii="Arial Narrow" w:hAnsi="Arial Narrow"/>
                <w:sz w:val="20"/>
                <w:szCs w:val="20"/>
              </w:rPr>
              <w:t xml:space="preserve"> doses)</w:t>
            </w:r>
          </w:p>
        </w:tc>
        <w:tc>
          <w:tcPr>
            <w:tcW w:w="809" w:type="dxa"/>
          </w:tcPr>
          <w:p w:rsidR="00622DEB" w:rsidRPr="008D797E" w:rsidRDefault="00622DEB" w:rsidP="003028C8">
            <w:pPr>
              <w:spacing w:before="40" w:after="40" w:line="25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8D797E">
              <w:rPr>
                <w:rFonts w:ascii="Arial Narrow" w:hAnsi="Arial Narrow"/>
                <w:sz w:val="20"/>
                <w:szCs w:val="20"/>
              </w:rPr>
              <w:t>12.99 mths (28.25 doses)</w:t>
            </w:r>
          </w:p>
        </w:tc>
        <w:tc>
          <w:tcPr>
            <w:tcW w:w="856" w:type="dxa"/>
          </w:tcPr>
          <w:p w:rsidR="00622DEB" w:rsidRPr="008D797E" w:rsidRDefault="006470F1" w:rsidP="003028C8">
            <w:pPr>
              <w:spacing w:before="40" w:after="40" w:line="25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Pr>
                <w:rFonts w:ascii="Arial Narrow" w:hAnsi="Arial Narrow"/>
                <w:noProof/>
                <w:sz w:val="20"/>
                <w:szCs w:val="20"/>
                <w:highlight w:val="black"/>
              </w:rPr>
              <w:t>''''''''''</w:t>
            </w:r>
            <w:r w:rsidR="00622DEB" w:rsidRPr="008D797E">
              <w:rPr>
                <w:rFonts w:ascii="Arial Narrow" w:hAnsi="Arial Narrow"/>
                <w:sz w:val="20"/>
                <w:szCs w:val="20"/>
              </w:rPr>
              <w:t xml:space="preserve"> mths (</w:t>
            </w:r>
            <w:r>
              <w:rPr>
                <w:rFonts w:ascii="Arial Narrow" w:hAnsi="Arial Narrow"/>
                <w:noProof/>
                <w:sz w:val="20"/>
                <w:szCs w:val="20"/>
                <w:highlight w:val="black"/>
              </w:rPr>
              <w:t>''''''''''''''</w:t>
            </w:r>
            <w:r w:rsidR="00622DEB" w:rsidRPr="008D797E">
              <w:rPr>
                <w:rFonts w:ascii="Arial Narrow" w:hAnsi="Arial Narrow"/>
                <w:sz w:val="20"/>
                <w:szCs w:val="20"/>
              </w:rPr>
              <w:t xml:space="preserve"> doses)</w:t>
            </w:r>
          </w:p>
        </w:tc>
        <w:tc>
          <w:tcPr>
            <w:tcW w:w="809" w:type="dxa"/>
          </w:tcPr>
          <w:p w:rsidR="00622DEB" w:rsidRPr="008D797E" w:rsidRDefault="00622DEB" w:rsidP="003028C8">
            <w:pPr>
              <w:spacing w:before="40" w:after="40" w:line="25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8D797E">
              <w:rPr>
                <w:rFonts w:ascii="Arial Narrow" w:hAnsi="Arial Narrow"/>
                <w:sz w:val="20"/>
                <w:szCs w:val="20"/>
              </w:rPr>
              <w:t>9.03 mths (19.63 doses)</w:t>
            </w:r>
          </w:p>
        </w:tc>
        <w:tc>
          <w:tcPr>
            <w:tcW w:w="3122" w:type="dxa"/>
            <w:gridSpan w:val="4"/>
          </w:tcPr>
          <w:p w:rsidR="00622DEB" w:rsidRPr="008D797E" w:rsidRDefault="00622DEB" w:rsidP="003028C8">
            <w:pPr>
              <w:spacing w:before="40" w:after="40" w:line="25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8D797E">
              <w:rPr>
                <w:rFonts w:ascii="Arial Narrow" w:hAnsi="Arial Narrow"/>
                <w:sz w:val="20"/>
                <w:szCs w:val="20"/>
              </w:rPr>
              <w:t>N/A</w:t>
            </w:r>
          </w:p>
        </w:tc>
        <w:tc>
          <w:tcPr>
            <w:tcW w:w="1561" w:type="dxa"/>
            <w:gridSpan w:val="2"/>
          </w:tcPr>
          <w:p w:rsidR="00622DEB" w:rsidRPr="008D797E" w:rsidRDefault="00622DEB" w:rsidP="003028C8">
            <w:pPr>
              <w:spacing w:before="40" w:after="40" w:line="25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8D797E">
              <w:rPr>
                <w:rFonts w:ascii="Arial Narrow" w:hAnsi="Arial Narrow"/>
                <w:sz w:val="20"/>
                <w:szCs w:val="20"/>
              </w:rPr>
              <w:t>N/A</w:t>
            </w:r>
          </w:p>
        </w:tc>
      </w:tr>
      <w:tr w:rsidR="00622DEB" w:rsidRPr="008D797E" w:rsidTr="003028C8">
        <w:tc>
          <w:tcPr>
            <w:cnfStyle w:val="001000000000" w:firstRow="0" w:lastRow="0" w:firstColumn="1" w:lastColumn="0" w:oddVBand="0" w:evenVBand="0" w:oddHBand="0" w:evenHBand="0" w:firstRowFirstColumn="0" w:firstRowLastColumn="0" w:lastRowFirstColumn="0" w:lastRowLastColumn="0"/>
            <w:tcW w:w="1019" w:type="dxa"/>
          </w:tcPr>
          <w:p w:rsidR="00622DEB" w:rsidRPr="008D797E" w:rsidRDefault="00622DEB" w:rsidP="003028C8">
            <w:pPr>
              <w:spacing w:before="40" w:after="40" w:line="256" w:lineRule="auto"/>
              <w:jc w:val="left"/>
              <w:rPr>
                <w:rFonts w:ascii="Arial Narrow" w:hAnsi="Arial Narrow"/>
                <w:sz w:val="20"/>
                <w:szCs w:val="20"/>
              </w:rPr>
            </w:pPr>
            <w:r w:rsidRPr="008D797E">
              <w:rPr>
                <w:rFonts w:ascii="Arial Narrow" w:hAnsi="Arial Narrow"/>
                <w:sz w:val="20"/>
                <w:szCs w:val="20"/>
              </w:rPr>
              <w:t>Nab-P</w:t>
            </w:r>
          </w:p>
        </w:tc>
        <w:tc>
          <w:tcPr>
            <w:tcW w:w="841" w:type="dxa"/>
          </w:tcPr>
          <w:p w:rsidR="00622DEB" w:rsidRPr="008D797E" w:rsidRDefault="00622DEB" w:rsidP="003028C8">
            <w:pPr>
              <w:spacing w:before="40" w:after="40" w:line="25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8D797E">
              <w:rPr>
                <w:rFonts w:ascii="Arial Narrow" w:hAnsi="Arial Narrow"/>
                <w:sz w:val="20"/>
                <w:szCs w:val="20"/>
              </w:rPr>
              <w:t>2.76 mths (9.01 doses)</w:t>
            </w:r>
          </w:p>
        </w:tc>
        <w:tc>
          <w:tcPr>
            <w:tcW w:w="809" w:type="dxa"/>
          </w:tcPr>
          <w:p w:rsidR="00622DEB" w:rsidRPr="008D797E" w:rsidRDefault="00622DEB" w:rsidP="003028C8">
            <w:pPr>
              <w:spacing w:before="40" w:after="40" w:line="25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8D797E">
              <w:rPr>
                <w:rFonts w:ascii="Arial Narrow" w:hAnsi="Arial Narrow"/>
                <w:sz w:val="20"/>
                <w:szCs w:val="20"/>
              </w:rPr>
              <w:t>9.26 mths (30.20 doses)</w:t>
            </w:r>
          </w:p>
        </w:tc>
        <w:tc>
          <w:tcPr>
            <w:tcW w:w="856" w:type="dxa"/>
          </w:tcPr>
          <w:p w:rsidR="00622DEB" w:rsidRPr="008D797E" w:rsidRDefault="00622DEB" w:rsidP="003028C8">
            <w:pPr>
              <w:spacing w:before="40" w:after="40" w:line="25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8D797E">
              <w:rPr>
                <w:rFonts w:ascii="Arial Narrow" w:hAnsi="Arial Narrow"/>
                <w:sz w:val="20"/>
                <w:szCs w:val="20"/>
              </w:rPr>
              <w:t>2.81 mths (9.16 doses)</w:t>
            </w:r>
          </w:p>
        </w:tc>
        <w:tc>
          <w:tcPr>
            <w:tcW w:w="809" w:type="dxa"/>
          </w:tcPr>
          <w:p w:rsidR="00622DEB" w:rsidRPr="008D797E" w:rsidRDefault="00622DEB" w:rsidP="003028C8">
            <w:pPr>
              <w:spacing w:before="40" w:after="40" w:line="25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8D797E">
              <w:rPr>
                <w:rFonts w:ascii="Arial Narrow" w:hAnsi="Arial Narrow"/>
                <w:sz w:val="20"/>
                <w:szCs w:val="20"/>
              </w:rPr>
              <w:t>7.40 mths (24.14 doses)</w:t>
            </w:r>
          </w:p>
        </w:tc>
        <w:tc>
          <w:tcPr>
            <w:tcW w:w="752" w:type="dxa"/>
          </w:tcPr>
          <w:p w:rsidR="00622DEB" w:rsidRPr="008D797E" w:rsidRDefault="00622DEB" w:rsidP="003028C8">
            <w:pPr>
              <w:spacing w:before="40" w:after="40" w:line="25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8D797E">
              <w:rPr>
                <w:rFonts w:ascii="Arial Narrow" w:hAnsi="Arial Narrow"/>
                <w:sz w:val="20"/>
                <w:szCs w:val="20"/>
              </w:rPr>
              <w:t>2.70 mths (8.81 doses)</w:t>
            </w:r>
          </w:p>
        </w:tc>
        <w:tc>
          <w:tcPr>
            <w:tcW w:w="809" w:type="dxa"/>
          </w:tcPr>
          <w:p w:rsidR="00622DEB" w:rsidRPr="008D797E" w:rsidRDefault="00622DEB" w:rsidP="003028C8">
            <w:pPr>
              <w:spacing w:before="40" w:after="40" w:line="25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8D797E">
              <w:rPr>
                <w:rFonts w:ascii="Arial Narrow" w:hAnsi="Arial Narrow"/>
                <w:sz w:val="20"/>
                <w:szCs w:val="20"/>
              </w:rPr>
              <w:t>6.68 mths (21.77 doses)</w:t>
            </w:r>
          </w:p>
        </w:tc>
        <w:tc>
          <w:tcPr>
            <w:tcW w:w="752" w:type="dxa"/>
          </w:tcPr>
          <w:p w:rsidR="00622DEB" w:rsidRPr="008D797E" w:rsidRDefault="00622DEB" w:rsidP="003028C8">
            <w:pPr>
              <w:spacing w:before="40" w:after="40" w:line="25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8D797E">
              <w:rPr>
                <w:rFonts w:ascii="Arial Narrow" w:hAnsi="Arial Narrow"/>
                <w:sz w:val="20"/>
                <w:szCs w:val="20"/>
              </w:rPr>
              <w:t>2.58 mths (8.41 doses)</w:t>
            </w:r>
          </w:p>
        </w:tc>
        <w:tc>
          <w:tcPr>
            <w:tcW w:w="809" w:type="dxa"/>
          </w:tcPr>
          <w:p w:rsidR="00622DEB" w:rsidRPr="008D797E" w:rsidRDefault="00622DEB" w:rsidP="003028C8">
            <w:pPr>
              <w:spacing w:before="40" w:after="40" w:line="25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8D797E">
              <w:rPr>
                <w:rFonts w:ascii="Arial Narrow" w:hAnsi="Arial Narrow"/>
                <w:sz w:val="20"/>
                <w:szCs w:val="20"/>
              </w:rPr>
              <w:t>5.39 mths (17.56 doses)</w:t>
            </w:r>
          </w:p>
        </w:tc>
        <w:tc>
          <w:tcPr>
            <w:tcW w:w="752" w:type="dxa"/>
          </w:tcPr>
          <w:p w:rsidR="00622DEB" w:rsidRPr="008D797E" w:rsidRDefault="00622DEB" w:rsidP="003028C8">
            <w:pPr>
              <w:spacing w:before="40" w:after="40" w:line="25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8D797E">
              <w:rPr>
                <w:rFonts w:ascii="Arial Narrow" w:hAnsi="Arial Narrow"/>
                <w:sz w:val="20"/>
                <w:szCs w:val="20"/>
              </w:rPr>
              <w:t>2.65 mths (8.65 doses)</w:t>
            </w:r>
          </w:p>
        </w:tc>
        <w:tc>
          <w:tcPr>
            <w:tcW w:w="809" w:type="dxa"/>
          </w:tcPr>
          <w:p w:rsidR="00622DEB" w:rsidRPr="008D797E" w:rsidRDefault="00622DEB" w:rsidP="003028C8">
            <w:pPr>
              <w:spacing w:before="40" w:after="40" w:line="25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8D797E">
              <w:rPr>
                <w:rFonts w:ascii="Arial Narrow" w:hAnsi="Arial Narrow"/>
                <w:sz w:val="20"/>
                <w:szCs w:val="20"/>
              </w:rPr>
              <w:t>6.16 mths (20.07 doses)</w:t>
            </w:r>
          </w:p>
        </w:tc>
      </w:tr>
      <w:tr w:rsidR="00622DEB" w:rsidRPr="008D797E" w:rsidTr="003028C8">
        <w:tc>
          <w:tcPr>
            <w:cnfStyle w:val="001000000000" w:firstRow="0" w:lastRow="0" w:firstColumn="1" w:lastColumn="0" w:oddVBand="0" w:evenVBand="0" w:oddHBand="0" w:evenHBand="0" w:firstRowFirstColumn="0" w:firstRowLastColumn="0" w:lastRowFirstColumn="0" w:lastRowLastColumn="0"/>
            <w:tcW w:w="1019" w:type="dxa"/>
          </w:tcPr>
          <w:p w:rsidR="00622DEB" w:rsidRPr="008D797E" w:rsidRDefault="00622DEB" w:rsidP="003028C8">
            <w:pPr>
              <w:spacing w:before="40" w:after="40" w:line="256" w:lineRule="auto"/>
              <w:jc w:val="left"/>
              <w:rPr>
                <w:rFonts w:ascii="Arial Narrow" w:hAnsi="Arial Narrow"/>
                <w:sz w:val="20"/>
                <w:szCs w:val="20"/>
              </w:rPr>
            </w:pPr>
            <w:r w:rsidRPr="008D797E">
              <w:rPr>
                <w:rFonts w:ascii="Arial Narrow" w:hAnsi="Arial Narrow"/>
                <w:sz w:val="20"/>
                <w:szCs w:val="20"/>
              </w:rPr>
              <w:t>Weighted ATZ</w:t>
            </w:r>
          </w:p>
        </w:tc>
        <w:tc>
          <w:tcPr>
            <w:tcW w:w="3315" w:type="dxa"/>
            <w:gridSpan w:val="4"/>
          </w:tcPr>
          <w:p w:rsidR="00622DEB" w:rsidRPr="008D797E" w:rsidRDefault="006470F1" w:rsidP="003028C8">
            <w:pPr>
              <w:spacing w:before="40" w:after="40" w:line="25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Pr>
                <w:rFonts w:ascii="Arial Narrow" w:hAnsi="Arial Narrow"/>
                <w:noProof/>
                <w:sz w:val="20"/>
                <w:szCs w:val="20"/>
                <w:highlight w:val="black"/>
              </w:rPr>
              <w:t xml:space="preserve">'''''''''' </w:t>
            </w:r>
            <w:r w:rsidR="00622DEB" w:rsidRPr="008D797E">
              <w:rPr>
                <w:rFonts w:ascii="Arial Narrow" w:hAnsi="Arial Narrow"/>
                <w:sz w:val="20"/>
                <w:szCs w:val="20"/>
              </w:rPr>
              <w:t>mths (</w:t>
            </w:r>
            <w:r>
              <w:rPr>
                <w:rFonts w:ascii="Arial Narrow" w:hAnsi="Arial Narrow"/>
                <w:noProof/>
                <w:sz w:val="20"/>
                <w:szCs w:val="20"/>
                <w:highlight w:val="black"/>
              </w:rPr>
              <w:t xml:space="preserve">'''''''''''''' </w:t>
            </w:r>
            <w:r w:rsidR="00622DEB" w:rsidRPr="008D797E">
              <w:rPr>
                <w:rFonts w:ascii="Arial Narrow" w:hAnsi="Arial Narrow"/>
                <w:sz w:val="20"/>
                <w:szCs w:val="20"/>
              </w:rPr>
              <w:t>doses) in the base case versus 12.72 mths (27.66 doses) based on modelled TTOT</w:t>
            </w:r>
          </w:p>
        </w:tc>
        <w:tc>
          <w:tcPr>
            <w:tcW w:w="3122" w:type="dxa"/>
            <w:gridSpan w:val="4"/>
          </w:tcPr>
          <w:p w:rsidR="00622DEB" w:rsidRPr="008D797E" w:rsidRDefault="00622DEB" w:rsidP="003028C8">
            <w:pPr>
              <w:spacing w:before="40" w:after="40" w:line="25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8D797E">
              <w:rPr>
                <w:rFonts w:ascii="Arial Narrow" w:hAnsi="Arial Narrow"/>
                <w:sz w:val="20"/>
                <w:szCs w:val="20"/>
              </w:rPr>
              <w:t>N/A</w:t>
            </w:r>
          </w:p>
        </w:tc>
        <w:tc>
          <w:tcPr>
            <w:tcW w:w="1561" w:type="dxa"/>
            <w:gridSpan w:val="2"/>
          </w:tcPr>
          <w:p w:rsidR="00622DEB" w:rsidRPr="008D797E" w:rsidRDefault="00622DEB" w:rsidP="003028C8">
            <w:pPr>
              <w:spacing w:before="40" w:after="40" w:line="25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8D797E">
              <w:rPr>
                <w:rFonts w:ascii="Arial Narrow" w:hAnsi="Arial Narrow"/>
                <w:sz w:val="20"/>
                <w:szCs w:val="20"/>
              </w:rPr>
              <w:t>N/A</w:t>
            </w:r>
          </w:p>
        </w:tc>
      </w:tr>
      <w:tr w:rsidR="00622DEB" w:rsidRPr="008D797E" w:rsidTr="003028C8">
        <w:tc>
          <w:tcPr>
            <w:cnfStyle w:val="001000000000" w:firstRow="0" w:lastRow="0" w:firstColumn="1" w:lastColumn="0" w:oddVBand="0" w:evenVBand="0" w:oddHBand="0" w:evenHBand="0" w:firstRowFirstColumn="0" w:firstRowLastColumn="0" w:lastRowFirstColumn="0" w:lastRowLastColumn="0"/>
            <w:tcW w:w="1019" w:type="dxa"/>
          </w:tcPr>
          <w:p w:rsidR="00622DEB" w:rsidRPr="008D797E" w:rsidRDefault="00622DEB" w:rsidP="003028C8">
            <w:pPr>
              <w:spacing w:before="40" w:after="40" w:line="256" w:lineRule="auto"/>
              <w:jc w:val="left"/>
              <w:rPr>
                <w:rFonts w:ascii="Arial Narrow" w:hAnsi="Arial Narrow"/>
                <w:sz w:val="20"/>
                <w:szCs w:val="20"/>
              </w:rPr>
            </w:pPr>
            <w:r w:rsidRPr="008D797E">
              <w:rPr>
                <w:rFonts w:ascii="Arial Narrow" w:hAnsi="Arial Narrow"/>
                <w:sz w:val="20"/>
                <w:szCs w:val="20"/>
              </w:rPr>
              <w:t xml:space="preserve">Total weighted ATZ </w:t>
            </w:r>
          </w:p>
        </w:tc>
        <w:tc>
          <w:tcPr>
            <w:tcW w:w="6437" w:type="dxa"/>
            <w:gridSpan w:val="8"/>
          </w:tcPr>
          <w:p w:rsidR="00622DEB" w:rsidRPr="008D797E" w:rsidRDefault="006470F1" w:rsidP="003028C8">
            <w:pPr>
              <w:spacing w:before="40" w:after="40" w:line="25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Pr>
                <w:rFonts w:ascii="Arial Narrow" w:hAnsi="Arial Narrow"/>
                <w:noProof/>
                <w:sz w:val="20"/>
                <w:szCs w:val="20"/>
                <w:highlight w:val="black"/>
              </w:rPr>
              <w:t xml:space="preserve">''''''''''' </w:t>
            </w:r>
            <w:r w:rsidR="00622DEB" w:rsidRPr="008D797E">
              <w:rPr>
                <w:rFonts w:ascii="Arial Narrow" w:hAnsi="Arial Narrow"/>
                <w:sz w:val="20"/>
                <w:szCs w:val="20"/>
              </w:rPr>
              <w:t>mths (</w:t>
            </w:r>
            <w:r>
              <w:rPr>
                <w:rFonts w:ascii="Arial Narrow" w:hAnsi="Arial Narrow"/>
                <w:noProof/>
                <w:sz w:val="20"/>
                <w:szCs w:val="20"/>
                <w:highlight w:val="black"/>
              </w:rPr>
              <w:t xml:space="preserve">''''''''''' </w:t>
            </w:r>
            <w:r w:rsidR="00622DEB" w:rsidRPr="008D797E">
              <w:rPr>
                <w:rFonts w:ascii="Arial Narrow" w:hAnsi="Arial Narrow"/>
                <w:sz w:val="20"/>
                <w:szCs w:val="20"/>
              </w:rPr>
              <w:t>doses) in the base case versus 5.21 mths (11.32 doses) based on modelled TTOT</w:t>
            </w:r>
          </w:p>
        </w:tc>
        <w:tc>
          <w:tcPr>
            <w:tcW w:w="1561" w:type="dxa"/>
            <w:gridSpan w:val="2"/>
          </w:tcPr>
          <w:p w:rsidR="00622DEB" w:rsidRPr="008D797E" w:rsidRDefault="00622DEB" w:rsidP="003028C8">
            <w:pPr>
              <w:spacing w:before="40" w:after="40" w:line="25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8D797E">
              <w:rPr>
                <w:rFonts w:ascii="Arial Narrow" w:hAnsi="Arial Narrow"/>
                <w:sz w:val="20"/>
                <w:szCs w:val="20"/>
              </w:rPr>
              <w:t>N/A</w:t>
            </w:r>
          </w:p>
        </w:tc>
      </w:tr>
      <w:tr w:rsidR="00622DEB" w:rsidRPr="008D797E" w:rsidTr="003028C8">
        <w:tc>
          <w:tcPr>
            <w:cnfStyle w:val="001000000000" w:firstRow="0" w:lastRow="0" w:firstColumn="1" w:lastColumn="0" w:oddVBand="0" w:evenVBand="0" w:oddHBand="0" w:evenHBand="0" w:firstRowFirstColumn="0" w:firstRowLastColumn="0" w:lastRowFirstColumn="0" w:lastRowLastColumn="0"/>
            <w:tcW w:w="1019" w:type="dxa"/>
          </w:tcPr>
          <w:p w:rsidR="00622DEB" w:rsidRPr="008D797E" w:rsidRDefault="00622DEB" w:rsidP="003028C8">
            <w:pPr>
              <w:spacing w:before="40" w:after="40" w:line="256" w:lineRule="auto"/>
              <w:jc w:val="left"/>
              <w:rPr>
                <w:rFonts w:ascii="Arial Narrow" w:hAnsi="Arial Narrow"/>
                <w:sz w:val="20"/>
                <w:szCs w:val="20"/>
              </w:rPr>
            </w:pPr>
            <w:r w:rsidRPr="008D797E">
              <w:rPr>
                <w:rFonts w:ascii="Arial Narrow" w:hAnsi="Arial Narrow"/>
                <w:sz w:val="20"/>
                <w:szCs w:val="20"/>
              </w:rPr>
              <w:t>Total weighted nab-P</w:t>
            </w:r>
          </w:p>
        </w:tc>
        <w:tc>
          <w:tcPr>
            <w:tcW w:w="6437" w:type="dxa"/>
            <w:gridSpan w:val="8"/>
          </w:tcPr>
          <w:p w:rsidR="00622DEB" w:rsidRPr="008D797E" w:rsidRDefault="00622DEB" w:rsidP="003028C8">
            <w:pPr>
              <w:spacing w:before="40" w:after="40" w:line="25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8D797E">
              <w:rPr>
                <w:rFonts w:ascii="Arial Narrow" w:hAnsi="Arial Narrow"/>
                <w:sz w:val="20"/>
                <w:szCs w:val="20"/>
              </w:rPr>
              <w:t>2.72 mths (8.88 doses) in the base case versus 7.66 mths (24.97 doses) based on modelled TTOT</w:t>
            </w:r>
          </w:p>
        </w:tc>
        <w:tc>
          <w:tcPr>
            <w:tcW w:w="1561" w:type="dxa"/>
            <w:gridSpan w:val="2"/>
          </w:tcPr>
          <w:p w:rsidR="00622DEB" w:rsidRPr="008D797E" w:rsidRDefault="00622DEB" w:rsidP="003028C8">
            <w:pPr>
              <w:spacing w:before="40" w:after="40" w:line="25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8D797E">
              <w:rPr>
                <w:rFonts w:ascii="Arial Narrow" w:hAnsi="Arial Narrow"/>
                <w:sz w:val="20"/>
                <w:szCs w:val="20"/>
              </w:rPr>
              <w:t>2.65 mths (8.65 doses) in the base case versus 6.16 mths (20.07 doses)</w:t>
            </w:r>
          </w:p>
        </w:tc>
      </w:tr>
      <w:tr w:rsidR="00622DEB" w:rsidRPr="008D797E" w:rsidTr="003028C8">
        <w:tc>
          <w:tcPr>
            <w:cnfStyle w:val="001000000000" w:firstRow="0" w:lastRow="0" w:firstColumn="1" w:lastColumn="0" w:oddVBand="0" w:evenVBand="0" w:oddHBand="0" w:evenHBand="0" w:firstRowFirstColumn="0" w:firstRowLastColumn="0" w:lastRowFirstColumn="0" w:lastRowLastColumn="0"/>
            <w:tcW w:w="9017" w:type="dxa"/>
            <w:gridSpan w:val="11"/>
          </w:tcPr>
          <w:p w:rsidR="00622DEB" w:rsidRPr="008D797E" w:rsidRDefault="00622DEB" w:rsidP="003028C8">
            <w:pPr>
              <w:spacing w:before="40" w:after="40" w:line="256" w:lineRule="auto"/>
              <w:jc w:val="left"/>
              <w:rPr>
                <w:rFonts w:ascii="Arial Narrow" w:hAnsi="Arial Narrow"/>
                <w:b/>
                <w:sz w:val="20"/>
                <w:szCs w:val="20"/>
              </w:rPr>
            </w:pPr>
            <w:r w:rsidRPr="008D797E">
              <w:rPr>
                <w:rFonts w:ascii="Arial Narrow" w:hAnsi="Arial Narrow"/>
                <w:b/>
                <w:sz w:val="20"/>
                <w:szCs w:val="20"/>
              </w:rPr>
              <w:t>Average medicine costs per patient (undiscounted)</w:t>
            </w:r>
          </w:p>
        </w:tc>
      </w:tr>
      <w:tr w:rsidR="00622DEB" w:rsidRPr="008D797E" w:rsidTr="003028C8">
        <w:tc>
          <w:tcPr>
            <w:cnfStyle w:val="001000000000" w:firstRow="0" w:lastRow="0" w:firstColumn="1" w:lastColumn="0" w:oddVBand="0" w:evenVBand="0" w:oddHBand="0" w:evenHBand="0" w:firstRowFirstColumn="0" w:firstRowLastColumn="0" w:lastRowFirstColumn="0" w:lastRowLastColumn="0"/>
            <w:tcW w:w="1019" w:type="dxa"/>
          </w:tcPr>
          <w:p w:rsidR="00622DEB" w:rsidRPr="008D797E" w:rsidRDefault="00622DEB" w:rsidP="003028C8">
            <w:pPr>
              <w:spacing w:before="40" w:after="40" w:line="256" w:lineRule="auto"/>
              <w:jc w:val="left"/>
              <w:rPr>
                <w:rFonts w:ascii="Arial Narrow" w:hAnsi="Arial Narrow"/>
                <w:sz w:val="20"/>
                <w:szCs w:val="20"/>
              </w:rPr>
            </w:pPr>
          </w:p>
        </w:tc>
        <w:tc>
          <w:tcPr>
            <w:tcW w:w="841" w:type="dxa"/>
          </w:tcPr>
          <w:p w:rsidR="00622DEB" w:rsidRPr="008D797E" w:rsidRDefault="00622DEB" w:rsidP="003028C8">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b/>
                <w:sz w:val="20"/>
                <w:szCs w:val="20"/>
              </w:rPr>
            </w:pPr>
            <w:r w:rsidRPr="008D797E">
              <w:rPr>
                <w:rFonts w:ascii="Arial Narrow" w:hAnsi="Arial Narrow" w:cs="Calibri"/>
                <w:b/>
                <w:sz w:val="20"/>
                <w:szCs w:val="20"/>
              </w:rPr>
              <w:t>Base case</w:t>
            </w:r>
          </w:p>
        </w:tc>
        <w:tc>
          <w:tcPr>
            <w:tcW w:w="809" w:type="dxa"/>
          </w:tcPr>
          <w:p w:rsidR="00622DEB" w:rsidRPr="008D797E" w:rsidRDefault="00622DEB" w:rsidP="003028C8">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b/>
                <w:sz w:val="20"/>
                <w:szCs w:val="20"/>
              </w:rPr>
            </w:pPr>
            <w:r w:rsidRPr="008D797E">
              <w:rPr>
                <w:rFonts w:ascii="Arial Narrow" w:hAnsi="Arial Narrow" w:cs="Calibri"/>
                <w:b/>
                <w:sz w:val="20"/>
                <w:szCs w:val="20"/>
              </w:rPr>
              <w:t>TTOT</w:t>
            </w:r>
          </w:p>
        </w:tc>
        <w:tc>
          <w:tcPr>
            <w:tcW w:w="856" w:type="dxa"/>
          </w:tcPr>
          <w:p w:rsidR="00622DEB" w:rsidRPr="008D797E" w:rsidRDefault="00622DEB" w:rsidP="003028C8">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b/>
                <w:bCs/>
                <w:sz w:val="20"/>
                <w:szCs w:val="20"/>
              </w:rPr>
            </w:pPr>
            <w:r w:rsidRPr="008D797E">
              <w:rPr>
                <w:rFonts w:ascii="Arial Narrow" w:hAnsi="Arial Narrow" w:cs="Calibri"/>
                <w:b/>
                <w:bCs/>
                <w:sz w:val="20"/>
                <w:szCs w:val="20"/>
              </w:rPr>
              <w:t>Base case</w:t>
            </w:r>
          </w:p>
        </w:tc>
        <w:tc>
          <w:tcPr>
            <w:tcW w:w="809" w:type="dxa"/>
          </w:tcPr>
          <w:p w:rsidR="00622DEB" w:rsidRPr="008D797E" w:rsidRDefault="00622DEB" w:rsidP="003028C8">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b/>
                <w:bCs/>
                <w:sz w:val="20"/>
                <w:szCs w:val="20"/>
              </w:rPr>
            </w:pPr>
            <w:r w:rsidRPr="008D797E">
              <w:rPr>
                <w:rFonts w:ascii="Arial Narrow" w:hAnsi="Arial Narrow" w:cs="Calibri"/>
                <w:b/>
                <w:bCs/>
                <w:sz w:val="20"/>
                <w:szCs w:val="20"/>
              </w:rPr>
              <w:t>TTOT</w:t>
            </w:r>
          </w:p>
        </w:tc>
        <w:tc>
          <w:tcPr>
            <w:tcW w:w="752" w:type="dxa"/>
          </w:tcPr>
          <w:p w:rsidR="00622DEB" w:rsidRPr="008D797E" w:rsidRDefault="00622DEB" w:rsidP="003028C8">
            <w:pPr>
              <w:spacing w:before="40" w:after="40" w:line="25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20"/>
                <w:szCs w:val="20"/>
              </w:rPr>
            </w:pPr>
            <w:r w:rsidRPr="008D797E">
              <w:rPr>
                <w:rFonts w:ascii="Arial Narrow" w:hAnsi="Arial Narrow"/>
                <w:b/>
                <w:sz w:val="20"/>
                <w:szCs w:val="20"/>
              </w:rPr>
              <w:t>Base case</w:t>
            </w:r>
          </w:p>
        </w:tc>
        <w:tc>
          <w:tcPr>
            <w:tcW w:w="809" w:type="dxa"/>
          </w:tcPr>
          <w:p w:rsidR="00622DEB" w:rsidRPr="008D797E" w:rsidRDefault="00622DEB" w:rsidP="003028C8">
            <w:pPr>
              <w:spacing w:before="40" w:after="40" w:line="25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20"/>
                <w:szCs w:val="20"/>
              </w:rPr>
            </w:pPr>
            <w:r w:rsidRPr="008D797E">
              <w:rPr>
                <w:rFonts w:ascii="Arial Narrow" w:hAnsi="Arial Narrow"/>
                <w:b/>
                <w:sz w:val="20"/>
                <w:szCs w:val="20"/>
              </w:rPr>
              <w:t>TTOT</w:t>
            </w:r>
          </w:p>
        </w:tc>
        <w:tc>
          <w:tcPr>
            <w:tcW w:w="752" w:type="dxa"/>
          </w:tcPr>
          <w:p w:rsidR="00622DEB" w:rsidRPr="008D797E" w:rsidRDefault="00622DEB" w:rsidP="003028C8">
            <w:pPr>
              <w:spacing w:before="40" w:after="40" w:line="25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20"/>
                <w:szCs w:val="20"/>
              </w:rPr>
            </w:pPr>
            <w:r w:rsidRPr="008D797E">
              <w:rPr>
                <w:rFonts w:ascii="Arial Narrow" w:hAnsi="Arial Narrow"/>
                <w:b/>
                <w:sz w:val="20"/>
                <w:szCs w:val="20"/>
              </w:rPr>
              <w:t>Base case</w:t>
            </w:r>
          </w:p>
        </w:tc>
        <w:tc>
          <w:tcPr>
            <w:tcW w:w="809" w:type="dxa"/>
          </w:tcPr>
          <w:p w:rsidR="00622DEB" w:rsidRPr="008D797E" w:rsidRDefault="00622DEB" w:rsidP="003028C8">
            <w:pPr>
              <w:spacing w:before="40" w:after="40" w:line="25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20"/>
                <w:szCs w:val="20"/>
              </w:rPr>
            </w:pPr>
            <w:r w:rsidRPr="008D797E">
              <w:rPr>
                <w:rFonts w:ascii="Arial Narrow" w:hAnsi="Arial Narrow"/>
                <w:b/>
                <w:sz w:val="20"/>
                <w:szCs w:val="20"/>
              </w:rPr>
              <w:t>TTOT</w:t>
            </w:r>
          </w:p>
        </w:tc>
        <w:tc>
          <w:tcPr>
            <w:tcW w:w="752" w:type="dxa"/>
          </w:tcPr>
          <w:p w:rsidR="00622DEB" w:rsidRPr="008D797E" w:rsidRDefault="00622DEB" w:rsidP="003028C8">
            <w:pPr>
              <w:spacing w:before="40" w:after="40" w:line="25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20"/>
                <w:szCs w:val="20"/>
              </w:rPr>
            </w:pPr>
            <w:r w:rsidRPr="008D797E">
              <w:rPr>
                <w:rFonts w:ascii="Arial Narrow" w:hAnsi="Arial Narrow"/>
                <w:b/>
                <w:sz w:val="20"/>
                <w:szCs w:val="20"/>
              </w:rPr>
              <w:t>Base case</w:t>
            </w:r>
          </w:p>
        </w:tc>
        <w:tc>
          <w:tcPr>
            <w:tcW w:w="809" w:type="dxa"/>
          </w:tcPr>
          <w:p w:rsidR="00622DEB" w:rsidRPr="008D797E" w:rsidRDefault="00622DEB" w:rsidP="003028C8">
            <w:pPr>
              <w:spacing w:before="40" w:after="40" w:line="25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20"/>
                <w:szCs w:val="20"/>
              </w:rPr>
            </w:pPr>
            <w:r w:rsidRPr="008D797E">
              <w:rPr>
                <w:rFonts w:ascii="Arial Narrow" w:hAnsi="Arial Narrow"/>
                <w:b/>
                <w:sz w:val="20"/>
                <w:szCs w:val="20"/>
              </w:rPr>
              <w:t>TTOT</w:t>
            </w:r>
          </w:p>
        </w:tc>
      </w:tr>
      <w:tr w:rsidR="00622DEB" w:rsidRPr="008D797E" w:rsidTr="003028C8">
        <w:tc>
          <w:tcPr>
            <w:cnfStyle w:val="001000000000" w:firstRow="0" w:lastRow="0" w:firstColumn="1" w:lastColumn="0" w:oddVBand="0" w:evenVBand="0" w:oddHBand="0" w:evenHBand="0" w:firstRowFirstColumn="0" w:firstRowLastColumn="0" w:lastRowFirstColumn="0" w:lastRowLastColumn="0"/>
            <w:tcW w:w="1019" w:type="dxa"/>
          </w:tcPr>
          <w:p w:rsidR="00622DEB" w:rsidRPr="008D797E" w:rsidRDefault="00622DEB" w:rsidP="003028C8">
            <w:pPr>
              <w:spacing w:before="40" w:after="40" w:line="256" w:lineRule="auto"/>
              <w:jc w:val="left"/>
              <w:rPr>
                <w:rFonts w:ascii="Arial Narrow" w:hAnsi="Arial Narrow"/>
                <w:sz w:val="20"/>
                <w:szCs w:val="20"/>
              </w:rPr>
            </w:pPr>
            <w:r w:rsidRPr="008D797E">
              <w:rPr>
                <w:rFonts w:ascii="Arial Narrow" w:hAnsi="Arial Narrow"/>
                <w:sz w:val="20"/>
                <w:szCs w:val="20"/>
              </w:rPr>
              <w:t>ATZ cost per dose</w:t>
            </w:r>
          </w:p>
        </w:tc>
        <w:tc>
          <w:tcPr>
            <w:tcW w:w="3315" w:type="dxa"/>
            <w:gridSpan w:val="4"/>
          </w:tcPr>
          <w:p w:rsidR="00622DEB" w:rsidRPr="00601BF0" w:rsidRDefault="00622DEB" w:rsidP="003028C8">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bCs/>
                <w:sz w:val="20"/>
                <w:szCs w:val="20"/>
              </w:rPr>
            </w:pPr>
            <w:r w:rsidRPr="00601BF0">
              <w:rPr>
                <w:rFonts w:ascii="Arial Narrow" w:hAnsi="Arial Narrow" w:cs="Calibri"/>
                <w:bCs/>
                <w:sz w:val="20"/>
                <w:szCs w:val="20"/>
              </w:rPr>
              <w:t>$</w:t>
            </w:r>
            <w:r w:rsidR="006470F1">
              <w:rPr>
                <w:rFonts w:ascii="Arial Narrow" w:hAnsi="Arial Narrow" w:cs="Calibri"/>
                <w:bCs/>
                <w:noProof/>
                <w:sz w:val="20"/>
                <w:szCs w:val="20"/>
                <w:highlight w:val="black"/>
              </w:rPr>
              <w:t>''''''''''''</w:t>
            </w:r>
          </w:p>
        </w:tc>
        <w:tc>
          <w:tcPr>
            <w:tcW w:w="3122" w:type="dxa"/>
            <w:gridSpan w:val="4"/>
          </w:tcPr>
          <w:p w:rsidR="00622DEB" w:rsidRPr="00601BF0" w:rsidRDefault="00622DEB" w:rsidP="003028C8">
            <w:pPr>
              <w:spacing w:before="40" w:after="40" w:line="25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601BF0">
              <w:rPr>
                <w:rFonts w:ascii="Arial Narrow" w:hAnsi="Arial Narrow"/>
                <w:sz w:val="20"/>
                <w:szCs w:val="20"/>
              </w:rPr>
              <w:t>N/A</w:t>
            </w:r>
          </w:p>
        </w:tc>
        <w:tc>
          <w:tcPr>
            <w:tcW w:w="1561" w:type="dxa"/>
            <w:gridSpan w:val="2"/>
          </w:tcPr>
          <w:p w:rsidR="00622DEB" w:rsidRPr="008D797E" w:rsidRDefault="00622DEB" w:rsidP="003028C8">
            <w:pPr>
              <w:spacing w:before="40" w:after="40" w:line="25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8D797E">
              <w:rPr>
                <w:rFonts w:ascii="Arial Narrow" w:hAnsi="Arial Narrow"/>
                <w:sz w:val="20"/>
                <w:szCs w:val="20"/>
              </w:rPr>
              <w:t>N/A</w:t>
            </w:r>
          </w:p>
        </w:tc>
      </w:tr>
      <w:tr w:rsidR="00622DEB" w:rsidRPr="008D797E" w:rsidTr="003028C8">
        <w:tc>
          <w:tcPr>
            <w:cnfStyle w:val="001000000000" w:firstRow="0" w:lastRow="0" w:firstColumn="1" w:lastColumn="0" w:oddVBand="0" w:evenVBand="0" w:oddHBand="0" w:evenHBand="0" w:firstRowFirstColumn="0" w:firstRowLastColumn="0" w:lastRowFirstColumn="0" w:lastRowLastColumn="0"/>
            <w:tcW w:w="1019" w:type="dxa"/>
          </w:tcPr>
          <w:p w:rsidR="00622DEB" w:rsidRPr="008D797E" w:rsidRDefault="00622DEB" w:rsidP="003028C8">
            <w:pPr>
              <w:spacing w:before="40" w:after="40" w:line="256" w:lineRule="auto"/>
              <w:jc w:val="left"/>
              <w:rPr>
                <w:rFonts w:ascii="Arial Narrow" w:hAnsi="Arial Narrow"/>
                <w:sz w:val="20"/>
                <w:szCs w:val="20"/>
              </w:rPr>
            </w:pPr>
            <w:r w:rsidRPr="008D797E">
              <w:rPr>
                <w:rFonts w:ascii="Arial Narrow" w:hAnsi="Arial Narrow"/>
                <w:sz w:val="20"/>
                <w:szCs w:val="20"/>
              </w:rPr>
              <w:t>Nab-P cost per dose</w:t>
            </w:r>
          </w:p>
        </w:tc>
        <w:tc>
          <w:tcPr>
            <w:tcW w:w="3315" w:type="dxa"/>
            <w:gridSpan w:val="4"/>
          </w:tcPr>
          <w:p w:rsidR="00622DEB" w:rsidRPr="00601BF0" w:rsidRDefault="00622DEB" w:rsidP="003028C8">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bCs/>
                <w:sz w:val="20"/>
                <w:szCs w:val="20"/>
              </w:rPr>
            </w:pPr>
            <w:r w:rsidRPr="00601BF0">
              <w:rPr>
                <w:rFonts w:ascii="Arial Narrow" w:hAnsi="Arial Narrow" w:cs="Calibri"/>
                <w:bCs/>
                <w:sz w:val="20"/>
                <w:szCs w:val="20"/>
              </w:rPr>
              <w:t>$</w:t>
            </w:r>
            <w:r w:rsidR="006470F1">
              <w:rPr>
                <w:rFonts w:ascii="Arial Narrow" w:hAnsi="Arial Narrow" w:cs="Calibri"/>
                <w:bCs/>
                <w:noProof/>
                <w:sz w:val="20"/>
                <w:szCs w:val="20"/>
                <w:highlight w:val="black"/>
              </w:rPr>
              <w:t>'''''''''''''''</w:t>
            </w:r>
          </w:p>
        </w:tc>
        <w:tc>
          <w:tcPr>
            <w:tcW w:w="3122" w:type="dxa"/>
            <w:gridSpan w:val="4"/>
          </w:tcPr>
          <w:p w:rsidR="00622DEB" w:rsidRPr="00601BF0" w:rsidRDefault="00622DEB" w:rsidP="003028C8">
            <w:pPr>
              <w:spacing w:before="40" w:after="40" w:line="25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601BF0">
              <w:rPr>
                <w:rFonts w:ascii="Arial Narrow" w:hAnsi="Arial Narrow"/>
                <w:sz w:val="20"/>
                <w:szCs w:val="20"/>
              </w:rPr>
              <w:t>$</w:t>
            </w:r>
            <w:r w:rsidR="006470F1">
              <w:rPr>
                <w:rFonts w:ascii="Arial Narrow" w:hAnsi="Arial Narrow"/>
                <w:noProof/>
                <w:sz w:val="20"/>
                <w:szCs w:val="20"/>
                <w:highlight w:val="black"/>
              </w:rPr>
              <w:t>'''''''''''''''''</w:t>
            </w:r>
          </w:p>
        </w:tc>
        <w:tc>
          <w:tcPr>
            <w:tcW w:w="1561" w:type="dxa"/>
            <w:gridSpan w:val="2"/>
          </w:tcPr>
          <w:p w:rsidR="00622DEB" w:rsidRPr="008D797E" w:rsidRDefault="00622DEB" w:rsidP="003028C8">
            <w:pPr>
              <w:spacing w:before="40" w:after="40" w:line="25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8D797E">
              <w:rPr>
                <w:rFonts w:ascii="Arial Narrow" w:hAnsi="Arial Narrow"/>
                <w:sz w:val="20"/>
                <w:szCs w:val="20"/>
              </w:rPr>
              <w:t>$</w:t>
            </w:r>
            <w:r w:rsidR="006470F1">
              <w:rPr>
                <w:rFonts w:ascii="Arial Narrow" w:hAnsi="Arial Narrow"/>
                <w:noProof/>
                <w:sz w:val="20"/>
                <w:szCs w:val="20"/>
                <w:highlight w:val="black"/>
              </w:rPr>
              <w:t>'''''''''''''''</w:t>
            </w:r>
          </w:p>
        </w:tc>
      </w:tr>
      <w:tr w:rsidR="00622DEB" w:rsidRPr="008D797E" w:rsidTr="003028C8">
        <w:tc>
          <w:tcPr>
            <w:cnfStyle w:val="001000000000" w:firstRow="0" w:lastRow="0" w:firstColumn="1" w:lastColumn="0" w:oddVBand="0" w:evenVBand="0" w:oddHBand="0" w:evenHBand="0" w:firstRowFirstColumn="0" w:firstRowLastColumn="0" w:lastRowFirstColumn="0" w:lastRowLastColumn="0"/>
            <w:tcW w:w="1019" w:type="dxa"/>
          </w:tcPr>
          <w:p w:rsidR="00622DEB" w:rsidRPr="008D797E" w:rsidRDefault="00622DEB" w:rsidP="003028C8">
            <w:pPr>
              <w:spacing w:before="40" w:after="40" w:line="256" w:lineRule="auto"/>
              <w:jc w:val="left"/>
              <w:rPr>
                <w:rFonts w:ascii="Arial Narrow" w:hAnsi="Arial Narrow"/>
                <w:sz w:val="20"/>
                <w:szCs w:val="20"/>
              </w:rPr>
            </w:pPr>
            <w:r w:rsidRPr="008D797E">
              <w:rPr>
                <w:rFonts w:ascii="Arial Narrow" w:hAnsi="Arial Narrow"/>
                <w:sz w:val="20"/>
                <w:szCs w:val="20"/>
              </w:rPr>
              <w:t>ATZ</w:t>
            </w:r>
          </w:p>
        </w:tc>
        <w:tc>
          <w:tcPr>
            <w:tcW w:w="841" w:type="dxa"/>
          </w:tcPr>
          <w:p w:rsidR="00622DEB" w:rsidRPr="00601BF0" w:rsidRDefault="00622DEB" w:rsidP="003028C8">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sz w:val="20"/>
                <w:szCs w:val="20"/>
              </w:rPr>
            </w:pPr>
            <w:r w:rsidRPr="00601BF0">
              <w:rPr>
                <w:rFonts w:ascii="Arial Narrow" w:hAnsi="Arial Narrow" w:cs="Calibri"/>
                <w:sz w:val="20"/>
                <w:szCs w:val="20"/>
              </w:rPr>
              <w:t>$</w:t>
            </w:r>
            <w:r w:rsidR="006470F1">
              <w:rPr>
                <w:rFonts w:ascii="Arial Narrow" w:hAnsi="Arial Narrow" w:cs="Calibri"/>
                <w:noProof/>
                <w:sz w:val="20"/>
                <w:szCs w:val="20"/>
                <w:highlight w:val="black"/>
              </w:rPr>
              <w:t>'''''''''''''''''</w:t>
            </w:r>
          </w:p>
        </w:tc>
        <w:tc>
          <w:tcPr>
            <w:tcW w:w="809" w:type="dxa"/>
          </w:tcPr>
          <w:p w:rsidR="00622DEB" w:rsidRPr="00601BF0" w:rsidRDefault="00622DEB" w:rsidP="003028C8">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sz w:val="20"/>
                <w:szCs w:val="20"/>
              </w:rPr>
            </w:pPr>
            <w:r w:rsidRPr="00601BF0">
              <w:rPr>
                <w:rFonts w:ascii="Arial Narrow" w:hAnsi="Arial Narrow" w:cs="Calibri"/>
                <w:sz w:val="20"/>
                <w:szCs w:val="20"/>
              </w:rPr>
              <w:t>$</w:t>
            </w:r>
            <w:r w:rsidR="006470F1">
              <w:rPr>
                <w:rFonts w:ascii="Arial Narrow" w:hAnsi="Arial Narrow" w:cs="Calibri"/>
                <w:noProof/>
                <w:sz w:val="20"/>
                <w:szCs w:val="20"/>
                <w:highlight w:val="black"/>
              </w:rPr>
              <w:t>'''''''''''''''</w:t>
            </w:r>
          </w:p>
        </w:tc>
        <w:tc>
          <w:tcPr>
            <w:tcW w:w="856" w:type="dxa"/>
          </w:tcPr>
          <w:p w:rsidR="00622DEB" w:rsidRPr="00601BF0" w:rsidRDefault="00622DEB" w:rsidP="003028C8">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bCs/>
                <w:sz w:val="20"/>
                <w:szCs w:val="20"/>
              </w:rPr>
            </w:pPr>
            <w:r w:rsidRPr="00601BF0">
              <w:rPr>
                <w:rFonts w:ascii="Arial Narrow" w:hAnsi="Arial Narrow" w:cs="Calibri"/>
                <w:bCs/>
                <w:sz w:val="20"/>
                <w:szCs w:val="20"/>
              </w:rPr>
              <w:t>$</w:t>
            </w:r>
            <w:r w:rsidR="006470F1">
              <w:rPr>
                <w:rFonts w:ascii="Arial Narrow" w:hAnsi="Arial Narrow" w:cs="Calibri"/>
                <w:bCs/>
                <w:noProof/>
                <w:sz w:val="20"/>
                <w:szCs w:val="20"/>
                <w:highlight w:val="black"/>
              </w:rPr>
              <w:t>''''''''''''''''</w:t>
            </w:r>
          </w:p>
        </w:tc>
        <w:tc>
          <w:tcPr>
            <w:tcW w:w="809" w:type="dxa"/>
          </w:tcPr>
          <w:p w:rsidR="00622DEB" w:rsidRPr="00601BF0" w:rsidRDefault="00622DEB" w:rsidP="003028C8">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bCs/>
                <w:sz w:val="20"/>
                <w:szCs w:val="20"/>
              </w:rPr>
            </w:pPr>
            <w:r w:rsidRPr="00601BF0">
              <w:rPr>
                <w:rFonts w:ascii="Arial Narrow" w:hAnsi="Arial Narrow" w:cs="Calibri"/>
                <w:bCs/>
                <w:sz w:val="20"/>
                <w:szCs w:val="20"/>
              </w:rPr>
              <w:t>$</w:t>
            </w:r>
            <w:r w:rsidR="006470F1">
              <w:rPr>
                <w:rFonts w:ascii="Arial Narrow" w:hAnsi="Arial Narrow" w:cs="Calibri"/>
                <w:bCs/>
                <w:noProof/>
                <w:sz w:val="20"/>
                <w:szCs w:val="20"/>
                <w:highlight w:val="black"/>
              </w:rPr>
              <w:t>'''''''''''''''''</w:t>
            </w:r>
          </w:p>
        </w:tc>
        <w:tc>
          <w:tcPr>
            <w:tcW w:w="3122" w:type="dxa"/>
            <w:gridSpan w:val="4"/>
          </w:tcPr>
          <w:p w:rsidR="00622DEB" w:rsidRPr="00601BF0" w:rsidRDefault="00622DEB" w:rsidP="003028C8">
            <w:pPr>
              <w:spacing w:before="40" w:after="40" w:line="25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601BF0">
              <w:rPr>
                <w:rFonts w:ascii="Arial Narrow" w:hAnsi="Arial Narrow"/>
                <w:sz w:val="20"/>
                <w:szCs w:val="20"/>
              </w:rPr>
              <w:t>N/A</w:t>
            </w:r>
          </w:p>
        </w:tc>
        <w:tc>
          <w:tcPr>
            <w:tcW w:w="1561" w:type="dxa"/>
            <w:gridSpan w:val="2"/>
          </w:tcPr>
          <w:p w:rsidR="00622DEB" w:rsidRPr="008D797E" w:rsidRDefault="00622DEB" w:rsidP="003028C8">
            <w:pPr>
              <w:spacing w:before="40" w:after="40" w:line="25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8D797E">
              <w:rPr>
                <w:rFonts w:ascii="Arial Narrow" w:hAnsi="Arial Narrow"/>
                <w:sz w:val="20"/>
                <w:szCs w:val="20"/>
              </w:rPr>
              <w:t>N/A</w:t>
            </w:r>
          </w:p>
        </w:tc>
      </w:tr>
      <w:tr w:rsidR="00622DEB" w:rsidRPr="008D797E" w:rsidTr="003028C8">
        <w:tc>
          <w:tcPr>
            <w:cnfStyle w:val="001000000000" w:firstRow="0" w:lastRow="0" w:firstColumn="1" w:lastColumn="0" w:oddVBand="0" w:evenVBand="0" w:oddHBand="0" w:evenHBand="0" w:firstRowFirstColumn="0" w:firstRowLastColumn="0" w:lastRowFirstColumn="0" w:lastRowLastColumn="0"/>
            <w:tcW w:w="1019" w:type="dxa"/>
          </w:tcPr>
          <w:p w:rsidR="00622DEB" w:rsidRPr="008D797E" w:rsidRDefault="00622DEB" w:rsidP="003028C8">
            <w:pPr>
              <w:spacing w:before="40" w:after="40" w:line="256" w:lineRule="auto"/>
              <w:jc w:val="left"/>
              <w:rPr>
                <w:rFonts w:ascii="Arial Narrow" w:hAnsi="Arial Narrow"/>
                <w:sz w:val="20"/>
                <w:szCs w:val="20"/>
              </w:rPr>
            </w:pPr>
            <w:r w:rsidRPr="008D797E">
              <w:rPr>
                <w:rFonts w:ascii="Arial Narrow" w:hAnsi="Arial Narrow"/>
                <w:sz w:val="20"/>
                <w:szCs w:val="20"/>
              </w:rPr>
              <w:t>Nab-P</w:t>
            </w:r>
          </w:p>
        </w:tc>
        <w:tc>
          <w:tcPr>
            <w:tcW w:w="841" w:type="dxa"/>
          </w:tcPr>
          <w:p w:rsidR="00622DEB" w:rsidRPr="00601BF0" w:rsidRDefault="00622DEB" w:rsidP="003028C8">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bCs/>
                <w:sz w:val="20"/>
                <w:szCs w:val="20"/>
              </w:rPr>
            </w:pPr>
            <w:r w:rsidRPr="00601BF0">
              <w:rPr>
                <w:rFonts w:ascii="Arial Narrow" w:hAnsi="Arial Narrow" w:cs="Calibri"/>
                <w:bCs/>
                <w:sz w:val="20"/>
                <w:szCs w:val="20"/>
              </w:rPr>
              <w:t>$7,265</w:t>
            </w:r>
          </w:p>
        </w:tc>
        <w:tc>
          <w:tcPr>
            <w:tcW w:w="809" w:type="dxa"/>
          </w:tcPr>
          <w:p w:rsidR="00622DEB" w:rsidRPr="00601BF0" w:rsidRDefault="00622DEB" w:rsidP="003028C8">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bCs/>
                <w:sz w:val="20"/>
                <w:szCs w:val="20"/>
              </w:rPr>
            </w:pPr>
            <w:r w:rsidRPr="00601BF0">
              <w:rPr>
                <w:rFonts w:ascii="Arial Narrow" w:hAnsi="Arial Narrow" w:cs="Calibri"/>
                <w:bCs/>
                <w:sz w:val="20"/>
                <w:szCs w:val="20"/>
              </w:rPr>
              <w:t>$24,365</w:t>
            </w:r>
          </w:p>
        </w:tc>
        <w:tc>
          <w:tcPr>
            <w:tcW w:w="856" w:type="dxa"/>
          </w:tcPr>
          <w:p w:rsidR="00622DEB" w:rsidRPr="00601BF0" w:rsidRDefault="00622DEB" w:rsidP="003028C8">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bCs/>
                <w:sz w:val="20"/>
                <w:szCs w:val="20"/>
              </w:rPr>
            </w:pPr>
            <w:r w:rsidRPr="00601BF0">
              <w:rPr>
                <w:rFonts w:ascii="Arial Narrow" w:hAnsi="Arial Narrow" w:cs="Calibri"/>
                <w:bCs/>
                <w:sz w:val="20"/>
                <w:szCs w:val="20"/>
              </w:rPr>
              <w:t>$7,386</w:t>
            </w:r>
          </w:p>
        </w:tc>
        <w:tc>
          <w:tcPr>
            <w:tcW w:w="809" w:type="dxa"/>
          </w:tcPr>
          <w:p w:rsidR="00622DEB" w:rsidRPr="00601BF0" w:rsidRDefault="00622DEB" w:rsidP="003028C8">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bCs/>
                <w:sz w:val="20"/>
                <w:szCs w:val="20"/>
              </w:rPr>
            </w:pPr>
            <w:r w:rsidRPr="00601BF0">
              <w:rPr>
                <w:rFonts w:ascii="Arial Narrow" w:hAnsi="Arial Narrow" w:cs="Calibri"/>
                <w:bCs/>
                <w:sz w:val="20"/>
                <w:szCs w:val="20"/>
              </w:rPr>
              <w:t>$19,474</w:t>
            </w:r>
          </w:p>
        </w:tc>
        <w:tc>
          <w:tcPr>
            <w:tcW w:w="752" w:type="dxa"/>
          </w:tcPr>
          <w:p w:rsidR="00622DEB" w:rsidRPr="00601BF0" w:rsidRDefault="00622DEB" w:rsidP="003028C8">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sz w:val="20"/>
                <w:szCs w:val="20"/>
              </w:rPr>
            </w:pPr>
            <w:r w:rsidRPr="00601BF0">
              <w:rPr>
                <w:rFonts w:ascii="Arial Narrow" w:hAnsi="Arial Narrow" w:cs="Calibri"/>
                <w:sz w:val="20"/>
                <w:szCs w:val="20"/>
              </w:rPr>
              <w:t>$7,105</w:t>
            </w:r>
          </w:p>
        </w:tc>
        <w:tc>
          <w:tcPr>
            <w:tcW w:w="809" w:type="dxa"/>
          </w:tcPr>
          <w:p w:rsidR="00622DEB" w:rsidRPr="00601BF0" w:rsidRDefault="00622DEB" w:rsidP="003028C8">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sz w:val="20"/>
                <w:szCs w:val="20"/>
              </w:rPr>
            </w:pPr>
            <w:r w:rsidRPr="00601BF0">
              <w:rPr>
                <w:rFonts w:ascii="Arial Narrow" w:hAnsi="Arial Narrow" w:cs="Calibri"/>
                <w:sz w:val="20"/>
                <w:szCs w:val="20"/>
              </w:rPr>
              <w:t>$17,567</w:t>
            </w:r>
          </w:p>
        </w:tc>
        <w:tc>
          <w:tcPr>
            <w:tcW w:w="752" w:type="dxa"/>
          </w:tcPr>
          <w:p w:rsidR="00622DEB" w:rsidRPr="00601BF0" w:rsidRDefault="00622DEB" w:rsidP="003028C8">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sz w:val="20"/>
                <w:szCs w:val="20"/>
              </w:rPr>
            </w:pPr>
            <w:r w:rsidRPr="00601BF0">
              <w:rPr>
                <w:rFonts w:ascii="Arial Narrow" w:hAnsi="Arial Narrow" w:cs="Calibri"/>
                <w:sz w:val="20"/>
                <w:szCs w:val="20"/>
              </w:rPr>
              <w:t>$6,786</w:t>
            </w:r>
          </w:p>
        </w:tc>
        <w:tc>
          <w:tcPr>
            <w:tcW w:w="809" w:type="dxa"/>
          </w:tcPr>
          <w:p w:rsidR="00622DEB" w:rsidRPr="00601BF0" w:rsidRDefault="00622DEB" w:rsidP="003028C8">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sz w:val="20"/>
                <w:szCs w:val="20"/>
              </w:rPr>
            </w:pPr>
            <w:r w:rsidRPr="00601BF0">
              <w:rPr>
                <w:rFonts w:ascii="Arial Narrow" w:hAnsi="Arial Narrow" w:cs="Calibri"/>
                <w:sz w:val="20"/>
                <w:szCs w:val="20"/>
              </w:rPr>
              <w:t>$14,169</w:t>
            </w:r>
          </w:p>
        </w:tc>
        <w:tc>
          <w:tcPr>
            <w:tcW w:w="752" w:type="dxa"/>
          </w:tcPr>
          <w:p w:rsidR="00622DEB" w:rsidRPr="008D797E" w:rsidRDefault="00622DEB" w:rsidP="003028C8">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sz w:val="20"/>
                <w:szCs w:val="20"/>
              </w:rPr>
            </w:pPr>
            <w:r w:rsidRPr="008D797E">
              <w:rPr>
                <w:rFonts w:ascii="Arial Narrow" w:hAnsi="Arial Narrow" w:cs="Calibri"/>
                <w:sz w:val="20"/>
                <w:szCs w:val="20"/>
              </w:rPr>
              <w:t>$6,975</w:t>
            </w:r>
          </w:p>
        </w:tc>
        <w:tc>
          <w:tcPr>
            <w:tcW w:w="809" w:type="dxa"/>
          </w:tcPr>
          <w:p w:rsidR="00622DEB" w:rsidRPr="008D797E" w:rsidRDefault="00622DEB" w:rsidP="003028C8">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sz w:val="20"/>
                <w:szCs w:val="20"/>
              </w:rPr>
            </w:pPr>
            <w:r w:rsidRPr="008D797E">
              <w:rPr>
                <w:rFonts w:ascii="Arial Narrow" w:hAnsi="Arial Narrow" w:cs="Calibri"/>
                <w:sz w:val="20"/>
                <w:szCs w:val="20"/>
              </w:rPr>
              <w:t>$16,196</w:t>
            </w:r>
          </w:p>
        </w:tc>
      </w:tr>
      <w:tr w:rsidR="00622DEB" w:rsidRPr="008D797E" w:rsidTr="003028C8">
        <w:tc>
          <w:tcPr>
            <w:cnfStyle w:val="001000000000" w:firstRow="0" w:lastRow="0" w:firstColumn="1" w:lastColumn="0" w:oddVBand="0" w:evenVBand="0" w:oddHBand="0" w:evenHBand="0" w:firstRowFirstColumn="0" w:firstRowLastColumn="0" w:lastRowFirstColumn="0" w:lastRowLastColumn="0"/>
            <w:tcW w:w="1019" w:type="dxa"/>
          </w:tcPr>
          <w:p w:rsidR="00622DEB" w:rsidRPr="008D797E" w:rsidRDefault="00622DEB" w:rsidP="003028C8">
            <w:pPr>
              <w:spacing w:before="40" w:after="40" w:line="256" w:lineRule="auto"/>
              <w:jc w:val="left"/>
              <w:rPr>
                <w:rFonts w:ascii="Arial Narrow" w:hAnsi="Arial Narrow"/>
                <w:sz w:val="20"/>
                <w:szCs w:val="20"/>
              </w:rPr>
            </w:pPr>
            <w:r w:rsidRPr="008D797E">
              <w:rPr>
                <w:rFonts w:ascii="Arial Narrow" w:hAnsi="Arial Narrow"/>
                <w:sz w:val="20"/>
                <w:szCs w:val="20"/>
              </w:rPr>
              <w:t>Weighted ATZ</w:t>
            </w:r>
          </w:p>
        </w:tc>
        <w:tc>
          <w:tcPr>
            <w:tcW w:w="3315" w:type="dxa"/>
            <w:gridSpan w:val="4"/>
          </w:tcPr>
          <w:p w:rsidR="00622DEB" w:rsidRPr="00601BF0" w:rsidRDefault="00622DEB" w:rsidP="003028C8">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sz w:val="20"/>
                <w:szCs w:val="20"/>
              </w:rPr>
            </w:pPr>
            <w:r w:rsidRPr="00601BF0">
              <w:rPr>
                <w:rFonts w:ascii="Arial Narrow" w:hAnsi="Arial Narrow" w:cs="Calibri"/>
                <w:sz w:val="20"/>
                <w:szCs w:val="20"/>
              </w:rPr>
              <w:t>$</w:t>
            </w:r>
            <w:r w:rsidR="006470F1">
              <w:rPr>
                <w:rFonts w:ascii="Arial Narrow" w:hAnsi="Arial Narrow" w:cs="Calibri"/>
                <w:noProof/>
                <w:sz w:val="20"/>
                <w:szCs w:val="20"/>
                <w:highlight w:val="black"/>
              </w:rPr>
              <w:t>'''''''''''''''''</w:t>
            </w:r>
            <w:r w:rsidRPr="00601BF0">
              <w:rPr>
                <w:rFonts w:ascii="Arial Narrow" w:hAnsi="Arial Narrow" w:cs="Calibri"/>
                <w:sz w:val="20"/>
                <w:szCs w:val="20"/>
              </w:rPr>
              <w:t xml:space="preserve"> in the base case versus $</w:t>
            </w:r>
            <w:r w:rsidR="006470F1">
              <w:rPr>
                <w:rFonts w:ascii="Arial Narrow" w:hAnsi="Arial Narrow" w:cs="Calibri"/>
                <w:noProof/>
                <w:sz w:val="20"/>
                <w:szCs w:val="20"/>
                <w:highlight w:val="black"/>
              </w:rPr>
              <w:t>'''''''''''''''''</w:t>
            </w:r>
            <w:r w:rsidRPr="00601BF0">
              <w:rPr>
                <w:rFonts w:ascii="Arial Narrow" w:hAnsi="Arial Narrow" w:cs="Calibri"/>
                <w:sz w:val="20"/>
                <w:szCs w:val="20"/>
              </w:rPr>
              <w:t xml:space="preserve"> based on TTOT</w:t>
            </w:r>
          </w:p>
        </w:tc>
        <w:tc>
          <w:tcPr>
            <w:tcW w:w="3122" w:type="dxa"/>
            <w:gridSpan w:val="4"/>
          </w:tcPr>
          <w:p w:rsidR="00622DEB" w:rsidRPr="00601BF0" w:rsidRDefault="00622DEB" w:rsidP="003028C8">
            <w:pPr>
              <w:spacing w:before="40" w:after="40" w:line="25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601BF0">
              <w:rPr>
                <w:rFonts w:ascii="Arial Narrow" w:hAnsi="Arial Narrow"/>
                <w:sz w:val="20"/>
                <w:szCs w:val="20"/>
              </w:rPr>
              <w:t>N/A</w:t>
            </w:r>
          </w:p>
        </w:tc>
        <w:tc>
          <w:tcPr>
            <w:tcW w:w="1561" w:type="dxa"/>
            <w:gridSpan w:val="2"/>
          </w:tcPr>
          <w:p w:rsidR="00622DEB" w:rsidRPr="008D797E" w:rsidRDefault="00622DEB" w:rsidP="003028C8">
            <w:pPr>
              <w:spacing w:before="40" w:after="40" w:line="25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8D797E">
              <w:rPr>
                <w:rFonts w:ascii="Arial Narrow" w:hAnsi="Arial Narrow"/>
                <w:sz w:val="20"/>
                <w:szCs w:val="20"/>
              </w:rPr>
              <w:t>N/A</w:t>
            </w:r>
          </w:p>
        </w:tc>
      </w:tr>
      <w:tr w:rsidR="00622DEB" w:rsidRPr="008D797E" w:rsidTr="003028C8">
        <w:tc>
          <w:tcPr>
            <w:cnfStyle w:val="001000000000" w:firstRow="0" w:lastRow="0" w:firstColumn="1" w:lastColumn="0" w:oddVBand="0" w:evenVBand="0" w:oddHBand="0" w:evenHBand="0" w:firstRowFirstColumn="0" w:firstRowLastColumn="0" w:lastRowFirstColumn="0" w:lastRowLastColumn="0"/>
            <w:tcW w:w="1019" w:type="dxa"/>
          </w:tcPr>
          <w:p w:rsidR="00622DEB" w:rsidRPr="008D797E" w:rsidRDefault="00622DEB" w:rsidP="003028C8">
            <w:pPr>
              <w:spacing w:before="40" w:after="40" w:line="256" w:lineRule="auto"/>
              <w:jc w:val="left"/>
              <w:rPr>
                <w:rFonts w:ascii="Arial Narrow" w:hAnsi="Arial Narrow"/>
                <w:sz w:val="20"/>
                <w:szCs w:val="20"/>
              </w:rPr>
            </w:pPr>
            <w:r w:rsidRPr="008D797E">
              <w:rPr>
                <w:rFonts w:ascii="Arial Narrow" w:hAnsi="Arial Narrow"/>
                <w:sz w:val="20"/>
                <w:szCs w:val="20"/>
              </w:rPr>
              <w:t xml:space="preserve">Total weighted ATZ </w:t>
            </w:r>
          </w:p>
        </w:tc>
        <w:tc>
          <w:tcPr>
            <w:tcW w:w="6437" w:type="dxa"/>
            <w:gridSpan w:val="8"/>
          </w:tcPr>
          <w:p w:rsidR="00622DEB" w:rsidRPr="00601BF0" w:rsidRDefault="00622DEB" w:rsidP="003028C8">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sz w:val="20"/>
                <w:szCs w:val="20"/>
              </w:rPr>
            </w:pPr>
            <w:r w:rsidRPr="00601BF0">
              <w:rPr>
                <w:rFonts w:ascii="Arial Narrow" w:hAnsi="Arial Narrow" w:cs="Calibri"/>
                <w:sz w:val="20"/>
                <w:szCs w:val="20"/>
              </w:rPr>
              <w:t>$</w:t>
            </w:r>
            <w:r w:rsidR="006470F1">
              <w:rPr>
                <w:rFonts w:ascii="Arial Narrow" w:hAnsi="Arial Narrow" w:cs="Calibri"/>
                <w:noProof/>
                <w:sz w:val="20"/>
                <w:szCs w:val="20"/>
                <w:highlight w:val="black"/>
              </w:rPr>
              <w:t>''''''''''''''''''</w:t>
            </w:r>
            <w:r w:rsidRPr="00601BF0">
              <w:rPr>
                <w:rFonts w:ascii="Arial Narrow" w:hAnsi="Arial Narrow" w:cs="Calibri"/>
                <w:sz w:val="20"/>
                <w:szCs w:val="20"/>
              </w:rPr>
              <w:t xml:space="preserve"> in the base case versus $</w:t>
            </w:r>
            <w:r w:rsidR="006470F1">
              <w:rPr>
                <w:rFonts w:ascii="Arial Narrow" w:hAnsi="Arial Narrow" w:cs="Calibri"/>
                <w:noProof/>
                <w:sz w:val="20"/>
                <w:szCs w:val="20"/>
                <w:highlight w:val="black"/>
              </w:rPr>
              <w:t>''''''''''''''''''</w:t>
            </w:r>
            <w:r w:rsidRPr="00601BF0">
              <w:rPr>
                <w:rFonts w:ascii="Arial Narrow" w:hAnsi="Arial Narrow" w:cs="Calibri"/>
                <w:sz w:val="20"/>
                <w:szCs w:val="20"/>
              </w:rPr>
              <w:t xml:space="preserve"> based on TTOT</w:t>
            </w:r>
          </w:p>
        </w:tc>
        <w:tc>
          <w:tcPr>
            <w:tcW w:w="1561" w:type="dxa"/>
            <w:gridSpan w:val="2"/>
          </w:tcPr>
          <w:p w:rsidR="00622DEB" w:rsidRPr="008D797E" w:rsidRDefault="00622DEB" w:rsidP="003028C8">
            <w:pPr>
              <w:spacing w:before="40" w:after="40" w:line="25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8D797E">
              <w:rPr>
                <w:rFonts w:ascii="Arial Narrow" w:hAnsi="Arial Narrow"/>
                <w:sz w:val="20"/>
                <w:szCs w:val="20"/>
              </w:rPr>
              <w:t>N/A</w:t>
            </w:r>
          </w:p>
        </w:tc>
      </w:tr>
      <w:tr w:rsidR="00622DEB" w:rsidRPr="008D797E" w:rsidTr="003028C8">
        <w:tc>
          <w:tcPr>
            <w:cnfStyle w:val="001000000000" w:firstRow="0" w:lastRow="0" w:firstColumn="1" w:lastColumn="0" w:oddVBand="0" w:evenVBand="0" w:oddHBand="0" w:evenHBand="0" w:firstRowFirstColumn="0" w:firstRowLastColumn="0" w:lastRowFirstColumn="0" w:lastRowLastColumn="0"/>
            <w:tcW w:w="1019" w:type="dxa"/>
          </w:tcPr>
          <w:p w:rsidR="00622DEB" w:rsidRPr="008D797E" w:rsidRDefault="00622DEB" w:rsidP="003028C8">
            <w:pPr>
              <w:spacing w:before="40" w:after="40" w:line="256" w:lineRule="auto"/>
              <w:jc w:val="left"/>
              <w:rPr>
                <w:rFonts w:ascii="Arial Narrow" w:hAnsi="Arial Narrow"/>
                <w:sz w:val="20"/>
                <w:szCs w:val="20"/>
              </w:rPr>
            </w:pPr>
            <w:r w:rsidRPr="008D797E">
              <w:rPr>
                <w:rFonts w:ascii="Arial Narrow" w:hAnsi="Arial Narrow"/>
                <w:sz w:val="20"/>
                <w:szCs w:val="20"/>
              </w:rPr>
              <w:t xml:space="preserve">Total weighted nab-P </w:t>
            </w:r>
          </w:p>
        </w:tc>
        <w:tc>
          <w:tcPr>
            <w:tcW w:w="6437" w:type="dxa"/>
            <w:gridSpan w:val="8"/>
          </w:tcPr>
          <w:p w:rsidR="00622DEB" w:rsidRPr="00601BF0" w:rsidRDefault="00622DEB" w:rsidP="003028C8">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sz w:val="20"/>
                <w:szCs w:val="20"/>
              </w:rPr>
            </w:pPr>
            <w:r w:rsidRPr="00601BF0">
              <w:rPr>
                <w:rFonts w:ascii="Arial Narrow" w:hAnsi="Arial Narrow" w:cs="Calibri"/>
                <w:sz w:val="20"/>
                <w:szCs w:val="20"/>
              </w:rPr>
              <w:t>$</w:t>
            </w:r>
            <w:r w:rsidR="006470F1">
              <w:rPr>
                <w:rFonts w:ascii="Arial Narrow" w:hAnsi="Arial Narrow" w:cs="Calibri"/>
                <w:noProof/>
                <w:sz w:val="20"/>
                <w:szCs w:val="20"/>
                <w:highlight w:val="black"/>
              </w:rPr>
              <w:t>''''''''''''</w:t>
            </w:r>
            <w:r w:rsidRPr="00601BF0">
              <w:rPr>
                <w:rFonts w:ascii="Arial Narrow" w:hAnsi="Arial Narrow" w:cs="Calibri"/>
                <w:sz w:val="20"/>
                <w:szCs w:val="20"/>
              </w:rPr>
              <w:t xml:space="preserve"> in the base case versus $</w:t>
            </w:r>
            <w:r w:rsidR="006470F1">
              <w:rPr>
                <w:rFonts w:ascii="Arial Narrow" w:hAnsi="Arial Narrow" w:cs="Calibri"/>
                <w:noProof/>
                <w:sz w:val="20"/>
                <w:szCs w:val="20"/>
                <w:highlight w:val="black"/>
              </w:rPr>
              <w:t>''''''''''''''''''</w:t>
            </w:r>
            <w:r w:rsidRPr="00601BF0">
              <w:rPr>
                <w:rFonts w:ascii="Arial Narrow" w:hAnsi="Arial Narrow" w:cs="Calibri"/>
                <w:sz w:val="20"/>
                <w:szCs w:val="20"/>
              </w:rPr>
              <w:t xml:space="preserve"> based on TTOT</w:t>
            </w:r>
          </w:p>
        </w:tc>
        <w:tc>
          <w:tcPr>
            <w:tcW w:w="1561" w:type="dxa"/>
            <w:gridSpan w:val="2"/>
          </w:tcPr>
          <w:p w:rsidR="00622DEB" w:rsidRPr="008D797E" w:rsidRDefault="00622DEB" w:rsidP="003028C8">
            <w:pPr>
              <w:spacing w:before="40" w:after="40" w:line="25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sz w:val="20"/>
                <w:szCs w:val="20"/>
              </w:rPr>
            </w:pPr>
            <w:r w:rsidRPr="008D797E">
              <w:rPr>
                <w:rFonts w:ascii="Arial Narrow" w:hAnsi="Arial Narrow" w:cs="Calibri"/>
                <w:sz w:val="20"/>
                <w:szCs w:val="20"/>
              </w:rPr>
              <w:t>$</w:t>
            </w:r>
            <w:r w:rsidR="006470F1">
              <w:rPr>
                <w:rFonts w:ascii="Arial Narrow" w:hAnsi="Arial Narrow" w:cs="Calibri"/>
                <w:noProof/>
                <w:sz w:val="20"/>
                <w:szCs w:val="20"/>
                <w:highlight w:val="black"/>
              </w:rPr>
              <w:t>''''''''''''</w:t>
            </w:r>
            <w:r w:rsidRPr="008D797E">
              <w:rPr>
                <w:rFonts w:ascii="Arial Narrow" w:hAnsi="Arial Narrow" w:cs="Calibri"/>
                <w:sz w:val="20"/>
                <w:szCs w:val="20"/>
              </w:rPr>
              <w:t xml:space="preserve"> in the base case versus $</w:t>
            </w:r>
            <w:r w:rsidR="006470F1">
              <w:rPr>
                <w:rFonts w:ascii="Arial Narrow" w:hAnsi="Arial Narrow" w:cs="Calibri"/>
                <w:noProof/>
                <w:sz w:val="20"/>
                <w:szCs w:val="20"/>
                <w:highlight w:val="black"/>
              </w:rPr>
              <w:t>'''''''''''''''''</w:t>
            </w:r>
            <w:r w:rsidRPr="008D797E">
              <w:rPr>
                <w:rFonts w:ascii="Arial Narrow" w:hAnsi="Arial Narrow" w:cs="Calibri"/>
                <w:sz w:val="20"/>
                <w:szCs w:val="20"/>
              </w:rPr>
              <w:t xml:space="preserve"> based on TTOT</w:t>
            </w:r>
          </w:p>
        </w:tc>
      </w:tr>
      <w:tr w:rsidR="00622DEB" w:rsidRPr="008D797E" w:rsidTr="003028C8">
        <w:tc>
          <w:tcPr>
            <w:cnfStyle w:val="001000000000" w:firstRow="0" w:lastRow="0" w:firstColumn="1" w:lastColumn="0" w:oddVBand="0" w:evenVBand="0" w:oddHBand="0" w:evenHBand="0" w:firstRowFirstColumn="0" w:firstRowLastColumn="0" w:lastRowFirstColumn="0" w:lastRowLastColumn="0"/>
            <w:tcW w:w="1019" w:type="dxa"/>
          </w:tcPr>
          <w:p w:rsidR="00622DEB" w:rsidRPr="008D797E" w:rsidRDefault="00622DEB" w:rsidP="003028C8">
            <w:pPr>
              <w:spacing w:before="40" w:after="40" w:line="256" w:lineRule="auto"/>
              <w:jc w:val="left"/>
              <w:rPr>
                <w:rFonts w:ascii="Arial Narrow" w:hAnsi="Arial Narrow"/>
                <w:sz w:val="20"/>
                <w:szCs w:val="20"/>
              </w:rPr>
            </w:pPr>
            <w:r w:rsidRPr="008D797E">
              <w:rPr>
                <w:rFonts w:ascii="Arial Narrow" w:hAnsi="Arial Narrow"/>
                <w:sz w:val="20"/>
                <w:szCs w:val="20"/>
              </w:rPr>
              <w:t>Total cost per patient</w:t>
            </w:r>
          </w:p>
        </w:tc>
        <w:tc>
          <w:tcPr>
            <w:tcW w:w="6437" w:type="dxa"/>
            <w:gridSpan w:val="8"/>
          </w:tcPr>
          <w:p w:rsidR="00622DEB" w:rsidRPr="00601BF0" w:rsidRDefault="00622DEB" w:rsidP="003028C8">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sz w:val="20"/>
                <w:szCs w:val="20"/>
              </w:rPr>
            </w:pPr>
            <w:r w:rsidRPr="00601BF0">
              <w:rPr>
                <w:rFonts w:ascii="Arial Narrow" w:hAnsi="Arial Narrow" w:cs="Calibri"/>
                <w:sz w:val="20"/>
                <w:szCs w:val="20"/>
              </w:rPr>
              <w:t>$</w:t>
            </w:r>
            <w:r w:rsidR="006470F1">
              <w:rPr>
                <w:rFonts w:ascii="Arial Narrow" w:hAnsi="Arial Narrow" w:cs="Calibri"/>
                <w:noProof/>
                <w:sz w:val="20"/>
                <w:szCs w:val="20"/>
                <w:highlight w:val="black"/>
              </w:rPr>
              <w:t>'''''''''''''''</w:t>
            </w:r>
            <w:r w:rsidRPr="00601BF0">
              <w:rPr>
                <w:rFonts w:ascii="Arial Narrow" w:hAnsi="Arial Narrow" w:cs="Calibri"/>
                <w:sz w:val="20"/>
                <w:szCs w:val="20"/>
              </w:rPr>
              <w:t xml:space="preserve"> in the base case versus $</w:t>
            </w:r>
            <w:r w:rsidR="006470F1">
              <w:rPr>
                <w:rFonts w:ascii="Arial Narrow" w:hAnsi="Arial Narrow" w:cs="Calibri"/>
                <w:noProof/>
                <w:sz w:val="20"/>
                <w:szCs w:val="20"/>
                <w:highlight w:val="black"/>
              </w:rPr>
              <w:t>'''''''''''''''</w:t>
            </w:r>
            <w:r w:rsidRPr="00601BF0">
              <w:rPr>
                <w:rFonts w:ascii="Arial Narrow" w:hAnsi="Arial Narrow" w:cs="Calibri"/>
                <w:sz w:val="20"/>
                <w:szCs w:val="20"/>
              </w:rPr>
              <w:t xml:space="preserve"> based on TTOT</w:t>
            </w:r>
          </w:p>
        </w:tc>
        <w:tc>
          <w:tcPr>
            <w:tcW w:w="1561" w:type="dxa"/>
            <w:gridSpan w:val="2"/>
          </w:tcPr>
          <w:p w:rsidR="00622DEB" w:rsidRPr="008D797E" w:rsidRDefault="00622DEB" w:rsidP="003028C8">
            <w:pPr>
              <w:spacing w:before="40" w:after="40" w:line="25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sz w:val="20"/>
                <w:szCs w:val="20"/>
              </w:rPr>
            </w:pPr>
            <w:r w:rsidRPr="008D797E">
              <w:rPr>
                <w:rFonts w:ascii="Arial Narrow" w:hAnsi="Arial Narrow" w:cs="Calibri"/>
                <w:sz w:val="20"/>
                <w:szCs w:val="20"/>
              </w:rPr>
              <w:t>$</w:t>
            </w:r>
            <w:r w:rsidR="006470F1">
              <w:rPr>
                <w:rFonts w:ascii="Arial Narrow" w:hAnsi="Arial Narrow" w:cs="Calibri"/>
                <w:noProof/>
                <w:sz w:val="20"/>
                <w:szCs w:val="20"/>
                <w:highlight w:val="black"/>
              </w:rPr>
              <w:t>''''''''''''</w:t>
            </w:r>
            <w:r w:rsidRPr="008D797E">
              <w:rPr>
                <w:rFonts w:ascii="Arial Narrow" w:hAnsi="Arial Narrow" w:cs="Calibri"/>
                <w:sz w:val="20"/>
                <w:szCs w:val="20"/>
              </w:rPr>
              <w:t xml:space="preserve"> in the base case versus $</w:t>
            </w:r>
            <w:r w:rsidR="006470F1">
              <w:rPr>
                <w:rFonts w:ascii="Arial Narrow" w:hAnsi="Arial Narrow" w:cs="Calibri"/>
                <w:noProof/>
                <w:sz w:val="20"/>
                <w:szCs w:val="20"/>
                <w:highlight w:val="black"/>
              </w:rPr>
              <w:t>'''''''''''''''</w:t>
            </w:r>
            <w:r w:rsidRPr="008D797E">
              <w:rPr>
                <w:rFonts w:ascii="Arial Narrow" w:hAnsi="Arial Narrow" w:cs="Calibri"/>
                <w:sz w:val="20"/>
                <w:szCs w:val="20"/>
              </w:rPr>
              <w:t xml:space="preserve"> based on TTOT</w:t>
            </w:r>
          </w:p>
        </w:tc>
      </w:tr>
    </w:tbl>
    <w:p w:rsidR="00622DEB" w:rsidRPr="008D797E" w:rsidRDefault="00622DEB" w:rsidP="00622DEB">
      <w:pPr>
        <w:pStyle w:val="TableFigureFooter"/>
      </w:pPr>
      <w:r w:rsidRPr="008D797E">
        <w:t>Source: Compiled during evaluation based on Revised Economic Evaluation.xlsx.</w:t>
      </w:r>
    </w:p>
    <w:p w:rsidR="00622DEB" w:rsidRPr="008D797E" w:rsidRDefault="00622DEB" w:rsidP="00622DEB">
      <w:pPr>
        <w:pStyle w:val="TableFigureFooter"/>
      </w:pPr>
      <w:r w:rsidRPr="008D797E">
        <w:t>ATZ = atezolizumab; nab-P = nanoparticle albumin–bound paclitaxel; ITT = intention to treat; TTOT = time to off treatment, mths = months; N/A = not applicable.</w:t>
      </w:r>
    </w:p>
    <w:p w:rsidR="00622DEB" w:rsidRPr="008D797E" w:rsidRDefault="00622DEB" w:rsidP="00622DEB">
      <w:pPr>
        <w:pStyle w:val="TableFigureFooter"/>
      </w:pPr>
      <w:r w:rsidRPr="008D797E">
        <w:t>Note that the numbers may not add up due to rounding.</w:t>
      </w:r>
    </w:p>
    <w:p w:rsidR="00622DEB" w:rsidRPr="008D797E" w:rsidRDefault="00622DEB" w:rsidP="00622DEB">
      <w:pPr>
        <w:numPr>
          <w:ilvl w:val="1"/>
          <w:numId w:val="1"/>
        </w:numPr>
        <w:spacing w:after="120"/>
      </w:pPr>
      <w:r w:rsidRPr="008D797E">
        <w:rPr>
          <w:rFonts w:asciiTheme="minorHAnsi" w:hAnsiTheme="minorHAnsi"/>
          <w:snapToGrid w:val="0"/>
        </w:rPr>
        <w:t xml:space="preserve">The average cost per patient per course for ATZ+nab-P and nab-P alone differed between the submission’s economic model and financial analysis due to differences in the estimated number of doses. The economic model set a cap on the accumulated average number of doses of ATZ based on TTOT, and a cap on the maximum number of doses of nab-P based on TTOT, which resulted in an average of </w:t>
      </w:r>
      <w:r w:rsidR="006470F1">
        <w:rPr>
          <w:rFonts w:asciiTheme="minorHAnsi" w:hAnsiTheme="minorHAnsi"/>
          <w:noProof/>
          <w:snapToGrid w:val="0"/>
          <w:color w:val="000000"/>
          <w:highlight w:val="black"/>
        </w:rPr>
        <w:t xml:space="preserve">''''''''''' </w:t>
      </w:r>
      <w:r w:rsidRPr="008D797E">
        <w:rPr>
          <w:rFonts w:asciiTheme="minorHAnsi" w:hAnsiTheme="minorHAnsi"/>
          <w:snapToGrid w:val="0"/>
        </w:rPr>
        <w:t xml:space="preserve">doses of ATZ and 9.01 doses of nab-P for </w:t>
      </w:r>
      <w:r w:rsidR="00082308" w:rsidRPr="008D797E">
        <w:rPr>
          <w:rFonts w:asciiTheme="minorHAnsi" w:hAnsiTheme="minorHAnsi"/>
          <w:snapToGrid w:val="0"/>
        </w:rPr>
        <w:t>PD-L1-positive</w:t>
      </w:r>
      <w:r w:rsidRPr="008D797E">
        <w:rPr>
          <w:rFonts w:asciiTheme="minorHAnsi" w:hAnsiTheme="minorHAnsi"/>
          <w:snapToGrid w:val="0"/>
        </w:rPr>
        <w:t xml:space="preserve"> patients, and 8.41 doses of nab-P for PD-L1 false-negative patients who were treated with nab-P monotherapy. In contrast, the financial analysis simply assumed </w:t>
      </w:r>
      <w:r w:rsidR="006470F1">
        <w:rPr>
          <w:rFonts w:asciiTheme="minorHAnsi" w:hAnsiTheme="minorHAnsi"/>
          <w:noProof/>
          <w:snapToGrid w:val="0"/>
          <w:color w:val="000000"/>
          <w:highlight w:val="black"/>
        </w:rPr>
        <w:t>'''''</w:t>
      </w:r>
      <w:r w:rsidRPr="008D797E">
        <w:rPr>
          <w:rFonts w:asciiTheme="minorHAnsi" w:hAnsiTheme="minorHAnsi"/>
          <w:snapToGrid w:val="0"/>
        </w:rPr>
        <w:t xml:space="preserve"> doses for ATZ and 10 doses for nab-P (irrespective of whether it was used in combination with ATZ or alone).</w:t>
      </w:r>
    </w:p>
    <w:p w:rsidR="00622DEB" w:rsidRPr="008D797E" w:rsidRDefault="00622DEB" w:rsidP="00622DEB">
      <w:pPr>
        <w:pStyle w:val="4-SubsectionHeading"/>
      </w:pPr>
      <w:bookmarkStart w:id="46" w:name="_Toc22897647"/>
      <w:bookmarkStart w:id="47" w:name="_Toc60915066"/>
      <w:bookmarkStart w:id="48" w:name="_Toc61965005"/>
      <w:r w:rsidRPr="008D797E">
        <w:t>Estimated PBS usage &amp; financial implications</w:t>
      </w:r>
      <w:bookmarkEnd w:id="46"/>
      <w:bookmarkEnd w:id="47"/>
      <w:bookmarkEnd w:id="48"/>
    </w:p>
    <w:p w:rsidR="00622DEB" w:rsidRPr="008D797E" w:rsidRDefault="00622DEB" w:rsidP="00622DEB">
      <w:pPr>
        <w:numPr>
          <w:ilvl w:val="1"/>
          <w:numId w:val="1"/>
        </w:numPr>
        <w:spacing w:after="120"/>
        <w:rPr>
          <w:rFonts w:asciiTheme="minorHAnsi" w:hAnsiTheme="minorHAnsi"/>
          <w:snapToGrid w:val="0"/>
        </w:rPr>
      </w:pPr>
      <w:r w:rsidRPr="008D797E">
        <w:rPr>
          <w:rFonts w:asciiTheme="minorHAnsi" w:hAnsiTheme="minorHAnsi"/>
          <w:snapToGrid w:val="0"/>
        </w:rPr>
        <w:t xml:space="preserve">This resubmission </w:t>
      </w:r>
      <w:r w:rsidR="005A20B4" w:rsidRPr="008D797E">
        <w:rPr>
          <w:rFonts w:asciiTheme="minorHAnsi" w:hAnsiTheme="minorHAnsi"/>
          <w:snapToGrid w:val="0"/>
        </w:rPr>
        <w:t xml:space="preserve">was </w:t>
      </w:r>
      <w:r w:rsidRPr="008D797E">
        <w:rPr>
          <w:rFonts w:asciiTheme="minorHAnsi" w:hAnsiTheme="minorHAnsi"/>
          <w:snapToGrid w:val="0"/>
        </w:rPr>
        <w:t xml:space="preserve">not considered by DUSC. </w:t>
      </w:r>
    </w:p>
    <w:p w:rsidR="00622DEB" w:rsidRPr="008D797E" w:rsidRDefault="00622DEB" w:rsidP="00622DEB">
      <w:pPr>
        <w:pStyle w:val="3-BodyText"/>
      </w:pPr>
      <w:r w:rsidRPr="008D797E">
        <w:t>The resubmission used an epidemiological approach to determine the number of patients likely to be treated with ATZ+nab-P and the expected financial impact of listing ATZ+nab-P on the PBS and Government health budget. The approach was unchanged from the previous submission, although with updated inputs.</w:t>
      </w:r>
    </w:p>
    <w:p w:rsidR="00622DEB" w:rsidRPr="008D797E" w:rsidRDefault="00622DEB" w:rsidP="00622DEB">
      <w:pPr>
        <w:pStyle w:val="3-BodyText"/>
      </w:pPr>
      <w:r w:rsidRPr="008D797E">
        <w:t>Key input parameters used in the resubmission’s approach are provided in the table below.</w:t>
      </w:r>
    </w:p>
    <w:p w:rsidR="00622DEB" w:rsidRPr="008D797E" w:rsidRDefault="00622DEB" w:rsidP="001F6CA5">
      <w:pPr>
        <w:pStyle w:val="TableFigureHeading"/>
      </w:pPr>
      <w:r w:rsidRPr="008D797E">
        <w:t xml:space="preserve">Table </w:t>
      </w:r>
      <w:r w:rsidR="00232E9D" w:rsidRPr="006E5C4D">
        <w:t>16</w:t>
      </w:r>
      <w:r w:rsidRPr="008D797E">
        <w:t>: Key inputs for financial estimates</w:t>
      </w:r>
    </w:p>
    <w:tbl>
      <w:tblPr>
        <w:tblStyle w:val="PBACTableStyle21"/>
        <w:tblpPr w:leftFromText="180" w:rightFromText="180" w:vertAnchor="text" w:horzAnchor="margin" w:tblpY="73"/>
        <w:tblW w:w="5000" w:type="pct"/>
        <w:tblLook w:val="0480" w:firstRow="0" w:lastRow="0" w:firstColumn="1" w:lastColumn="0" w:noHBand="0" w:noVBand="1"/>
        <w:tblCaption w:val="Table 16: Key inputs for financial estimates"/>
      </w:tblPr>
      <w:tblGrid>
        <w:gridCol w:w="2622"/>
        <w:gridCol w:w="3042"/>
        <w:gridCol w:w="3352"/>
      </w:tblGrid>
      <w:tr w:rsidR="00FA018B" w:rsidRPr="008D797E" w:rsidTr="00FA018B">
        <w:trPr>
          <w:tblHeader/>
        </w:trPr>
        <w:tc>
          <w:tcPr>
            <w:cnfStyle w:val="001000000000" w:firstRow="0" w:lastRow="0" w:firstColumn="1" w:lastColumn="0" w:oddVBand="0" w:evenVBand="0" w:oddHBand="0" w:evenHBand="0" w:firstRowFirstColumn="0" w:firstRowLastColumn="0" w:lastRowFirstColumn="0" w:lastRowLastColumn="0"/>
            <w:tcW w:w="2622" w:type="dxa"/>
            <w:vAlign w:val="top"/>
          </w:tcPr>
          <w:p w:rsidR="00FA018B" w:rsidRPr="00115C2F" w:rsidRDefault="00FA018B" w:rsidP="00FA018B">
            <w:pPr>
              <w:keepNext/>
              <w:jc w:val="left"/>
              <w:rPr>
                <w:rFonts w:ascii="Arial Narrow" w:eastAsiaTheme="majorEastAsia" w:hAnsi="Arial Narrow" w:cstheme="majorBidi"/>
                <w:b/>
                <w:bCs/>
                <w:sz w:val="20"/>
              </w:rPr>
            </w:pPr>
            <w:r w:rsidRPr="00115C2F">
              <w:rPr>
                <w:rFonts w:ascii="Arial Narrow" w:eastAsiaTheme="majorEastAsia" w:hAnsi="Arial Narrow" w:cstheme="majorBidi"/>
                <w:b/>
                <w:bCs/>
                <w:sz w:val="20"/>
              </w:rPr>
              <w:t>Parameter</w:t>
            </w:r>
          </w:p>
        </w:tc>
        <w:tc>
          <w:tcPr>
            <w:tcW w:w="3042" w:type="dxa"/>
            <w:vAlign w:val="top"/>
          </w:tcPr>
          <w:p w:rsidR="00FA018B" w:rsidRPr="008D797E" w:rsidRDefault="00FA018B" w:rsidP="00FA018B">
            <w:pPr>
              <w:keepNext/>
              <w:jc w:val="left"/>
              <w:cnfStyle w:val="000000000000" w:firstRow="0" w:lastRow="0" w:firstColumn="0" w:lastColumn="0" w:oddVBand="0" w:evenVBand="0" w:oddHBand="0" w:evenHBand="0" w:firstRowFirstColumn="0" w:firstRowLastColumn="0" w:lastRowFirstColumn="0" w:lastRowLastColumn="0"/>
              <w:rPr>
                <w:rFonts w:ascii="Arial Narrow" w:eastAsiaTheme="majorEastAsia" w:hAnsi="Arial Narrow" w:cstheme="majorBidi"/>
                <w:b/>
                <w:bCs/>
                <w:sz w:val="20"/>
              </w:rPr>
            </w:pPr>
            <w:r w:rsidRPr="008D797E">
              <w:rPr>
                <w:rFonts w:ascii="Arial Narrow" w:eastAsiaTheme="majorEastAsia" w:hAnsi="Arial Narrow" w:cstheme="majorBidi"/>
                <w:b/>
                <w:bCs/>
                <w:sz w:val="20"/>
              </w:rPr>
              <w:t>Value applied and source</w:t>
            </w:r>
          </w:p>
        </w:tc>
        <w:tc>
          <w:tcPr>
            <w:tcW w:w="3352" w:type="dxa"/>
            <w:vAlign w:val="top"/>
          </w:tcPr>
          <w:p w:rsidR="00FA018B" w:rsidRPr="008D797E" w:rsidRDefault="00FA018B" w:rsidP="00FA018B">
            <w:pPr>
              <w:keepNext/>
              <w:jc w:val="left"/>
              <w:cnfStyle w:val="000000000000" w:firstRow="0" w:lastRow="0" w:firstColumn="0" w:lastColumn="0" w:oddVBand="0" w:evenVBand="0" w:oddHBand="0" w:evenHBand="0" w:firstRowFirstColumn="0" w:firstRowLastColumn="0" w:lastRowFirstColumn="0" w:lastRowLastColumn="0"/>
              <w:rPr>
                <w:rFonts w:ascii="Arial Narrow" w:eastAsiaTheme="majorEastAsia" w:hAnsi="Arial Narrow" w:cstheme="majorBidi"/>
                <w:b/>
                <w:bCs/>
                <w:sz w:val="20"/>
              </w:rPr>
            </w:pPr>
            <w:r w:rsidRPr="008D797E">
              <w:rPr>
                <w:rFonts w:ascii="Arial Narrow" w:eastAsiaTheme="majorEastAsia" w:hAnsi="Arial Narrow" w:cstheme="majorBidi"/>
                <w:b/>
                <w:bCs/>
                <w:sz w:val="20"/>
              </w:rPr>
              <w:t>Comment</w:t>
            </w:r>
          </w:p>
        </w:tc>
      </w:tr>
      <w:tr w:rsidR="00622DEB" w:rsidRPr="008D797E" w:rsidTr="00FA018B">
        <w:tc>
          <w:tcPr>
            <w:cnfStyle w:val="001000000000" w:firstRow="0" w:lastRow="0" w:firstColumn="1" w:lastColumn="0" w:oddVBand="0" w:evenVBand="0" w:oddHBand="0" w:evenHBand="0" w:firstRowFirstColumn="0" w:firstRowLastColumn="0" w:lastRowFirstColumn="0" w:lastRowLastColumn="0"/>
            <w:tcW w:w="2622" w:type="dxa"/>
            <w:vAlign w:val="top"/>
          </w:tcPr>
          <w:p w:rsidR="00622DEB" w:rsidRPr="008D797E" w:rsidRDefault="00622DEB" w:rsidP="003028C8">
            <w:pPr>
              <w:keepNext/>
              <w:widowControl/>
              <w:jc w:val="left"/>
              <w:rPr>
                <w:rFonts w:ascii="Arial Narrow" w:eastAsiaTheme="majorEastAsia" w:hAnsi="Arial Narrow" w:cstheme="majorBidi"/>
                <w:bCs/>
                <w:sz w:val="20"/>
              </w:rPr>
            </w:pPr>
            <w:r w:rsidRPr="008D797E">
              <w:rPr>
                <w:rFonts w:ascii="Arial Narrow" w:eastAsiaTheme="majorEastAsia" w:hAnsi="Arial Narrow" w:cstheme="majorBidi"/>
                <w:bCs/>
                <w:sz w:val="20"/>
              </w:rPr>
              <w:t>Estimation of incident breast cancer patients</w:t>
            </w:r>
          </w:p>
        </w:tc>
        <w:tc>
          <w:tcPr>
            <w:tcW w:w="3042" w:type="dxa"/>
            <w:vAlign w:val="top"/>
          </w:tcPr>
          <w:p w:rsidR="00622DEB" w:rsidRPr="008D797E" w:rsidRDefault="00622DEB" w:rsidP="003028C8">
            <w:pPr>
              <w:keepNext/>
              <w:widowControl/>
              <w:spacing w:before="0"/>
              <w:jc w:val="left"/>
              <w:cnfStyle w:val="000000000000" w:firstRow="0" w:lastRow="0" w:firstColumn="0" w:lastColumn="0" w:oddVBand="0" w:evenVBand="0" w:oddHBand="0" w:evenHBand="0" w:firstRowFirstColumn="0" w:firstRowLastColumn="0" w:lastRowFirstColumn="0" w:lastRowLastColumn="0"/>
              <w:rPr>
                <w:rFonts w:ascii="Arial Narrow" w:eastAsiaTheme="majorEastAsia" w:hAnsi="Arial Narrow" w:cstheme="majorBidi"/>
                <w:bCs/>
                <w:sz w:val="20"/>
              </w:rPr>
            </w:pPr>
            <w:r w:rsidRPr="008D797E">
              <w:rPr>
                <w:rFonts w:ascii="Arial Narrow" w:eastAsiaTheme="majorEastAsia" w:hAnsi="Arial Narrow" w:cstheme="majorBidi"/>
                <w:bCs/>
                <w:sz w:val="20"/>
              </w:rPr>
              <w:t xml:space="preserve">AIHW Cancer in Australia report, extrapolated using a linear function </w:t>
            </w:r>
          </w:p>
        </w:tc>
        <w:tc>
          <w:tcPr>
            <w:tcW w:w="3352" w:type="dxa"/>
            <w:vAlign w:val="top"/>
          </w:tcPr>
          <w:p w:rsidR="00622DEB" w:rsidRPr="008D797E" w:rsidRDefault="00622DEB" w:rsidP="003028C8">
            <w:pPr>
              <w:keepNext/>
              <w:widowControl/>
              <w:spacing w:before="0"/>
              <w:jc w:val="left"/>
              <w:cnfStyle w:val="000000000000" w:firstRow="0" w:lastRow="0" w:firstColumn="0" w:lastColumn="0" w:oddVBand="0" w:evenVBand="0" w:oddHBand="0" w:evenHBand="0" w:firstRowFirstColumn="0" w:firstRowLastColumn="0" w:lastRowFirstColumn="0" w:lastRowLastColumn="0"/>
              <w:rPr>
                <w:rFonts w:ascii="Arial Narrow" w:eastAsiaTheme="majorEastAsia" w:hAnsi="Arial Narrow" w:cstheme="majorBidi"/>
                <w:bCs/>
                <w:sz w:val="20"/>
              </w:rPr>
            </w:pPr>
            <w:r w:rsidRPr="008D797E">
              <w:rPr>
                <w:rFonts w:ascii="Arial Narrow" w:eastAsiaTheme="majorEastAsia" w:hAnsi="Arial Narrow" w:cstheme="majorBidi"/>
                <w:bCs/>
                <w:sz w:val="20"/>
              </w:rPr>
              <w:t>The approach was unchanged from the previous submission and considered reasonable by DUSC and PBAC previously.</w:t>
            </w:r>
          </w:p>
        </w:tc>
      </w:tr>
      <w:tr w:rsidR="00622DEB" w:rsidRPr="008D797E" w:rsidTr="00FA018B">
        <w:tc>
          <w:tcPr>
            <w:cnfStyle w:val="001000000000" w:firstRow="0" w:lastRow="0" w:firstColumn="1" w:lastColumn="0" w:oddVBand="0" w:evenVBand="0" w:oddHBand="0" w:evenHBand="0" w:firstRowFirstColumn="0" w:firstRowLastColumn="0" w:lastRowFirstColumn="0" w:lastRowLastColumn="0"/>
            <w:tcW w:w="2622" w:type="dxa"/>
            <w:vAlign w:val="top"/>
          </w:tcPr>
          <w:p w:rsidR="00622DEB" w:rsidRPr="008D797E" w:rsidRDefault="00622DEB" w:rsidP="003028C8">
            <w:pPr>
              <w:keepNext/>
              <w:widowControl/>
              <w:jc w:val="left"/>
              <w:rPr>
                <w:rFonts w:ascii="Arial Narrow" w:eastAsiaTheme="majorEastAsia" w:hAnsi="Arial Narrow" w:cstheme="majorBidi"/>
                <w:bCs/>
                <w:sz w:val="20"/>
              </w:rPr>
            </w:pPr>
            <w:r w:rsidRPr="008D797E">
              <w:rPr>
                <w:rFonts w:ascii="Arial Narrow" w:eastAsiaTheme="majorEastAsia" w:hAnsi="Arial Narrow" w:cstheme="majorBidi"/>
                <w:bCs/>
                <w:sz w:val="20"/>
              </w:rPr>
              <w:t>Proportion of patients with TNBC</w:t>
            </w:r>
          </w:p>
        </w:tc>
        <w:tc>
          <w:tcPr>
            <w:tcW w:w="3042" w:type="dxa"/>
            <w:vAlign w:val="top"/>
          </w:tcPr>
          <w:p w:rsidR="00622DEB" w:rsidRPr="008D797E" w:rsidRDefault="00622DEB" w:rsidP="003028C8">
            <w:pPr>
              <w:keepNext/>
              <w:widowControl/>
              <w:spacing w:before="0"/>
              <w:jc w:val="left"/>
              <w:cnfStyle w:val="000000000000" w:firstRow="0" w:lastRow="0" w:firstColumn="0" w:lastColumn="0" w:oddVBand="0" w:evenVBand="0" w:oddHBand="0" w:evenHBand="0" w:firstRowFirstColumn="0" w:firstRowLastColumn="0" w:lastRowFirstColumn="0" w:lastRowLastColumn="0"/>
              <w:rPr>
                <w:rFonts w:ascii="Arial Narrow" w:eastAsiaTheme="majorEastAsia" w:hAnsi="Arial Narrow" w:cstheme="majorBidi"/>
                <w:bCs/>
                <w:sz w:val="20"/>
              </w:rPr>
            </w:pPr>
            <w:r w:rsidRPr="008D797E">
              <w:rPr>
                <w:rFonts w:ascii="Arial Narrow" w:eastAsiaTheme="majorEastAsia" w:hAnsi="Arial Narrow" w:cstheme="majorBidi"/>
                <w:bCs/>
                <w:sz w:val="20"/>
              </w:rPr>
              <w:t>15%, Cancer Council Australia (2019)</w:t>
            </w:r>
          </w:p>
        </w:tc>
        <w:tc>
          <w:tcPr>
            <w:tcW w:w="3352" w:type="dxa"/>
            <w:vAlign w:val="top"/>
          </w:tcPr>
          <w:p w:rsidR="00622DEB" w:rsidRPr="008D797E" w:rsidRDefault="00622DEB" w:rsidP="003028C8">
            <w:pPr>
              <w:keepNext/>
              <w:widowControl/>
              <w:spacing w:before="0"/>
              <w:jc w:val="left"/>
              <w:cnfStyle w:val="000000000000" w:firstRow="0" w:lastRow="0" w:firstColumn="0" w:lastColumn="0" w:oddVBand="0" w:evenVBand="0" w:oddHBand="0" w:evenHBand="0" w:firstRowFirstColumn="0" w:firstRowLastColumn="0" w:lastRowFirstColumn="0" w:lastRowLastColumn="0"/>
              <w:rPr>
                <w:rFonts w:ascii="Arial Narrow" w:eastAsiaTheme="majorEastAsia" w:hAnsi="Arial Narrow" w:cstheme="majorBidi"/>
                <w:bCs/>
                <w:sz w:val="20"/>
              </w:rPr>
            </w:pPr>
            <w:r w:rsidRPr="008D797E">
              <w:rPr>
                <w:rFonts w:ascii="Arial Narrow" w:eastAsiaTheme="majorEastAsia" w:hAnsi="Arial Narrow" w:cstheme="majorBidi"/>
                <w:bCs/>
                <w:sz w:val="20"/>
              </w:rPr>
              <w:t xml:space="preserve">Unchanged from the previous submission, and considered reasonable by DUSC previously. </w:t>
            </w:r>
          </w:p>
        </w:tc>
      </w:tr>
      <w:tr w:rsidR="00622DEB" w:rsidRPr="008D797E" w:rsidTr="00FA018B">
        <w:tc>
          <w:tcPr>
            <w:cnfStyle w:val="001000000000" w:firstRow="0" w:lastRow="0" w:firstColumn="1" w:lastColumn="0" w:oddVBand="0" w:evenVBand="0" w:oddHBand="0" w:evenHBand="0" w:firstRowFirstColumn="0" w:firstRowLastColumn="0" w:lastRowFirstColumn="0" w:lastRowLastColumn="0"/>
            <w:tcW w:w="2622" w:type="dxa"/>
            <w:vAlign w:val="top"/>
          </w:tcPr>
          <w:p w:rsidR="00622DEB" w:rsidRPr="008D797E" w:rsidRDefault="00622DEB" w:rsidP="003028C8">
            <w:pPr>
              <w:keepNext/>
              <w:widowControl/>
              <w:jc w:val="left"/>
              <w:rPr>
                <w:rFonts w:ascii="Arial Narrow" w:eastAsiaTheme="majorEastAsia" w:hAnsi="Arial Narrow" w:cstheme="majorBidi"/>
                <w:bCs/>
                <w:sz w:val="20"/>
              </w:rPr>
            </w:pPr>
            <w:r w:rsidRPr="008D797E">
              <w:rPr>
                <w:rFonts w:ascii="Arial Narrow" w:eastAsiaTheme="majorEastAsia" w:hAnsi="Arial Narrow" w:cstheme="majorBidi"/>
                <w:bCs/>
                <w:sz w:val="20"/>
              </w:rPr>
              <w:t xml:space="preserve">Proportion of incident patients diagnosed with </w:t>
            </w:r>
            <w:r w:rsidRPr="008D797E">
              <w:rPr>
                <w:rFonts w:ascii="Arial Narrow" w:eastAsiaTheme="majorEastAsia" w:hAnsi="Arial Narrow" w:cstheme="majorBidi"/>
                <w:bCs/>
                <w:i/>
                <w:sz w:val="20"/>
              </w:rPr>
              <w:t>de novo</w:t>
            </w:r>
            <w:r w:rsidRPr="008D797E">
              <w:rPr>
                <w:rFonts w:ascii="Arial Narrow" w:eastAsiaTheme="majorEastAsia" w:hAnsi="Arial Narrow" w:cstheme="majorBidi"/>
                <w:bCs/>
                <w:sz w:val="20"/>
              </w:rPr>
              <w:t xml:space="preserve"> mTNBC</w:t>
            </w:r>
          </w:p>
        </w:tc>
        <w:tc>
          <w:tcPr>
            <w:tcW w:w="3042" w:type="dxa"/>
            <w:vAlign w:val="top"/>
          </w:tcPr>
          <w:p w:rsidR="00622DEB" w:rsidRPr="008D797E" w:rsidRDefault="00622DEB" w:rsidP="003028C8">
            <w:pPr>
              <w:keepNext/>
              <w:widowControl/>
              <w:spacing w:before="0"/>
              <w:jc w:val="left"/>
              <w:cnfStyle w:val="000000000000" w:firstRow="0" w:lastRow="0" w:firstColumn="0" w:lastColumn="0" w:oddVBand="0" w:evenVBand="0" w:oddHBand="0" w:evenHBand="0" w:firstRowFirstColumn="0" w:firstRowLastColumn="0" w:lastRowFirstColumn="0" w:lastRowLastColumn="0"/>
              <w:rPr>
                <w:rFonts w:ascii="Arial Narrow" w:eastAsiaTheme="majorEastAsia" w:hAnsi="Arial Narrow" w:cstheme="majorBidi"/>
                <w:bCs/>
                <w:sz w:val="20"/>
              </w:rPr>
            </w:pPr>
            <w:r w:rsidRPr="008D797E">
              <w:rPr>
                <w:rFonts w:ascii="Arial Narrow" w:eastAsiaTheme="majorEastAsia" w:hAnsi="Arial Narrow" w:cstheme="majorBidi"/>
                <w:bCs/>
                <w:sz w:val="20"/>
              </w:rPr>
              <w:t xml:space="preserve">25%, IMpassion130 CSR, p1470 (25% </w:t>
            </w:r>
            <w:r w:rsidRPr="008D797E">
              <w:rPr>
                <w:rFonts w:ascii="Arial Narrow" w:eastAsiaTheme="majorEastAsia" w:hAnsi="Arial Narrow" w:cstheme="majorBidi"/>
                <w:bCs/>
                <w:i/>
                <w:sz w:val="20"/>
              </w:rPr>
              <w:t>de novo</w:t>
            </w:r>
            <w:r w:rsidRPr="008D797E">
              <w:rPr>
                <w:rFonts w:ascii="Arial Narrow" w:eastAsiaTheme="majorEastAsia" w:hAnsi="Arial Narrow" w:cstheme="majorBidi"/>
                <w:bCs/>
                <w:sz w:val="20"/>
              </w:rPr>
              <w:t xml:space="preserve"> metastatic TNBC)</w:t>
            </w:r>
          </w:p>
        </w:tc>
        <w:tc>
          <w:tcPr>
            <w:tcW w:w="3352" w:type="dxa"/>
            <w:vAlign w:val="top"/>
          </w:tcPr>
          <w:p w:rsidR="00622DEB" w:rsidRPr="008D797E" w:rsidRDefault="00622DEB" w:rsidP="003028C8">
            <w:pPr>
              <w:keepNext/>
              <w:widowControl/>
              <w:spacing w:before="0"/>
              <w:jc w:val="left"/>
              <w:cnfStyle w:val="000000000000" w:firstRow="0" w:lastRow="0" w:firstColumn="0" w:lastColumn="0" w:oddVBand="0" w:evenVBand="0" w:oddHBand="0" w:evenHBand="0" w:firstRowFirstColumn="0" w:firstRowLastColumn="0" w:lastRowFirstColumn="0" w:lastRowLastColumn="0"/>
              <w:rPr>
                <w:rFonts w:ascii="Arial Narrow" w:eastAsiaTheme="majorEastAsia" w:hAnsi="Arial Narrow" w:cstheme="majorBidi"/>
                <w:bCs/>
                <w:sz w:val="20"/>
              </w:rPr>
            </w:pPr>
            <w:r w:rsidRPr="008D797E">
              <w:rPr>
                <w:rFonts w:ascii="Arial Narrow" w:eastAsiaTheme="majorEastAsia" w:hAnsi="Arial Narrow" w:cstheme="majorBidi"/>
                <w:bCs/>
                <w:sz w:val="20"/>
              </w:rPr>
              <w:t xml:space="preserve">34.8% in the previous submission to include both unresectable locally advanced (9.8%) and de novo mTNBC (25%). DUSC previously considered the estimate was reasonable. </w:t>
            </w:r>
          </w:p>
        </w:tc>
      </w:tr>
      <w:tr w:rsidR="00622DEB" w:rsidRPr="008D797E" w:rsidTr="00FA018B">
        <w:tc>
          <w:tcPr>
            <w:cnfStyle w:val="001000000000" w:firstRow="0" w:lastRow="0" w:firstColumn="1" w:lastColumn="0" w:oddVBand="0" w:evenVBand="0" w:oddHBand="0" w:evenHBand="0" w:firstRowFirstColumn="0" w:firstRowLastColumn="0" w:lastRowFirstColumn="0" w:lastRowLastColumn="0"/>
            <w:tcW w:w="2622" w:type="dxa"/>
            <w:vAlign w:val="top"/>
          </w:tcPr>
          <w:p w:rsidR="00622DEB" w:rsidRPr="008D797E" w:rsidRDefault="00622DEB" w:rsidP="003028C8">
            <w:pPr>
              <w:keepNext/>
              <w:widowControl/>
              <w:jc w:val="left"/>
              <w:rPr>
                <w:rFonts w:ascii="Arial Narrow" w:eastAsiaTheme="majorEastAsia" w:hAnsi="Arial Narrow" w:cstheme="majorBidi"/>
                <w:bCs/>
                <w:sz w:val="20"/>
              </w:rPr>
            </w:pPr>
            <w:r w:rsidRPr="008D797E">
              <w:rPr>
                <w:rFonts w:ascii="Arial Narrow" w:eastAsiaTheme="majorEastAsia" w:hAnsi="Arial Narrow" w:cstheme="majorBidi"/>
                <w:bCs/>
                <w:sz w:val="20"/>
              </w:rPr>
              <w:t>Population diagnosed with early TNBC who progress to mTNBC</w:t>
            </w:r>
          </w:p>
        </w:tc>
        <w:tc>
          <w:tcPr>
            <w:tcW w:w="3042" w:type="dxa"/>
            <w:vAlign w:val="top"/>
          </w:tcPr>
          <w:p w:rsidR="00622DEB" w:rsidRPr="008D797E" w:rsidRDefault="00622DEB" w:rsidP="003028C8">
            <w:pPr>
              <w:keepNext/>
              <w:widowControl/>
              <w:spacing w:before="0"/>
              <w:jc w:val="left"/>
              <w:cnfStyle w:val="000000000000" w:firstRow="0" w:lastRow="0" w:firstColumn="0" w:lastColumn="0" w:oddVBand="0" w:evenVBand="0" w:oddHBand="0" w:evenHBand="0" w:firstRowFirstColumn="0" w:firstRowLastColumn="0" w:lastRowFirstColumn="0" w:lastRowLastColumn="0"/>
              <w:rPr>
                <w:rFonts w:ascii="Arial Narrow" w:eastAsiaTheme="majorEastAsia" w:hAnsi="Arial Narrow" w:cstheme="majorBidi"/>
                <w:bCs/>
                <w:sz w:val="20"/>
              </w:rPr>
            </w:pPr>
            <w:r w:rsidRPr="008D797E">
              <w:rPr>
                <w:rFonts w:ascii="Arial Narrow" w:eastAsiaTheme="majorEastAsia" w:hAnsi="Arial Narrow" w:cstheme="majorBidi"/>
                <w:bCs/>
                <w:sz w:val="20"/>
              </w:rPr>
              <w:t>20% over 10 years, 6.01 atezolizumab DUSC Advice March 2020</w:t>
            </w:r>
          </w:p>
        </w:tc>
        <w:tc>
          <w:tcPr>
            <w:tcW w:w="3352" w:type="dxa"/>
            <w:vAlign w:val="top"/>
          </w:tcPr>
          <w:p w:rsidR="00622DEB" w:rsidRPr="008D797E" w:rsidRDefault="00622DEB" w:rsidP="0004442C">
            <w:pPr>
              <w:keepNext/>
              <w:widowControl/>
              <w:spacing w:before="0"/>
              <w:jc w:val="left"/>
              <w:cnfStyle w:val="000000000000" w:firstRow="0" w:lastRow="0" w:firstColumn="0" w:lastColumn="0" w:oddVBand="0" w:evenVBand="0" w:oddHBand="0" w:evenHBand="0" w:firstRowFirstColumn="0" w:firstRowLastColumn="0" w:lastRowFirstColumn="0" w:lastRowLastColumn="0"/>
              <w:rPr>
                <w:rFonts w:ascii="Arial Narrow" w:eastAsiaTheme="majorEastAsia" w:hAnsi="Arial Narrow" w:cstheme="majorBidi"/>
                <w:bCs/>
                <w:sz w:val="20"/>
              </w:rPr>
            </w:pPr>
            <w:r w:rsidRPr="008D797E">
              <w:rPr>
                <w:rFonts w:ascii="Arial Narrow" w:eastAsiaTheme="majorEastAsia" w:hAnsi="Arial Narrow" w:cstheme="majorBidi"/>
                <w:bCs/>
                <w:sz w:val="20"/>
              </w:rPr>
              <w:t>DUSC considered that 20% is a more reasonable estimate of 10 year distant recurrence for TNBC. The resubmission applied this 10-year distant recurrence rate constantly to the patients diagnosed each year in the previous 10 years</w:t>
            </w:r>
            <w:r w:rsidR="006A3FBF" w:rsidRPr="008D797E">
              <w:rPr>
                <w:rFonts w:ascii="Arial Narrow" w:eastAsiaTheme="majorEastAsia" w:hAnsi="Arial Narrow" w:cstheme="majorBidi"/>
                <w:bCs/>
                <w:sz w:val="20"/>
              </w:rPr>
              <w:t>.</w:t>
            </w:r>
          </w:p>
        </w:tc>
      </w:tr>
      <w:tr w:rsidR="00622DEB" w:rsidRPr="008D797E" w:rsidTr="00FA018B">
        <w:tc>
          <w:tcPr>
            <w:cnfStyle w:val="001000000000" w:firstRow="0" w:lastRow="0" w:firstColumn="1" w:lastColumn="0" w:oddVBand="0" w:evenVBand="0" w:oddHBand="0" w:evenHBand="0" w:firstRowFirstColumn="0" w:firstRowLastColumn="0" w:lastRowFirstColumn="0" w:lastRowLastColumn="0"/>
            <w:tcW w:w="2622" w:type="dxa"/>
            <w:vAlign w:val="top"/>
          </w:tcPr>
          <w:p w:rsidR="00622DEB" w:rsidRPr="008D797E" w:rsidRDefault="00622DEB" w:rsidP="003028C8">
            <w:pPr>
              <w:keepNext/>
              <w:widowControl/>
              <w:jc w:val="left"/>
              <w:rPr>
                <w:rFonts w:ascii="Arial Narrow" w:eastAsiaTheme="majorEastAsia" w:hAnsi="Arial Narrow" w:cstheme="majorBidi"/>
                <w:bCs/>
                <w:sz w:val="20"/>
              </w:rPr>
            </w:pPr>
            <w:r w:rsidRPr="008D797E">
              <w:rPr>
                <w:rFonts w:ascii="Arial Narrow" w:eastAsiaTheme="majorEastAsia" w:hAnsi="Arial Narrow" w:cstheme="majorBidi"/>
                <w:bCs/>
                <w:sz w:val="20"/>
              </w:rPr>
              <w:t>10 year TNBC survival rate</w:t>
            </w:r>
          </w:p>
        </w:tc>
        <w:tc>
          <w:tcPr>
            <w:tcW w:w="3042" w:type="dxa"/>
            <w:vAlign w:val="top"/>
          </w:tcPr>
          <w:p w:rsidR="00622DEB" w:rsidRPr="008D797E" w:rsidRDefault="00622DEB" w:rsidP="003028C8">
            <w:pPr>
              <w:keepNext/>
              <w:widowControl/>
              <w:spacing w:before="0"/>
              <w:jc w:val="left"/>
              <w:cnfStyle w:val="000000000000" w:firstRow="0" w:lastRow="0" w:firstColumn="0" w:lastColumn="0" w:oddVBand="0" w:evenVBand="0" w:oddHBand="0" w:evenHBand="0" w:firstRowFirstColumn="0" w:firstRowLastColumn="0" w:lastRowFirstColumn="0" w:lastRowLastColumn="0"/>
              <w:rPr>
                <w:rFonts w:ascii="Arial Narrow" w:eastAsiaTheme="majorEastAsia" w:hAnsi="Arial Narrow" w:cstheme="majorBidi"/>
                <w:bCs/>
                <w:sz w:val="20"/>
              </w:rPr>
            </w:pPr>
            <w:r w:rsidRPr="008D797E">
              <w:rPr>
                <w:rFonts w:ascii="Arial Narrow" w:eastAsiaTheme="majorEastAsia" w:hAnsi="Arial Narrow" w:cstheme="majorBidi"/>
                <w:bCs/>
                <w:sz w:val="20"/>
              </w:rPr>
              <w:t>44%, Lin (2012)*</w:t>
            </w:r>
          </w:p>
        </w:tc>
        <w:tc>
          <w:tcPr>
            <w:tcW w:w="3352" w:type="dxa"/>
            <w:vAlign w:val="top"/>
          </w:tcPr>
          <w:p w:rsidR="00622DEB" w:rsidRPr="008D797E" w:rsidRDefault="00622DEB" w:rsidP="0004442C">
            <w:pPr>
              <w:keepNext/>
              <w:widowControl/>
              <w:spacing w:before="0"/>
              <w:jc w:val="left"/>
              <w:cnfStyle w:val="000000000000" w:firstRow="0" w:lastRow="0" w:firstColumn="0" w:lastColumn="0" w:oddVBand="0" w:evenVBand="0" w:oddHBand="0" w:evenHBand="0" w:firstRowFirstColumn="0" w:firstRowLastColumn="0" w:lastRowFirstColumn="0" w:lastRowLastColumn="0"/>
              <w:rPr>
                <w:rFonts w:ascii="Arial Narrow" w:eastAsiaTheme="majorEastAsia" w:hAnsi="Arial Narrow" w:cstheme="majorBidi"/>
                <w:bCs/>
                <w:sz w:val="20"/>
              </w:rPr>
            </w:pPr>
            <w:r w:rsidRPr="008D797E">
              <w:rPr>
                <w:rFonts w:ascii="Arial Narrow" w:eastAsiaTheme="majorEastAsia" w:hAnsi="Arial Narrow" w:cstheme="majorBidi"/>
                <w:bCs/>
                <w:sz w:val="20"/>
              </w:rPr>
              <w:t xml:space="preserve">New to the resubmission to estimate the number of patients who remain alive among those who diagnosed with early stage TNBC each year in the past 10 years. The previous submission did not apply survival rate, and the distant recurrence was only estimated for the past 40 months. The estimate appeared reasonable, but the application of a constant survival rate to all the patients diagnosed each year in the previous 10 years </w:t>
            </w:r>
            <w:r w:rsidR="006A3FBF" w:rsidRPr="008D797E">
              <w:rPr>
                <w:rFonts w:ascii="Arial Narrow" w:eastAsiaTheme="majorEastAsia" w:hAnsi="Arial Narrow" w:cstheme="majorBidi"/>
                <w:bCs/>
                <w:sz w:val="20"/>
              </w:rPr>
              <w:t xml:space="preserve">may not be </w:t>
            </w:r>
            <w:r w:rsidRPr="008D797E">
              <w:rPr>
                <w:rFonts w:ascii="Arial Narrow" w:eastAsiaTheme="majorEastAsia" w:hAnsi="Arial Narrow" w:cstheme="majorBidi"/>
                <w:bCs/>
                <w:sz w:val="20"/>
              </w:rPr>
              <w:t xml:space="preserve">inappropriate. </w:t>
            </w:r>
          </w:p>
        </w:tc>
      </w:tr>
      <w:tr w:rsidR="00622DEB" w:rsidRPr="008D797E" w:rsidTr="00FA018B">
        <w:tc>
          <w:tcPr>
            <w:cnfStyle w:val="001000000000" w:firstRow="0" w:lastRow="0" w:firstColumn="1" w:lastColumn="0" w:oddVBand="0" w:evenVBand="0" w:oddHBand="0" w:evenHBand="0" w:firstRowFirstColumn="0" w:firstRowLastColumn="0" w:lastRowFirstColumn="0" w:lastRowLastColumn="0"/>
            <w:tcW w:w="2622" w:type="dxa"/>
            <w:vAlign w:val="top"/>
          </w:tcPr>
          <w:p w:rsidR="00622DEB" w:rsidRPr="008D797E" w:rsidRDefault="00622DEB" w:rsidP="003028C8">
            <w:pPr>
              <w:keepNext/>
              <w:widowControl/>
              <w:jc w:val="left"/>
              <w:rPr>
                <w:rFonts w:ascii="Arial Narrow" w:eastAsiaTheme="majorEastAsia" w:hAnsi="Arial Narrow" w:cstheme="majorBidi"/>
                <w:bCs/>
                <w:sz w:val="20"/>
              </w:rPr>
            </w:pPr>
            <w:r w:rsidRPr="008D797E">
              <w:rPr>
                <w:rFonts w:ascii="Arial Narrow" w:eastAsiaTheme="majorEastAsia" w:hAnsi="Arial Narrow" w:cstheme="majorBidi"/>
                <w:bCs/>
                <w:sz w:val="20"/>
              </w:rPr>
              <w:t>% of recurrent mTNBC patients who had no taxane therapy in the previous 12 months</w:t>
            </w:r>
          </w:p>
        </w:tc>
        <w:tc>
          <w:tcPr>
            <w:tcW w:w="3042" w:type="dxa"/>
            <w:vAlign w:val="top"/>
          </w:tcPr>
          <w:p w:rsidR="00622DEB" w:rsidRPr="008D797E" w:rsidRDefault="00622DEB" w:rsidP="003028C8">
            <w:pPr>
              <w:keepNext/>
              <w:widowControl/>
              <w:spacing w:before="0"/>
              <w:jc w:val="left"/>
              <w:cnfStyle w:val="000000000000" w:firstRow="0" w:lastRow="0" w:firstColumn="0" w:lastColumn="0" w:oddVBand="0" w:evenVBand="0" w:oddHBand="0" w:evenHBand="0" w:firstRowFirstColumn="0" w:firstRowLastColumn="0" w:lastRowFirstColumn="0" w:lastRowLastColumn="0"/>
              <w:rPr>
                <w:rFonts w:ascii="Arial Narrow" w:eastAsiaTheme="majorEastAsia" w:hAnsi="Arial Narrow" w:cstheme="majorBidi"/>
                <w:bCs/>
                <w:sz w:val="20"/>
              </w:rPr>
            </w:pPr>
            <w:r w:rsidRPr="008D797E">
              <w:rPr>
                <w:rFonts w:ascii="Arial Narrow" w:eastAsiaTheme="majorEastAsia" w:hAnsi="Arial Narrow" w:cstheme="majorBidi"/>
                <w:bCs/>
                <w:sz w:val="20"/>
              </w:rPr>
              <w:t>64%, METIS Healthcare Research, 2020</w:t>
            </w:r>
          </w:p>
        </w:tc>
        <w:tc>
          <w:tcPr>
            <w:tcW w:w="3352" w:type="dxa"/>
            <w:vAlign w:val="top"/>
          </w:tcPr>
          <w:p w:rsidR="00622DEB" w:rsidRPr="008D797E" w:rsidRDefault="00622DEB" w:rsidP="0069246C">
            <w:pPr>
              <w:keepNext/>
              <w:widowControl/>
              <w:spacing w:before="0"/>
              <w:jc w:val="left"/>
              <w:cnfStyle w:val="000000000000" w:firstRow="0" w:lastRow="0" w:firstColumn="0" w:lastColumn="0" w:oddVBand="0" w:evenVBand="0" w:oddHBand="0" w:evenHBand="0" w:firstRowFirstColumn="0" w:firstRowLastColumn="0" w:lastRowFirstColumn="0" w:lastRowLastColumn="0"/>
              <w:rPr>
                <w:rFonts w:ascii="Arial Narrow" w:eastAsiaTheme="majorEastAsia" w:hAnsi="Arial Narrow" w:cstheme="majorBidi"/>
                <w:bCs/>
                <w:sz w:val="20"/>
              </w:rPr>
            </w:pPr>
            <w:r w:rsidRPr="008D797E">
              <w:rPr>
                <w:rFonts w:ascii="Arial Narrow" w:eastAsiaTheme="majorEastAsia" w:hAnsi="Arial Narrow" w:cstheme="majorBidi"/>
                <w:bCs/>
                <w:sz w:val="20"/>
              </w:rPr>
              <w:t xml:space="preserve">New to the resubmission, given the revised requested listing. </w:t>
            </w:r>
          </w:p>
        </w:tc>
      </w:tr>
      <w:tr w:rsidR="00622DEB" w:rsidRPr="008D797E" w:rsidTr="00FA018B">
        <w:tc>
          <w:tcPr>
            <w:cnfStyle w:val="001000000000" w:firstRow="0" w:lastRow="0" w:firstColumn="1" w:lastColumn="0" w:oddVBand="0" w:evenVBand="0" w:oddHBand="0" w:evenHBand="0" w:firstRowFirstColumn="0" w:firstRowLastColumn="0" w:lastRowFirstColumn="0" w:lastRowLastColumn="0"/>
            <w:tcW w:w="2622" w:type="dxa"/>
            <w:vAlign w:val="top"/>
          </w:tcPr>
          <w:p w:rsidR="00622DEB" w:rsidRPr="008D797E" w:rsidRDefault="00622DEB" w:rsidP="003028C8">
            <w:pPr>
              <w:keepNext/>
              <w:widowControl/>
              <w:jc w:val="left"/>
              <w:rPr>
                <w:rFonts w:ascii="Arial Narrow" w:eastAsiaTheme="majorEastAsia" w:hAnsi="Arial Narrow" w:cstheme="majorBidi"/>
                <w:bCs/>
                <w:sz w:val="20"/>
              </w:rPr>
            </w:pPr>
            <w:r w:rsidRPr="008D797E">
              <w:rPr>
                <w:rFonts w:ascii="Arial Narrow" w:eastAsiaTheme="majorEastAsia" w:hAnsi="Arial Narrow" w:cstheme="majorBidi"/>
                <w:bCs/>
                <w:sz w:val="20"/>
              </w:rPr>
              <w:t>ECOG status of 0 or 1.</w:t>
            </w:r>
          </w:p>
        </w:tc>
        <w:tc>
          <w:tcPr>
            <w:tcW w:w="3042" w:type="dxa"/>
            <w:vAlign w:val="top"/>
          </w:tcPr>
          <w:p w:rsidR="00622DEB" w:rsidRPr="008D797E" w:rsidRDefault="00622DEB" w:rsidP="003028C8">
            <w:pPr>
              <w:keepNext/>
              <w:widowControl/>
              <w:spacing w:before="0"/>
              <w:jc w:val="left"/>
              <w:cnfStyle w:val="000000000000" w:firstRow="0" w:lastRow="0" w:firstColumn="0" w:lastColumn="0" w:oddVBand="0" w:evenVBand="0" w:oddHBand="0" w:evenHBand="0" w:firstRowFirstColumn="0" w:firstRowLastColumn="0" w:lastRowFirstColumn="0" w:lastRowLastColumn="0"/>
              <w:rPr>
                <w:rFonts w:ascii="Arial Narrow" w:eastAsiaTheme="majorEastAsia" w:hAnsi="Arial Narrow" w:cstheme="majorBidi"/>
                <w:bCs/>
                <w:sz w:val="20"/>
              </w:rPr>
            </w:pPr>
            <w:r w:rsidRPr="008D797E">
              <w:rPr>
                <w:rFonts w:ascii="Arial Narrow" w:eastAsiaTheme="majorEastAsia" w:hAnsi="Arial Narrow" w:cstheme="majorBidi"/>
                <w:bCs/>
                <w:sz w:val="20"/>
              </w:rPr>
              <w:t xml:space="preserve">78%, METIS Healthcare Research (2019) </w:t>
            </w:r>
          </w:p>
        </w:tc>
        <w:tc>
          <w:tcPr>
            <w:tcW w:w="3352" w:type="dxa"/>
            <w:vAlign w:val="top"/>
          </w:tcPr>
          <w:p w:rsidR="00622DEB" w:rsidRPr="008D797E" w:rsidRDefault="00622DEB" w:rsidP="003028C8">
            <w:pPr>
              <w:keepNext/>
              <w:widowControl/>
              <w:spacing w:before="0"/>
              <w:jc w:val="left"/>
              <w:cnfStyle w:val="000000000000" w:firstRow="0" w:lastRow="0" w:firstColumn="0" w:lastColumn="0" w:oddVBand="0" w:evenVBand="0" w:oddHBand="0" w:evenHBand="0" w:firstRowFirstColumn="0" w:firstRowLastColumn="0" w:lastRowFirstColumn="0" w:lastRowLastColumn="0"/>
              <w:rPr>
                <w:rFonts w:ascii="Arial Narrow" w:eastAsiaTheme="majorEastAsia" w:hAnsi="Arial Narrow" w:cstheme="majorBidi"/>
                <w:bCs/>
                <w:sz w:val="20"/>
              </w:rPr>
            </w:pPr>
            <w:r w:rsidRPr="008D797E">
              <w:rPr>
                <w:rFonts w:ascii="Arial Narrow" w:eastAsiaTheme="majorEastAsia" w:hAnsi="Arial Narrow" w:cstheme="majorBidi"/>
                <w:bCs/>
                <w:sz w:val="20"/>
              </w:rPr>
              <w:t xml:space="preserve">Unchanged from the previous submission. DUSC </w:t>
            </w:r>
            <w:r w:rsidR="00AF16CF" w:rsidRPr="008D797E">
              <w:rPr>
                <w:rFonts w:ascii="Arial Narrow" w:eastAsiaTheme="majorEastAsia" w:hAnsi="Arial Narrow" w:cstheme="majorBidi"/>
                <w:bCs/>
                <w:sz w:val="20"/>
              </w:rPr>
              <w:t xml:space="preserve">previously </w:t>
            </w:r>
            <w:r w:rsidRPr="008D797E">
              <w:rPr>
                <w:rFonts w:ascii="Arial Narrow" w:eastAsiaTheme="majorEastAsia" w:hAnsi="Arial Narrow" w:cstheme="majorBidi"/>
                <w:bCs/>
                <w:sz w:val="20"/>
              </w:rPr>
              <w:t xml:space="preserve">considered the estimate was reasonable. </w:t>
            </w:r>
          </w:p>
        </w:tc>
      </w:tr>
      <w:tr w:rsidR="00622DEB" w:rsidRPr="008D797E" w:rsidTr="00FA018B">
        <w:tc>
          <w:tcPr>
            <w:cnfStyle w:val="001000000000" w:firstRow="0" w:lastRow="0" w:firstColumn="1" w:lastColumn="0" w:oddVBand="0" w:evenVBand="0" w:oddHBand="0" w:evenHBand="0" w:firstRowFirstColumn="0" w:firstRowLastColumn="0" w:lastRowFirstColumn="0" w:lastRowLastColumn="0"/>
            <w:tcW w:w="2622" w:type="dxa"/>
            <w:vAlign w:val="top"/>
          </w:tcPr>
          <w:p w:rsidR="00622DEB" w:rsidRPr="008D797E" w:rsidRDefault="00622DEB" w:rsidP="003028C8">
            <w:pPr>
              <w:keepNext/>
              <w:widowControl/>
              <w:jc w:val="left"/>
              <w:rPr>
                <w:rFonts w:ascii="Arial Narrow" w:eastAsiaTheme="majorEastAsia" w:hAnsi="Arial Narrow" w:cstheme="majorBidi"/>
                <w:bCs/>
                <w:sz w:val="20"/>
              </w:rPr>
            </w:pPr>
            <w:r w:rsidRPr="008D797E">
              <w:rPr>
                <w:rFonts w:ascii="Arial Narrow" w:eastAsiaTheme="majorEastAsia" w:hAnsi="Arial Narrow" w:cstheme="majorBidi"/>
                <w:bCs/>
                <w:sz w:val="20"/>
              </w:rPr>
              <w:t>% patients who elect to have the PD-L1 test</w:t>
            </w:r>
          </w:p>
        </w:tc>
        <w:tc>
          <w:tcPr>
            <w:tcW w:w="3042" w:type="dxa"/>
            <w:vAlign w:val="top"/>
          </w:tcPr>
          <w:p w:rsidR="00622DEB" w:rsidRPr="008D797E" w:rsidRDefault="00622DEB" w:rsidP="003028C8">
            <w:pPr>
              <w:keepNext/>
              <w:widowControl/>
              <w:spacing w:before="0"/>
              <w:jc w:val="left"/>
              <w:cnfStyle w:val="000000000000" w:firstRow="0" w:lastRow="0" w:firstColumn="0" w:lastColumn="0" w:oddVBand="0" w:evenVBand="0" w:oddHBand="0" w:evenHBand="0" w:firstRowFirstColumn="0" w:firstRowLastColumn="0" w:lastRowFirstColumn="0" w:lastRowLastColumn="0"/>
              <w:rPr>
                <w:rFonts w:ascii="Arial Narrow" w:eastAsiaTheme="majorEastAsia" w:hAnsi="Arial Narrow" w:cstheme="majorBidi"/>
                <w:bCs/>
                <w:sz w:val="20"/>
              </w:rPr>
            </w:pPr>
            <w:r w:rsidRPr="008D797E">
              <w:rPr>
                <w:rFonts w:ascii="Arial Narrow" w:eastAsiaTheme="majorEastAsia" w:hAnsi="Arial Narrow" w:cstheme="majorBidi"/>
                <w:bCs/>
                <w:sz w:val="20"/>
              </w:rPr>
              <w:t>95%, 6.01 atezolizumab DUSC Advice March 2020</w:t>
            </w:r>
          </w:p>
        </w:tc>
        <w:tc>
          <w:tcPr>
            <w:tcW w:w="3352" w:type="dxa"/>
            <w:vAlign w:val="top"/>
          </w:tcPr>
          <w:p w:rsidR="00622DEB" w:rsidRPr="008D797E" w:rsidRDefault="00622DEB" w:rsidP="003028C8">
            <w:pPr>
              <w:keepNext/>
              <w:widowControl/>
              <w:spacing w:before="0"/>
              <w:jc w:val="left"/>
              <w:cnfStyle w:val="000000000000" w:firstRow="0" w:lastRow="0" w:firstColumn="0" w:lastColumn="0" w:oddVBand="0" w:evenVBand="0" w:oddHBand="0" w:evenHBand="0" w:firstRowFirstColumn="0" w:firstRowLastColumn="0" w:lastRowFirstColumn="0" w:lastRowLastColumn="0"/>
              <w:rPr>
                <w:rFonts w:ascii="Arial Narrow" w:eastAsiaTheme="majorEastAsia" w:hAnsi="Arial Narrow" w:cstheme="majorBidi"/>
                <w:bCs/>
                <w:sz w:val="20"/>
              </w:rPr>
            </w:pPr>
            <w:r w:rsidRPr="008D797E">
              <w:rPr>
                <w:rFonts w:ascii="Arial Narrow" w:eastAsiaTheme="majorEastAsia" w:hAnsi="Arial Narrow" w:cstheme="majorBidi"/>
                <w:bCs/>
                <w:sz w:val="20"/>
              </w:rPr>
              <w:t xml:space="preserve">82% was used in the previous submission. DUSC </w:t>
            </w:r>
            <w:r w:rsidR="00AF16CF" w:rsidRPr="008D797E">
              <w:rPr>
                <w:rFonts w:ascii="Arial Narrow" w:eastAsiaTheme="majorEastAsia" w:hAnsi="Arial Narrow" w:cstheme="majorBidi"/>
                <w:bCs/>
                <w:sz w:val="20"/>
              </w:rPr>
              <w:t xml:space="preserve">previously </w:t>
            </w:r>
            <w:r w:rsidRPr="008D797E">
              <w:rPr>
                <w:rFonts w:ascii="Arial Narrow" w:eastAsiaTheme="majorEastAsia" w:hAnsi="Arial Narrow" w:cstheme="majorBidi"/>
                <w:bCs/>
                <w:sz w:val="20"/>
              </w:rPr>
              <w:t>considered that 95% was more reasonable</w:t>
            </w:r>
            <w:r w:rsidR="008D797E">
              <w:rPr>
                <w:rFonts w:ascii="Arial Narrow" w:eastAsiaTheme="majorEastAsia" w:hAnsi="Arial Narrow" w:cstheme="majorBidi"/>
                <w:bCs/>
                <w:sz w:val="20"/>
              </w:rPr>
              <w:t xml:space="preserve">. </w:t>
            </w:r>
          </w:p>
        </w:tc>
      </w:tr>
      <w:tr w:rsidR="00622DEB" w:rsidRPr="008D797E" w:rsidTr="00FA018B">
        <w:tc>
          <w:tcPr>
            <w:cnfStyle w:val="001000000000" w:firstRow="0" w:lastRow="0" w:firstColumn="1" w:lastColumn="0" w:oddVBand="0" w:evenVBand="0" w:oddHBand="0" w:evenHBand="0" w:firstRowFirstColumn="0" w:firstRowLastColumn="0" w:lastRowFirstColumn="0" w:lastRowLastColumn="0"/>
            <w:tcW w:w="2622" w:type="dxa"/>
            <w:vAlign w:val="top"/>
          </w:tcPr>
          <w:p w:rsidR="00622DEB" w:rsidRPr="008D797E" w:rsidRDefault="00622DEB" w:rsidP="003028C8">
            <w:pPr>
              <w:keepNext/>
              <w:widowControl/>
              <w:jc w:val="left"/>
              <w:rPr>
                <w:rFonts w:ascii="Arial Narrow" w:eastAsiaTheme="majorEastAsia" w:hAnsi="Arial Narrow" w:cstheme="majorBidi"/>
                <w:bCs/>
                <w:sz w:val="20"/>
              </w:rPr>
            </w:pPr>
            <w:r w:rsidRPr="008D797E">
              <w:rPr>
                <w:rFonts w:ascii="Arial Narrow" w:eastAsiaTheme="majorEastAsia" w:hAnsi="Arial Narrow" w:cstheme="majorBidi"/>
                <w:bCs/>
                <w:sz w:val="20"/>
              </w:rPr>
              <w:t>Estimate of proportion of patients who are PD-L1-positive</w:t>
            </w:r>
          </w:p>
        </w:tc>
        <w:tc>
          <w:tcPr>
            <w:tcW w:w="3042" w:type="dxa"/>
            <w:vAlign w:val="top"/>
          </w:tcPr>
          <w:p w:rsidR="00622DEB" w:rsidRPr="008D797E" w:rsidRDefault="00622DEB" w:rsidP="003028C8">
            <w:pPr>
              <w:keepNext/>
              <w:widowControl/>
              <w:spacing w:before="0"/>
              <w:jc w:val="left"/>
              <w:cnfStyle w:val="000000000000" w:firstRow="0" w:lastRow="0" w:firstColumn="0" w:lastColumn="0" w:oddVBand="0" w:evenVBand="0" w:oddHBand="0" w:evenHBand="0" w:firstRowFirstColumn="0" w:firstRowLastColumn="0" w:lastRowFirstColumn="0" w:lastRowLastColumn="0"/>
              <w:rPr>
                <w:rFonts w:ascii="Arial Narrow" w:eastAsiaTheme="majorEastAsia" w:hAnsi="Arial Narrow" w:cstheme="majorBidi"/>
                <w:bCs/>
                <w:sz w:val="20"/>
              </w:rPr>
            </w:pPr>
            <w:r w:rsidRPr="008D797E">
              <w:rPr>
                <w:rFonts w:ascii="Arial Narrow" w:eastAsiaTheme="majorEastAsia" w:hAnsi="Arial Narrow" w:cstheme="majorBidi"/>
                <w:bCs/>
                <w:sz w:val="20"/>
              </w:rPr>
              <w:t>41%, as reported in IMpassion130 trial</w:t>
            </w:r>
          </w:p>
        </w:tc>
        <w:tc>
          <w:tcPr>
            <w:tcW w:w="3352" w:type="dxa"/>
            <w:vAlign w:val="top"/>
          </w:tcPr>
          <w:p w:rsidR="00622DEB" w:rsidRPr="008D797E" w:rsidRDefault="00622DEB" w:rsidP="0069246C">
            <w:pPr>
              <w:keepNext/>
              <w:widowControl/>
              <w:spacing w:before="0"/>
              <w:jc w:val="left"/>
              <w:cnfStyle w:val="000000000000" w:firstRow="0" w:lastRow="0" w:firstColumn="0" w:lastColumn="0" w:oddVBand="0" w:evenVBand="0" w:oddHBand="0" w:evenHBand="0" w:firstRowFirstColumn="0" w:firstRowLastColumn="0" w:lastRowFirstColumn="0" w:lastRowLastColumn="0"/>
              <w:rPr>
                <w:rFonts w:ascii="Arial Narrow" w:eastAsiaTheme="majorEastAsia" w:hAnsi="Arial Narrow" w:cstheme="majorBidi"/>
                <w:bCs/>
                <w:sz w:val="20"/>
              </w:rPr>
            </w:pPr>
            <w:r w:rsidRPr="008D797E">
              <w:rPr>
                <w:rFonts w:ascii="Arial Narrow" w:eastAsiaTheme="majorEastAsia" w:hAnsi="Arial Narrow" w:cstheme="majorBidi"/>
                <w:bCs/>
                <w:sz w:val="20"/>
              </w:rPr>
              <w:t xml:space="preserve">Unchanged from the previous submission. </w:t>
            </w:r>
          </w:p>
        </w:tc>
      </w:tr>
      <w:tr w:rsidR="00622DEB" w:rsidRPr="008D797E" w:rsidTr="00FA018B">
        <w:tc>
          <w:tcPr>
            <w:cnfStyle w:val="001000000000" w:firstRow="0" w:lastRow="0" w:firstColumn="1" w:lastColumn="0" w:oddVBand="0" w:evenVBand="0" w:oddHBand="0" w:evenHBand="0" w:firstRowFirstColumn="0" w:firstRowLastColumn="0" w:lastRowFirstColumn="0" w:lastRowLastColumn="0"/>
            <w:tcW w:w="2622" w:type="dxa"/>
            <w:vAlign w:val="top"/>
          </w:tcPr>
          <w:p w:rsidR="00622DEB" w:rsidRPr="008D797E" w:rsidRDefault="00622DEB" w:rsidP="003028C8">
            <w:pPr>
              <w:keepNext/>
              <w:widowControl/>
              <w:jc w:val="left"/>
              <w:rPr>
                <w:rFonts w:ascii="Arial Narrow" w:eastAsiaTheme="majorEastAsia" w:hAnsi="Arial Narrow" w:cstheme="majorBidi"/>
                <w:bCs/>
                <w:sz w:val="20"/>
              </w:rPr>
            </w:pPr>
            <w:r w:rsidRPr="008D797E">
              <w:rPr>
                <w:rFonts w:ascii="Arial Narrow" w:eastAsiaTheme="majorEastAsia" w:hAnsi="Arial Narrow" w:cstheme="majorBidi"/>
                <w:bCs/>
                <w:sz w:val="20"/>
              </w:rPr>
              <w:t># of ATZ administrations</w:t>
            </w:r>
          </w:p>
        </w:tc>
        <w:tc>
          <w:tcPr>
            <w:tcW w:w="3042" w:type="dxa"/>
            <w:vAlign w:val="top"/>
          </w:tcPr>
          <w:p w:rsidR="00622DEB" w:rsidRPr="008D797E" w:rsidRDefault="006470F1" w:rsidP="003028C8">
            <w:pPr>
              <w:keepNext/>
              <w:widowControl/>
              <w:spacing w:before="0"/>
              <w:jc w:val="left"/>
              <w:cnfStyle w:val="000000000000" w:firstRow="0" w:lastRow="0" w:firstColumn="0" w:lastColumn="0" w:oddVBand="0" w:evenVBand="0" w:oddHBand="0" w:evenHBand="0" w:firstRowFirstColumn="0" w:firstRowLastColumn="0" w:lastRowFirstColumn="0" w:lastRowLastColumn="0"/>
              <w:rPr>
                <w:rFonts w:ascii="Arial Narrow" w:eastAsiaTheme="majorEastAsia" w:hAnsi="Arial Narrow" w:cstheme="majorBidi"/>
                <w:bCs/>
                <w:sz w:val="20"/>
              </w:rPr>
            </w:pPr>
            <w:r>
              <w:rPr>
                <w:rFonts w:ascii="Arial Narrow" w:eastAsiaTheme="majorEastAsia" w:hAnsi="Arial Narrow" w:cstheme="majorBidi"/>
                <w:bCs/>
                <w:noProof/>
                <w:sz w:val="20"/>
                <w:highlight w:val="black"/>
              </w:rPr>
              <w:t>''''''</w:t>
            </w:r>
            <w:r w:rsidR="00622DEB" w:rsidRPr="008D797E">
              <w:rPr>
                <w:rFonts w:ascii="Arial Narrow" w:eastAsiaTheme="majorEastAsia" w:hAnsi="Arial Narrow" w:cstheme="majorBidi"/>
                <w:bCs/>
                <w:sz w:val="20"/>
              </w:rPr>
              <w:t xml:space="preserve"> administrations, 6.01 atezolizumab DUSC Advice March 2020</w:t>
            </w:r>
          </w:p>
        </w:tc>
        <w:tc>
          <w:tcPr>
            <w:tcW w:w="3352" w:type="dxa"/>
            <w:vAlign w:val="top"/>
          </w:tcPr>
          <w:p w:rsidR="00622DEB" w:rsidRPr="008D797E" w:rsidRDefault="00622DEB" w:rsidP="003028C8">
            <w:pPr>
              <w:keepNext/>
              <w:widowControl/>
              <w:spacing w:before="0"/>
              <w:jc w:val="left"/>
              <w:cnfStyle w:val="000000000000" w:firstRow="0" w:lastRow="0" w:firstColumn="0" w:lastColumn="0" w:oddVBand="0" w:evenVBand="0" w:oddHBand="0" w:evenHBand="0" w:firstRowFirstColumn="0" w:firstRowLastColumn="0" w:lastRowFirstColumn="0" w:lastRowLastColumn="0"/>
              <w:rPr>
                <w:rFonts w:ascii="Arial Narrow" w:eastAsiaTheme="majorEastAsia" w:hAnsi="Arial Narrow" w:cstheme="majorBidi"/>
                <w:bCs/>
                <w:sz w:val="20"/>
              </w:rPr>
            </w:pPr>
            <w:r w:rsidRPr="008D797E">
              <w:rPr>
                <w:rFonts w:ascii="Arial Narrow" w:eastAsiaTheme="majorEastAsia" w:hAnsi="Arial Narrow" w:cstheme="majorBidi"/>
                <w:bCs/>
                <w:sz w:val="20"/>
              </w:rPr>
              <w:t xml:space="preserve">DUSC </w:t>
            </w:r>
            <w:r w:rsidR="00AF16CF" w:rsidRPr="008D797E">
              <w:rPr>
                <w:rFonts w:ascii="Arial Narrow" w:eastAsiaTheme="majorEastAsia" w:hAnsi="Arial Narrow" w:cstheme="majorBidi"/>
                <w:bCs/>
                <w:sz w:val="20"/>
              </w:rPr>
              <w:t xml:space="preserve">previously </w:t>
            </w:r>
            <w:r w:rsidRPr="008D797E">
              <w:rPr>
                <w:rFonts w:ascii="Arial Narrow" w:eastAsiaTheme="majorEastAsia" w:hAnsi="Arial Narrow" w:cstheme="majorBidi"/>
                <w:bCs/>
                <w:sz w:val="20"/>
              </w:rPr>
              <w:t xml:space="preserve">considered this was reasonable. </w:t>
            </w:r>
          </w:p>
        </w:tc>
      </w:tr>
      <w:tr w:rsidR="00622DEB" w:rsidRPr="008D797E" w:rsidTr="00FA018B">
        <w:tc>
          <w:tcPr>
            <w:cnfStyle w:val="001000000000" w:firstRow="0" w:lastRow="0" w:firstColumn="1" w:lastColumn="0" w:oddVBand="0" w:evenVBand="0" w:oddHBand="0" w:evenHBand="0" w:firstRowFirstColumn="0" w:firstRowLastColumn="0" w:lastRowFirstColumn="0" w:lastRowLastColumn="0"/>
            <w:tcW w:w="2622" w:type="dxa"/>
            <w:vAlign w:val="top"/>
          </w:tcPr>
          <w:p w:rsidR="00622DEB" w:rsidRPr="008D797E" w:rsidRDefault="00622DEB" w:rsidP="003028C8">
            <w:pPr>
              <w:keepNext/>
              <w:widowControl/>
              <w:jc w:val="left"/>
              <w:rPr>
                <w:rFonts w:ascii="Arial Narrow" w:eastAsiaTheme="majorEastAsia" w:hAnsi="Arial Narrow" w:cstheme="majorBidi"/>
                <w:bCs/>
                <w:sz w:val="20"/>
                <w:highlight w:val="yellow"/>
              </w:rPr>
            </w:pPr>
            <w:r w:rsidRPr="008D797E">
              <w:rPr>
                <w:rFonts w:ascii="Arial Narrow" w:eastAsiaTheme="majorEastAsia" w:hAnsi="Arial Narrow" w:cstheme="majorBidi"/>
                <w:bCs/>
                <w:sz w:val="20"/>
              </w:rPr>
              <w:t>Split of patients receiving substituted taxane regimens</w:t>
            </w:r>
          </w:p>
        </w:tc>
        <w:tc>
          <w:tcPr>
            <w:tcW w:w="3042" w:type="dxa"/>
            <w:vAlign w:val="top"/>
          </w:tcPr>
          <w:p w:rsidR="00622DEB" w:rsidRPr="008D797E" w:rsidRDefault="00622DEB" w:rsidP="003028C8">
            <w:pPr>
              <w:keepNext/>
              <w:widowControl/>
              <w:spacing w:before="0"/>
              <w:jc w:val="left"/>
              <w:cnfStyle w:val="000000000000" w:firstRow="0" w:lastRow="0" w:firstColumn="0" w:lastColumn="0" w:oddVBand="0" w:evenVBand="0" w:oddHBand="0" w:evenHBand="0" w:firstRowFirstColumn="0" w:firstRowLastColumn="0" w:lastRowFirstColumn="0" w:lastRowLastColumn="0"/>
              <w:rPr>
                <w:rFonts w:ascii="Arial Narrow" w:eastAsiaTheme="majorEastAsia" w:hAnsi="Arial Narrow" w:cstheme="majorBidi"/>
                <w:bCs/>
                <w:sz w:val="20"/>
              </w:rPr>
            </w:pPr>
            <w:r w:rsidRPr="008D797E">
              <w:rPr>
                <w:rFonts w:ascii="Arial Narrow" w:eastAsiaTheme="majorEastAsia" w:hAnsi="Arial Narrow" w:cstheme="majorBidi"/>
                <w:bCs/>
                <w:sz w:val="20"/>
              </w:rPr>
              <w:t>62% nab-P</w:t>
            </w:r>
          </w:p>
          <w:p w:rsidR="00622DEB" w:rsidRPr="008D797E" w:rsidRDefault="00622DEB" w:rsidP="003028C8">
            <w:pPr>
              <w:keepNext/>
              <w:widowControl/>
              <w:spacing w:before="0"/>
              <w:jc w:val="left"/>
              <w:cnfStyle w:val="000000000000" w:firstRow="0" w:lastRow="0" w:firstColumn="0" w:lastColumn="0" w:oddVBand="0" w:evenVBand="0" w:oddHBand="0" w:evenHBand="0" w:firstRowFirstColumn="0" w:firstRowLastColumn="0" w:lastRowFirstColumn="0" w:lastRowLastColumn="0"/>
              <w:rPr>
                <w:rFonts w:ascii="Arial Narrow" w:eastAsiaTheme="majorEastAsia" w:hAnsi="Arial Narrow" w:cstheme="majorBidi"/>
                <w:bCs/>
                <w:sz w:val="20"/>
              </w:rPr>
            </w:pPr>
            <w:r w:rsidRPr="008D797E">
              <w:rPr>
                <w:rFonts w:ascii="Arial Narrow" w:eastAsiaTheme="majorEastAsia" w:hAnsi="Arial Narrow" w:cstheme="majorBidi"/>
                <w:bCs/>
                <w:sz w:val="20"/>
              </w:rPr>
              <w:t>29% paclitaxel</w:t>
            </w:r>
          </w:p>
          <w:p w:rsidR="00622DEB" w:rsidRPr="008D797E" w:rsidRDefault="00622DEB" w:rsidP="003028C8">
            <w:pPr>
              <w:keepNext/>
              <w:widowControl/>
              <w:spacing w:before="0"/>
              <w:jc w:val="left"/>
              <w:cnfStyle w:val="000000000000" w:firstRow="0" w:lastRow="0" w:firstColumn="0" w:lastColumn="0" w:oddVBand="0" w:evenVBand="0" w:oddHBand="0" w:evenHBand="0" w:firstRowFirstColumn="0" w:firstRowLastColumn="0" w:lastRowFirstColumn="0" w:lastRowLastColumn="0"/>
              <w:rPr>
                <w:rFonts w:ascii="Arial Narrow" w:eastAsiaTheme="majorEastAsia" w:hAnsi="Arial Narrow" w:cstheme="majorBidi"/>
                <w:bCs/>
                <w:sz w:val="20"/>
              </w:rPr>
            </w:pPr>
            <w:r w:rsidRPr="008D797E">
              <w:rPr>
                <w:rFonts w:ascii="Arial Narrow" w:eastAsiaTheme="majorEastAsia" w:hAnsi="Arial Narrow" w:cstheme="majorBidi"/>
                <w:bCs/>
                <w:sz w:val="20"/>
              </w:rPr>
              <w:t>9% docetaxel</w:t>
            </w:r>
          </w:p>
          <w:p w:rsidR="00622DEB" w:rsidRPr="008D797E" w:rsidRDefault="00622DEB" w:rsidP="003028C8">
            <w:pPr>
              <w:keepNext/>
              <w:widowControl/>
              <w:spacing w:before="0"/>
              <w:jc w:val="left"/>
              <w:cnfStyle w:val="000000000000" w:firstRow="0" w:lastRow="0" w:firstColumn="0" w:lastColumn="0" w:oddVBand="0" w:evenVBand="0" w:oddHBand="0" w:evenHBand="0" w:firstRowFirstColumn="0" w:firstRowLastColumn="0" w:lastRowFirstColumn="0" w:lastRowLastColumn="0"/>
              <w:rPr>
                <w:rFonts w:ascii="Arial Narrow" w:eastAsiaTheme="majorEastAsia" w:hAnsi="Arial Narrow" w:cstheme="majorBidi"/>
                <w:bCs/>
                <w:sz w:val="20"/>
                <w:highlight w:val="yellow"/>
              </w:rPr>
            </w:pPr>
            <w:r w:rsidRPr="008D797E">
              <w:rPr>
                <w:rFonts w:ascii="Arial Narrow" w:eastAsiaTheme="majorEastAsia" w:hAnsi="Arial Narrow" w:cstheme="majorBidi"/>
                <w:bCs/>
                <w:sz w:val="20"/>
              </w:rPr>
              <w:t>METIS Healthcare Research, 2020</w:t>
            </w:r>
          </w:p>
        </w:tc>
        <w:tc>
          <w:tcPr>
            <w:tcW w:w="3352" w:type="dxa"/>
            <w:vAlign w:val="top"/>
          </w:tcPr>
          <w:p w:rsidR="00622DEB" w:rsidRPr="008D797E" w:rsidRDefault="00622DEB" w:rsidP="003028C8">
            <w:pPr>
              <w:keepNext/>
              <w:widowControl/>
              <w:spacing w:before="0"/>
              <w:jc w:val="left"/>
              <w:cnfStyle w:val="000000000000" w:firstRow="0" w:lastRow="0" w:firstColumn="0" w:lastColumn="0" w:oddVBand="0" w:evenVBand="0" w:oddHBand="0" w:evenHBand="0" w:firstRowFirstColumn="0" w:firstRowLastColumn="0" w:lastRowFirstColumn="0" w:lastRowLastColumn="0"/>
              <w:rPr>
                <w:rFonts w:ascii="Arial Narrow" w:eastAsiaTheme="majorEastAsia" w:hAnsi="Arial Narrow" w:cstheme="majorBidi"/>
                <w:bCs/>
                <w:sz w:val="20"/>
                <w:highlight w:val="yellow"/>
              </w:rPr>
            </w:pPr>
            <w:r w:rsidRPr="008D797E">
              <w:rPr>
                <w:rFonts w:ascii="Arial Narrow" w:eastAsiaTheme="majorEastAsia" w:hAnsi="Arial Narrow" w:cstheme="majorBidi"/>
                <w:bCs/>
                <w:sz w:val="20"/>
              </w:rPr>
              <w:t xml:space="preserve">The estimates were uncertain. However, the impact on the total cost to PBS and/or Government is likely to be minimal. </w:t>
            </w:r>
          </w:p>
        </w:tc>
      </w:tr>
      <w:tr w:rsidR="00622DEB" w:rsidRPr="008D797E" w:rsidTr="00FA018B">
        <w:tc>
          <w:tcPr>
            <w:cnfStyle w:val="001000000000" w:firstRow="0" w:lastRow="0" w:firstColumn="1" w:lastColumn="0" w:oddVBand="0" w:evenVBand="0" w:oddHBand="0" w:evenHBand="0" w:firstRowFirstColumn="0" w:firstRowLastColumn="0" w:lastRowFirstColumn="0" w:lastRowLastColumn="0"/>
            <w:tcW w:w="2622" w:type="dxa"/>
            <w:vAlign w:val="top"/>
          </w:tcPr>
          <w:p w:rsidR="00622DEB" w:rsidRPr="008D797E" w:rsidRDefault="00622DEB" w:rsidP="003028C8">
            <w:pPr>
              <w:keepNext/>
              <w:widowControl/>
              <w:jc w:val="left"/>
              <w:rPr>
                <w:rFonts w:ascii="Arial Narrow" w:eastAsiaTheme="majorEastAsia" w:hAnsi="Arial Narrow" w:cstheme="majorBidi"/>
                <w:bCs/>
                <w:sz w:val="20"/>
              </w:rPr>
            </w:pPr>
            <w:r w:rsidRPr="008D797E">
              <w:rPr>
                <w:rFonts w:ascii="Arial Narrow" w:eastAsiaTheme="majorEastAsia" w:hAnsi="Arial Narrow" w:cstheme="majorBidi"/>
                <w:bCs/>
                <w:sz w:val="20"/>
              </w:rPr>
              <w:t># of nab-P administrations (in combination with ATZ or used alone)</w:t>
            </w:r>
          </w:p>
        </w:tc>
        <w:tc>
          <w:tcPr>
            <w:tcW w:w="3042" w:type="dxa"/>
            <w:vAlign w:val="top"/>
          </w:tcPr>
          <w:p w:rsidR="00622DEB" w:rsidRPr="008D797E" w:rsidRDefault="00622DEB" w:rsidP="003028C8">
            <w:pPr>
              <w:keepNext/>
              <w:widowControl/>
              <w:spacing w:before="0"/>
              <w:jc w:val="left"/>
              <w:cnfStyle w:val="000000000000" w:firstRow="0" w:lastRow="0" w:firstColumn="0" w:lastColumn="0" w:oddVBand="0" w:evenVBand="0" w:oddHBand="0" w:evenHBand="0" w:firstRowFirstColumn="0" w:firstRowLastColumn="0" w:lastRowFirstColumn="0" w:lastRowLastColumn="0"/>
              <w:rPr>
                <w:rFonts w:ascii="Arial Narrow" w:eastAsiaTheme="majorEastAsia" w:hAnsi="Arial Narrow" w:cstheme="majorBidi"/>
                <w:bCs/>
                <w:sz w:val="20"/>
              </w:rPr>
            </w:pPr>
            <w:r w:rsidRPr="008D797E">
              <w:rPr>
                <w:rFonts w:ascii="Arial Narrow" w:eastAsiaTheme="majorEastAsia" w:hAnsi="Arial Narrow" w:cstheme="majorBidi"/>
                <w:bCs/>
                <w:sz w:val="20"/>
              </w:rPr>
              <w:t>10 administrations, DUSC advice</w:t>
            </w:r>
          </w:p>
        </w:tc>
        <w:tc>
          <w:tcPr>
            <w:tcW w:w="3352" w:type="dxa"/>
            <w:vAlign w:val="top"/>
          </w:tcPr>
          <w:p w:rsidR="00622DEB" w:rsidRPr="008D797E" w:rsidRDefault="00622DEB" w:rsidP="003028C8">
            <w:pPr>
              <w:keepNext/>
              <w:widowControl/>
              <w:spacing w:before="0"/>
              <w:jc w:val="left"/>
              <w:cnfStyle w:val="000000000000" w:firstRow="0" w:lastRow="0" w:firstColumn="0" w:lastColumn="0" w:oddVBand="0" w:evenVBand="0" w:oddHBand="0" w:evenHBand="0" w:firstRowFirstColumn="0" w:firstRowLastColumn="0" w:lastRowFirstColumn="0" w:lastRowLastColumn="0"/>
              <w:rPr>
                <w:rFonts w:ascii="Arial Narrow" w:eastAsiaTheme="majorEastAsia" w:hAnsi="Arial Narrow" w:cstheme="majorBidi"/>
                <w:bCs/>
                <w:sz w:val="20"/>
              </w:rPr>
            </w:pPr>
            <w:r w:rsidRPr="008D797E">
              <w:rPr>
                <w:rFonts w:ascii="Arial Narrow" w:eastAsiaTheme="majorEastAsia" w:hAnsi="Arial Narrow" w:cstheme="majorBidi"/>
                <w:bCs/>
                <w:sz w:val="20"/>
              </w:rPr>
              <w:t>DUSC previously considered 10 doses of nab-P was a reasonable estimate.</w:t>
            </w:r>
          </w:p>
        </w:tc>
      </w:tr>
      <w:tr w:rsidR="00622DEB" w:rsidRPr="008D797E" w:rsidTr="00FA018B">
        <w:tc>
          <w:tcPr>
            <w:cnfStyle w:val="001000000000" w:firstRow="0" w:lastRow="0" w:firstColumn="1" w:lastColumn="0" w:oddVBand="0" w:evenVBand="0" w:oddHBand="0" w:evenHBand="0" w:firstRowFirstColumn="0" w:firstRowLastColumn="0" w:lastRowFirstColumn="0" w:lastRowLastColumn="0"/>
            <w:tcW w:w="2622" w:type="dxa"/>
            <w:vAlign w:val="top"/>
          </w:tcPr>
          <w:p w:rsidR="00622DEB" w:rsidRPr="008D797E" w:rsidRDefault="00622DEB" w:rsidP="003028C8">
            <w:pPr>
              <w:keepNext/>
              <w:widowControl/>
              <w:jc w:val="left"/>
              <w:rPr>
                <w:rFonts w:ascii="Arial Narrow" w:eastAsiaTheme="majorEastAsia" w:hAnsi="Arial Narrow" w:cstheme="majorBidi"/>
                <w:bCs/>
                <w:sz w:val="20"/>
              </w:rPr>
            </w:pPr>
            <w:r w:rsidRPr="008D797E">
              <w:rPr>
                <w:rFonts w:ascii="Arial Narrow" w:eastAsiaTheme="majorEastAsia" w:hAnsi="Arial Narrow" w:cstheme="majorBidi"/>
                <w:bCs/>
                <w:sz w:val="20"/>
              </w:rPr>
              <w:t># of administration</w:t>
            </w:r>
            <w:r w:rsidR="00F65B70" w:rsidRPr="008D797E">
              <w:rPr>
                <w:rFonts w:ascii="Arial Narrow" w:eastAsiaTheme="majorEastAsia" w:hAnsi="Arial Narrow" w:cstheme="majorBidi"/>
                <w:bCs/>
                <w:sz w:val="20"/>
              </w:rPr>
              <w:t>s</w:t>
            </w:r>
            <w:r w:rsidRPr="008D797E">
              <w:rPr>
                <w:rFonts w:ascii="Arial Narrow" w:eastAsiaTheme="majorEastAsia" w:hAnsi="Arial Narrow" w:cstheme="majorBidi"/>
                <w:bCs/>
                <w:sz w:val="20"/>
              </w:rPr>
              <w:t xml:space="preserve"> of paclitaxel</w:t>
            </w:r>
          </w:p>
        </w:tc>
        <w:tc>
          <w:tcPr>
            <w:tcW w:w="3042" w:type="dxa"/>
            <w:vAlign w:val="top"/>
          </w:tcPr>
          <w:p w:rsidR="00622DEB" w:rsidRPr="008D797E" w:rsidRDefault="00622DEB" w:rsidP="003028C8">
            <w:pPr>
              <w:keepNext/>
              <w:widowControl/>
              <w:spacing w:before="0"/>
              <w:jc w:val="left"/>
              <w:cnfStyle w:val="000000000000" w:firstRow="0" w:lastRow="0" w:firstColumn="0" w:lastColumn="0" w:oddVBand="0" w:evenVBand="0" w:oddHBand="0" w:evenHBand="0" w:firstRowFirstColumn="0" w:firstRowLastColumn="0" w:lastRowFirstColumn="0" w:lastRowLastColumn="0"/>
              <w:rPr>
                <w:rFonts w:ascii="Arial Narrow" w:eastAsiaTheme="majorEastAsia" w:hAnsi="Arial Narrow" w:cstheme="majorBidi"/>
                <w:bCs/>
                <w:sz w:val="20"/>
              </w:rPr>
            </w:pPr>
            <w:r w:rsidRPr="008D797E">
              <w:rPr>
                <w:rFonts w:ascii="Arial Narrow" w:eastAsiaTheme="majorEastAsia" w:hAnsi="Arial Narrow" w:cstheme="majorBidi"/>
                <w:bCs/>
                <w:sz w:val="20"/>
              </w:rPr>
              <w:t>13.33, Source not reported</w:t>
            </w:r>
          </w:p>
        </w:tc>
        <w:tc>
          <w:tcPr>
            <w:tcW w:w="3352" w:type="dxa"/>
            <w:vMerge w:val="restart"/>
            <w:vAlign w:val="top"/>
          </w:tcPr>
          <w:p w:rsidR="00622DEB" w:rsidRPr="008D797E" w:rsidRDefault="00622DEB" w:rsidP="0004442C">
            <w:pPr>
              <w:keepNext/>
              <w:widowControl/>
              <w:spacing w:before="0"/>
              <w:jc w:val="left"/>
              <w:cnfStyle w:val="000000000000" w:firstRow="0" w:lastRow="0" w:firstColumn="0" w:lastColumn="0" w:oddVBand="0" w:evenVBand="0" w:oddHBand="0" w:evenHBand="0" w:firstRowFirstColumn="0" w:firstRowLastColumn="0" w:lastRowFirstColumn="0" w:lastRowLastColumn="0"/>
              <w:rPr>
                <w:rFonts w:ascii="Arial Narrow" w:eastAsiaTheme="majorEastAsia" w:hAnsi="Arial Narrow" w:cstheme="majorBidi"/>
                <w:bCs/>
                <w:sz w:val="20"/>
              </w:rPr>
            </w:pPr>
            <w:r w:rsidRPr="008D797E">
              <w:rPr>
                <w:rFonts w:ascii="Arial Narrow" w:eastAsiaTheme="majorEastAsia" w:hAnsi="Arial Narrow" w:cstheme="majorBidi"/>
                <w:bCs/>
                <w:sz w:val="20"/>
              </w:rPr>
              <w:t xml:space="preserve">The inclusion of paclitaxel and docetaxel as substituted medicines was new to the resubmission. The resubmission did not provide the source for the estimated duration of treatment with paclitaxel and docetaxel. </w:t>
            </w:r>
          </w:p>
        </w:tc>
      </w:tr>
      <w:tr w:rsidR="00622DEB" w:rsidRPr="008D797E" w:rsidTr="00FA018B">
        <w:tc>
          <w:tcPr>
            <w:cnfStyle w:val="001000000000" w:firstRow="0" w:lastRow="0" w:firstColumn="1" w:lastColumn="0" w:oddVBand="0" w:evenVBand="0" w:oddHBand="0" w:evenHBand="0" w:firstRowFirstColumn="0" w:firstRowLastColumn="0" w:lastRowFirstColumn="0" w:lastRowLastColumn="0"/>
            <w:tcW w:w="2622" w:type="dxa"/>
            <w:vAlign w:val="top"/>
          </w:tcPr>
          <w:p w:rsidR="00622DEB" w:rsidRPr="008D797E" w:rsidRDefault="00622DEB" w:rsidP="003028C8">
            <w:pPr>
              <w:keepNext/>
              <w:widowControl/>
              <w:jc w:val="left"/>
              <w:rPr>
                <w:rFonts w:ascii="Arial Narrow" w:eastAsiaTheme="majorEastAsia" w:hAnsi="Arial Narrow" w:cstheme="majorBidi"/>
                <w:bCs/>
                <w:sz w:val="20"/>
              </w:rPr>
            </w:pPr>
            <w:r w:rsidRPr="008D797E">
              <w:rPr>
                <w:rFonts w:ascii="Arial Narrow" w:eastAsiaTheme="majorEastAsia" w:hAnsi="Arial Narrow" w:cstheme="majorBidi"/>
                <w:bCs/>
                <w:sz w:val="20"/>
              </w:rPr>
              <w:t># of administration</w:t>
            </w:r>
            <w:r w:rsidR="00F65B70" w:rsidRPr="008D797E">
              <w:rPr>
                <w:rFonts w:ascii="Arial Narrow" w:eastAsiaTheme="majorEastAsia" w:hAnsi="Arial Narrow" w:cstheme="majorBidi"/>
                <w:bCs/>
                <w:sz w:val="20"/>
              </w:rPr>
              <w:t>s</w:t>
            </w:r>
            <w:r w:rsidRPr="008D797E">
              <w:rPr>
                <w:rFonts w:ascii="Arial Narrow" w:eastAsiaTheme="majorEastAsia" w:hAnsi="Arial Narrow" w:cstheme="majorBidi"/>
                <w:bCs/>
                <w:sz w:val="20"/>
              </w:rPr>
              <w:t xml:space="preserve"> of docetaxel</w:t>
            </w:r>
          </w:p>
        </w:tc>
        <w:tc>
          <w:tcPr>
            <w:tcW w:w="3042" w:type="dxa"/>
            <w:vAlign w:val="top"/>
          </w:tcPr>
          <w:p w:rsidR="00622DEB" w:rsidRPr="008D797E" w:rsidRDefault="00622DEB" w:rsidP="003028C8">
            <w:pPr>
              <w:keepNext/>
              <w:widowControl/>
              <w:spacing w:before="0"/>
              <w:jc w:val="left"/>
              <w:cnfStyle w:val="000000000000" w:firstRow="0" w:lastRow="0" w:firstColumn="0" w:lastColumn="0" w:oddVBand="0" w:evenVBand="0" w:oddHBand="0" w:evenHBand="0" w:firstRowFirstColumn="0" w:firstRowLastColumn="0" w:lastRowFirstColumn="0" w:lastRowLastColumn="0"/>
              <w:rPr>
                <w:rFonts w:ascii="Arial Narrow" w:eastAsiaTheme="majorEastAsia" w:hAnsi="Arial Narrow" w:cstheme="majorBidi"/>
                <w:bCs/>
                <w:sz w:val="20"/>
              </w:rPr>
            </w:pPr>
            <w:r w:rsidRPr="008D797E">
              <w:rPr>
                <w:rFonts w:ascii="Arial Narrow" w:eastAsiaTheme="majorEastAsia" w:hAnsi="Arial Narrow" w:cstheme="majorBidi"/>
                <w:bCs/>
                <w:sz w:val="20"/>
              </w:rPr>
              <w:t>4.44, Source not reported</w:t>
            </w:r>
          </w:p>
        </w:tc>
        <w:tc>
          <w:tcPr>
            <w:tcW w:w="3352" w:type="dxa"/>
            <w:vMerge/>
            <w:vAlign w:val="top"/>
          </w:tcPr>
          <w:p w:rsidR="00622DEB" w:rsidRPr="008D797E" w:rsidRDefault="00622DEB" w:rsidP="003028C8">
            <w:pPr>
              <w:keepNext/>
              <w:widowControl/>
              <w:spacing w:before="0"/>
              <w:jc w:val="left"/>
              <w:cnfStyle w:val="000000000000" w:firstRow="0" w:lastRow="0" w:firstColumn="0" w:lastColumn="0" w:oddVBand="0" w:evenVBand="0" w:oddHBand="0" w:evenHBand="0" w:firstRowFirstColumn="0" w:firstRowLastColumn="0" w:lastRowFirstColumn="0" w:lastRowLastColumn="0"/>
              <w:rPr>
                <w:rFonts w:ascii="Arial Narrow" w:eastAsiaTheme="majorEastAsia" w:hAnsi="Arial Narrow" w:cstheme="majorBidi"/>
                <w:bCs/>
                <w:sz w:val="20"/>
              </w:rPr>
            </w:pPr>
          </w:p>
        </w:tc>
      </w:tr>
      <w:tr w:rsidR="00622DEB" w:rsidRPr="008D797E" w:rsidTr="00FA018B">
        <w:tc>
          <w:tcPr>
            <w:cnfStyle w:val="001000000000" w:firstRow="0" w:lastRow="0" w:firstColumn="1" w:lastColumn="0" w:oddVBand="0" w:evenVBand="0" w:oddHBand="0" w:evenHBand="0" w:firstRowFirstColumn="0" w:firstRowLastColumn="0" w:lastRowFirstColumn="0" w:lastRowLastColumn="0"/>
            <w:tcW w:w="9016" w:type="dxa"/>
            <w:gridSpan w:val="3"/>
            <w:vAlign w:val="top"/>
          </w:tcPr>
          <w:p w:rsidR="00622DEB" w:rsidRPr="008D797E" w:rsidRDefault="00622DEB" w:rsidP="003028C8">
            <w:pPr>
              <w:keepNext/>
              <w:widowControl/>
              <w:jc w:val="left"/>
              <w:rPr>
                <w:rFonts w:ascii="Arial Narrow" w:eastAsiaTheme="majorEastAsia" w:hAnsi="Arial Narrow" w:cstheme="majorBidi"/>
                <w:b/>
                <w:bCs/>
                <w:sz w:val="20"/>
              </w:rPr>
            </w:pPr>
            <w:r w:rsidRPr="008D797E">
              <w:rPr>
                <w:rFonts w:ascii="Arial Narrow" w:eastAsiaTheme="majorEastAsia" w:hAnsi="Arial Narrow" w:cstheme="majorBidi"/>
                <w:b/>
                <w:bCs/>
                <w:sz w:val="20"/>
              </w:rPr>
              <w:t>MBS Items</w:t>
            </w:r>
          </w:p>
        </w:tc>
      </w:tr>
      <w:tr w:rsidR="00622DEB" w:rsidRPr="008D797E" w:rsidTr="00FA018B">
        <w:tc>
          <w:tcPr>
            <w:cnfStyle w:val="001000000000" w:firstRow="0" w:lastRow="0" w:firstColumn="1" w:lastColumn="0" w:oddVBand="0" w:evenVBand="0" w:oddHBand="0" w:evenHBand="0" w:firstRowFirstColumn="0" w:firstRowLastColumn="0" w:lastRowFirstColumn="0" w:lastRowLastColumn="0"/>
            <w:tcW w:w="2622" w:type="dxa"/>
            <w:vAlign w:val="top"/>
          </w:tcPr>
          <w:p w:rsidR="00622DEB" w:rsidRPr="008D797E" w:rsidRDefault="00622DEB" w:rsidP="003028C8">
            <w:pPr>
              <w:keepNext/>
              <w:widowControl/>
              <w:jc w:val="left"/>
              <w:rPr>
                <w:rFonts w:ascii="Arial Narrow" w:eastAsiaTheme="majorEastAsia" w:hAnsi="Arial Narrow" w:cstheme="majorBidi"/>
                <w:bCs/>
                <w:sz w:val="20"/>
              </w:rPr>
            </w:pPr>
            <w:r w:rsidRPr="008D797E">
              <w:rPr>
                <w:rFonts w:ascii="Arial Narrow" w:eastAsiaTheme="majorEastAsia" w:hAnsi="Arial Narrow" w:cstheme="majorBidi"/>
                <w:bCs/>
                <w:sz w:val="20"/>
              </w:rPr>
              <w:t>MBS Items 13918 and  MBS Item 13915 - administration of ATZ+nab-P</w:t>
            </w:r>
          </w:p>
        </w:tc>
        <w:tc>
          <w:tcPr>
            <w:tcW w:w="3042" w:type="dxa"/>
            <w:vAlign w:val="top"/>
          </w:tcPr>
          <w:p w:rsidR="00622DEB" w:rsidRPr="008D797E" w:rsidRDefault="00622DEB" w:rsidP="003028C8">
            <w:pPr>
              <w:keepNext/>
              <w:widowControl/>
              <w:spacing w:before="0"/>
              <w:jc w:val="left"/>
              <w:cnfStyle w:val="000000000000" w:firstRow="0" w:lastRow="0" w:firstColumn="0" w:lastColumn="0" w:oddVBand="0" w:evenVBand="0" w:oddHBand="0" w:evenHBand="0" w:firstRowFirstColumn="0" w:firstRowLastColumn="0" w:lastRowFirstColumn="0" w:lastRowLastColumn="0"/>
              <w:rPr>
                <w:rFonts w:ascii="Arial Narrow" w:eastAsiaTheme="majorEastAsia" w:hAnsi="Arial Narrow" w:cstheme="majorBidi"/>
                <w:bCs/>
                <w:sz w:val="20"/>
              </w:rPr>
            </w:pPr>
            <w:r w:rsidRPr="008D797E">
              <w:rPr>
                <w:rFonts w:ascii="Arial Narrow" w:eastAsiaTheme="majorEastAsia" w:hAnsi="Arial Narrow" w:cstheme="majorBidi"/>
                <w:bCs/>
                <w:sz w:val="20"/>
              </w:rPr>
              <w:t>$101.00</w:t>
            </w:r>
          </w:p>
          <w:p w:rsidR="00622DEB" w:rsidRPr="008D797E" w:rsidRDefault="00622DEB" w:rsidP="003028C8">
            <w:pPr>
              <w:keepNext/>
              <w:widowControl/>
              <w:spacing w:before="0"/>
              <w:jc w:val="left"/>
              <w:cnfStyle w:val="000000000000" w:firstRow="0" w:lastRow="0" w:firstColumn="0" w:lastColumn="0" w:oddVBand="0" w:evenVBand="0" w:oddHBand="0" w:evenHBand="0" w:firstRowFirstColumn="0" w:firstRowLastColumn="0" w:lastRowFirstColumn="0" w:lastRowLastColumn="0"/>
              <w:rPr>
                <w:rFonts w:ascii="Arial Narrow" w:eastAsiaTheme="majorEastAsia" w:hAnsi="Arial Narrow" w:cstheme="majorBidi"/>
                <w:bCs/>
                <w:sz w:val="20"/>
              </w:rPr>
            </w:pPr>
            <w:r w:rsidRPr="008D797E">
              <w:rPr>
                <w:rFonts w:ascii="Arial Narrow" w:eastAsiaTheme="majorEastAsia" w:hAnsi="Arial Narrow" w:cstheme="majorBidi"/>
                <w:bCs/>
                <w:sz w:val="20"/>
              </w:rPr>
              <w:t>$67.10</w:t>
            </w:r>
          </w:p>
          <w:p w:rsidR="00622DEB" w:rsidRPr="008D797E" w:rsidRDefault="00622DEB" w:rsidP="003028C8">
            <w:pPr>
              <w:keepNext/>
              <w:widowControl/>
              <w:spacing w:before="0"/>
              <w:jc w:val="left"/>
              <w:cnfStyle w:val="000000000000" w:firstRow="0" w:lastRow="0" w:firstColumn="0" w:lastColumn="0" w:oddVBand="0" w:evenVBand="0" w:oddHBand="0" w:evenHBand="0" w:firstRowFirstColumn="0" w:firstRowLastColumn="0" w:lastRowFirstColumn="0" w:lastRowLastColumn="0"/>
              <w:rPr>
                <w:rFonts w:ascii="Arial Narrow" w:eastAsiaTheme="majorEastAsia" w:hAnsi="Arial Narrow" w:cstheme="majorBidi"/>
                <w:sz w:val="20"/>
              </w:rPr>
            </w:pPr>
            <w:r w:rsidRPr="008D797E">
              <w:rPr>
                <w:rFonts w:ascii="Arial Narrow" w:eastAsiaTheme="majorEastAsia" w:hAnsi="Arial Narrow" w:cstheme="majorBidi"/>
                <w:bCs/>
                <w:sz w:val="20"/>
              </w:rPr>
              <w:t xml:space="preserve">10 administrations for ATZ+nab-P and 10 for ATZ alone. </w:t>
            </w:r>
          </w:p>
        </w:tc>
        <w:tc>
          <w:tcPr>
            <w:tcW w:w="3352" w:type="dxa"/>
            <w:vMerge w:val="restart"/>
            <w:vAlign w:val="top"/>
          </w:tcPr>
          <w:p w:rsidR="00622DEB" w:rsidRPr="008D797E" w:rsidRDefault="00622DEB" w:rsidP="003028C8">
            <w:pPr>
              <w:keepNext/>
              <w:widowControl/>
              <w:spacing w:before="0"/>
              <w:jc w:val="left"/>
              <w:cnfStyle w:val="000000000000" w:firstRow="0" w:lastRow="0" w:firstColumn="0" w:lastColumn="0" w:oddVBand="0" w:evenVBand="0" w:oddHBand="0" w:evenHBand="0" w:firstRowFirstColumn="0" w:firstRowLastColumn="0" w:lastRowFirstColumn="0" w:lastRowLastColumn="0"/>
              <w:rPr>
                <w:rFonts w:ascii="Arial Narrow" w:eastAsiaTheme="majorEastAsia" w:hAnsi="Arial Narrow" w:cstheme="majorBidi"/>
                <w:bCs/>
                <w:sz w:val="20"/>
              </w:rPr>
            </w:pPr>
            <w:r w:rsidRPr="008D797E">
              <w:rPr>
                <w:rFonts w:ascii="Arial Narrow" w:eastAsiaTheme="majorEastAsia" w:hAnsi="Arial Narrow" w:cstheme="majorBidi"/>
                <w:bCs/>
                <w:sz w:val="20"/>
              </w:rPr>
              <w:t>These MBS items were appropriate; Although MBS items 13918 and 13915 have been replaced by 13950, this will not have a major impact on the total cost to the Government budget</w:t>
            </w:r>
            <w:r w:rsidR="008D797E">
              <w:rPr>
                <w:rFonts w:ascii="Arial Narrow" w:eastAsiaTheme="majorEastAsia" w:hAnsi="Arial Narrow" w:cstheme="majorBidi"/>
                <w:bCs/>
                <w:sz w:val="20"/>
              </w:rPr>
              <w:t xml:space="preserve">. </w:t>
            </w:r>
          </w:p>
        </w:tc>
      </w:tr>
      <w:tr w:rsidR="00622DEB" w:rsidRPr="008D797E" w:rsidTr="00FA018B">
        <w:tc>
          <w:tcPr>
            <w:cnfStyle w:val="001000000000" w:firstRow="0" w:lastRow="0" w:firstColumn="1" w:lastColumn="0" w:oddVBand="0" w:evenVBand="0" w:oddHBand="0" w:evenHBand="0" w:firstRowFirstColumn="0" w:firstRowLastColumn="0" w:lastRowFirstColumn="0" w:lastRowLastColumn="0"/>
            <w:tcW w:w="2622" w:type="dxa"/>
            <w:vAlign w:val="top"/>
          </w:tcPr>
          <w:p w:rsidR="00622DEB" w:rsidRPr="008D797E" w:rsidRDefault="00622DEB" w:rsidP="003028C8">
            <w:pPr>
              <w:keepNext/>
              <w:widowControl/>
              <w:jc w:val="left"/>
              <w:rPr>
                <w:rFonts w:ascii="Arial Narrow" w:eastAsiaTheme="majorEastAsia" w:hAnsi="Arial Narrow" w:cstheme="majorBidi"/>
                <w:bCs/>
                <w:sz w:val="20"/>
              </w:rPr>
            </w:pPr>
            <w:r w:rsidRPr="008D797E">
              <w:rPr>
                <w:rFonts w:ascii="Arial Narrow" w:eastAsiaTheme="majorEastAsia" w:hAnsi="Arial Narrow" w:cstheme="majorBidi"/>
                <w:bCs/>
                <w:sz w:val="20"/>
              </w:rPr>
              <w:t xml:space="preserve">MBS Item 13915 - administration of taxane alone </w:t>
            </w:r>
          </w:p>
        </w:tc>
        <w:tc>
          <w:tcPr>
            <w:tcW w:w="3042" w:type="dxa"/>
            <w:vAlign w:val="top"/>
          </w:tcPr>
          <w:p w:rsidR="00622DEB" w:rsidRPr="008D797E" w:rsidRDefault="00622DEB" w:rsidP="003028C8">
            <w:pPr>
              <w:keepNext/>
              <w:widowControl/>
              <w:spacing w:before="0"/>
              <w:jc w:val="left"/>
              <w:cnfStyle w:val="000000000000" w:firstRow="0" w:lastRow="0" w:firstColumn="0" w:lastColumn="0" w:oddVBand="0" w:evenVBand="0" w:oddHBand="0" w:evenHBand="0" w:firstRowFirstColumn="0" w:firstRowLastColumn="0" w:lastRowFirstColumn="0" w:lastRowLastColumn="0"/>
              <w:rPr>
                <w:rFonts w:ascii="Arial Narrow" w:eastAsiaTheme="majorEastAsia" w:hAnsi="Arial Narrow" w:cstheme="majorBidi"/>
                <w:bCs/>
                <w:sz w:val="20"/>
              </w:rPr>
            </w:pPr>
            <w:r w:rsidRPr="008D797E">
              <w:rPr>
                <w:rFonts w:ascii="Arial Narrow" w:eastAsiaTheme="majorEastAsia" w:hAnsi="Arial Narrow" w:cstheme="majorBidi"/>
                <w:bCs/>
                <w:sz w:val="20"/>
              </w:rPr>
              <w:t xml:space="preserve">$67.10 </w:t>
            </w:r>
          </w:p>
          <w:p w:rsidR="00622DEB" w:rsidRPr="008D797E" w:rsidRDefault="00622DEB" w:rsidP="003028C8">
            <w:pPr>
              <w:keepNext/>
              <w:widowControl/>
              <w:spacing w:before="0"/>
              <w:jc w:val="left"/>
              <w:cnfStyle w:val="000000000000" w:firstRow="0" w:lastRow="0" w:firstColumn="0" w:lastColumn="0" w:oddVBand="0" w:evenVBand="0" w:oddHBand="0" w:evenHBand="0" w:firstRowFirstColumn="0" w:firstRowLastColumn="0" w:lastRowFirstColumn="0" w:lastRowLastColumn="0"/>
              <w:rPr>
                <w:rFonts w:ascii="Arial Narrow" w:eastAsiaTheme="majorEastAsia" w:hAnsi="Arial Narrow" w:cstheme="majorBidi"/>
                <w:bCs/>
                <w:sz w:val="20"/>
              </w:rPr>
            </w:pPr>
            <w:r w:rsidRPr="008D797E">
              <w:rPr>
                <w:rFonts w:ascii="Arial Narrow" w:eastAsiaTheme="majorEastAsia" w:hAnsi="Arial Narrow" w:cstheme="majorBidi"/>
                <w:bCs/>
                <w:sz w:val="20"/>
              </w:rPr>
              <w:t>10.4 weighted average number of administrations across all taxane regimens</w:t>
            </w:r>
          </w:p>
        </w:tc>
        <w:tc>
          <w:tcPr>
            <w:tcW w:w="3352" w:type="dxa"/>
            <w:vMerge/>
            <w:vAlign w:val="top"/>
          </w:tcPr>
          <w:p w:rsidR="00622DEB" w:rsidRPr="008D797E" w:rsidRDefault="00622DEB" w:rsidP="003028C8">
            <w:pPr>
              <w:keepNext/>
              <w:widowControl/>
              <w:spacing w:before="0"/>
              <w:jc w:val="left"/>
              <w:cnfStyle w:val="000000000000" w:firstRow="0" w:lastRow="0" w:firstColumn="0" w:lastColumn="0" w:oddVBand="0" w:evenVBand="0" w:oddHBand="0" w:evenHBand="0" w:firstRowFirstColumn="0" w:firstRowLastColumn="0" w:lastRowFirstColumn="0" w:lastRowLastColumn="0"/>
              <w:rPr>
                <w:rFonts w:ascii="Arial Narrow" w:eastAsiaTheme="majorEastAsia" w:hAnsi="Arial Narrow" w:cstheme="majorBidi"/>
                <w:bCs/>
                <w:sz w:val="20"/>
              </w:rPr>
            </w:pPr>
          </w:p>
        </w:tc>
      </w:tr>
      <w:tr w:rsidR="00622DEB" w:rsidRPr="008D797E" w:rsidTr="00FA018B">
        <w:tc>
          <w:tcPr>
            <w:cnfStyle w:val="001000000000" w:firstRow="0" w:lastRow="0" w:firstColumn="1" w:lastColumn="0" w:oddVBand="0" w:evenVBand="0" w:oddHBand="0" w:evenHBand="0" w:firstRowFirstColumn="0" w:firstRowLastColumn="0" w:lastRowFirstColumn="0" w:lastRowLastColumn="0"/>
            <w:tcW w:w="2622" w:type="dxa"/>
            <w:vAlign w:val="top"/>
          </w:tcPr>
          <w:p w:rsidR="00622DEB" w:rsidRPr="008D797E" w:rsidRDefault="00622DEB" w:rsidP="003028C8">
            <w:pPr>
              <w:keepNext/>
              <w:widowControl/>
              <w:jc w:val="left"/>
              <w:rPr>
                <w:rFonts w:ascii="Arial Narrow" w:eastAsiaTheme="majorEastAsia" w:hAnsi="Arial Narrow" w:cstheme="majorBidi"/>
                <w:bCs/>
                <w:sz w:val="20"/>
              </w:rPr>
            </w:pPr>
            <w:r w:rsidRPr="008D797E">
              <w:rPr>
                <w:rFonts w:ascii="Arial Narrow" w:eastAsiaTheme="majorEastAsia" w:hAnsi="Arial Narrow" w:cstheme="majorBidi"/>
                <w:sz w:val="20"/>
              </w:rPr>
              <w:t>MBS item 56807- CT scan of chest, abdomen and pelvis</w:t>
            </w:r>
          </w:p>
        </w:tc>
        <w:tc>
          <w:tcPr>
            <w:tcW w:w="3042" w:type="dxa"/>
            <w:vAlign w:val="top"/>
          </w:tcPr>
          <w:p w:rsidR="00622DEB" w:rsidRPr="008D797E" w:rsidRDefault="00622DEB" w:rsidP="003028C8">
            <w:pPr>
              <w:keepNext/>
              <w:widowControl/>
              <w:spacing w:before="0"/>
              <w:jc w:val="left"/>
              <w:cnfStyle w:val="000000000000" w:firstRow="0" w:lastRow="0" w:firstColumn="0" w:lastColumn="0" w:oddVBand="0" w:evenVBand="0" w:oddHBand="0" w:evenHBand="0" w:firstRowFirstColumn="0" w:firstRowLastColumn="0" w:lastRowFirstColumn="0" w:lastRowLastColumn="0"/>
              <w:rPr>
                <w:rFonts w:ascii="Arial Narrow" w:eastAsiaTheme="majorEastAsia" w:hAnsi="Arial Narrow" w:cstheme="majorBidi"/>
                <w:bCs/>
                <w:sz w:val="20"/>
              </w:rPr>
            </w:pPr>
            <w:r w:rsidRPr="008D797E">
              <w:rPr>
                <w:rFonts w:ascii="Arial Narrow" w:eastAsiaTheme="majorEastAsia" w:hAnsi="Arial Narrow" w:cstheme="majorBidi"/>
                <w:sz w:val="20"/>
              </w:rPr>
              <w:t>$568.4</w:t>
            </w:r>
            <w:r w:rsidRPr="008D797E">
              <w:rPr>
                <w:rFonts w:ascii="Arial Narrow" w:eastAsiaTheme="majorEastAsia" w:hAnsi="Arial Narrow" w:cstheme="majorBidi"/>
                <w:bCs/>
                <w:sz w:val="20"/>
              </w:rPr>
              <w:t xml:space="preserve">, </w:t>
            </w:r>
            <w:r w:rsidRPr="008D797E">
              <w:rPr>
                <w:rFonts w:ascii="Arial Narrow" w:eastAsiaTheme="majorEastAsia" w:hAnsi="Arial Narrow" w:cstheme="majorBidi"/>
                <w:sz w:val="20"/>
              </w:rPr>
              <w:t>one CT scan every 3 cycles (12 weeks)</w:t>
            </w:r>
          </w:p>
        </w:tc>
        <w:tc>
          <w:tcPr>
            <w:tcW w:w="3352" w:type="dxa"/>
            <w:vMerge/>
            <w:vAlign w:val="top"/>
          </w:tcPr>
          <w:p w:rsidR="00622DEB" w:rsidRPr="008D797E" w:rsidRDefault="00622DEB" w:rsidP="003028C8">
            <w:pPr>
              <w:keepNext/>
              <w:widowControl/>
              <w:spacing w:before="0"/>
              <w:jc w:val="left"/>
              <w:cnfStyle w:val="000000000000" w:firstRow="0" w:lastRow="0" w:firstColumn="0" w:lastColumn="0" w:oddVBand="0" w:evenVBand="0" w:oddHBand="0" w:evenHBand="0" w:firstRowFirstColumn="0" w:firstRowLastColumn="0" w:lastRowFirstColumn="0" w:lastRowLastColumn="0"/>
              <w:rPr>
                <w:rFonts w:ascii="Arial Narrow" w:eastAsiaTheme="majorEastAsia" w:hAnsi="Arial Narrow" w:cstheme="majorBidi"/>
                <w:bCs/>
                <w:sz w:val="20"/>
              </w:rPr>
            </w:pPr>
          </w:p>
        </w:tc>
      </w:tr>
      <w:tr w:rsidR="00622DEB" w:rsidRPr="008D797E" w:rsidTr="00FA018B">
        <w:tc>
          <w:tcPr>
            <w:cnfStyle w:val="001000000000" w:firstRow="0" w:lastRow="0" w:firstColumn="1" w:lastColumn="0" w:oddVBand="0" w:evenVBand="0" w:oddHBand="0" w:evenHBand="0" w:firstRowFirstColumn="0" w:firstRowLastColumn="0" w:lastRowFirstColumn="0" w:lastRowLastColumn="0"/>
            <w:tcW w:w="2622" w:type="dxa"/>
            <w:vAlign w:val="top"/>
          </w:tcPr>
          <w:p w:rsidR="00622DEB" w:rsidRPr="008D797E" w:rsidRDefault="00622DEB" w:rsidP="003028C8">
            <w:pPr>
              <w:keepNext/>
              <w:widowControl/>
              <w:jc w:val="left"/>
              <w:rPr>
                <w:rFonts w:ascii="Arial Narrow" w:eastAsiaTheme="majorEastAsia" w:hAnsi="Arial Narrow" w:cstheme="majorBidi"/>
                <w:bCs/>
                <w:sz w:val="20"/>
              </w:rPr>
            </w:pPr>
            <w:r w:rsidRPr="008D797E">
              <w:rPr>
                <w:rFonts w:ascii="Arial Narrow" w:eastAsiaTheme="majorEastAsia" w:hAnsi="Arial Narrow" w:cstheme="majorBidi"/>
                <w:sz w:val="20"/>
              </w:rPr>
              <w:t>MBS item 105- subsequent specialist visit</w:t>
            </w:r>
          </w:p>
        </w:tc>
        <w:tc>
          <w:tcPr>
            <w:tcW w:w="3042" w:type="dxa"/>
            <w:vAlign w:val="top"/>
          </w:tcPr>
          <w:p w:rsidR="00622DEB" w:rsidRPr="008D797E" w:rsidRDefault="00622DEB" w:rsidP="003028C8">
            <w:pPr>
              <w:keepNext/>
              <w:widowControl/>
              <w:spacing w:before="0"/>
              <w:jc w:val="left"/>
              <w:cnfStyle w:val="000000000000" w:firstRow="0" w:lastRow="0" w:firstColumn="0" w:lastColumn="0" w:oddVBand="0" w:evenVBand="0" w:oddHBand="0" w:evenHBand="0" w:firstRowFirstColumn="0" w:firstRowLastColumn="0" w:lastRowFirstColumn="0" w:lastRowLastColumn="0"/>
              <w:rPr>
                <w:rFonts w:ascii="Arial Narrow" w:eastAsiaTheme="majorEastAsia" w:hAnsi="Arial Narrow" w:cstheme="majorBidi"/>
                <w:bCs/>
                <w:sz w:val="20"/>
              </w:rPr>
            </w:pPr>
            <w:r w:rsidRPr="008D797E">
              <w:rPr>
                <w:rFonts w:ascii="Arial Narrow" w:eastAsiaTheme="majorEastAsia" w:hAnsi="Arial Narrow" w:cstheme="majorBidi"/>
                <w:sz w:val="20"/>
              </w:rPr>
              <w:t>$45</w:t>
            </w:r>
            <w:r w:rsidRPr="008D797E">
              <w:rPr>
                <w:rFonts w:ascii="Arial Narrow" w:eastAsiaTheme="majorEastAsia" w:hAnsi="Arial Narrow" w:cstheme="majorBidi"/>
                <w:bCs/>
                <w:sz w:val="20"/>
              </w:rPr>
              <w:t xml:space="preserve">, </w:t>
            </w:r>
            <w:r w:rsidRPr="008D797E">
              <w:rPr>
                <w:rFonts w:ascii="Arial Narrow" w:eastAsiaTheme="majorEastAsia" w:hAnsi="Arial Narrow" w:cstheme="majorBidi"/>
                <w:sz w:val="20"/>
              </w:rPr>
              <w:t>once per treatment cycle</w:t>
            </w:r>
          </w:p>
        </w:tc>
        <w:tc>
          <w:tcPr>
            <w:tcW w:w="3352" w:type="dxa"/>
            <w:vMerge/>
            <w:vAlign w:val="top"/>
          </w:tcPr>
          <w:p w:rsidR="00622DEB" w:rsidRPr="008D797E" w:rsidRDefault="00622DEB" w:rsidP="003028C8">
            <w:pPr>
              <w:keepNext/>
              <w:widowControl/>
              <w:spacing w:before="0"/>
              <w:jc w:val="left"/>
              <w:cnfStyle w:val="000000000000" w:firstRow="0" w:lastRow="0" w:firstColumn="0" w:lastColumn="0" w:oddVBand="0" w:evenVBand="0" w:oddHBand="0" w:evenHBand="0" w:firstRowFirstColumn="0" w:firstRowLastColumn="0" w:lastRowFirstColumn="0" w:lastRowLastColumn="0"/>
              <w:rPr>
                <w:rFonts w:ascii="Arial Narrow" w:eastAsiaTheme="majorEastAsia" w:hAnsi="Arial Narrow" w:cstheme="majorBidi"/>
                <w:bCs/>
                <w:sz w:val="20"/>
              </w:rPr>
            </w:pPr>
          </w:p>
        </w:tc>
      </w:tr>
      <w:tr w:rsidR="00622DEB" w:rsidRPr="008D797E" w:rsidTr="00FA018B">
        <w:tc>
          <w:tcPr>
            <w:cnfStyle w:val="001000000000" w:firstRow="0" w:lastRow="0" w:firstColumn="1" w:lastColumn="0" w:oddVBand="0" w:evenVBand="0" w:oddHBand="0" w:evenHBand="0" w:firstRowFirstColumn="0" w:firstRowLastColumn="0" w:lastRowFirstColumn="0" w:lastRowLastColumn="0"/>
            <w:tcW w:w="2622" w:type="dxa"/>
            <w:vAlign w:val="top"/>
          </w:tcPr>
          <w:p w:rsidR="00622DEB" w:rsidRPr="008D797E" w:rsidRDefault="00622DEB" w:rsidP="003028C8">
            <w:pPr>
              <w:keepNext/>
              <w:widowControl/>
              <w:jc w:val="left"/>
              <w:rPr>
                <w:rFonts w:ascii="Arial Narrow" w:eastAsiaTheme="majorEastAsia" w:hAnsi="Arial Narrow" w:cstheme="majorBidi"/>
                <w:bCs/>
                <w:sz w:val="20"/>
              </w:rPr>
            </w:pPr>
            <w:r w:rsidRPr="008D797E">
              <w:rPr>
                <w:rFonts w:ascii="Arial Narrow" w:eastAsiaTheme="majorEastAsia" w:hAnsi="Arial Narrow" w:cstheme="majorBidi"/>
                <w:sz w:val="20"/>
              </w:rPr>
              <w:t>MBS item 65070- blood tests</w:t>
            </w:r>
          </w:p>
        </w:tc>
        <w:tc>
          <w:tcPr>
            <w:tcW w:w="3042" w:type="dxa"/>
            <w:vAlign w:val="top"/>
          </w:tcPr>
          <w:p w:rsidR="00622DEB" w:rsidRPr="008D797E" w:rsidRDefault="00622DEB" w:rsidP="003028C8">
            <w:pPr>
              <w:keepNext/>
              <w:widowControl/>
              <w:spacing w:before="0"/>
              <w:jc w:val="left"/>
              <w:cnfStyle w:val="000000000000" w:firstRow="0" w:lastRow="0" w:firstColumn="0" w:lastColumn="0" w:oddVBand="0" w:evenVBand="0" w:oddHBand="0" w:evenHBand="0" w:firstRowFirstColumn="0" w:firstRowLastColumn="0" w:lastRowFirstColumn="0" w:lastRowLastColumn="0"/>
              <w:rPr>
                <w:rFonts w:ascii="Arial Narrow" w:eastAsiaTheme="majorEastAsia" w:hAnsi="Arial Narrow" w:cstheme="majorBidi"/>
                <w:bCs/>
                <w:sz w:val="20"/>
              </w:rPr>
            </w:pPr>
            <w:r w:rsidRPr="008D797E">
              <w:rPr>
                <w:rFonts w:ascii="Arial Narrow" w:eastAsiaTheme="majorEastAsia" w:hAnsi="Arial Narrow" w:cstheme="majorBidi"/>
                <w:sz w:val="20"/>
              </w:rPr>
              <w:t>$16.95</w:t>
            </w:r>
            <w:r w:rsidRPr="008D797E">
              <w:rPr>
                <w:rFonts w:ascii="Arial Narrow" w:eastAsiaTheme="majorEastAsia" w:hAnsi="Arial Narrow" w:cstheme="majorBidi"/>
                <w:bCs/>
                <w:sz w:val="20"/>
              </w:rPr>
              <w:t xml:space="preserve">, </w:t>
            </w:r>
            <w:r w:rsidRPr="008D797E">
              <w:rPr>
                <w:rFonts w:ascii="Arial Narrow" w:eastAsiaTheme="majorEastAsia" w:hAnsi="Arial Narrow" w:cstheme="majorBidi"/>
                <w:sz w:val="20"/>
              </w:rPr>
              <w:t>once per treatment cycle</w:t>
            </w:r>
          </w:p>
        </w:tc>
        <w:tc>
          <w:tcPr>
            <w:tcW w:w="3352" w:type="dxa"/>
            <w:vMerge/>
            <w:vAlign w:val="top"/>
          </w:tcPr>
          <w:p w:rsidR="00622DEB" w:rsidRPr="008D797E" w:rsidRDefault="00622DEB" w:rsidP="003028C8">
            <w:pPr>
              <w:keepNext/>
              <w:widowControl/>
              <w:spacing w:before="0"/>
              <w:jc w:val="left"/>
              <w:cnfStyle w:val="000000000000" w:firstRow="0" w:lastRow="0" w:firstColumn="0" w:lastColumn="0" w:oddVBand="0" w:evenVBand="0" w:oddHBand="0" w:evenHBand="0" w:firstRowFirstColumn="0" w:firstRowLastColumn="0" w:lastRowFirstColumn="0" w:lastRowLastColumn="0"/>
              <w:rPr>
                <w:rFonts w:ascii="Arial Narrow" w:eastAsiaTheme="majorEastAsia" w:hAnsi="Arial Narrow" w:cstheme="majorBidi"/>
                <w:bCs/>
                <w:sz w:val="20"/>
              </w:rPr>
            </w:pPr>
          </w:p>
        </w:tc>
      </w:tr>
      <w:tr w:rsidR="00622DEB" w:rsidRPr="008D797E" w:rsidTr="00FA018B">
        <w:tc>
          <w:tcPr>
            <w:cnfStyle w:val="001000000000" w:firstRow="0" w:lastRow="0" w:firstColumn="1" w:lastColumn="0" w:oddVBand="0" w:evenVBand="0" w:oddHBand="0" w:evenHBand="0" w:firstRowFirstColumn="0" w:firstRowLastColumn="0" w:lastRowFirstColumn="0" w:lastRowLastColumn="0"/>
            <w:tcW w:w="2622" w:type="dxa"/>
            <w:vAlign w:val="top"/>
          </w:tcPr>
          <w:p w:rsidR="00622DEB" w:rsidRPr="008D797E" w:rsidRDefault="00622DEB" w:rsidP="003028C8">
            <w:pPr>
              <w:keepNext/>
              <w:widowControl/>
              <w:jc w:val="left"/>
              <w:rPr>
                <w:rFonts w:ascii="Arial Narrow" w:eastAsiaTheme="majorEastAsia" w:hAnsi="Arial Narrow" w:cstheme="majorBidi"/>
                <w:bCs/>
                <w:sz w:val="20"/>
              </w:rPr>
            </w:pPr>
            <w:r w:rsidRPr="008D797E">
              <w:rPr>
                <w:rFonts w:ascii="Arial Narrow" w:eastAsiaTheme="majorEastAsia" w:hAnsi="Arial Narrow" w:cstheme="majorBidi"/>
                <w:sz w:val="20"/>
              </w:rPr>
              <w:t>MBS item 66512- blood tests</w:t>
            </w:r>
          </w:p>
        </w:tc>
        <w:tc>
          <w:tcPr>
            <w:tcW w:w="3042" w:type="dxa"/>
            <w:vAlign w:val="top"/>
          </w:tcPr>
          <w:p w:rsidR="00622DEB" w:rsidRPr="008D797E" w:rsidRDefault="00622DEB" w:rsidP="003028C8">
            <w:pPr>
              <w:keepNext/>
              <w:widowControl/>
              <w:spacing w:before="0"/>
              <w:jc w:val="left"/>
              <w:cnfStyle w:val="000000000000" w:firstRow="0" w:lastRow="0" w:firstColumn="0" w:lastColumn="0" w:oddVBand="0" w:evenVBand="0" w:oddHBand="0" w:evenHBand="0" w:firstRowFirstColumn="0" w:firstRowLastColumn="0" w:lastRowFirstColumn="0" w:lastRowLastColumn="0"/>
              <w:rPr>
                <w:rFonts w:ascii="Arial Narrow" w:eastAsiaTheme="majorEastAsia" w:hAnsi="Arial Narrow" w:cstheme="majorBidi"/>
                <w:bCs/>
                <w:sz w:val="20"/>
              </w:rPr>
            </w:pPr>
            <w:r w:rsidRPr="008D797E">
              <w:rPr>
                <w:rFonts w:ascii="Arial Narrow" w:eastAsiaTheme="majorEastAsia" w:hAnsi="Arial Narrow" w:cstheme="majorBidi"/>
                <w:sz w:val="20"/>
              </w:rPr>
              <w:t>$17.70</w:t>
            </w:r>
            <w:r w:rsidRPr="008D797E">
              <w:rPr>
                <w:rFonts w:ascii="Arial Narrow" w:eastAsiaTheme="majorEastAsia" w:hAnsi="Arial Narrow" w:cstheme="majorBidi"/>
                <w:bCs/>
                <w:sz w:val="20"/>
              </w:rPr>
              <w:t xml:space="preserve">, </w:t>
            </w:r>
            <w:r w:rsidRPr="008D797E">
              <w:rPr>
                <w:rFonts w:ascii="Arial Narrow" w:eastAsiaTheme="majorEastAsia" w:hAnsi="Arial Narrow" w:cstheme="majorBidi"/>
                <w:sz w:val="20"/>
              </w:rPr>
              <w:t>once per treatment cycle</w:t>
            </w:r>
          </w:p>
        </w:tc>
        <w:tc>
          <w:tcPr>
            <w:tcW w:w="3352" w:type="dxa"/>
            <w:vMerge/>
            <w:vAlign w:val="top"/>
          </w:tcPr>
          <w:p w:rsidR="00622DEB" w:rsidRPr="008D797E" w:rsidRDefault="00622DEB" w:rsidP="003028C8">
            <w:pPr>
              <w:keepNext/>
              <w:widowControl/>
              <w:spacing w:before="0"/>
              <w:jc w:val="left"/>
              <w:cnfStyle w:val="000000000000" w:firstRow="0" w:lastRow="0" w:firstColumn="0" w:lastColumn="0" w:oddVBand="0" w:evenVBand="0" w:oddHBand="0" w:evenHBand="0" w:firstRowFirstColumn="0" w:firstRowLastColumn="0" w:lastRowFirstColumn="0" w:lastRowLastColumn="0"/>
              <w:rPr>
                <w:rFonts w:ascii="Arial Narrow" w:eastAsiaTheme="majorEastAsia" w:hAnsi="Arial Narrow" w:cstheme="majorBidi"/>
                <w:bCs/>
                <w:sz w:val="20"/>
              </w:rPr>
            </w:pPr>
          </w:p>
        </w:tc>
      </w:tr>
      <w:tr w:rsidR="00622DEB" w:rsidRPr="008D797E" w:rsidTr="00FA018B">
        <w:tc>
          <w:tcPr>
            <w:cnfStyle w:val="001000000000" w:firstRow="0" w:lastRow="0" w:firstColumn="1" w:lastColumn="0" w:oddVBand="0" w:evenVBand="0" w:oddHBand="0" w:evenHBand="0" w:firstRowFirstColumn="0" w:firstRowLastColumn="0" w:lastRowFirstColumn="0" w:lastRowLastColumn="0"/>
            <w:tcW w:w="2622" w:type="dxa"/>
            <w:vAlign w:val="top"/>
          </w:tcPr>
          <w:p w:rsidR="00622DEB" w:rsidRPr="008D797E" w:rsidRDefault="00622DEB" w:rsidP="003028C8">
            <w:pPr>
              <w:keepNext/>
              <w:widowControl/>
              <w:jc w:val="left"/>
              <w:rPr>
                <w:rFonts w:ascii="Arial Narrow" w:eastAsiaTheme="majorEastAsia" w:hAnsi="Arial Narrow" w:cstheme="majorBidi"/>
                <w:sz w:val="20"/>
              </w:rPr>
            </w:pPr>
            <w:r w:rsidRPr="008D797E">
              <w:rPr>
                <w:rFonts w:ascii="Arial Narrow" w:eastAsiaTheme="majorEastAsia" w:hAnsi="Arial Narrow" w:cstheme="majorBidi"/>
                <w:sz w:val="20"/>
              </w:rPr>
              <w:t>MBS item 31548 – breast biopsy</w:t>
            </w:r>
          </w:p>
        </w:tc>
        <w:tc>
          <w:tcPr>
            <w:tcW w:w="3042" w:type="dxa"/>
            <w:vAlign w:val="top"/>
          </w:tcPr>
          <w:p w:rsidR="00622DEB" w:rsidRPr="008D797E" w:rsidRDefault="00622DEB" w:rsidP="003028C8">
            <w:pPr>
              <w:keepNext/>
              <w:widowControl/>
              <w:spacing w:before="0"/>
              <w:jc w:val="left"/>
              <w:cnfStyle w:val="000000000000" w:firstRow="0" w:lastRow="0" w:firstColumn="0" w:lastColumn="0" w:oddVBand="0" w:evenVBand="0" w:oddHBand="0" w:evenHBand="0" w:firstRowFirstColumn="0" w:firstRowLastColumn="0" w:lastRowFirstColumn="0" w:lastRowLastColumn="0"/>
              <w:rPr>
                <w:rFonts w:ascii="Arial Narrow" w:eastAsiaTheme="majorEastAsia" w:hAnsi="Arial Narrow" w:cstheme="majorBidi"/>
                <w:sz w:val="20"/>
              </w:rPr>
            </w:pPr>
            <w:r w:rsidRPr="008D797E">
              <w:rPr>
                <w:rFonts w:ascii="Arial Narrow" w:eastAsiaTheme="majorEastAsia" w:hAnsi="Arial Narrow" w:cstheme="majorBidi"/>
                <w:sz w:val="20"/>
              </w:rPr>
              <w:t>$206.25, 0.26 per treated patient</w:t>
            </w:r>
          </w:p>
        </w:tc>
        <w:tc>
          <w:tcPr>
            <w:tcW w:w="3352" w:type="dxa"/>
            <w:vMerge/>
            <w:vAlign w:val="top"/>
          </w:tcPr>
          <w:p w:rsidR="00622DEB" w:rsidRPr="008D797E" w:rsidRDefault="00622DEB" w:rsidP="003028C8">
            <w:pPr>
              <w:keepNext/>
              <w:widowControl/>
              <w:spacing w:before="0"/>
              <w:jc w:val="left"/>
              <w:cnfStyle w:val="000000000000" w:firstRow="0" w:lastRow="0" w:firstColumn="0" w:lastColumn="0" w:oddVBand="0" w:evenVBand="0" w:oddHBand="0" w:evenHBand="0" w:firstRowFirstColumn="0" w:firstRowLastColumn="0" w:lastRowFirstColumn="0" w:lastRowLastColumn="0"/>
              <w:rPr>
                <w:rFonts w:ascii="Arial Narrow" w:eastAsiaTheme="majorEastAsia" w:hAnsi="Arial Narrow" w:cstheme="majorBidi"/>
                <w:bCs/>
                <w:sz w:val="20"/>
              </w:rPr>
            </w:pPr>
          </w:p>
        </w:tc>
      </w:tr>
      <w:tr w:rsidR="00622DEB" w:rsidRPr="008D797E" w:rsidTr="00FA018B">
        <w:tc>
          <w:tcPr>
            <w:cnfStyle w:val="001000000000" w:firstRow="0" w:lastRow="0" w:firstColumn="1" w:lastColumn="0" w:oddVBand="0" w:evenVBand="0" w:oddHBand="0" w:evenHBand="0" w:firstRowFirstColumn="0" w:firstRowLastColumn="0" w:lastRowFirstColumn="0" w:lastRowLastColumn="0"/>
            <w:tcW w:w="2622" w:type="dxa"/>
            <w:vAlign w:val="top"/>
          </w:tcPr>
          <w:p w:rsidR="00622DEB" w:rsidRPr="008D797E" w:rsidRDefault="00622DEB" w:rsidP="003028C8">
            <w:pPr>
              <w:keepNext/>
              <w:widowControl/>
              <w:jc w:val="left"/>
              <w:rPr>
                <w:rFonts w:ascii="Arial Narrow" w:eastAsiaTheme="majorEastAsia" w:hAnsi="Arial Narrow" w:cstheme="majorBidi"/>
                <w:sz w:val="20"/>
              </w:rPr>
            </w:pPr>
            <w:r w:rsidRPr="008D797E">
              <w:rPr>
                <w:rFonts w:ascii="Arial Narrow" w:eastAsiaTheme="majorEastAsia" w:hAnsi="Arial Narrow" w:cstheme="majorBidi"/>
                <w:sz w:val="20"/>
              </w:rPr>
              <w:t>MBS item TBC – PD-L1 test</w:t>
            </w:r>
          </w:p>
        </w:tc>
        <w:tc>
          <w:tcPr>
            <w:tcW w:w="3042" w:type="dxa"/>
            <w:vAlign w:val="top"/>
          </w:tcPr>
          <w:p w:rsidR="00622DEB" w:rsidRPr="008D797E" w:rsidRDefault="00622DEB" w:rsidP="003028C8">
            <w:pPr>
              <w:keepNext/>
              <w:widowControl/>
              <w:spacing w:before="0"/>
              <w:jc w:val="left"/>
              <w:cnfStyle w:val="000000000000" w:firstRow="0" w:lastRow="0" w:firstColumn="0" w:lastColumn="0" w:oddVBand="0" w:evenVBand="0" w:oddHBand="0" w:evenHBand="0" w:firstRowFirstColumn="0" w:firstRowLastColumn="0" w:lastRowFirstColumn="0" w:lastRowLastColumn="0"/>
              <w:rPr>
                <w:rFonts w:ascii="Arial Narrow" w:eastAsiaTheme="majorEastAsia" w:hAnsi="Arial Narrow" w:cstheme="majorBidi"/>
                <w:sz w:val="20"/>
              </w:rPr>
            </w:pPr>
            <w:r w:rsidRPr="008D797E">
              <w:rPr>
                <w:rFonts w:ascii="Arial Narrow" w:eastAsiaTheme="majorEastAsia" w:hAnsi="Arial Narrow" w:cstheme="majorBidi"/>
                <w:sz w:val="20"/>
              </w:rPr>
              <w:t>$74.50, 2.57 per treated patient (to account for the test in the broader population for selecting eligible patients)</w:t>
            </w:r>
          </w:p>
        </w:tc>
        <w:tc>
          <w:tcPr>
            <w:tcW w:w="3352" w:type="dxa"/>
            <w:vMerge/>
            <w:vAlign w:val="top"/>
          </w:tcPr>
          <w:p w:rsidR="00622DEB" w:rsidRPr="008D797E" w:rsidRDefault="00622DEB" w:rsidP="003028C8">
            <w:pPr>
              <w:keepNext/>
              <w:widowControl/>
              <w:spacing w:before="0"/>
              <w:jc w:val="left"/>
              <w:cnfStyle w:val="000000000000" w:firstRow="0" w:lastRow="0" w:firstColumn="0" w:lastColumn="0" w:oddVBand="0" w:evenVBand="0" w:oddHBand="0" w:evenHBand="0" w:firstRowFirstColumn="0" w:firstRowLastColumn="0" w:lastRowFirstColumn="0" w:lastRowLastColumn="0"/>
              <w:rPr>
                <w:rFonts w:ascii="Arial Narrow" w:eastAsiaTheme="majorEastAsia" w:hAnsi="Arial Narrow" w:cstheme="majorBidi"/>
                <w:bCs/>
                <w:sz w:val="20"/>
              </w:rPr>
            </w:pPr>
          </w:p>
        </w:tc>
      </w:tr>
    </w:tbl>
    <w:p w:rsidR="00622DEB" w:rsidRPr="008D797E" w:rsidRDefault="00622DEB" w:rsidP="00622DEB">
      <w:pPr>
        <w:pStyle w:val="TableFigureFooter"/>
      </w:pPr>
      <w:r w:rsidRPr="008D797E">
        <w:t>Source: Compiled during the evaluation based on “Revised Section 4 Workbook.xlsx”</w:t>
      </w:r>
    </w:p>
    <w:p w:rsidR="00622DEB" w:rsidRPr="008D797E" w:rsidRDefault="00622DEB" w:rsidP="00622DEB">
      <w:pPr>
        <w:pStyle w:val="TableFigureFooter"/>
      </w:pPr>
      <w:r w:rsidRPr="008D797E">
        <w:t>AIHW = Australian Institute of Health and Welfare; ATZ = atezolizumab; CSR = clinical study report; CT = computed tomography; MBS = Medical Benefits Schedule; mTNBC = metastatic triple negative breast cancer; ECOG = Eastern Cooperative Oncology Group; PD-L1 = programmed death-ligand 1; nab-P= nanoparticle albumin–bound paclitaxel; CT = computerized tomography; TBC = to be confirmed.</w:t>
      </w:r>
    </w:p>
    <w:p w:rsidR="00622DEB" w:rsidRPr="008D797E" w:rsidRDefault="00622DEB" w:rsidP="00622DEB">
      <w:pPr>
        <w:pStyle w:val="TableFigureFooter"/>
      </w:pPr>
      <w:r w:rsidRPr="008D797E">
        <w:t>*Lin NU et al. Clinicopathologic features, patterns of recurrence, and survival among women with triple-negative breast cancer in the national comprehensive cancer network. Cancer, 2012; 118: 5463-72.</w:t>
      </w:r>
    </w:p>
    <w:p w:rsidR="00622DEB" w:rsidRPr="008D797E" w:rsidRDefault="00622DEB" w:rsidP="00622DEB">
      <w:pPr>
        <w:pStyle w:val="3-BodyText"/>
      </w:pPr>
      <w:r w:rsidRPr="008D797E">
        <w:t xml:space="preserve">The resubmission estimated the number of incident </w:t>
      </w:r>
      <w:r w:rsidRPr="008D797E">
        <w:rPr>
          <w:i/>
        </w:rPr>
        <w:t>de novo</w:t>
      </w:r>
      <w:r w:rsidRPr="008D797E">
        <w:t xml:space="preserve"> mTNBC and </w:t>
      </w:r>
      <w:r w:rsidR="00460653" w:rsidRPr="008D797E">
        <w:t xml:space="preserve">the number of patients who were diagnosed </w:t>
      </w:r>
      <w:r w:rsidR="006B1600" w:rsidRPr="008D797E">
        <w:t>at</w:t>
      </w:r>
      <w:r w:rsidR="00460653" w:rsidRPr="008D797E">
        <w:t xml:space="preserve"> early stage TNBC and </w:t>
      </w:r>
      <w:r w:rsidR="006B1600" w:rsidRPr="008D797E">
        <w:t>then progress</w:t>
      </w:r>
      <w:r w:rsidR="00460653" w:rsidRPr="008D797E">
        <w:t xml:space="preserve"> to mTNBC,</w:t>
      </w:r>
      <w:r w:rsidRPr="008D797E">
        <w:t xml:space="preserve"> respectively. The number of incident de novo mTNBC was based on data from IMpassion130 trial in which 25% of incident TNBC patients were diagnosed at the metastatic stage. DUSC previously considered that this estimate was reasonable (p4, 6.01. atezolizumab DUSC ADV, March 2020).</w:t>
      </w:r>
    </w:p>
    <w:p w:rsidR="00622DEB" w:rsidRPr="00115C2F" w:rsidRDefault="00622DEB" w:rsidP="00622DEB">
      <w:pPr>
        <w:pStyle w:val="3-BodyText"/>
      </w:pPr>
      <w:r w:rsidRPr="008D797E">
        <w:t>The number of recurrent mTNBC patients was estimated from the number of incident TNBC patients diagnosed at an early stage in the previous 10 years and those who developed distant recurrence over 10 years. A distant recurrence rate of 20% over 10 years was assumed in the resubmission, as suggested by DUSC (6.01 atezolizumab DUSC Advice March 2020), based on published literature (Early Breast Cancer Trialists' Collaborative 2019, Radosa 2017 and Lin 2012)</w:t>
      </w:r>
      <w:r w:rsidRPr="008D797E">
        <w:rPr>
          <w:rStyle w:val="FootnoteReference"/>
        </w:rPr>
        <w:footnoteReference w:id="12"/>
      </w:r>
      <w:r w:rsidRPr="008D797E">
        <w:t>. The 10-year survival rate of 44% for TNBC patients was based on Lin 2012. Although these estimates may be reasonable, the application of these estimates in the res</w:t>
      </w:r>
      <w:r w:rsidRPr="00115C2F">
        <w:t>ubmission did not appear appropriate.</w:t>
      </w:r>
    </w:p>
    <w:p w:rsidR="00622DEB" w:rsidRPr="008D797E" w:rsidRDefault="00622DEB" w:rsidP="0004442C">
      <w:pPr>
        <w:pStyle w:val="3-BodyText"/>
      </w:pPr>
      <w:r w:rsidRPr="008D797E">
        <w:t xml:space="preserve">The resubmission applied a constant distant recurrence rate (20%) and a constant survival rate (44%) to the patients diagnosed with early stage TNBC each year in the past 10 years to estimate the number of recurrent mTNBC patients in each year of the first 6 years of listing. </w:t>
      </w:r>
      <w:r w:rsidR="00AF16CF" w:rsidRPr="008D797E">
        <w:rPr>
          <w:iCs/>
        </w:rPr>
        <w:t xml:space="preserve">The ESC </w:t>
      </w:r>
      <w:r w:rsidR="00C50AA2" w:rsidRPr="008D797E">
        <w:rPr>
          <w:iCs/>
        </w:rPr>
        <w:t xml:space="preserve">agreed with the commentary that </w:t>
      </w:r>
      <w:r w:rsidR="00AF16CF" w:rsidRPr="008D797E">
        <w:rPr>
          <w:iCs/>
        </w:rPr>
        <w:t>p</w:t>
      </w:r>
      <w:r w:rsidR="00A77021" w:rsidRPr="008D797E">
        <w:rPr>
          <w:iCs/>
        </w:rPr>
        <w:t xml:space="preserve">atients diagnosed with early stage TNBC in year 1 are unlikely to have the same distant recurrence rate </w:t>
      </w:r>
      <w:r w:rsidR="00E82D17" w:rsidRPr="008D797E">
        <w:rPr>
          <w:iCs/>
        </w:rPr>
        <w:t xml:space="preserve">or survival rate </w:t>
      </w:r>
      <w:r w:rsidR="00A77021" w:rsidRPr="008D797E">
        <w:rPr>
          <w:iCs/>
        </w:rPr>
        <w:t>as those diagnosed in year 10</w:t>
      </w:r>
      <w:r w:rsidR="009B4B2F" w:rsidRPr="008D797E">
        <w:rPr>
          <w:iCs/>
        </w:rPr>
        <w:t xml:space="preserve"> which is not captured when applying cumulative </w:t>
      </w:r>
      <w:r w:rsidR="008E0880" w:rsidRPr="008D797E">
        <w:rPr>
          <w:iCs/>
        </w:rPr>
        <w:t>incidence data</w:t>
      </w:r>
      <w:r w:rsidR="00A77021" w:rsidRPr="008D797E">
        <w:rPr>
          <w:iCs/>
        </w:rPr>
        <w:t>.</w:t>
      </w:r>
      <w:r w:rsidR="00AF16CF" w:rsidRPr="008D797E">
        <w:rPr>
          <w:iCs/>
        </w:rPr>
        <w:t xml:space="preserve"> </w:t>
      </w:r>
      <w:r w:rsidR="00AF16CF" w:rsidRPr="008D797E">
        <w:t>However, the ESC considered that application of a constant distant recurrence rate and a constant survival rate was unlikely to have a major impact on the patient estimates</w:t>
      </w:r>
      <w:r w:rsidR="006952B7" w:rsidRPr="008D797E">
        <w:t>.</w:t>
      </w:r>
    </w:p>
    <w:p w:rsidR="00622DEB" w:rsidRPr="008D797E" w:rsidRDefault="00622DEB" w:rsidP="00622DEB">
      <w:pPr>
        <w:pStyle w:val="3-BodyText"/>
      </w:pPr>
      <w:r w:rsidRPr="008D797E">
        <w:t>The proposed PBS restriction for initial treatment in the resubmission included the criterion that a patient must not have received taxane (neo)adjuvant therapy in the previous 12 months to be eligible for treatment with ATZ+nab-P. To estimate the proportion of incident recurrent mTNBC patients who would meet this criterion, the resubmission conducted an online quantitative survey of 30 medical oncologists (METIS 2020). It was estimated that 64% of recurrent mTNBC patients would meet the prior taxane criterion. This value was calculated using the following inputs:</w:t>
      </w:r>
    </w:p>
    <w:p w:rsidR="00622DEB" w:rsidRPr="008D797E" w:rsidRDefault="00622DEB" w:rsidP="004221B4">
      <w:pPr>
        <w:pStyle w:val="3-BodyText"/>
        <w:numPr>
          <w:ilvl w:val="0"/>
          <w:numId w:val="11"/>
        </w:numPr>
      </w:pPr>
      <w:r w:rsidRPr="008D797E">
        <w:t>Percentage mTNBC patients diagnosed with early stage TNBC treated with a non-taxane regimen: 16%</w:t>
      </w:r>
    </w:p>
    <w:p w:rsidR="00622DEB" w:rsidRPr="008D797E" w:rsidRDefault="00622DEB" w:rsidP="004221B4">
      <w:pPr>
        <w:pStyle w:val="3-BodyText"/>
        <w:numPr>
          <w:ilvl w:val="0"/>
          <w:numId w:val="11"/>
        </w:numPr>
      </w:pPr>
      <w:r w:rsidRPr="008D797E">
        <w:t>Percentage mTNBC patients diagnosed with early stage TNBC treated with a taxane-containing regimen: 84%</w:t>
      </w:r>
    </w:p>
    <w:p w:rsidR="00622DEB" w:rsidRPr="008D797E" w:rsidRDefault="00622DEB" w:rsidP="004221B4">
      <w:pPr>
        <w:pStyle w:val="3-BodyText"/>
        <w:numPr>
          <w:ilvl w:val="0"/>
          <w:numId w:val="11"/>
        </w:numPr>
      </w:pPr>
      <w:r w:rsidRPr="008D797E">
        <w:t>Percentage mTNBC patients treated with a taxane-containing regimen that relapse after 12 months: 57%</w:t>
      </w:r>
    </w:p>
    <w:p w:rsidR="00622DEB" w:rsidRPr="008D797E" w:rsidRDefault="00622DEB" w:rsidP="00622DEB">
      <w:pPr>
        <w:pStyle w:val="3-BodyText"/>
      </w:pPr>
      <w:r w:rsidRPr="008D797E">
        <w:t>The resubmission considered that the use of all taxanes currently listed on the PBS are likely to be affected with the PBS listing of ATZ, specifically nab-P monotherapy (comparator), paclitaxel and docetaxel. The economic model presented in the resubmission did not consider paclitaxel or docetaxel as potential comparators. The previous submission only considered cost offsets resulting from substitution of nab-P in the financial estimates. DUSC previously considered a proportion of people would receive other, less costly taxanes, so the cost of substituted medicines was likely overestimated (6.01 atezolizumab DUSC Advice March 2020).</w:t>
      </w:r>
    </w:p>
    <w:p w:rsidR="00622DEB" w:rsidRPr="008D797E" w:rsidRDefault="00622DEB" w:rsidP="00622DEB">
      <w:pPr>
        <w:pStyle w:val="3-BodyText"/>
      </w:pPr>
      <w:r w:rsidRPr="008D797E">
        <w:t>The resubmission assumed that patients would receive 10 doses of nab-P, 13.3 doses of paclitaxel or 4.4 doses of docetaxel. The resubmission did not provide sources for the estimated duration of treatment with paclitaxel or docetaxel (13.3 weeks). It appeared that the duration of treatment were matched to the assumed duration of treatment with nab-P (10 doses, with doses administered on days 1, 8 and 15 of each 28 day cycle).</w:t>
      </w:r>
    </w:p>
    <w:p w:rsidR="00622DEB" w:rsidRPr="008D797E" w:rsidRDefault="00622DEB" w:rsidP="00622DEB">
      <w:pPr>
        <w:pStyle w:val="3-BodyText"/>
      </w:pPr>
      <w:r w:rsidRPr="008D797E">
        <w:t>The resubmission also included the cost of re-biopsy procedures associated with the collection of tumour tissue, should adequate tissue (fresh or archival) not be available to conduct PD-L1 testing. This addressed the comment made by MSAC as part of its assessment of the original submission, that re-biopsy rates have previously been considered by MSAC to be around 8-10% (PD-L1 IHC testing, PSD April 2020 MSAC meeting). DUSC also considered that diagnostic biopsy may be repeated in 10% of patients (6.01 atezolizumab DUSC Advice March 2020). The resubmission included the costs of re-biopsy, which is reasonable. However, retesting of PD-L1 status was not considered. DUSC previously considered that the number of PD-L1 tests was underestimated as the submission did not account for retesting (6.01 atezolizumab DUSC Advice March 2020)</w:t>
      </w:r>
      <w:r w:rsidR="008D797E">
        <w:t xml:space="preserve">. </w:t>
      </w:r>
      <w:r w:rsidR="00AF16CF" w:rsidRPr="008D797E">
        <w:t>The PSCR stated that retesting of PD-L1</w:t>
      </w:r>
      <w:r w:rsidR="00AF16CF" w:rsidRPr="00115C2F">
        <w:t xml:space="preserve"> status would not be clinically appropriate and </w:t>
      </w:r>
      <w:r w:rsidR="001226E6" w:rsidRPr="00115C2F">
        <w:t>retesting of the same specimen would not be eligibl</w:t>
      </w:r>
      <w:r w:rsidR="00034F14" w:rsidRPr="00115C2F">
        <w:t>e</w:t>
      </w:r>
      <w:r w:rsidR="001226E6" w:rsidRPr="00115C2F">
        <w:t xml:space="preserve"> to attract a Medica</w:t>
      </w:r>
      <w:r w:rsidR="00034F14" w:rsidRPr="008D797E">
        <w:t>r</w:t>
      </w:r>
      <w:r w:rsidR="001226E6" w:rsidRPr="008D797E">
        <w:t>e benefit.</w:t>
      </w:r>
    </w:p>
    <w:p w:rsidR="00622DEB" w:rsidRPr="008D797E" w:rsidRDefault="00622DEB" w:rsidP="00622DEB">
      <w:pPr>
        <w:pStyle w:val="3-BodyText"/>
      </w:pPr>
      <w:r w:rsidRPr="008D797E">
        <w:t xml:space="preserve">The estimated use and financial implications are presented below. </w:t>
      </w:r>
    </w:p>
    <w:p w:rsidR="00622DEB" w:rsidRPr="00115C2F" w:rsidRDefault="00622DEB" w:rsidP="00622DEB">
      <w:pPr>
        <w:pStyle w:val="TableFigureHeading"/>
      </w:pPr>
      <w:r w:rsidRPr="008D797E">
        <w:t xml:space="preserve">Table </w:t>
      </w:r>
      <w:r w:rsidR="00232E9D" w:rsidRPr="006E5C4D">
        <w:t>17</w:t>
      </w:r>
      <w:r w:rsidRPr="008D797E">
        <w:t>: Estimated use and finan</w:t>
      </w:r>
      <w:r w:rsidRPr="00115C2F">
        <w:t>cial implications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010"/>
        <w:gridCol w:w="1103"/>
        <w:gridCol w:w="1232"/>
        <w:gridCol w:w="1167"/>
        <w:gridCol w:w="1167"/>
        <w:gridCol w:w="1167"/>
        <w:gridCol w:w="1170"/>
      </w:tblGrid>
      <w:tr w:rsidR="00622DEB" w:rsidRPr="008D797E" w:rsidTr="00BB7BCB">
        <w:trPr>
          <w:tblHeader/>
        </w:trPr>
        <w:tc>
          <w:tcPr>
            <w:tcW w:w="1115" w:type="pct"/>
            <w:shd w:val="clear" w:color="auto" w:fill="auto"/>
            <w:vAlign w:val="center"/>
          </w:tcPr>
          <w:p w:rsidR="00622DEB" w:rsidRPr="006E5C4D" w:rsidRDefault="00622DEB" w:rsidP="003028C8">
            <w:pPr>
              <w:keepNext/>
              <w:jc w:val="center"/>
              <w:rPr>
                <w:rFonts w:ascii="Arial Narrow" w:eastAsiaTheme="majorEastAsia" w:hAnsi="Arial Narrow" w:cs="Times New Roman"/>
                <w:b/>
                <w:sz w:val="20"/>
              </w:rPr>
            </w:pPr>
          </w:p>
        </w:tc>
        <w:tc>
          <w:tcPr>
            <w:tcW w:w="612" w:type="pct"/>
            <w:shd w:val="clear" w:color="auto" w:fill="auto"/>
            <w:vAlign w:val="center"/>
          </w:tcPr>
          <w:p w:rsidR="00622DEB" w:rsidRPr="006E5C4D" w:rsidRDefault="00622DEB" w:rsidP="003028C8">
            <w:pPr>
              <w:keepNext/>
              <w:jc w:val="center"/>
              <w:rPr>
                <w:rFonts w:ascii="Arial Narrow" w:eastAsiaTheme="majorEastAsia" w:hAnsi="Arial Narrow" w:cs="Times New Roman"/>
                <w:b/>
                <w:sz w:val="20"/>
              </w:rPr>
            </w:pPr>
            <w:r w:rsidRPr="006E5C4D">
              <w:rPr>
                <w:rFonts w:ascii="Arial Narrow" w:eastAsiaTheme="majorEastAsia" w:hAnsi="Arial Narrow" w:cs="Times New Roman"/>
                <w:b/>
                <w:sz w:val="20"/>
              </w:rPr>
              <w:t>Year 1</w:t>
            </w:r>
          </w:p>
        </w:tc>
        <w:tc>
          <w:tcPr>
            <w:tcW w:w="683" w:type="pct"/>
            <w:shd w:val="clear" w:color="auto" w:fill="auto"/>
            <w:vAlign w:val="center"/>
          </w:tcPr>
          <w:p w:rsidR="00622DEB" w:rsidRPr="006E5C4D" w:rsidRDefault="00622DEB" w:rsidP="003028C8">
            <w:pPr>
              <w:keepNext/>
              <w:jc w:val="center"/>
              <w:rPr>
                <w:rFonts w:ascii="Arial Narrow" w:eastAsiaTheme="majorEastAsia" w:hAnsi="Arial Narrow" w:cs="Times New Roman"/>
                <w:b/>
                <w:sz w:val="20"/>
              </w:rPr>
            </w:pPr>
            <w:r w:rsidRPr="006E5C4D">
              <w:rPr>
                <w:rFonts w:ascii="Arial Narrow" w:eastAsiaTheme="majorEastAsia" w:hAnsi="Arial Narrow" w:cs="Times New Roman"/>
                <w:b/>
                <w:sz w:val="20"/>
              </w:rPr>
              <w:t>Year 2</w:t>
            </w:r>
          </w:p>
        </w:tc>
        <w:tc>
          <w:tcPr>
            <w:tcW w:w="647" w:type="pct"/>
            <w:shd w:val="clear" w:color="auto" w:fill="auto"/>
            <w:vAlign w:val="center"/>
          </w:tcPr>
          <w:p w:rsidR="00622DEB" w:rsidRPr="006E5C4D" w:rsidRDefault="00622DEB" w:rsidP="003028C8">
            <w:pPr>
              <w:keepNext/>
              <w:jc w:val="center"/>
              <w:rPr>
                <w:rFonts w:ascii="Arial Narrow" w:eastAsiaTheme="majorEastAsia" w:hAnsi="Arial Narrow" w:cs="Times New Roman"/>
                <w:b/>
                <w:sz w:val="20"/>
              </w:rPr>
            </w:pPr>
            <w:r w:rsidRPr="006E5C4D">
              <w:rPr>
                <w:rFonts w:ascii="Arial Narrow" w:eastAsiaTheme="majorEastAsia" w:hAnsi="Arial Narrow" w:cs="Times New Roman"/>
                <w:b/>
                <w:sz w:val="20"/>
              </w:rPr>
              <w:t>Year 3</w:t>
            </w:r>
          </w:p>
        </w:tc>
        <w:tc>
          <w:tcPr>
            <w:tcW w:w="647" w:type="pct"/>
            <w:shd w:val="clear" w:color="auto" w:fill="auto"/>
            <w:vAlign w:val="center"/>
          </w:tcPr>
          <w:p w:rsidR="00622DEB" w:rsidRPr="006E5C4D" w:rsidRDefault="00622DEB" w:rsidP="003028C8">
            <w:pPr>
              <w:keepNext/>
              <w:jc w:val="center"/>
              <w:rPr>
                <w:rFonts w:ascii="Arial Narrow" w:eastAsiaTheme="majorEastAsia" w:hAnsi="Arial Narrow" w:cs="Times New Roman"/>
                <w:b/>
                <w:sz w:val="20"/>
              </w:rPr>
            </w:pPr>
            <w:r w:rsidRPr="006E5C4D">
              <w:rPr>
                <w:rFonts w:ascii="Arial Narrow" w:eastAsiaTheme="majorEastAsia" w:hAnsi="Arial Narrow" w:cs="Times New Roman"/>
                <w:b/>
                <w:sz w:val="20"/>
              </w:rPr>
              <w:t>Year 4</w:t>
            </w:r>
          </w:p>
        </w:tc>
        <w:tc>
          <w:tcPr>
            <w:tcW w:w="647" w:type="pct"/>
            <w:shd w:val="clear" w:color="auto" w:fill="auto"/>
            <w:vAlign w:val="center"/>
          </w:tcPr>
          <w:p w:rsidR="00622DEB" w:rsidRPr="006E5C4D" w:rsidRDefault="00622DEB" w:rsidP="003028C8">
            <w:pPr>
              <w:keepNext/>
              <w:jc w:val="center"/>
              <w:rPr>
                <w:rFonts w:ascii="Arial Narrow" w:eastAsiaTheme="majorEastAsia" w:hAnsi="Arial Narrow" w:cs="Times New Roman"/>
                <w:b/>
                <w:sz w:val="20"/>
              </w:rPr>
            </w:pPr>
            <w:r w:rsidRPr="006E5C4D">
              <w:rPr>
                <w:rFonts w:ascii="Arial Narrow" w:eastAsiaTheme="majorEastAsia" w:hAnsi="Arial Narrow" w:cs="Times New Roman"/>
                <w:b/>
                <w:sz w:val="20"/>
              </w:rPr>
              <w:t>Year 5</w:t>
            </w:r>
          </w:p>
        </w:tc>
        <w:tc>
          <w:tcPr>
            <w:tcW w:w="649" w:type="pct"/>
          </w:tcPr>
          <w:p w:rsidR="00622DEB" w:rsidRPr="006E5C4D" w:rsidRDefault="00622DEB" w:rsidP="003028C8">
            <w:pPr>
              <w:keepNext/>
              <w:jc w:val="center"/>
              <w:rPr>
                <w:rFonts w:ascii="Arial Narrow" w:eastAsiaTheme="majorEastAsia" w:hAnsi="Arial Narrow" w:cs="Times New Roman"/>
                <w:b/>
                <w:sz w:val="20"/>
              </w:rPr>
            </w:pPr>
            <w:r w:rsidRPr="006E5C4D">
              <w:rPr>
                <w:rFonts w:ascii="Arial Narrow" w:eastAsiaTheme="majorEastAsia" w:hAnsi="Arial Narrow" w:cs="Times New Roman"/>
                <w:b/>
                <w:sz w:val="20"/>
              </w:rPr>
              <w:t>Year 6</w:t>
            </w:r>
          </w:p>
        </w:tc>
      </w:tr>
      <w:tr w:rsidR="00622DEB" w:rsidRPr="008D797E" w:rsidTr="003028C8">
        <w:tc>
          <w:tcPr>
            <w:tcW w:w="5000" w:type="pct"/>
            <w:gridSpan w:val="7"/>
            <w:shd w:val="clear" w:color="auto" w:fill="auto"/>
            <w:vAlign w:val="center"/>
          </w:tcPr>
          <w:p w:rsidR="00622DEB" w:rsidRPr="006E5C4D" w:rsidRDefault="00622DEB" w:rsidP="003028C8">
            <w:pPr>
              <w:keepNext/>
              <w:jc w:val="left"/>
              <w:rPr>
                <w:rFonts w:ascii="Arial Narrow" w:eastAsiaTheme="majorEastAsia" w:hAnsi="Arial Narrow" w:cs="Times New Roman"/>
                <w:b/>
                <w:bCs/>
                <w:color w:val="000000"/>
                <w:sz w:val="20"/>
              </w:rPr>
            </w:pPr>
            <w:r w:rsidRPr="006E5C4D">
              <w:rPr>
                <w:rFonts w:ascii="Arial Narrow" w:eastAsiaTheme="majorEastAsia" w:hAnsi="Arial Narrow" w:cs="Times New Roman"/>
                <w:b/>
                <w:bCs/>
                <w:color w:val="000000"/>
                <w:sz w:val="20"/>
              </w:rPr>
              <w:t>Estimated extent of use</w:t>
            </w:r>
          </w:p>
        </w:tc>
      </w:tr>
      <w:tr w:rsidR="00622DEB" w:rsidRPr="008D797E" w:rsidTr="00BB7BCB">
        <w:tc>
          <w:tcPr>
            <w:tcW w:w="1115" w:type="pct"/>
            <w:shd w:val="clear" w:color="auto" w:fill="auto"/>
            <w:vAlign w:val="center"/>
          </w:tcPr>
          <w:p w:rsidR="00622DEB" w:rsidRPr="008D797E" w:rsidRDefault="00622DEB" w:rsidP="003028C8">
            <w:pPr>
              <w:keepNext/>
              <w:jc w:val="left"/>
              <w:rPr>
                <w:rFonts w:ascii="Times" w:eastAsiaTheme="majorEastAsia" w:hAnsi="Times" w:cstheme="majorBidi"/>
                <w:bCs/>
                <w:sz w:val="20"/>
              </w:rPr>
            </w:pPr>
            <w:r w:rsidRPr="008D797E">
              <w:rPr>
                <w:rFonts w:ascii="Arial Narrow" w:eastAsiaTheme="majorEastAsia" w:hAnsi="Arial Narrow" w:cstheme="majorBidi"/>
                <w:bCs/>
                <w:sz w:val="20"/>
              </w:rPr>
              <w:t>Number of patients treated</w:t>
            </w:r>
          </w:p>
        </w:tc>
        <w:tc>
          <w:tcPr>
            <w:tcW w:w="612" w:type="pct"/>
          </w:tcPr>
          <w:p w:rsidR="00622DEB" w:rsidRPr="006470F1" w:rsidRDefault="006470F1" w:rsidP="003028C8">
            <w:pPr>
              <w:keepNext/>
              <w:jc w:val="center"/>
              <w:rPr>
                <w:rFonts w:ascii="Arial Narrow" w:eastAsiaTheme="majorEastAsia" w:hAnsi="Arial Narrow" w:cstheme="majorBidi"/>
                <w:bCs/>
                <w:color w:val="000000"/>
                <w:sz w:val="20"/>
              </w:rPr>
            </w:pPr>
            <w:r>
              <w:rPr>
                <w:rFonts w:ascii="Arial Narrow" w:hAnsi="Arial Narrow"/>
                <w:noProof/>
                <w:color w:val="000000"/>
                <w:sz w:val="20"/>
                <w:szCs w:val="20"/>
                <w:highlight w:val="black"/>
              </w:rPr>
              <w:t>'''''''''</w:t>
            </w:r>
            <w:r w:rsidR="002771FF" w:rsidRPr="00BB7BCB">
              <w:rPr>
                <w:rFonts w:ascii="Arial Narrow" w:hAnsi="Arial Narrow"/>
                <w:sz w:val="20"/>
                <w:szCs w:val="20"/>
                <w:vertAlign w:val="superscript"/>
              </w:rPr>
              <w:t>1</w:t>
            </w:r>
          </w:p>
        </w:tc>
        <w:tc>
          <w:tcPr>
            <w:tcW w:w="683" w:type="pct"/>
          </w:tcPr>
          <w:p w:rsidR="00622DEB" w:rsidRPr="006470F1" w:rsidRDefault="006470F1" w:rsidP="003028C8">
            <w:pPr>
              <w:keepNext/>
              <w:jc w:val="center"/>
              <w:rPr>
                <w:rFonts w:ascii="Arial Narrow" w:eastAsiaTheme="majorEastAsia" w:hAnsi="Arial Narrow" w:cstheme="majorBidi"/>
                <w:bCs/>
                <w:color w:val="000000"/>
                <w:sz w:val="20"/>
              </w:rPr>
            </w:pPr>
            <w:r>
              <w:rPr>
                <w:rFonts w:ascii="Arial Narrow" w:hAnsi="Arial Narrow"/>
                <w:noProof/>
                <w:color w:val="000000"/>
                <w:sz w:val="20"/>
                <w:szCs w:val="20"/>
                <w:highlight w:val="black"/>
              </w:rPr>
              <w:t>''''''''</w:t>
            </w:r>
            <w:r w:rsidR="002771FF" w:rsidRPr="00D7671F">
              <w:rPr>
                <w:rFonts w:ascii="Arial Narrow" w:hAnsi="Arial Narrow"/>
                <w:sz w:val="20"/>
                <w:szCs w:val="20"/>
                <w:vertAlign w:val="superscript"/>
              </w:rPr>
              <w:t>1</w:t>
            </w:r>
          </w:p>
        </w:tc>
        <w:tc>
          <w:tcPr>
            <w:tcW w:w="647" w:type="pct"/>
          </w:tcPr>
          <w:p w:rsidR="00622DEB" w:rsidRPr="006470F1" w:rsidRDefault="006470F1" w:rsidP="003028C8">
            <w:pPr>
              <w:keepNext/>
              <w:jc w:val="center"/>
              <w:rPr>
                <w:rFonts w:ascii="Arial Narrow" w:eastAsiaTheme="majorEastAsia" w:hAnsi="Arial Narrow" w:cstheme="majorBidi"/>
                <w:bCs/>
                <w:color w:val="000000"/>
                <w:sz w:val="20"/>
              </w:rPr>
            </w:pPr>
            <w:r>
              <w:rPr>
                <w:rFonts w:ascii="Arial Narrow" w:hAnsi="Arial Narrow"/>
                <w:noProof/>
                <w:color w:val="000000"/>
                <w:sz w:val="20"/>
                <w:szCs w:val="20"/>
                <w:highlight w:val="black"/>
              </w:rPr>
              <w:t>'''''''''</w:t>
            </w:r>
            <w:r w:rsidR="002771FF" w:rsidRPr="00D7671F">
              <w:rPr>
                <w:rFonts w:ascii="Arial Narrow" w:hAnsi="Arial Narrow"/>
                <w:sz w:val="20"/>
                <w:szCs w:val="20"/>
                <w:vertAlign w:val="superscript"/>
              </w:rPr>
              <w:t>1</w:t>
            </w:r>
          </w:p>
        </w:tc>
        <w:tc>
          <w:tcPr>
            <w:tcW w:w="647" w:type="pct"/>
          </w:tcPr>
          <w:p w:rsidR="00622DEB" w:rsidRPr="006470F1" w:rsidRDefault="006470F1" w:rsidP="003028C8">
            <w:pPr>
              <w:keepNext/>
              <w:jc w:val="center"/>
              <w:rPr>
                <w:rFonts w:ascii="Arial Narrow" w:eastAsiaTheme="majorEastAsia" w:hAnsi="Arial Narrow" w:cstheme="majorBidi"/>
                <w:bCs/>
                <w:color w:val="000000"/>
                <w:sz w:val="20"/>
              </w:rPr>
            </w:pPr>
            <w:r>
              <w:rPr>
                <w:rFonts w:ascii="Arial Narrow" w:hAnsi="Arial Narrow"/>
                <w:noProof/>
                <w:color w:val="000000"/>
                <w:sz w:val="20"/>
                <w:szCs w:val="20"/>
                <w:highlight w:val="black"/>
              </w:rPr>
              <w:t>'''''''''</w:t>
            </w:r>
            <w:r w:rsidR="002771FF" w:rsidRPr="00D7671F">
              <w:rPr>
                <w:rFonts w:ascii="Arial Narrow" w:hAnsi="Arial Narrow"/>
                <w:sz w:val="20"/>
                <w:szCs w:val="20"/>
                <w:vertAlign w:val="superscript"/>
              </w:rPr>
              <w:t>1</w:t>
            </w:r>
          </w:p>
        </w:tc>
        <w:tc>
          <w:tcPr>
            <w:tcW w:w="647" w:type="pct"/>
          </w:tcPr>
          <w:p w:rsidR="00622DEB" w:rsidRPr="006470F1" w:rsidRDefault="006470F1" w:rsidP="003028C8">
            <w:pPr>
              <w:keepNext/>
              <w:jc w:val="center"/>
              <w:rPr>
                <w:rFonts w:ascii="Arial Narrow" w:eastAsiaTheme="majorEastAsia" w:hAnsi="Arial Narrow" w:cstheme="majorBidi"/>
                <w:bCs/>
                <w:color w:val="000000"/>
                <w:sz w:val="20"/>
              </w:rPr>
            </w:pPr>
            <w:r>
              <w:rPr>
                <w:rFonts w:ascii="Arial Narrow" w:hAnsi="Arial Narrow"/>
                <w:noProof/>
                <w:color w:val="000000"/>
                <w:sz w:val="20"/>
                <w:szCs w:val="20"/>
                <w:highlight w:val="black"/>
              </w:rPr>
              <w:t>'''''''''</w:t>
            </w:r>
            <w:r w:rsidR="002771FF" w:rsidRPr="00D7671F">
              <w:rPr>
                <w:rFonts w:ascii="Arial Narrow" w:hAnsi="Arial Narrow"/>
                <w:sz w:val="20"/>
                <w:szCs w:val="20"/>
                <w:vertAlign w:val="superscript"/>
              </w:rPr>
              <w:t>1</w:t>
            </w:r>
          </w:p>
        </w:tc>
        <w:tc>
          <w:tcPr>
            <w:tcW w:w="649" w:type="pct"/>
          </w:tcPr>
          <w:p w:rsidR="00622DEB" w:rsidRPr="006470F1" w:rsidRDefault="006470F1" w:rsidP="003028C8">
            <w:pPr>
              <w:keepNext/>
              <w:jc w:val="center"/>
              <w:rPr>
                <w:rFonts w:ascii="Arial Narrow" w:eastAsiaTheme="majorEastAsia" w:hAnsi="Arial Narrow" w:cstheme="majorBidi"/>
                <w:bCs/>
                <w:color w:val="000000"/>
                <w:sz w:val="20"/>
              </w:rPr>
            </w:pPr>
            <w:r>
              <w:rPr>
                <w:rFonts w:ascii="Arial Narrow" w:hAnsi="Arial Narrow"/>
                <w:noProof/>
                <w:color w:val="000000"/>
                <w:sz w:val="20"/>
                <w:szCs w:val="20"/>
                <w:highlight w:val="black"/>
              </w:rPr>
              <w:t>'''''''''</w:t>
            </w:r>
            <w:r w:rsidR="002771FF" w:rsidRPr="00D7671F">
              <w:rPr>
                <w:rFonts w:ascii="Arial Narrow" w:hAnsi="Arial Narrow"/>
                <w:sz w:val="20"/>
                <w:szCs w:val="20"/>
                <w:vertAlign w:val="superscript"/>
              </w:rPr>
              <w:t>1</w:t>
            </w:r>
          </w:p>
        </w:tc>
      </w:tr>
      <w:tr w:rsidR="00622DEB" w:rsidRPr="008D797E" w:rsidTr="00BB7BCB">
        <w:tc>
          <w:tcPr>
            <w:tcW w:w="1115" w:type="pct"/>
            <w:shd w:val="clear" w:color="auto" w:fill="auto"/>
            <w:vAlign w:val="center"/>
          </w:tcPr>
          <w:p w:rsidR="00622DEB" w:rsidRPr="008D797E" w:rsidRDefault="00622DEB" w:rsidP="003028C8">
            <w:pPr>
              <w:keepNext/>
              <w:jc w:val="left"/>
              <w:rPr>
                <w:rFonts w:ascii="Times" w:eastAsiaTheme="majorEastAsia" w:hAnsi="Times" w:cstheme="majorBidi"/>
                <w:bCs/>
                <w:sz w:val="20"/>
              </w:rPr>
            </w:pPr>
            <w:r w:rsidRPr="008D797E">
              <w:rPr>
                <w:rFonts w:ascii="Arial Narrow" w:eastAsiaTheme="majorEastAsia" w:hAnsi="Arial Narrow" w:cstheme="majorBidi"/>
                <w:bCs/>
                <w:sz w:val="20"/>
              </w:rPr>
              <w:t>Number of scripts dispensed - ATZ</w:t>
            </w:r>
            <w:r w:rsidRPr="008D797E">
              <w:rPr>
                <w:rFonts w:ascii="Arial Narrow" w:eastAsiaTheme="majorEastAsia" w:hAnsi="Arial Narrow" w:cstheme="majorBidi"/>
                <w:bCs/>
                <w:sz w:val="20"/>
                <w:vertAlign w:val="superscript"/>
              </w:rPr>
              <w:t>a</w:t>
            </w:r>
          </w:p>
        </w:tc>
        <w:tc>
          <w:tcPr>
            <w:tcW w:w="612" w:type="pct"/>
            <w:tcBorders>
              <w:top w:val="nil"/>
              <w:left w:val="nil"/>
              <w:bottom w:val="single" w:sz="4" w:space="0" w:color="auto"/>
              <w:right w:val="single" w:sz="4" w:space="0" w:color="auto"/>
            </w:tcBorders>
            <w:shd w:val="clear" w:color="000000" w:fill="FFFFFF"/>
            <w:vAlign w:val="center"/>
          </w:tcPr>
          <w:p w:rsidR="00622DEB" w:rsidRPr="002771FF" w:rsidRDefault="006470F1" w:rsidP="003028C8">
            <w:pPr>
              <w:keepNext/>
              <w:jc w:val="center"/>
              <w:rPr>
                <w:rFonts w:ascii="Arial Narrow" w:eastAsiaTheme="majorEastAsia" w:hAnsi="Arial Narrow" w:cstheme="majorBidi"/>
                <w:bCs/>
                <w:color w:val="000000"/>
                <w:sz w:val="20"/>
              </w:rPr>
            </w:pPr>
            <w:r>
              <w:rPr>
                <w:rFonts w:ascii="Arial Narrow" w:hAnsi="Arial Narrow"/>
                <w:noProof/>
                <w:color w:val="000000"/>
                <w:sz w:val="20"/>
                <w:szCs w:val="20"/>
                <w:highlight w:val="black"/>
              </w:rPr>
              <w:t>''''''''''''''''</w:t>
            </w:r>
            <w:r w:rsidR="002771FF">
              <w:rPr>
                <w:rFonts w:ascii="Arial Narrow" w:hAnsi="Arial Narrow"/>
                <w:sz w:val="20"/>
                <w:szCs w:val="20"/>
                <w:vertAlign w:val="superscript"/>
              </w:rPr>
              <w:t>2</w:t>
            </w:r>
          </w:p>
        </w:tc>
        <w:tc>
          <w:tcPr>
            <w:tcW w:w="683" w:type="pct"/>
            <w:tcBorders>
              <w:top w:val="nil"/>
              <w:left w:val="single" w:sz="4" w:space="0" w:color="auto"/>
              <w:bottom w:val="single" w:sz="4" w:space="0" w:color="auto"/>
              <w:right w:val="single" w:sz="4" w:space="0" w:color="auto"/>
            </w:tcBorders>
            <w:shd w:val="clear" w:color="000000" w:fill="FFFFFF"/>
            <w:vAlign w:val="center"/>
          </w:tcPr>
          <w:p w:rsidR="00622DEB" w:rsidRPr="006470F1" w:rsidRDefault="006470F1" w:rsidP="003028C8">
            <w:pPr>
              <w:keepNext/>
              <w:jc w:val="center"/>
              <w:rPr>
                <w:rFonts w:ascii="Arial Narrow" w:eastAsiaTheme="majorEastAsia" w:hAnsi="Arial Narrow" w:cstheme="majorBidi"/>
                <w:bCs/>
                <w:color w:val="000000"/>
                <w:sz w:val="20"/>
              </w:rPr>
            </w:pPr>
            <w:r>
              <w:rPr>
                <w:rFonts w:ascii="Arial Narrow" w:hAnsi="Arial Narrow"/>
                <w:noProof/>
                <w:color w:val="000000"/>
                <w:sz w:val="20"/>
                <w:szCs w:val="20"/>
                <w:highlight w:val="black"/>
              </w:rPr>
              <w:t>'''''''''''''''</w:t>
            </w:r>
            <w:r w:rsidR="002771FF">
              <w:rPr>
                <w:rFonts w:ascii="Arial Narrow" w:hAnsi="Arial Narrow"/>
                <w:sz w:val="20"/>
                <w:szCs w:val="20"/>
                <w:vertAlign w:val="superscript"/>
              </w:rPr>
              <w:t>2</w:t>
            </w:r>
          </w:p>
        </w:tc>
        <w:tc>
          <w:tcPr>
            <w:tcW w:w="647" w:type="pct"/>
            <w:tcBorders>
              <w:top w:val="nil"/>
              <w:left w:val="single" w:sz="4" w:space="0" w:color="auto"/>
              <w:bottom w:val="single" w:sz="4" w:space="0" w:color="auto"/>
              <w:right w:val="single" w:sz="4" w:space="0" w:color="auto"/>
            </w:tcBorders>
            <w:shd w:val="clear" w:color="000000" w:fill="FFFFFF"/>
            <w:vAlign w:val="center"/>
          </w:tcPr>
          <w:p w:rsidR="00622DEB" w:rsidRPr="006470F1" w:rsidRDefault="006470F1" w:rsidP="003028C8">
            <w:pPr>
              <w:keepNext/>
              <w:jc w:val="center"/>
              <w:rPr>
                <w:rFonts w:ascii="Arial Narrow" w:eastAsiaTheme="majorEastAsia" w:hAnsi="Arial Narrow" w:cstheme="majorBidi"/>
                <w:bCs/>
                <w:color w:val="000000"/>
                <w:sz w:val="20"/>
              </w:rPr>
            </w:pPr>
            <w:r>
              <w:rPr>
                <w:rFonts w:ascii="Arial Narrow" w:hAnsi="Arial Narrow"/>
                <w:noProof/>
                <w:color w:val="000000"/>
                <w:sz w:val="20"/>
                <w:szCs w:val="20"/>
                <w:highlight w:val="black"/>
              </w:rPr>
              <w:t>'''''''''''''''</w:t>
            </w:r>
            <w:r w:rsidR="002771FF">
              <w:rPr>
                <w:rFonts w:ascii="Arial Narrow" w:hAnsi="Arial Narrow"/>
                <w:sz w:val="20"/>
                <w:szCs w:val="20"/>
                <w:vertAlign w:val="superscript"/>
              </w:rPr>
              <w:t>2</w:t>
            </w:r>
          </w:p>
        </w:tc>
        <w:tc>
          <w:tcPr>
            <w:tcW w:w="647" w:type="pct"/>
            <w:tcBorders>
              <w:top w:val="nil"/>
              <w:left w:val="single" w:sz="4" w:space="0" w:color="auto"/>
              <w:bottom w:val="single" w:sz="4" w:space="0" w:color="auto"/>
              <w:right w:val="single" w:sz="4" w:space="0" w:color="auto"/>
            </w:tcBorders>
            <w:shd w:val="clear" w:color="000000" w:fill="FFFFFF"/>
            <w:vAlign w:val="center"/>
          </w:tcPr>
          <w:p w:rsidR="00622DEB" w:rsidRPr="006470F1" w:rsidRDefault="006470F1" w:rsidP="003028C8">
            <w:pPr>
              <w:keepNext/>
              <w:jc w:val="center"/>
              <w:rPr>
                <w:rFonts w:ascii="Arial Narrow" w:eastAsiaTheme="majorEastAsia" w:hAnsi="Arial Narrow" w:cstheme="majorBidi"/>
                <w:bCs/>
                <w:color w:val="000000"/>
                <w:sz w:val="20"/>
              </w:rPr>
            </w:pPr>
            <w:r>
              <w:rPr>
                <w:rFonts w:ascii="Arial Narrow" w:hAnsi="Arial Narrow"/>
                <w:noProof/>
                <w:color w:val="000000"/>
                <w:sz w:val="20"/>
                <w:szCs w:val="20"/>
                <w:highlight w:val="black"/>
              </w:rPr>
              <w:t>'''''''''''''''''</w:t>
            </w:r>
            <w:r w:rsidR="002771FF">
              <w:rPr>
                <w:rFonts w:ascii="Arial Narrow" w:hAnsi="Arial Narrow"/>
                <w:sz w:val="20"/>
                <w:szCs w:val="20"/>
                <w:vertAlign w:val="superscript"/>
              </w:rPr>
              <w:t>2</w:t>
            </w:r>
          </w:p>
        </w:tc>
        <w:tc>
          <w:tcPr>
            <w:tcW w:w="647" w:type="pct"/>
            <w:tcBorders>
              <w:top w:val="nil"/>
              <w:left w:val="single" w:sz="4" w:space="0" w:color="auto"/>
              <w:bottom w:val="single" w:sz="4" w:space="0" w:color="auto"/>
              <w:right w:val="single" w:sz="4" w:space="0" w:color="auto"/>
            </w:tcBorders>
            <w:shd w:val="clear" w:color="000000" w:fill="FFFFFF"/>
            <w:vAlign w:val="center"/>
          </w:tcPr>
          <w:p w:rsidR="00622DEB" w:rsidRPr="006470F1" w:rsidRDefault="006470F1" w:rsidP="003028C8">
            <w:pPr>
              <w:keepNext/>
              <w:jc w:val="center"/>
              <w:rPr>
                <w:rFonts w:ascii="Arial Narrow" w:eastAsiaTheme="majorEastAsia" w:hAnsi="Arial Narrow" w:cstheme="majorBidi"/>
                <w:bCs/>
                <w:color w:val="000000"/>
                <w:sz w:val="20"/>
              </w:rPr>
            </w:pPr>
            <w:r>
              <w:rPr>
                <w:rFonts w:ascii="Arial Narrow" w:hAnsi="Arial Narrow"/>
                <w:noProof/>
                <w:color w:val="000000"/>
                <w:sz w:val="20"/>
                <w:szCs w:val="20"/>
                <w:highlight w:val="black"/>
              </w:rPr>
              <w:t>''''''''''''''''''</w:t>
            </w:r>
            <w:r w:rsidR="002771FF">
              <w:rPr>
                <w:rFonts w:ascii="Arial Narrow" w:hAnsi="Arial Narrow"/>
                <w:sz w:val="20"/>
                <w:szCs w:val="20"/>
                <w:vertAlign w:val="superscript"/>
              </w:rPr>
              <w:t>2</w:t>
            </w:r>
          </w:p>
        </w:tc>
        <w:tc>
          <w:tcPr>
            <w:tcW w:w="649" w:type="pct"/>
            <w:tcBorders>
              <w:top w:val="nil"/>
              <w:left w:val="single" w:sz="4" w:space="0" w:color="auto"/>
              <w:bottom w:val="single" w:sz="4" w:space="0" w:color="auto"/>
              <w:right w:val="single" w:sz="4" w:space="0" w:color="auto"/>
            </w:tcBorders>
            <w:shd w:val="clear" w:color="000000" w:fill="FFFFFF"/>
            <w:vAlign w:val="center"/>
          </w:tcPr>
          <w:p w:rsidR="00622DEB" w:rsidRPr="006470F1" w:rsidRDefault="006470F1" w:rsidP="003028C8">
            <w:pPr>
              <w:keepNext/>
              <w:jc w:val="center"/>
              <w:rPr>
                <w:rFonts w:ascii="Arial Narrow" w:eastAsiaTheme="majorEastAsia" w:hAnsi="Arial Narrow" w:cstheme="majorBidi"/>
                <w:bCs/>
                <w:color w:val="000000"/>
                <w:sz w:val="20"/>
              </w:rPr>
            </w:pPr>
            <w:r>
              <w:rPr>
                <w:rFonts w:ascii="Arial Narrow" w:hAnsi="Arial Narrow"/>
                <w:noProof/>
                <w:color w:val="000000"/>
                <w:sz w:val="20"/>
                <w:szCs w:val="20"/>
                <w:highlight w:val="black"/>
              </w:rPr>
              <w:t>'''''''''''''''''</w:t>
            </w:r>
            <w:r w:rsidR="002771FF">
              <w:rPr>
                <w:rFonts w:ascii="Arial Narrow" w:hAnsi="Arial Narrow"/>
                <w:sz w:val="20"/>
                <w:szCs w:val="20"/>
                <w:vertAlign w:val="superscript"/>
              </w:rPr>
              <w:t>2</w:t>
            </w:r>
          </w:p>
        </w:tc>
      </w:tr>
      <w:tr w:rsidR="00622DEB" w:rsidRPr="008D797E" w:rsidTr="00BB7BCB">
        <w:tc>
          <w:tcPr>
            <w:tcW w:w="1115" w:type="pct"/>
            <w:shd w:val="clear" w:color="auto" w:fill="auto"/>
            <w:vAlign w:val="center"/>
          </w:tcPr>
          <w:p w:rsidR="00622DEB" w:rsidRPr="008D797E" w:rsidRDefault="00622DEB" w:rsidP="003028C8">
            <w:pPr>
              <w:keepNext/>
              <w:jc w:val="left"/>
              <w:rPr>
                <w:rFonts w:ascii="Arial Narrow" w:eastAsiaTheme="majorEastAsia" w:hAnsi="Arial Narrow" w:cstheme="majorBidi"/>
                <w:bCs/>
                <w:sz w:val="20"/>
              </w:rPr>
            </w:pPr>
            <w:r w:rsidRPr="008D797E">
              <w:rPr>
                <w:rFonts w:ascii="Arial Narrow" w:eastAsiaTheme="majorEastAsia" w:hAnsi="Arial Narrow" w:cstheme="majorBidi"/>
                <w:bCs/>
                <w:sz w:val="20"/>
              </w:rPr>
              <w:t>Number of scripts dispensed –nab-P</w:t>
            </w:r>
            <w:r w:rsidRPr="008D797E">
              <w:rPr>
                <w:rFonts w:ascii="Arial Narrow" w:eastAsiaTheme="majorEastAsia" w:hAnsi="Arial Narrow" w:cstheme="majorBidi"/>
                <w:bCs/>
                <w:sz w:val="20"/>
                <w:vertAlign w:val="superscript"/>
              </w:rPr>
              <w:t>b</w:t>
            </w:r>
          </w:p>
        </w:tc>
        <w:tc>
          <w:tcPr>
            <w:tcW w:w="612" w:type="pct"/>
            <w:tcBorders>
              <w:top w:val="single" w:sz="4" w:space="0" w:color="auto"/>
              <w:left w:val="nil"/>
              <w:bottom w:val="single" w:sz="4" w:space="0" w:color="auto"/>
              <w:right w:val="single" w:sz="4" w:space="0" w:color="auto"/>
            </w:tcBorders>
            <w:shd w:val="clear" w:color="000000" w:fill="FFFFFF"/>
            <w:vAlign w:val="center"/>
          </w:tcPr>
          <w:p w:rsidR="00622DEB" w:rsidRPr="006470F1" w:rsidRDefault="006470F1" w:rsidP="003028C8">
            <w:pPr>
              <w:keepNext/>
              <w:jc w:val="center"/>
              <w:rPr>
                <w:rFonts w:ascii="Arial Narrow" w:hAnsi="Arial Narrow"/>
                <w:sz w:val="20"/>
                <w:szCs w:val="20"/>
              </w:rPr>
            </w:pPr>
            <w:r>
              <w:rPr>
                <w:rFonts w:ascii="Arial Narrow" w:hAnsi="Arial Narrow"/>
                <w:noProof/>
                <w:color w:val="000000"/>
                <w:sz w:val="20"/>
                <w:szCs w:val="20"/>
                <w:highlight w:val="black"/>
              </w:rPr>
              <w:t>''''''''''''</w:t>
            </w:r>
            <w:r w:rsidR="002771FF">
              <w:rPr>
                <w:rFonts w:ascii="Arial Narrow" w:hAnsi="Arial Narrow"/>
                <w:sz w:val="20"/>
                <w:szCs w:val="20"/>
                <w:vertAlign w:val="superscript"/>
              </w:rPr>
              <w:t>2</w:t>
            </w:r>
          </w:p>
        </w:tc>
        <w:tc>
          <w:tcPr>
            <w:tcW w:w="683" w:type="pct"/>
            <w:tcBorders>
              <w:top w:val="single" w:sz="4" w:space="0" w:color="auto"/>
              <w:left w:val="single" w:sz="4" w:space="0" w:color="auto"/>
              <w:bottom w:val="single" w:sz="4" w:space="0" w:color="auto"/>
              <w:right w:val="single" w:sz="4" w:space="0" w:color="auto"/>
            </w:tcBorders>
            <w:shd w:val="clear" w:color="000000" w:fill="FFFFFF"/>
            <w:vAlign w:val="center"/>
          </w:tcPr>
          <w:p w:rsidR="00622DEB" w:rsidRPr="006470F1" w:rsidRDefault="006470F1" w:rsidP="003028C8">
            <w:pPr>
              <w:keepNext/>
              <w:jc w:val="center"/>
              <w:rPr>
                <w:rFonts w:ascii="Arial Narrow" w:hAnsi="Arial Narrow"/>
                <w:sz w:val="20"/>
                <w:szCs w:val="20"/>
              </w:rPr>
            </w:pPr>
            <w:r>
              <w:rPr>
                <w:rFonts w:ascii="Arial Narrow" w:hAnsi="Arial Narrow"/>
                <w:noProof/>
                <w:color w:val="000000"/>
                <w:sz w:val="20"/>
                <w:szCs w:val="20"/>
                <w:highlight w:val="black"/>
              </w:rPr>
              <w:t>'''''''''''''</w:t>
            </w:r>
            <w:r w:rsidR="002771FF">
              <w:rPr>
                <w:rFonts w:ascii="Arial Narrow" w:hAnsi="Arial Narrow"/>
                <w:sz w:val="20"/>
                <w:szCs w:val="20"/>
                <w:vertAlign w:val="superscript"/>
              </w:rPr>
              <w:t>2</w:t>
            </w:r>
          </w:p>
        </w:tc>
        <w:tc>
          <w:tcPr>
            <w:tcW w:w="647" w:type="pct"/>
            <w:tcBorders>
              <w:top w:val="single" w:sz="4" w:space="0" w:color="auto"/>
              <w:left w:val="single" w:sz="4" w:space="0" w:color="auto"/>
              <w:bottom w:val="single" w:sz="4" w:space="0" w:color="auto"/>
              <w:right w:val="single" w:sz="4" w:space="0" w:color="auto"/>
            </w:tcBorders>
            <w:shd w:val="clear" w:color="000000" w:fill="FFFFFF"/>
            <w:vAlign w:val="center"/>
          </w:tcPr>
          <w:p w:rsidR="00622DEB" w:rsidRPr="006470F1" w:rsidRDefault="006470F1" w:rsidP="003028C8">
            <w:pPr>
              <w:keepNext/>
              <w:jc w:val="center"/>
              <w:rPr>
                <w:rFonts w:ascii="Arial Narrow" w:hAnsi="Arial Narrow"/>
                <w:sz w:val="20"/>
                <w:szCs w:val="20"/>
              </w:rPr>
            </w:pPr>
            <w:r>
              <w:rPr>
                <w:rFonts w:ascii="Arial Narrow" w:hAnsi="Arial Narrow"/>
                <w:noProof/>
                <w:color w:val="000000"/>
                <w:sz w:val="20"/>
                <w:szCs w:val="20"/>
                <w:highlight w:val="black"/>
              </w:rPr>
              <w:t>''''''''''''</w:t>
            </w:r>
            <w:r w:rsidR="002771FF">
              <w:rPr>
                <w:rFonts w:ascii="Arial Narrow" w:hAnsi="Arial Narrow"/>
                <w:sz w:val="20"/>
                <w:szCs w:val="20"/>
                <w:vertAlign w:val="superscript"/>
              </w:rPr>
              <w:t>2</w:t>
            </w:r>
          </w:p>
        </w:tc>
        <w:tc>
          <w:tcPr>
            <w:tcW w:w="647" w:type="pct"/>
            <w:tcBorders>
              <w:top w:val="single" w:sz="4" w:space="0" w:color="auto"/>
              <w:left w:val="single" w:sz="4" w:space="0" w:color="auto"/>
              <w:bottom w:val="single" w:sz="4" w:space="0" w:color="auto"/>
              <w:right w:val="single" w:sz="4" w:space="0" w:color="auto"/>
            </w:tcBorders>
            <w:shd w:val="clear" w:color="000000" w:fill="FFFFFF"/>
            <w:vAlign w:val="center"/>
          </w:tcPr>
          <w:p w:rsidR="00622DEB" w:rsidRPr="006470F1" w:rsidRDefault="006470F1" w:rsidP="003028C8">
            <w:pPr>
              <w:keepNext/>
              <w:jc w:val="center"/>
              <w:rPr>
                <w:rFonts w:ascii="Arial Narrow" w:hAnsi="Arial Narrow"/>
                <w:sz w:val="20"/>
                <w:szCs w:val="20"/>
              </w:rPr>
            </w:pPr>
            <w:r>
              <w:rPr>
                <w:rFonts w:ascii="Arial Narrow" w:hAnsi="Arial Narrow"/>
                <w:noProof/>
                <w:color w:val="000000"/>
                <w:sz w:val="20"/>
                <w:szCs w:val="20"/>
                <w:highlight w:val="black"/>
              </w:rPr>
              <w:t>''''''''''''</w:t>
            </w:r>
            <w:r w:rsidR="002771FF">
              <w:rPr>
                <w:rFonts w:ascii="Arial Narrow" w:hAnsi="Arial Narrow"/>
                <w:sz w:val="20"/>
                <w:szCs w:val="20"/>
                <w:vertAlign w:val="superscript"/>
              </w:rPr>
              <w:t>2</w:t>
            </w:r>
          </w:p>
        </w:tc>
        <w:tc>
          <w:tcPr>
            <w:tcW w:w="647" w:type="pct"/>
            <w:tcBorders>
              <w:top w:val="single" w:sz="4" w:space="0" w:color="auto"/>
              <w:left w:val="single" w:sz="4" w:space="0" w:color="auto"/>
              <w:bottom w:val="single" w:sz="4" w:space="0" w:color="auto"/>
              <w:right w:val="single" w:sz="4" w:space="0" w:color="auto"/>
            </w:tcBorders>
            <w:shd w:val="clear" w:color="000000" w:fill="FFFFFF"/>
            <w:vAlign w:val="center"/>
          </w:tcPr>
          <w:p w:rsidR="00622DEB" w:rsidRPr="006470F1" w:rsidRDefault="006470F1" w:rsidP="003028C8">
            <w:pPr>
              <w:keepNext/>
              <w:jc w:val="center"/>
              <w:rPr>
                <w:rFonts w:ascii="Arial Narrow" w:hAnsi="Arial Narrow"/>
                <w:sz w:val="20"/>
                <w:szCs w:val="20"/>
              </w:rPr>
            </w:pPr>
            <w:r>
              <w:rPr>
                <w:rFonts w:ascii="Arial Narrow" w:hAnsi="Arial Narrow"/>
                <w:noProof/>
                <w:color w:val="000000"/>
                <w:sz w:val="20"/>
                <w:szCs w:val="20"/>
                <w:highlight w:val="black"/>
              </w:rPr>
              <w:t>''''''''''''''</w:t>
            </w:r>
            <w:r w:rsidR="002771FF">
              <w:rPr>
                <w:rFonts w:ascii="Arial Narrow" w:hAnsi="Arial Narrow"/>
                <w:sz w:val="20"/>
                <w:szCs w:val="20"/>
                <w:vertAlign w:val="superscript"/>
              </w:rPr>
              <w:t>2</w:t>
            </w:r>
          </w:p>
        </w:tc>
        <w:tc>
          <w:tcPr>
            <w:tcW w:w="649" w:type="pct"/>
            <w:tcBorders>
              <w:top w:val="single" w:sz="4" w:space="0" w:color="auto"/>
              <w:left w:val="single" w:sz="4" w:space="0" w:color="auto"/>
              <w:bottom w:val="single" w:sz="4" w:space="0" w:color="auto"/>
              <w:right w:val="single" w:sz="4" w:space="0" w:color="auto"/>
            </w:tcBorders>
            <w:shd w:val="clear" w:color="000000" w:fill="FFFFFF"/>
            <w:vAlign w:val="center"/>
          </w:tcPr>
          <w:p w:rsidR="00622DEB" w:rsidRPr="006470F1" w:rsidRDefault="006470F1" w:rsidP="003028C8">
            <w:pPr>
              <w:keepNext/>
              <w:jc w:val="center"/>
              <w:rPr>
                <w:rFonts w:ascii="Arial Narrow" w:hAnsi="Arial Narrow"/>
                <w:sz w:val="20"/>
                <w:szCs w:val="20"/>
              </w:rPr>
            </w:pPr>
            <w:r>
              <w:rPr>
                <w:rFonts w:ascii="Arial Narrow" w:hAnsi="Arial Narrow"/>
                <w:noProof/>
                <w:color w:val="000000"/>
                <w:sz w:val="20"/>
                <w:szCs w:val="20"/>
                <w:highlight w:val="black"/>
              </w:rPr>
              <w:t>'''''''''''''</w:t>
            </w:r>
            <w:r w:rsidR="002771FF">
              <w:rPr>
                <w:rFonts w:ascii="Arial Narrow" w:hAnsi="Arial Narrow"/>
                <w:sz w:val="20"/>
                <w:szCs w:val="20"/>
                <w:vertAlign w:val="superscript"/>
              </w:rPr>
              <w:t>2</w:t>
            </w:r>
          </w:p>
        </w:tc>
      </w:tr>
      <w:tr w:rsidR="00622DEB" w:rsidRPr="008D797E" w:rsidTr="003028C8">
        <w:tc>
          <w:tcPr>
            <w:tcW w:w="5000" w:type="pct"/>
            <w:gridSpan w:val="7"/>
            <w:shd w:val="clear" w:color="auto" w:fill="auto"/>
            <w:vAlign w:val="center"/>
          </w:tcPr>
          <w:p w:rsidR="00622DEB" w:rsidRPr="006E5C4D" w:rsidRDefault="00622DEB" w:rsidP="003028C8">
            <w:pPr>
              <w:keepNext/>
              <w:jc w:val="left"/>
              <w:rPr>
                <w:rFonts w:ascii="Arial Narrow" w:eastAsiaTheme="majorEastAsia" w:hAnsi="Arial Narrow" w:cs="Times New Roman"/>
                <w:b/>
                <w:sz w:val="20"/>
              </w:rPr>
            </w:pPr>
            <w:r w:rsidRPr="006E5C4D">
              <w:rPr>
                <w:rFonts w:ascii="Arial Narrow" w:eastAsiaTheme="majorEastAsia" w:hAnsi="Arial Narrow" w:cs="Times New Roman"/>
                <w:b/>
                <w:sz w:val="20"/>
              </w:rPr>
              <w:t>Estimated financial implications of ATZ+nab-P</w:t>
            </w:r>
          </w:p>
        </w:tc>
      </w:tr>
      <w:tr w:rsidR="00622DEB" w:rsidRPr="008D797E" w:rsidTr="00BB7BCB">
        <w:tc>
          <w:tcPr>
            <w:tcW w:w="1115" w:type="pct"/>
            <w:shd w:val="clear" w:color="auto" w:fill="auto"/>
            <w:vAlign w:val="center"/>
          </w:tcPr>
          <w:p w:rsidR="00622DEB" w:rsidRPr="008D797E" w:rsidRDefault="00622DEB" w:rsidP="003028C8">
            <w:pPr>
              <w:keepNext/>
              <w:jc w:val="left"/>
              <w:rPr>
                <w:rFonts w:ascii="Arial Narrow" w:eastAsiaTheme="majorEastAsia" w:hAnsi="Arial Narrow" w:cstheme="majorBidi"/>
                <w:bCs/>
                <w:sz w:val="19"/>
                <w:szCs w:val="19"/>
              </w:rPr>
            </w:pPr>
            <w:r w:rsidRPr="008D797E">
              <w:rPr>
                <w:rFonts w:ascii="Arial Narrow" w:eastAsiaTheme="majorEastAsia" w:hAnsi="Arial Narrow" w:cstheme="majorBidi"/>
                <w:bCs/>
                <w:sz w:val="19"/>
                <w:szCs w:val="19"/>
              </w:rPr>
              <w:t>Cost to PBS/RPBS less copayments</w:t>
            </w:r>
          </w:p>
        </w:tc>
        <w:tc>
          <w:tcPr>
            <w:tcW w:w="612" w:type="pct"/>
          </w:tcPr>
          <w:p w:rsidR="00622DEB" w:rsidRPr="00BB7BCB" w:rsidRDefault="00622DEB" w:rsidP="003028C8">
            <w:pPr>
              <w:keepNext/>
              <w:jc w:val="center"/>
              <w:rPr>
                <w:rFonts w:ascii="Arial Narrow" w:eastAsiaTheme="majorEastAsia" w:hAnsi="Arial Narrow" w:cstheme="majorBidi"/>
                <w:bCs/>
                <w:sz w:val="20"/>
                <w:vertAlign w:val="superscript"/>
              </w:rPr>
            </w:pPr>
            <w:r w:rsidRPr="008D797E">
              <w:rPr>
                <w:rFonts w:ascii="Arial Narrow" w:hAnsi="Arial Narrow"/>
                <w:bCs/>
                <w:sz w:val="20"/>
                <w:szCs w:val="20"/>
              </w:rPr>
              <w:t>$</w:t>
            </w:r>
            <w:r w:rsidR="006470F1">
              <w:rPr>
                <w:rFonts w:ascii="Arial Narrow" w:hAnsi="Arial Narrow"/>
                <w:bCs/>
                <w:noProof/>
                <w:color w:val="000000"/>
                <w:sz w:val="20"/>
                <w:szCs w:val="20"/>
                <w:highlight w:val="black"/>
              </w:rPr>
              <w:t>'''''''''''''''''''''''''''</w:t>
            </w:r>
            <w:r w:rsidR="00B52282" w:rsidRPr="00BB7BCB">
              <w:rPr>
                <w:rFonts w:ascii="Arial Narrow" w:hAnsi="Arial Narrow"/>
                <w:bCs/>
                <w:sz w:val="20"/>
                <w:szCs w:val="20"/>
                <w:vertAlign w:val="superscript"/>
              </w:rPr>
              <w:t>3</w:t>
            </w:r>
          </w:p>
        </w:tc>
        <w:tc>
          <w:tcPr>
            <w:tcW w:w="683" w:type="pct"/>
          </w:tcPr>
          <w:p w:rsidR="00622DEB" w:rsidRPr="008D797E" w:rsidRDefault="00622DEB" w:rsidP="003028C8">
            <w:pPr>
              <w:keepNext/>
              <w:jc w:val="center"/>
              <w:rPr>
                <w:rFonts w:ascii="Arial Narrow" w:eastAsiaTheme="majorEastAsia" w:hAnsi="Arial Narrow" w:cstheme="majorBidi"/>
                <w:bCs/>
                <w:sz w:val="20"/>
              </w:rPr>
            </w:pPr>
            <w:r w:rsidRPr="008D797E">
              <w:rPr>
                <w:rFonts w:ascii="Arial Narrow" w:hAnsi="Arial Narrow"/>
                <w:bCs/>
                <w:sz w:val="20"/>
                <w:szCs w:val="20"/>
              </w:rPr>
              <w:t>$</w:t>
            </w:r>
            <w:r w:rsidR="006470F1">
              <w:rPr>
                <w:rFonts w:ascii="Arial Narrow" w:hAnsi="Arial Narrow"/>
                <w:bCs/>
                <w:noProof/>
                <w:color w:val="000000"/>
                <w:sz w:val="20"/>
                <w:szCs w:val="20"/>
                <w:highlight w:val="black"/>
              </w:rPr>
              <w:t>'''''''''''''''''''''''''</w:t>
            </w:r>
            <w:r w:rsidR="00B52282" w:rsidRPr="00D7671F">
              <w:rPr>
                <w:rFonts w:ascii="Arial Narrow" w:hAnsi="Arial Narrow"/>
                <w:bCs/>
                <w:sz w:val="20"/>
                <w:szCs w:val="20"/>
                <w:vertAlign w:val="superscript"/>
              </w:rPr>
              <w:t>3</w:t>
            </w:r>
          </w:p>
        </w:tc>
        <w:tc>
          <w:tcPr>
            <w:tcW w:w="647" w:type="pct"/>
          </w:tcPr>
          <w:p w:rsidR="00622DEB" w:rsidRPr="00BB7BCB" w:rsidRDefault="00622DEB" w:rsidP="003028C8">
            <w:pPr>
              <w:keepNext/>
              <w:jc w:val="center"/>
              <w:rPr>
                <w:rFonts w:ascii="Arial Narrow" w:eastAsiaTheme="majorEastAsia" w:hAnsi="Arial Narrow" w:cstheme="majorBidi"/>
                <w:bCs/>
                <w:sz w:val="20"/>
                <w:vertAlign w:val="superscript"/>
              </w:rPr>
            </w:pPr>
            <w:r w:rsidRPr="008D797E">
              <w:rPr>
                <w:rFonts w:ascii="Arial Narrow" w:hAnsi="Arial Narrow"/>
                <w:bCs/>
                <w:sz w:val="20"/>
                <w:szCs w:val="20"/>
              </w:rPr>
              <w:t>$</w:t>
            </w:r>
            <w:r w:rsidR="006470F1">
              <w:rPr>
                <w:rFonts w:ascii="Arial Narrow" w:hAnsi="Arial Narrow"/>
                <w:bCs/>
                <w:noProof/>
                <w:color w:val="000000"/>
                <w:sz w:val="20"/>
                <w:szCs w:val="20"/>
                <w:highlight w:val="black"/>
              </w:rPr>
              <w:t>'''''''''''''''''''''''''''''</w:t>
            </w:r>
            <w:r w:rsidR="00B52282">
              <w:rPr>
                <w:rFonts w:ascii="Arial Narrow" w:hAnsi="Arial Narrow"/>
                <w:bCs/>
                <w:sz w:val="20"/>
                <w:szCs w:val="20"/>
                <w:vertAlign w:val="superscript"/>
              </w:rPr>
              <w:t>4</w:t>
            </w:r>
          </w:p>
        </w:tc>
        <w:tc>
          <w:tcPr>
            <w:tcW w:w="647" w:type="pct"/>
          </w:tcPr>
          <w:p w:rsidR="00622DEB" w:rsidRPr="008D797E" w:rsidRDefault="00622DEB" w:rsidP="003028C8">
            <w:pPr>
              <w:keepNext/>
              <w:jc w:val="center"/>
              <w:rPr>
                <w:rFonts w:ascii="Arial Narrow" w:eastAsiaTheme="majorEastAsia" w:hAnsi="Arial Narrow" w:cstheme="majorBidi"/>
                <w:bCs/>
                <w:sz w:val="20"/>
              </w:rPr>
            </w:pPr>
            <w:r w:rsidRPr="008D797E">
              <w:rPr>
                <w:rFonts w:ascii="Arial Narrow" w:hAnsi="Arial Narrow"/>
                <w:bCs/>
                <w:sz w:val="20"/>
                <w:szCs w:val="20"/>
              </w:rPr>
              <w:t>$</w:t>
            </w:r>
            <w:r w:rsidR="006470F1">
              <w:rPr>
                <w:rFonts w:ascii="Arial Narrow" w:hAnsi="Arial Narrow"/>
                <w:bCs/>
                <w:noProof/>
                <w:color w:val="000000"/>
                <w:sz w:val="20"/>
                <w:szCs w:val="20"/>
                <w:highlight w:val="black"/>
              </w:rPr>
              <w:t>''''''''''''''''''''''''''''</w:t>
            </w:r>
            <w:r w:rsidR="00B52282">
              <w:rPr>
                <w:rFonts w:ascii="Arial Narrow" w:hAnsi="Arial Narrow"/>
                <w:bCs/>
                <w:sz w:val="20"/>
                <w:szCs w:val="20"/>
                <w:vertAlign w:val="superscript"/>
              </w:rPr>
              <w:t>4</w:t>
            </w:r>
          </w:p>
        </w:tc>
        <w:tc>
          <w:tcPr>
            <w:tcW w:w="647" w:type="pct"/>
          </w:tcPr>
          <w:p w:rsidR="00622DEB" w:rsidRPr="008D797E" w:rsidRDefault="00622DEB" w:rsidP="003028C8">
            <w:pPr>
              <w:keepNext/>
              <w:jc w:val="center"/>
              <w:rPr>
                <w:rFonts w:ascii="Arial Narrow" w:eastAsiaTheme="majorEastAsia" w:hAnsi="Arial Narrow" w:cstheme="majorBidi"/>
                <w:bCs/>
                <w:sz w:val="20"/>
              </w:rPr>
            </w:pPr>
            <w:r w:rsidRPr="008D797E">
              <w:rPr>
                <w:rFonts w:ascii="Arial Narrow" w:hAnsi="Arial Narrow"/>
                <w:bCs/>
                <w:sz w:val="20"/>
                <w:szCs w:val="20"/>
              </w:rPr>
              <w:t>$</w:t>
            </w:r>
            <w:r w:rsidR="006470F1">
              <w:rPr>
                <w:rFonts w:ascii="Arial Narrow" w:hAnsi="Arial Narrow"/>
                <w:bCs/>
                <w:noProof/>
                <w:color w:val="000000"/>
                <w:sz w:val="20"/>
                <w:szCs w:val="20"/>
                <w:highlight w:val="black"/>
              </w:rPr>
              <w:t>'''''''''''''''''''''''''''</w:t>
            </w:r>
            <w:r w:rsidR="00B52282">
              <w:rPr>
                <w:rFonts w:ascii="Arial Narrow" w:hAnsi="Arial Narrow"/>
                <w:bCs/>
                <w:sz w:val="20"/>
                <w:szCs w:val="20"/>
                <w:vertAlign w:val="superscript"/>
              </w:rPr>
              <w:t>4</w:t>
            </w:r>
          </w:p>
        </w:tc>
        <w:tc>
          <w:tcPr>
            <w:tcW w:w="649" w:type="pct"/>
          </w:tcPr>
          <w:p w:rsidR="00622DEB" w:rsidRPr="008D797E" w:rsidRDefault="00622DEB" w:rsidP="003028C8">
            <w:pPr>
              <w:keepNext/>
              <w:jc w:val="center"/>
              <w:rPr>
                <w:rFonts w:ascii="Arial Narrow" w:eastAsiaTheme="majorEastAsia" w:hAnsi="Arial Narrow" w:cstheme="majorBidi"/>
                <w:bCs/>
                <w:sz w:val="20"/>
              </w:rPr>
            </w:pPr>
            <w:r w:rsidRPr="008D797E">
              <w:rPr>
                <w:rFonts w:ascii="Arial Narrow" w:hAnsi="Arial Narrow"/>
                <w:bCs/>
                <w:sz w:val="20"/>
                <w:szCs w:val="20"/>
              </w:rPr>
              <w:t>$</w:t>
            </w:r>
            <w:r w:rsidR="006470F1">
              <w:rPr>
                <w:rFonts w:ascii="Arial Narrow" w:hAnsi="Arial Narrow"/>
                <w:bCs/>
                <w:noProof/>
                <w:color w:val="000000"/>
                <w:sz w:val="20"/>
                <w:szCs w:val="20"/>
                <w:highlight w:val="black"/>
              </w:rPr>
              <w:t>''''''''''''''''''''''''</w:t>
            </w:r>
            <w:r w:rsidR="00B52282">
              <w:rPr>
                <w:rFonts w:ascii="Arial Narrow" w:hAnsi="Arial Narrow"/>
                <w:bCs/>
                <w:sz w:val="20"/>
                <w:szCs w:val="20"/>
                <w:vertAlign w:val="superscript"/>
              </w:rPr>
              <w:t>4</w:t>
            </w:r>
          </w:p>
        </w:tc>
      </w:tr>
      <w:tr w:rsidR="00622DEB" w:rsidRPr="008D797E" w:rsidTr="003028C8">
        <w:tc>
          <w:tcPr>
            <w:tcW w:w="5000" w:type="pct"/>
            <w:gridSpan w:val="7"/>
            <w:shd w:val="clear" w:color="auto" w:fill="auto"/>
            <w:vAlign w:val="center"/>
          </w:tcPr>
          <w:p w:rsidR="00622DEB" w:rsidRPr="008D797E" w:rsidRDefault="00622DEB" w:rsidP="003028C8">
            <w:pPr>
              <w:keepNext/>
              <w:jc w:val="left"/>
              <w:rPr>
                <w:rFonts w:ascii="Arial Narrow" w:eastAsiaTheme="majorEastAsia" w:hAnsi="Arial Narrow" w:cstheme="majorBidi"/>
                <w:bCs/>
                <w:sz w:val="20"/>
              </w:rPr>
            </w:pPr>
            <w:r w:rsidRPr="008D797E">
              <w:rPr>
                <w:rFonts w:ascii="Arial Narrow" w:eastAsiaTheme="majorEastAsia" w:hAnsi="Arial Narrow" w:cstheme="majorBidi"/>
                <w:bCs/>
                <w:sz w:val="20"/>
              </w:rPr>
              <w:t>Estimated financial implications for taxanes</w:t>
            </w:r>
          </w:p>
        </w:tc>
      </w:tr>
      <w:tr w:rsidR="00622DEB" w:rsidRPr="008D797E" w:rsidTr="00BB7BCB">
        <w:tc>
          <w:tcPr>
            <w:tcW w:w="1115" w:type="pct"/>
            <w:shd w:val="clear" w:color="auto" w:fill="auto"/>
            <w:vAlign w:val="center"/>
          </w:tcPr>
          <w:p w:rsidR="00622DEB" w:rsidRPr="008D797E" w:rsidRDefault="00622DEB" w:rsidP="003028C8">
            <w:pPr>
              <w:keepNext/>
              <w:jc w:val="left"/>
              <w:rPr>
                <w:rFonts w:ascii="Arial Narrow" w:eastAsiaTheme="majorEastAsia" w:hAnsi="Arial Narrow" w:cstheme="majorBidi"/>
                <w:bCs/>
                <w:sz w:val="19"/>
                <w:szCs w:val="19"/>
              </w:rPr>
            </w:pPr>
            <w:r w:rsidRPr="008D797E">
              <w:rPr>
                <w:rFonts w:ascii="Arial Narrow" w:eastAsiaTheme="majorEastAsia" w:hAnsi="Arial Narrow" w:cstheme="majorBidi"/>
                <w:bCs/>
                <w:sz w:val="19"/>
                <w:szCs w:val="19"/>
              </w:rPr>
              <w:t>Cost to PBS/RPBS less copayments</w:t>
            </w:r>
          </w:p>
        </w:tc>
        <w:tc>
          <w:tcPr>
            <w:tcW w:w="612" w:type="pct"/>
          </w:tcPr>
          <w:p w:rsidR="00622DEB" w:rsidRPr="008D797E" w:rsidRDefault="00622DEB" w:rsidP="003028C8">
            <w:pPr>
              <w:keepNext/>
              <w:jc w:val="center"/>
              <w:rPr>
                <w:rFonts w:ascii="Arial Narrow" w:eastAsiaTheme="majorEastAsia" w:hAnsi="Arial Narrow" w:cstheme="majorBidi"/>
                <w:bCs/>
                <w:sz w:val="20"/>
              </w:rPr>
            </w:pPr>
            <w:r w:rsidRPr="008D797E">
              <w:rPr>
                <w:rFonts w:ascii="Arial Narrow" w:hAnsi="Arial Narrow" w:cs="Calibri"/>
                <w:sz w:val="20"/>
                <w:szCs w:val="20"/>
              </w:rPr>
              <w:t>-$</w:t>
            </w:r>
            <w:r w:rsidR="006470F1">
              <w:rPr>
                <w:rFonts w:ascii="Arial Narrow" w:hAnsi="Arial Narrow" w:cs="Calibri"/>
                <w:noProof/>
                <w:color w:val="000000"/>
                <w:sz w:val="20"/>
                <w:szCs w:val="20"/>
                <w:highlight w:val="black"/>
              </w:rPr>
              <w:t>'''''''''''''''''''''''''</w:t>
            </w:r>
            <w:r w:rsidR="00B52282">
              <w:rPr>
                <w:rFonts w:ascii="Arial Narrow" w:eastAsiaTheme="majorEastAsia" w:hAnsi="Arial Narrow" w:cstheme="majorBidi"/>
                <w:bCs/>
                <w:sz w:val="19"/>
                <w:szCs w:val="19"/>
                <w:vertAlign w:val="superscript"/>
              </w:rPr>
              <w:t>5</w:t>
            </w:r>
          </w:p>
        </w:tc>
        <w:tc>
          <w:tcPr>
            <w:tcW w:w="683" w:type="pct"/>
          </w:tcPr>
          <w:p w:rsidR="00622DEB" w:rsidRPr="008D797E" w:rsidRDefault="00622DEB" w:rsidP="003028C8">
            <w:pPr>
              <w:keepNext/>
              <w:jc w:val="center"/>
              <w:rPr>
                <w:rFonts w:ascii="Arial Narrow" w:eastAsiaTheme="majorEastAsia" w:hAnsi="Arial Narrow" w:cstheme="majorBidi"/>
                <w:bCs/>
                <w:sz w:val="20"/>
              </w:rPr>
            </w:pPr>
            <w:r w:rsidRPr="008D797E">
              <w:rPr>
                <w:rFonts w:ascii="Arial Narrow" w:hAnsi="Arial Narrow" w:cs="Calibri"/>
                <w:sz w:val="20"/>
                <w:szCs w:val="20"/>
              </w:rPr>
              <w:t>-$</w:t>
            </w:r>
            <w:r w:rsidR="006470F1">
              <w:rPr>
                <w:rFonts w:ascii="Arial Narrow" w:hAnsi="Arial Narrow" w:cs="Calibri"/>
                <w:noProof/>
                <w:color w:val="000000"/>
                <w:sz w:val="20"/>
                <w:szCs w:val="20"/>
                <w:highlight w:val="black"/>
              </w:rPr>
              <w:t>'''''''''''''''''''''''</w:t>
            </w:r>
            <w:r w:rsidR="00B52282">
              <w:rPr>
                <w:rFonts w:ascii="Arial Narrow" w:eastAsiaTheme="majorEastAsia" w:hAnsi="Arial Narrow" w:cstheme="majorBidi"/>
                <w:bCs/>
                <w:sz w:val="19"/>
                <w:szCs w:val="19"/>
                <w:vertAlign w:val="superscript"/>
              </w:rPr>
              <w:t>5</w:t>
            </w:r>
          </w:p>
        </w:tc>
        <w:tc>
          <w:tcPr>
            <w:tcW w:w="647" w:type="pct"/>
          </w:tcPr>
          <w:p w:rsidR="00622DEB" w:rsidRPr="008D797E" w:rsidRDefault="00622DEB" w:rsidP="003028C8">
            <w:pPr>
              <w:keepNext/>
              <w:jc w:val="center"/>
              <w:rPr>
                <w:rFonts w:ascii="Arial Narrow" w:eastAsiaTheme="majorEastAsia" w:hAnsi="Arial Narrow" w:cstheme="majorBidi"/>
                <w:bCs/>
                <w:sz w:val="20"/>
              </w:rPr>
            </w:pPr>
            <w:r w:rsidRPr="008D797E">
              <w:rPr>
                <w:rFonts w:ascii="Arial Narrow" w:hAnsi="Arial Narrow" w:cs="Calibri"/>
                <w:sz w:val="20"/>
                <w:szCs w:val="20"/>
              </w:rPr>
              <w:t>-$</w:t>
            </w:r>
            <w:r w:rsidR="006470F1">
              <w:rPr>
                <w:rFonts w:ascii="Arial Narrow" w:hAnsi="Arial Narrow" w:cs="Calibri"/>
                <w:noProof/>
                <w:color w:val="000000"/>
                <w:sz w:val="20"/>
                <w:szCs w:val="20"/>
                <w:highlight w:val="black"/>
              </w:rPr>
              <w:t>''''''''''''''''''''''</w:t>
            </w:r>
            <w:r w:rsidR="00B52282">
              <w:rPr>
                <w:rFonts w:ascii="Arial Narrow" w:eastAsiaTheme="majorEastAsia" w:hAnsi="Arial Narrow" w:cstheme="majorBidi"/>
                <w:bCs/>
                <w:sz w:val="19"/>
                <w:szCs w:val="19"/>
                <w:vertAlign w:val="superscript"/>
              </w:rPr>
              <w:t>5</w:t>
            </w:r>
          </w:p>
        </w:tc>
        <w:tc>
          <w:tcPr>
            <w:tcW w:w="647" w:type="pct"/>
          </w:tcPr>
          <w:p w:rsidR="00622DEB" w:rsidRPr="008D797E" w:rsidRDefault="00622DEB" w:rsidP="003028C8">
            <w:pPr>
              <w:keepNext/>
              <w:jc w:val="center"/>
              <w:rPr>
                <w:rFonts w:ascii="Arial Narrow" w:eastAsiaTheme="majorEastAsia" w:hAnsi="Arial Narrow" w:cstheme="majorBidi"/>
                <w:bCs/>
                <w:sz w:val="20"/>
              </w:rPr>
            </w:pPr>
            <w:r w:rsidRPr="008D797E">
              <w:rPr>
                <w:rFonts w:ascii="Arial Narrow" w:hAnsi="Arial Narrow" w:cs="Calibri"/>
                <w:sz w:val="20"/>
                <w:szCs w:val="20"/>
              </w:rPr>
              <w:t>-$</w:t>
            </w:r>
            <w:r w:rsidR="006470F1">
              <w:rPr>
                <w:rFonts w:ascii="Arial Narrow" w:hAnsi="Arial Narrow" w:cs="Calibri"/>
                <w:noProof/>
                <w:color w:val="000000"/>
                <w:sz w:val="20"/>
                <w:szCs w:val="20"/>
                <w:highlight w:val="black"/>
              </w:rPr>
              <w:t>''''''''''''''''''''''</w:t>
            </w:r>
            <w:r w:rsidR="00B52282">
              <w:rPr>
                <w:rFonts w:ascii="Arial Narrow" w:eastAsiaTheme="majorEastAsia" w:hAnsi="Arial Narrow" w:cstheme="majorBidi"/>
                <w:bCs/>
                <w:sz w:val="19"/>
                <w:szCs w:val="19"/>
                <w:vertAlign w:val="superscript"/>
              </w:rPr>
              <w:t>5</w:t>
            </w:r>
          </w:p>
        </w:tc>
        <w:tc>
          <w:tcPr>
            <w:tcW w:w="647" w:type="pct"/>
          </w:tcPr>
          <w:p w:rsidR="00622DEB" w:rsidRPr="008D797E" w:rsidRDefault="00622DEB" w:rsidP="003028C8">
            <w:pPr>
              <w:keepNext/>
              <w:jc w:val="center"/>
              <w:rPr>
                <w:rFonts w:ascii="Arial Narrow" w:eastAsiaTheme="majorEastAsia" w:hAnsi="Arial Narrow" w:cstheme="majorBidi"/>
                <w:bCs/>
                <w:sz w:val="20"/>
              </w:rPr>
            </w:pPr>
            <w:r w:rsidRPr="008D797E">
              <w:rPr>
                <w:rFonts w:ascii="Arial Narrow" w:hAnsi="Arial Narrow" w:cs="Calibri"/>
                <w:sz w:val="20"/>
                <w:szCs w:val="20"/>
              </w:rPr>
              <w:t>-$</w:t>
            </w:r>
            <w:r w:rsidR="006470F1">
              <w:rPr>
                <w:rFonts w:ascii="Arial Narrow" w:hAnsi="Arial Narrow" w:cs="Calibri"/>
                <w:noProof/>
                <w:color w:val="000000"/>
                <w:sz w:val="20"/>
                <w:szCs w:val="20"/>
                <w:highlight w:val="black"/>
              </w:rPr>
              <w:t>''''''''''''''''''''''''</w:t>
            </w:r>
            <w:r w:rsidR="00B52282">
              <w:rPr>
                <w:rFonts w:ascii="Arial Narrow" w:eastAsiaTheme="majorEastAsia" w:hAnsi="Arial Narrow" w:cstheme="majorBidi"/>
                <w:bCs/>
                <w:sz w:val="19"/>
                <w:szCs w:val="19"/>
                <w:vertAlign w:val="superscript"/>
              </w:rPr>
              <w:t>5</w:t>
            </w:r>
          </w:p>
        </w:tc>
        <w:tc>
          <w:tcPr>
            <w:tcW w:w="649" w:type="pct"/>
          </w:tcPr>
          <w:p w:rsidR="00622DEB" w:rsidRPr="008D797E" w:rsidRDefault="00622DEB" w:rsidP="003028C8">
            <w:pPr>
              <w:keepNext/>
              <w:jc w:val="center"/>
              <w:rPr>
                <w:rFonts w:ascii="Arial Narrow" w:eastAsiaTheme="majorEastAsia" w:hAnsi="Arial Narrow" w:cstheme="majorBidi"/>
                <w:bCs/>
                <w:sz w:val="20"/>
              </w:rPr>
            </w:pPr>
            <w:r w:rsidRPr="008D797E">
              <w:rPr>
                <w:rFonts w:ascii="Arial Narrow" w:hAnsi="Arial Narrow" w:cs="Calibri"/>
                <w:sz w:val="20"/>
                <w:szCs w:val="20"/>
              </w:rPr>
              <w:t>-$</w:t>
            </w:r>
            <w:r w:rsidR="006470F1">
              <w:rPr>
                <w:rFonts w:ascii="Arial Narrow" w:hAnsi="Arial Narrow" w:cs="Calibri"/>
                <w:noProof/>
                <w:color w:val="000000"/>
                <w:sz w:val="20"/>
                <w:szCs w:val="20"/>
                <w:highlight w:val="black"/>
              </w:rPr>
              <w:t>'''''''''''''''''''''''</w:t>
            </w:r>
            <w:r w:rsidR="00B52282">
              <w:rPr>
                <w:rFonts w:ascii="Arial Narrow" w:eastAsiaTheme="majorEastAsia" w:hAnsi="Arial Narrow" w:cstheme="majorBidi"/>
                <w:bCs/>
                <w:sz w:val="19"/>
                <w:szCs w:val="19"/>
                <w:vertAlign w:val="superscript"/>
              </w:rPr>
              <w:t>5</w:t>
            </w:r>
          </w:p>
        </w:tc>
      </w:tr>
      <w:tr w:rsidR="00622DEB" w:rsidRPr="008D797E" w:rsidTr="003028C8">
        <w:tc>
          <w:tcPr>
            <w:tcW w:w="5000" w:type="pct"/>
            <w:gridSpan w:val="7"/>
            <w:shd w:val="clear" w:color="auto" w:fill="auto"/>
            <w:vAlign w:val="center"/>
          </w:tcPr>
          <w:p w:rsidR="00622DEB" w:rsidRPr="006E5C4D" w:rsidRDefault="00622DEB" w:rsidP="003028C8">
            <w:pPr>
              <w:keepNext/>
              <w:jc w:val="left"/>
              <w:rPr>
                <w:rFonts w:ascii="Arial Narrow" w:eastAsiaTheme="majorEastAsia" w:hAnsi="Arial Narrow" w:cs="Times New Roman"/>
                <w:b/>
                <w:sz w:val="20"/>
              </w:rPr>
            </w:pPr>
            <w:r w:rsidRPr="006E5C4D">
              <w:rPr>
                <w:rFonts w:ascii="Arial Narrow" w:eastAsiaTheme="majorEastAsia" w:hAnsi="Arial Narrow" w:cs="Times New Roman"/>
                <w:b/>
                <w:sz w:val="20"/>
              </w:rPr>
              <w:t>Net financial implications</w:t>
            </w:r>
            <w:r w:rsidRPr="006E5C4D">
              <w:rPr>
                <w:rFonts w:ascii="Arial Narrow" w:eastAsiaTheme="majorEastAsia" w:hAnsi="Arial Narrow" w:cs="Times New Roman"/>
                <w:b/>
                <w:color w:val="4BACC6" w:themeColor="accent5"/>
                <w:sz w:val="20"/>
              </w:rPr>
              <w:t xml:space="preserve"> </w:t>
            </w:r>
          </w:p>
        </w:tc>
      </w:tr>
      <w:tr w:rsidR="00622DEB" w:rsidRPr="008D797E" w:rsidTr="00BB7BCB">
        <w:tc>
          <w:tcPr>
            <w:tcW w:w="1115" w:type="pct"/>
            <w:shd w:val="clear" w:color="auto" w:fill="auto"/>
            <w:vAlign w:val="center"/>
          </w:tcPr>
          <w:p w:rsidR="00622DEB" w:rsidRPr="008D797E" w:rsidRDefault="00622DEB" w:rsidP="003028C8">
            <w:pPr>
              <w:keepNext/>
              <w:jc w:val="left"/>
              <w:rPr>
                <w:rFonts w:ascii="Arial Narrow" w:eastAsiaTheme="majorEastAsia" w:hAnsi="Arial Narrow" w:cstheme="majorBidi"/>
                <w:bCs/>
                <w:sz w:val="19"/>
                <w:szCs w:val="19"/>
              </w:rPr>
            </w:pPr>
            <w:r w:rsidRPr="008D797E">
              <w:rPr>
                <w:rFonts w:ascii="Arial Narrow" w:eastAsiaTheme="majorEastAsia" w:hAnsi="Arial Narrow" w:cstheme="majorBidi"/>
                <w:bCs/>
                <w:sz w:val="19"/>
                <w:szCs w:val="19"/>
              </w:rPr>
              <w:t>Net cost to PBS/RPBS</w:t>
            </w:r>
          </w:p>
        </w:tc>
        <w:tc>
          <w:tcPr>
            <w:tcW w:w="612" w:type="pct"/>
          </w:tcPr>
          <w:p w:rsidR="00622DEB" w:rsidRPr="008D797E" w:rsidRDefault="00622DEB" w:rsidP="003028C8">
            <w:pPr>
              <w:keepNext/>
              <w:jc w:val="center"/>
              <w:rPr>
                <w:rFonts w:ascii="Arial Narrow" w:eastAsiaTheme="majorEastAsia" w:hAnsi="Arial Narrow" w:cstheme="majorBidi"/>
                <w:bCs/>
                <w:sz w:val="20"/>
              </w:rPr>
            </w:pPr>
            <w:r w:rsidRPr="008D797E">
              <w:rPr>
                <w:rFonts w:ascii="Arial Narrow" w:hAnsi="Arial Narrow" w:cs="Calibri"/>
                <w:sz w:val="20"/>
                <w:szCs w:val="20"/>
              </w:rPr>
              <w:t>$</w:t>
            </w:r>
            <w:r w:rsidR="006470F1">
              <w:rPr>
                <w:rFonts w:ascii="Arial Narrow" w:hAnsi="Arial Narrow" w:cs="Calibri"/>
                <w:noProof/>
                <w:color w:val="000000"/>
                <w:sz w:val="20"/>
                <w:szCs w:val="20"/>
                <w:highlight w:val="black"/>
              </w:rPr>
              <w:t>''''''''''''''''''''''''''''</w:t>
            </w:r>
            <w:r w:rsidR="00B52282" w:rsidRPr="00D7671F">
              <w:rPr>
                <w:rFonts w:ascii="Arial Narrow" w:hAnsi="Arial Narrow"/>
                <w:bCs/>
                <w:sz w:val="20"/>
                <w:szCs w:val="20"/>
                <w:vertAlign w:val="superscript"/>
              </w:rPr>
              <w:t>3</w:t>
            </w:r>
          </w:p>
        </w:tc>
        <w:tc>
          <w:tcPr>
            <w:tcW w:w="683" w:type="pct"/>
          </w:tcPr>
          <w:p w:rsidR="00622DEB" w:rsidRPr="008D797E" w:rsidRDefault="00622DEB" w:rsidP="003028C8">
            <w:pPr>
              <w:keepNext/>
              <w:jc w:val="center"/>
              <w:rPr>
                <w:rFonts w:ascii="Arial Narrow" w:eastAsiaTheme="majorEastAsia" w:hAnsi="Arial Narrow" w:cstheme="majorBidi"/>
                <w:bCs/>
                <w:sz w:val="20"/>
              </w:rPr>
            </w:pPr>
            <w:r w:rsidRPr="008D797E">
              <w:rPr>
                <w:rFonts w:ascii="Arial Narrow" w:hAnsi="Arial Narrow" w:cs="Calibri"/>
                <w:sz w:val="20"/>
                <w:szCs w:val="20"/>
              </w:rPr>
              <w:t>$</w:t>
            </w:r>
            <w:r w:rsidR="006470F1">
              <w:rPr>
                <w:rFonts w:ascii="Arial Narrow" w:hAnsi="Arial Narrow" w:cs="Calibri"/>
                <w:noProof/>
                <w:color w:val="000000"/>
                <w:sz w:val="20"/>
                <w:szCs w:val="20"/>
                <w:highlight w:val="black"/>
              </w:rPr>
              <w:t>''''''''''''''''''''''''''</w:t>
            </w:r>
            <w:r w:rsidR="00B52282" w:rsidRPr="00D7671F">
              <w:rPr>
                <w:rFonts w:ascii="Arial Narrow" w:hAnsi="Arial Narrow"/>
                <w:bCs/>
                <w:sz w:val="20"/>
                <w:szCs w:val="20"/>
                <w:vertAlign w:val="superscript"/>
              </w:rPr>
              <w:t>3</w:t>
            </w:r>
          </w:p>
        </w:tc>
        <w:tc>
          <w:tcPr>
            <w:tcW w:w="647" w:type="pct"/>
          </w:tcPr>
          <w:p w:rsidR="00622DEB" w:rsidRPr="008D797E" w:rsidRDefault="00622DEB" w:rsidP="003028C8">
            <w:pPr>
              <w:keepNext/>
              <w:jc w:val="center"/>
              <w:rPr>
                <w:rFonts w:ascii="Arial Narrow" w:eastAsiaTheme="majorEastAsia" w:hAnsi="Arial Narrow" w:cstheme="majorBidi"/>
                <w:bCs/>
                <w:sz w:val="20"/>
              </w:rPr>
            </w:pPr>
            <w:r w:rsidRPr="008D797E">
              <w:rPr>
                <w:rFonts w:ascii="Arial Narrow" w:hAnsi="Arial Narrow" w:cs="Calibri"/>
                <w:sz w:val="20"/>
                <w:szCs w:val="20"/>
              </w:rPr>
              <w:t>$</w:t>
            </w:r>
            <w:r w:rsidR="006470F1">
              <w:rPr>
                <w:rFonts w:ascii="Arial Narrow" w:hAnsi="Arial Narrow" w:cs="Calibri"/>
                <w:noProof/>
                <w:color w:val="000000"/>
                <w:sz w:val="20"/>
                <w:szCs w:val="20"/>
                <w:highlight w:val="black"/>
              </w:rPr>
              <w:t>''''''''''''''''''''''''''''</w:t>
            </w:r>
            <w:r w:rsidR="00B52282" w:rsidRPr="00D7671F">
              <w:rPr>
                <w:rFonts w:ascii="Arial Narrow" w:hAnsi="Arial Narrow"/>
                <w:bCs/>
                <w:sz w:val="20"/>
                <w:szCs w:val="20"/>
                <w:vertAlign w:val="superscript"/>
              </w:rPr>
              <w:t>3</w:t>
            </w:r>
          </w:p>
        </w:tc>
        <w:tc>
          <w:tcPr>
            <w:tcW w:w="647" w:type="pct"/>
          </w:tcPr>
          <w:p w:rsidR="00622DEB" w:rsidRPr="008D797E" w:rsidRDefault="00622DEB" w:rsidP="003028C8">
            <w:pPr>
              <w:keepNext/>
              <w:jc w:val="center"/>
              <w:rPr>
                <w:rFonts w:ascii="Arial Narrow" w:eastAsiaTheme="majorEastAsia" w:hAnsi="Arial Narrow" w:cstheme="majorBidi"/>
                <w:bCs/>
                <w:sz w:val="20"/>
              </w:rPr>
            </w:pPr>
            <w:r w:rsidRPr="008D797E">
              <w:rPr>
                <w:rFonts w:ascii="Arial Narrow" w:hAnsi="Arial Narrow" w:cs="Calibri"/>
                <w:sz w:val="20"/>
                <w:szCs w:val="20"/>
              </w:rPr>
              <w:t>$</w:t>
            </w:r>
            <w:r w:rsidR="006470F1">
              <w:rPr>
                <w:rFonts w:ascii="Arial Narrow" w:hAnsi="Arial Narrow" w:cs="Calibri"/>
                <w:noProof/>
                <w:color w:val="000000"/>
                <w:sz w:val="20"/>
                <w:szCs w:val="20"/>
                <w:highlight w:val="black"/>
              </w:rPr>
              <w:t>'''''''''''''''''''''''''''</w:t>
            </w:r>
            <w:r w:rsidR="00B52282" w:rsidRPr="00D7671F">
              <w:rPr>
                <w:rFonts w:ascii="Arial Narrow" w:hAnsi="Arial Narrow"/>
                <w:bCs/>
                <w:sz w:val="20"/>
                <w:szCs w:val="20"/>
                <w:vertAlign w:val="superscript"/>
              </w:rPr>
              <w:t>3</w:t>
            </w:r>
          </w:p>
        </w:tc>
        <w:tc>
          <w:tcPr>
            <w:tcW w:w="647" w:type="pct"/>
          </w:tcPr>
          <w:p w:rsidR="00622DEB" w:rsidRPr="008D797E" w:rsidRDefault="00622DEB" w:rsidP="003028C8">
            <w:pPr>
              <w:keepNext/>
              <w:jc w:val="center"/>
              <w:rPr>
                <w:rFonts w:ascii="Arial Narrow" w:eastAsiaTheme="majorEastAsia" w:hAnsi="Arial Narrow" w:cstheme="majorBidi"/>
                <w:bCs/>
                <w:sz w:val="20"/>
              </w:rPr>
            </w:pPr>
            <w:r w:rsidRPr="008D797E">
              <w:rPr>
                <w:rFonts w:ascii="Arial Narrow" w:hAnsi="Arial Narrow" w:cs="Calibri"/>
                <w:sz w:val="20"/>
                <w:szCs w:val="20"/>
              </w:rPr>
              <w:t>$</w:t>
            </w:r>
            <w:r w:rsidR="006470F1">
              <w:rPr>
                <w:rFonts w:ascii="Arial Narrow" w:hAnsi="Arial Narrow" w:cs="Calibri"/>
                <w:noProof/>
                <w:color w:val="000000"/>
                <w:sz w:val="20"/>
                <w:szCs w:val="20"/>
                <w:highlight w:val="black"/>
              </w:rPr>
              <w:t>'''''''''''''''''''''''''''</w:t>
            </w:r>
            <w:r w:rsidR="00B52282" w:rsidRPr="00D7671F">
              <w:rPr>
                <w:rFonts w:ascii="Arial Narrow" w:hAnsi="Arial Narrow"/>
                <w:bCs/>
                <w:sz w:val="20"/>
                <w:szCs w:val="20"/>
                <w:vertAlign w:val="superscript"/>
              </w:rPr>
              <w:t>3</w:t>
            </w:r>
          </w:p>
        </w:tc>
        <w:tc>
          <w:tcPr>
            <w:tcW w:w="649" w:type="pct"/>
          </w:tcPr>
          <w:p w:rsidR="00622DEB" w:rsidRPr="008D797E" w:rsidRDefault="00622DEB" w:rsidP="003028C8">
            <w:pPr>
              <w:keepNext/>
              <w:jc w:val="center"/>
              <w:rPr>
                <w:rFonts w:ascii="Arial Narrow" w:eastAsiaTheme="majorEastAsia" w:hAnsi="Arial Narrow" w:cstheme="majorBidi"/>
                <w:bCs/>
                <w:sz w:val="20"/>
              </w:rPr>
            </w:pPr>
            <w:r w:rsidRPr="008D797E">
              <w:rPr>
                <w:rFonts w:ascii="Arial Narrow" w:hAnsi="Arial Narrow" w:cs="Calibri"/>
                <w:sz w:val="20"/>
                <w:szCs w:val="20"/>
              </w:rPr>
              <w:t>$</w:t>
            </w:r>
            <w:r w:rsidR="006470F1">
              <w:rPr>
                <w:rFonts w:ascii="Arial Narrow" w:hAnsi="Arial Narrow" w:cs="Calibri"/>
                <w:noProof/>
                <w:color w:val="000000"/>
                <w:sz w:val="20"/>
                <w:szCs w:val="20"/>
                <w:highlight w:val="black"/>
              </w:rPr>
              <w:t>'''''''''''''''''''''''''</w:t>
            </w:r>
            <w:r w:rsidR="00B52282" w:rsidRPr="00D7671F">
              <w:rPr>
                <w:rFonts w:ascii="Arial Narrow" w:hAnsi="Arial Narrow"/>
                <w:bCs/>
                <w:sz w:val="20"/>
                <w:szCs w:val="20"/>
                <w:vertAlign w:val="superscript"/>
              </w:rPr>
              <w:t>3</w:t>
            </w:r>
          </w:p>
        </w:tc>
      </w:tr>
      <w:tr w:rsidR="00622DEB" w:rsidRPr="008D797E" w:rsidTr="00BB7BCB">
        <w:tc>
          <w:tcPr>
            <w:tcW w:w="1115" w:type="pct"/>
            <w:shd w:val="clear" w:color="auto" w:fill="auto"/>
            <w:vAlign w:val="center"/>
          </w:tcPr>
          <w:p w:rsidR="00622DEB" w:rsidRPr="008D797E" w:rsidRDefault="00622DEB" w:rsidP="003028C8">
            <w:pPr>
              <w:keepNext/>
              <w:jc w:val="left"/>
              <w:rPr>
                <w:rFonts w:ascii="Times" w:eastAsiaTheme="majorEastAsia" w:hAnsi="Times" w:cstheme="majorBidi"/>
                <w:bCs/>
                <w:sz w:val="20"/>
              </w:rPr>
            </w:pPr>
            <w:r w:rsidRPr="008D797E">
              <w:rPr>
                <w:rFonts w:ascii="Arial Narrow" w:eastAsiaTheme="majorEastAsia" w:hAnsi="Arial Narrow" w:cstheme="majorBidi"/>
                <w:bCs/>
                <w:sz w:val="19"/>
                <w:szCs w:val="19"/>
              </w:rPr>
              <w:t>Net cost to MBS</w:t>
            </w:r>
          </w:p>
        </w:tc>
        <w:tc>
          <w:tcPr>
            <w:tcW w:w="612" w:type="pct"/>
            <w:tcBorders>
              <w:bottom w:val="single" w:sz="4" w:space="0" w:color="000000" w:themeColor="text1"/>
            </w:tcBorders>
          </w:tcPr>
          <w:p w:rsidR="00622DEB" w:rsidRPr="008D797E" w:rsidRDefault="00622DEB" w:rsidP="003028C8">
            <w:pPr>
              <w:keepNext/>
              <w:jc w:val="center"/>
              <w:rPr>
                <w:rFonts w:ascii="Arial Narrow" w:eastAsiaTheme="majorEastAsia" w:hAnsi="Arial Narrow" w:cstheme="majorBidi"/>
                <w:bCs/>
                <w:sz w:val="20"/>
              </w:rPr>
            </w:pPr>
            <w:r w:rsidRPr="008D797E">
              <w:rPr>
                <w:rFonts w:ascii="Arial Narrow" w:hAnsi="Arial Narrow" w:cs="Calibri"/>
                <w:bCs/>
                <w:sz w:val="20"/>
                <w:szCs w:val="20"/>
              </w:rPr>
              <w:t>$</w:t>
            </w:r>
            <w:r w:rsidR="006470F1">
              <w:rPr>
                <w:rFonts w:ascii="Arial Narrow" w:hAnsi="Arial Narrow" w:cs="Calibri"/>
                <w:bCs/>
                <w:noProof/>
                <w:color w:val="000000"/>
                <w:sz w:val="20"/>
                <w:szCs w:val="20"/>
                <w:highlight w:val="black"/>
              </w:rPr>
              <w:t>''''''''''''''''''''''''''</w:t>
            </w:r>
            <w:r w:rsidR="00B52282">
              <w:rPr>
                <w:rFonts w:ascii="Arial Narrow" w:eastAsiaTheme="majorEastAsia" w:hAnsi="Arial Narrow" w:cstheme="majorBidi"/>
                <w:bCs/>
                <w:sz w:val="19"/>
                <w:szCs w:val="19"/>
                <w:vertAlign w:val="superscript"/>
              </w:rPr>
              <w:t>5</w:t>
            </w:r>
          </w:p>
        </w:tc>
        <w:tc>
          <w:tcPr>
            <w:tcW w:w="683" w:type="pct"/>
            <w:tcBorders>
              <w:bottom w:val="single" w:sz="4" w:space="0" w:color="000000" w:themeColor="text1"/>
            </w:tcBorders>
          </w:tcPr>
          <w:p w:rsidR="00622DEB" w:rsidRPr="008D797E" w:rsidRDefault="00622DEB" w:rsidP="003028C8">
            <w:pPr>
              <w:keepNext/>
              <w:jc w:val="center"/>
              <w:rPr>
                <w:rFonts w:ascii="Arial Narrow" w:eastAsiaTheme="majorEastAsia" w:hAnsi="Arial Narrow" w:cstheme="majorBidi"/>
                <w:bCs/>
                <w:sz w:val="20"/>
              </w:rPr>
            </w:pPr>
            <w:r w:rsidRPr="008D797E">
              <w:rPr>
                <w:rFonts w:ascii="Arial Narrow" w:hAnsi="Arial Narrow" w:cs="Calibri"/>
                <w:bCs/>
                <w:sz w:val="20"/>
                <w:szCs w:val="20"/>
              </w:rPr>
              <w:t>$</w:t>
            </w:r>
            <w:r w:rsidR="006470F1">
              <w:rPr>
                <w:rFonts w:ascii="Arial Narrow" w:hAnsi="Arial Narrow" w:cs="Calibri"/>
                <w:bCs/>
                <w:noProof/>
                <w:color w:val="000000"/>
                <w:sz w:val="20"/>
                <w:szCs w:val="20"/>
                <w:highlight w:val="black"/>
              </w:rPr>
              <w:t>''''''''''''''''''''''</w:t>
            </w:r>
            <w:r w:rsidR="00B52282">
              <w:rPr>
                <w:rFonts w:ascii="Arial Narrow" w:eastAsiaTheme="majorEastAsia" w:hAnsi="Arial Narrow" w:cstheme="majorBidi"/>
                <w:bCs/>
                <w:sz w:val="19"/>
                <w:szCs w:val="19"/>
                <w:vertAlign w:val="superscript"/>
              </w:rPr>
              <w:t>5</w:t>
            </w:r>
          </w:p>
        </w:tc>
        <w:tc>
          <w:tcPr>
            <w:tcW w:w="647" w:type="pct"/>
            <w:tcBorders>
              <w:bottom w:val="single" w:sz="4" w:space="0" w:color="000000" w:themeColor="text1"/>
            </w:tcBorders>
          </w:tcPr>
          <w:p w:rsidR="00622DEB" w:rsidRPr="008D797E" w:rsidRDefault="00622DEB" w:rsidP="003028C8">
            <w:pPr>
              <w:keepNext/>
              <w:jc w:val="center"/>
              <w:rPr>
                <w:rFonts w:ascii="Arial Narrow" w:eastAsiaTheme="majorEastAsia" w:hAnsi="Arial Narrow" w:cstheme="majorBidi"/>
                <w:bCs/>
                <w:sz w:val="20"/>
              </w:rPr>
            </w:pPr>
            <w:r w:rsidRPr="008D797E">
              <w:rPr>
                <w:rFonts w:ascii="Arial Narrow" w:hAnsi="Arial Narrow" w:cs="Calibri"/>
                <w:bCs/>
                <w:sz w:val="20"/>
                <w:szCs w:val="20"/>
              </w:rPr>
              <w:t>$</w:t>
            </w:r>
            <w:r w:rsidR="006470F1">
              <w:rPr>
                <w:rFonts w:ascii="Arial Narrow" w:hAnsi="Arial Narrow" w:cs="Calibri"/>
                <w:bCs/>
                <w:noProof/>
                <w:color w:val="000000"/>
                <w:sz w:val="20"/>
                <w:szCs w:val="20"/>
                <w:highlight w:val="black"/>
              </w:rPr>
              <w:t>'''''''''''''''''''''''''</w:t>
            </w:r>
            <w:r w:rsidR="00B52282">
              <w:rPr>
                <w:rFonts w:ascii="Arial Narrow" w:eastAsiaTheme="majorEastAsia" w:hAnsi="Arial Narrow" w:cstheme="majorBidi"/>
                <w:bCs/>
                <w:sz w:val="19"/>
                <w:szCs w:val="19"/>
                <w:vertAlign w:val="superscript"/>
              </w:rPr>
              <w:t>5</w:t>
            </w:r>
          </w:p>
        </w:tc>
        <w:tc>
          <w:tcPr>
            <w:tcW w:w="647" w:type="pct"/>
            <w:tcBorders>
              <w:bottom w:val="single" w:sz="4" w:space="0" w:color="000000" w:themeColor="text1"/>
            </w:tcBorders>
          </w:tcPr>
          <w:p w:rsidR="00622DEB" w:rsidRPr="008D797E" w:rsidRDefault="00622DEB" w:rsidP="003028C8">
            <w:pPr>
              <w:keepNext/>
              <w:jc w:val="center"/>
              <w:rPr>
                <w:rFonts w:ascii="Arial Narrow" w:eastAsiaTheme="majorEastAsia" w:hAnsi="Arial Narrow" w:cstheme="majorBidi"/>
                <w:bCs/>
                <w:sz w:val="20"/>
              </w:rPr>
            </w:pPr>
            <w:r w:rsidRPr="008D797E">
              <w:rPr>
                <w:rFonts w:ascii="Arial Narrow" w:hAnsi="Arial Narrow" w:cs="Calibri"/>
                <w:bCs/>
                <w:sz w:val="20"/>
                <w:szCs w:val="20"/>
              </w:rPr>
              <w:t>$</w:t>
            </w:r>
            <w:r w:rsidR="006470F1">
              <w:rPr>
                <w:rFonts w:ascii="Arial Narrow" w:hAnsi="Arial Narrow" w:cs="Calibri"/>
                <w:bCs/>
                <w:noProof/>
                <w:color w:val="000000"/>
                <w:sz w:val="20"/>
                <w:szCs w:val="20"/>
                <w:highlight w:val="black"/>
              </w:rPr>
              <w:t>'''''''''''''''''''''''</w:t>
            </w:r>
            <w:r w:rsidR="00B52282">
              <w:rPr>
                <w:rFonts w:ascii="Arial Narrow" w:eastAsiaTheme="majorEastAsia" w:hAnsi="Arial Narrow" w:cstheme="majorBidi"/>
                <w:bCs/>
                <w:sz w:val="19"/>
                <w:szCs w:val="19"/>
                <w:vertAlign w:val="superscript"/>
              </w:rPr>
              <w:t>5</w:t>
            </w:r>
          </w:p>
        </w:tc>
        <w:tc>
          <w:tcPr>
            <w:tcW w:w="647" w:type="pct"/>
            <w:tcBorders>
              <w:bottom w:val="single" w:sz="4" w:space="0" w:color="000000" w:themeColor="text1"/>
            </w:tcBorders>
          </w:tcPr>
          <w:p w:rsidR="00622DEB" w:rsidRPr="008D797E" w:rsidRDefault="00622DEB" w:rsidP="003028C8">
            <w:pPr>
              <w:keepNext/>
              <w:jc w:val="center"/>
              <w:rPr>
                <w:rFonts w:ascii="Arial Narrow" w:eastAsiaTheme="majorEastAsia" w:hAnsi="Arial Narrow" w:cstheme="majorBidi"/>
                <w:bCs/>
                <w:sz w:val="20"/>
              </w:rPr>
            </w:pPr>
            <w:r w:rsidRPr="008D797E">
              <w:rPr>
                <w:rFonts w:ascii="Arial Narrow" w:hAnsi="Arial Narrow" w:cs="Calibri"/>
                <w:bCs/>
                <w:sz w:val="20"/>
                <w:szCs w:val="20"/>
              </w:rPr>
              <w:t>$</w:t>
            </w:r>
            <w:r w:rsidR="006470F1">
              <w:rPr>
                <w:rFonts w:ascii="Arial Narrow" w:hAnsi="Arial Narrow" w:cs="Calibri"/>
                <w:bCs/>
                <w:noProof/>
                <w:color w:val="000000"/>
                <w:sz w:val="20"/>
                <w:szCs w:val="20"/>
                <w:highlight w:val="black"/>
              </w:rPr>
              <w:t>''''''''''''''''''''''</w:t>
            </w:r>
            <w:r w:rsidR="00B52282">
              <w:rPr>
                <w:rFonts w:ascii="Arial Narrow" w:eastAsiaTheme="majorEastAsia" w:hAnsi="Arial Narrow" w:cstheme="majorBidi"/>
                <w:bCs/>
                <w:sz w:val="19"/>
                <w:szCs w:val="19"/>
                <w:vertAlign w:val="superscript"/>
              </w:rPr>
              <w:t>5</w:t>
            </w:r>
          </w:p>
        </w:tc>
        <w:tc>
          <w:tcPr>
            <w:tcW w:w="649" w:type="pct"/>
            <w:tcBorders>
              <w:bottom w:val="single" w:sz="4" w:space="0" w:color="000000" w:themeColor="text1"/>
            </w:tcBorders>
          </w:tcPr>
          <w:p w:rsidR="00622DEB" w:rsidRPr="008D797E" w:rsidRDefault="00622DEB" w:rsidP="003028C8">
            <w:pPr>
              <w:keepNext/>
              <w:jc w:val="center"/>
              <w:rPr>
                <w:rFonts w:ascii="Arial Narrow" w:eastAsiaTheme="majorEastAsia" w:hAnsi="Arial Narrow" w:cstheme="majorBidi"/>
                <w:bCs/>
                <w:sz w:val="20"/>
              </w:rPr>
            </w:pPr>
            <w:r w:rsidRPr="008D797E">
              <w:rPr>
                <w:rFonts w:ascii="Arial Narrow" w:hAnsi="Arial Narrow" w:cs="Calibri"/>
                <w:bCs/>
                <w:sz w:val="20"/>
                <w:szCs w:val="20"/>
              </w:rPr>
              <w:t>$</w:t>
            </w:r>
            <w:r w:rsidR="006470F1">
              <w:rPr>
                <w:rFonts w:ascii="Arial Narrow" w:hAnsi="Arial Narrow" w:cs="Calibri"/>
                <w:bCs/>
                <w:noProof/>
                <w:color w:val="000000"/>
                <w:sz w:val="20"/>
                <w:szCs w:val="20"/>
                <w:highlight w:val="black"/>
              </w:rPr>
              <w:t>''''''''''''''''''''''</w:t>
            </w:r>
            <w:r w:rsidR="00B52282">
              <w:rPr>
                <w:rFonts w:ascii="Arial Narrow" w:eastAsiaTheme="majorEastAsia" w:hAnsi="Arial Narrow" w:cstheme="majorBidi"/>
                <w:bCs/>
                <w:sz w:val="19"/>
                <w:szCs w:val="19"/>
                <w:vertAlign w:val="superscript"/>
              </w:rPr>
              <w:t>5</w:t>
            </w:r>
          </w:p>
        </w:tc>
      </w:tr>
      <w:tr w:rsidR="00622DEB" w:rsidRPr="008D797E" w:rsidTr="00BB7BCB">
        <w:tc>
          <w:tcPr>
            <w:tcW w:w="1115" w:type="pct"/>
            <w:tcBorders>
              <w:bottom w:val="single" w:sz="4" w:space="0" w:color="auto"/>
            </w:tcBorders>
            <w:shd w:val="clear" w:color="auto" w:fill="auto"/>
            <w:vAlign w:val="center"/>
          </w:tcPr>
          <w:p w:rsidR="00622DEB" w:rsidRPr="008D797E" w:rsidRDefault="00622DEB" w:rsidP="003028C8">
            <w:pPr>
              <w:keepNext/>
              <w:jc w:val="left"/>
              <w:rPr>
                <w:rFonts w:ascii="Arial Narrow" w:eastAsiaTheme="majorEastAsia" w:hAnsi="Arial Narrow" w:cstheme="majorBidi"/>
                <w:bCs/>
                <w:sz w:val="19"/>
                <w:szCs w:val="19"/>
              </w:rPr>
            </w:pPr>
            <w:r w:rsidRPr="008D797E">
              <w:rPr>
                <w:rFonts w:ascii="Arial Narrow" w:eastAsiaTheme="majorEastAsia" w:hAnsi="Arial Narrow" w:cstheme="majorBidi"/>
                <w:bCs/>
                <w:sz w:val="19"/>
                <w:szCs w:val="19"/>
              </w:rPr>
              <w:t>Net cost to PBS/RPBS/MBS</w:t>
            </w:r>
          </w:p>
        </w:tc>
        <w:tc>
          <w:tcPr>
            <w:tcW w:w="612" w:type="pct"/>
            <w:tcBorders>
              <w:bottom w:val="single" w:sz="4" w:space="0" w:color="auto"/>
            </w:tcBorders>
          </w:tcPr>
          <w:p w:rsidR="00622DEB" w:rsidRPr="008D797E" w:rsidRDefault="00622DEB" w:rsidP="003028C8">
            <w:pPr>
              <w:keepNext/>
              <w:jc w:val="center"/>
              <w:rPr>
                <w:rFonts w:ascii="Arial Narrow" w:eastAsiaTheme="majorEastAsia" w:hAnsi="Arial Narrow" w:cstheme="majorBidi"/>
                <w:bCs/>
                <w:sz w:val="20"/>
              </w:rPr>
            </w:pPr>
            <w:r w:rsidRPr="008D797E">
              <w:rPr>
                <w:rFonts w:ascii="Arial Narrow" w:hAnsi="Arial Narrow" w:cs="Calibri"/>
                <w:sz w:val="20"/>
                <w:szCs w:val="20"/>
                <w:lang w:eastAsia="zh-CN"/>
              </w:rPr>
              <w:t>$</w:t>
            </w:r>
            <w:r w:rsidR="006470F1">
              <w:rPr>
                <w:rFonts w:ascii="Arial Narrow" w:hAnsi="Arial Narrow" w:cs="Calibri"/>
                <w:noProof/>
                <w:color w:val="000000"/>
                <w:sz w:val="20"/>
                <w:szCs w:val="20"/>
                <w:highlight w:val="black"/>
                <w:lang w:eastAsia="zh-CN"/>
              </w:rPr>
              <w:t>''''''''''''''''''''''''''''</w:t>
            </w:r>
            <w:r w:rsidR="00B52282" w:rsidRPr="00D7671F">
              <w:rPr>
                <w:rFonts w:ascii="Arial Narrow" w:hAnsi="Arial Narrow"/>
                <w:bCs/>
                <w:sz w:val="20"/>
                <w:szCs w:val="20"/>
                <w:vertAlign w:val="superscript"/>
              </w:rPr>
              <w:t>3</w:t>
            </w:r>
          </w:p>
        </w:tc>
        <w:tc>
          <w:tcPr>
            <w:tcW w:w="683" w:type="pct"/>
            <w:tcBorders>
              <w:bottom w:val="single" w:sz="4" w:space="0" w:color="auto"/>
            </w:tcBorders>
          </w:tcPr>
          <w:p w:rsidR="00622DEB" w:rsidRPr="008D797E" w:rsidRDefault="00622DEB" w:rsidP="003028C8">
            <w:pPr>
              <w:keepNext/>
              <w:jc w:val="center"/>
              <w:rPr>
                <w:rFonts w:ascii="Arial Narrow" w:eastAsiaTheme="majorEastAsia" w:hAnsi="Arial Narrow" w:cstheme="majorBidi"/>
                <w:bCs/>
                <w:sz w:val="20"/>
              </w:rPr>
            </w:pPr>
            <w:r w:rsidRPr="008D797E">
              <w:rPr>
                <w:rFonts w:ascii="Arial Narrow" w:hAnsi="Arial Narrow" w:cs="Calibri"/>
                <w:sz w:val="20"/>
                <w:szCs w:val="20"/>
                <w:lang w:eastAsia="zh-CN"/>
              </w:rPr>
              <w:t>$</w:t>
            </w:r>
            <w:r w:rsidR="006470F1">
              <w:rPr>
                <w:rFonts w:ascii="Arial Narrow" w:hAnsi="Arial Narrow" w:cs="Calibri"/>
                <w:noProof/>
                <w:color w:val="000000"/>
                <w:sz w:val="20"/>
                <w:szCs w:val="20"/>
                <w:highlight w:val="black"/>
                <w:lang w:eastAsia="zh-CN"/>
              </w:rPr>
              <w:t>'''''''''''''''''''''''''</w:t>
            </w:r>
            <w:r w:rsidR="00B52282" w:rsidRPr="00D7671F">
              <w:rPr>
                <w:rFonts w:ascii="Arial Narrow" w:hAnsi="Arial Narrow"/>
                <w:bCs/>
                <w:sz w:val="20"/>
                <w:szCs w:val="20"/>
                <w:vertAlign w:val="superscript"/>
              </w:rPr>
              <w:t>3</w:t>
            </w:r>
          </w:p>
        </w:tc>
        <w:tc>
          <w:tcPr>
            <w:tcW w:w="647" w:type="pct"/>
            <w:tcBorders>
              <w:bottom w:val="single" w:sz="4" w:space="0" w:color="auto"/>
            </w:tcBorders>
          </w:tcPr>
          <w:p w:rsidR="00622DEB" w:rsidRPr="008D797E" w:rsidRDefault="00622DEB" w:rsidP="003028C8">
            <w:pPr>
              <w:keepNext/>
              <w:jc w:val="center"/>
              <w:rPr>
                <w:rFonts w:ascii="Arial Narrow" w:eastAsiaTheme="majorEastAsia" w:hAnsi="Arial Narrow" w:cstheme="majorBidi"/>
                <w:bCs/>
                <w:sz w:val="20"/>
              </w:rPr>
            </w:pPr>
            <w:r w:rsidRPr="008D797E">
              <w:rPr>
                <w:rFonts w:ascii="Arial Narrow" w:hAnsi="Arial Narrow" w:cs="Calibri"/>
                <w:sz w:val="20"/>
                <w:szCs w:val="20"/>
                <w:lang w:eastAsia="zh-CN"/>
              </w:rPr>
              <w:t>$</w:t>
            </w:r>
            <w:r w:rsidR="006470F1">
              <w:rPr>
                <w:rFonts w:ascii="Arial Narrow" w:hAnsi="Arial Narrow" w:cs="Calibri"/>
                <w:noProof/>
                <w:color w:val="000000"/>
                <w:sz w:val="20"/>
                <w:szCs w:val="20"/>
                <w:highlight w:val="black"/>
                <w:lang w:eastAsia="zh-CN"/>
              </w:rPr>
              <w:t>'''''''''''''''''''''''''''''</w:t>
            </w:r>
            <w:r w:rsidR="00B52282" w:rsidRPr="00D7671F">
              <w:rPr>
                <w:rFonts w:ascii="Arial Narrow" w:hAnsi="Arial Narrow"/>
                <w:bCs/>
                <w:sz w:val="20"/>
                <w:szCs w:val="20"/>
                <w:vertAlign w:val="superscript"/>
              </w:rPr>
              <w:t>3</w:t>
            </w:r>
          </w:p>
        </w:tc>
        <w:tc>
          <w:tcPr>
            <w:tcW w:w="647" w:type="pct"/>
            <w:tcBorders>
              <w:bottom w:val="single" w:sz="4" w:space="0" w:color="auto"/>
            </w:tcBorders>
          </w:tcPr>
          <w:p w:rsidR="00622DEB" w:rsidRPr="008D797E" w:rsidRDefault="00622DEB" w:rsidP="003028C8">
            <w:pPr>
              <w:keepNext/>
              <w:jc w:val="center"/>
              <w:rPr>
                <w:rFonts w:ascii="Arial Narrow" w:eastAsiaTheme="majorEastAsia" w:hAnsi="Arial Narrow" w:cstheme="majorBidi"/>
                <w:bCs/>
                <w:sz w:val="20"/>
              </w:rPr>
            </w:pPr>
            <w:r w:rsidRPr="008D797E">
              <w:rPr>
                <w:rFonts w:ascii="Arial Narrow" w:hAnsi="Arial Narrow" w:cs="Calibri"/>
                <w:sz w:val="20"/>
                <w:szCs w:val="20"/>
                <w:lang w:eastAsia="zh-CN"/>
              </w:rPr>
              <w:t>$</w:t>
            </w:r>
            <w:r w:rsidR="006470F1">
              <w:rPr>
                <w:rFonts w:ascii="Arial Narrow" w:hAnsi="Arial Narrow" w:cs="Calibri"/>
                <w:noProof/>
                <w:color w:val="000000"/>
                <w:sz w:val="20"/>
                <w:szCs w:val="20"/>
                <w:highlight w:val="black"/>
                <w:lang w:eastAsia="zh-CN"/>
              </w:rPr>
              <w:t>''''''''''''''''''''''''''''</w:t>
            </w:r>
            <w:r w:rsidR="00B52282" w:rsidRPr="00D7671F">
              <w:rPr>
                <w:rFonts w:ascii="Arial Narrow" w:hAnsi="Arial Narrow"/>
                <w:bCs/>
                <w:sz w:val="20"/>
                <w:szCs w:val="20"/>
                <w:vertAlign w:val="superscript"/>
              </w:rPr>
              <w:t>3</w:t>
            </w:r>
          </w:p>
        </w:tc>
        <w:tc>
          <w:tcPr>
            <w:tcW w:w="647" w:type="pct"/>
            <w:tcBorders>
              <w:bottom w:val="single" w:sz="4" w:space="0" w:color="auto"/>
            </w:tcBorders>
          </w:tcPr>
          <w:p w:rsidR="00622DEB" w:rsidRPr="008D797E" w:rsidRDefault="00622DEB" w:rsidP="003028C8">
            <w:pPr>
              <w:keepNext/>
              <w:jc w:val="center"/>
              <w:rPr>
                <w:rFonts w:ascii="Arial Narrow" w:eastAsiaTheme="majorEastAsia" w:hAnsi="Arial Narrow" w:cstheme="majorBidi"/>
                <w:bCs/>
                <w:sz w:val="20"/>
              </w:rPr>
            </w:pPr>
            <w:r w:rsidRPr="008D797E">
              <w:rPr>
                <w:rFonts w:ascii="Arial Narrow" w:hAnsi="Arial Narrow" w:cs="Calibri"/>
                <w:sz w:val="20"/>
                <w:szCs w:val="20"/>
                <w:lang w:eastAsia="zh-CN"/>
              </w:rPr>
              <w:t>$</w:t>
            </w:r>
            <w:r w:rsidR="006470F1">
              <w:rPr>
                <w:rFonts w:ascii="Arial Narrow" w:hAnsi="Arial Narrow" w:cs="Calibri"/>
                <w:noProof/>
                <w:color w:val="000000"/>
                <w:sz w:val="20"/>
                <w:szCs w:val="20"/>
                <w:highlight w:val="black"/>
                <w:lang w:eastAsia="zh-CN"/>
              </w:rPr>
              <w:t>'''''''''''''''''''''''''''</w:t>
            </w:r>
            <w:r w:rsidR="00B52282" w:rsidRPr="00D7671F">
              <w:rPr>
                <w:rFonts w:ascii="Arial Narrow" w:eastAsiaTheme="majorEastAsia" w:hAnsi="Arial Narrow" w:cstheme="majorBidi"/>
                <w:bCs/>
                <w:sz w:val="19"/>
                <w:szCs w:val="19"/>
                <w:vertAlign w:val="superscript"/>
              </w:rPr>
              <w:t>4</w:t>
            </w:r>
          </w:p>
        </w:tc>
        <w:tc>
          <w:tcPr>
            <w:tcW w:w="649" w:type="pct"/>
            <w:tcBorders>
              <w:bottom w:val="single" w:sz="4" w:space="0" w:color="auto"/>
            </w:tcBorders>
          </w:tcPr>
          <w:p w:rsidR="00622DEB" w:rsidRPr="008D797E" w:rsidRDefault="00622DEB" w:rsidP="003028C8">
            <w:pPr>
              <w:keepNext/>
              <w:jc w:val="center"/>
              <w:rPr>
                <w:rFonts w:ascii="Arial Narrow" w:eastAsiaTheme="majorEastAsia" w:hAnsi="Arial Narrow" w:cstheme="majorBidi"/>
                <w:bCs/>
                <w:sz w:val="20"/>
              </w:rPr>
            </w:pPr>
            <w:r w:rsidRPr="008D797E">
              <w:rPr>
                <w:rFonts w:ascii="Arial Narrow" w:hAnsi="Arial Narrow" w:cs="Calibri"/>
                <w:sz w:val="20"/>
                <w:szCs w:val="20"/>
                <w:lang w:eastAsia="zh-CN"/>
              </w:rPr>
              <w:t>$</w:t>
            </w:r>
            <w:r w:rsidR="006470F1">
              <w:rPr>
                <w:rFonts w:ascii="Arial Narrow" w:hAnsi="Arial Narrow" w:cs="Calibri"/>
                <w:noProof/>
                <w:color w:val="000000"/>
                <w:sz w:val="20"/>
                <w:szCs w:val="20"/>
                <w:highlight w:val="black"/>
                <w:lang w:eastAsia="zh-CN"/>
              </w:rPr>
              <w:t>''''''''''''''''''''''''''''</w:t>
            </w:r>
            <w:r w:rsidR="00B52282" w:rsidRPr="00D7671F">
              <w:rPr>
                <w:rFonts w:ascii="Arial Narrow" w:eastAsiaTheme="majorEastAsia" w:hAnsi="Arial Narrow" w:cstheme="majorBidi"/>
                <w:bCs/>
                <w:sz w:val="19"/>
                <w:szCs w:val="19"/>
                <w:vertAlign w:val="superscript"/>
              </w:rPr>
              <w:t>4</w:t>
            </w:r>
          </w:p>
        </w:tc>
      </w:tr>
      <w:tr w:rsidR="00622DEB" w:rsidRPr="008D797E" w:rsidTr="00080EC8">
        <w:tc>
          <w:tcPr>
            <w:tcW w:w="5000" w:type="pct"/>
            <w:gridSpan w:val="7"/>
            <w:shd w:val="clear" w:color="auto" w:fill="DBE5F1" w:themeFill="accent1" w:themeFillTint="33"/>
            <w:vAlign w:val="center"/>
          </w:tcPr>
          <w:p w:rsidR="00622DEB" w:rsidRPr="006E5C4D" w:rsidRDefault="00622DEB" w:rsidP="003028C8">
            <w:pPr>
              <w:keepNext/>
              <w:jc w:val="left"/>
              <w:rPr>
                <w:rFonts w:ascii="Arial Narrow" w:eastAsiaTheme="majorEastAsia" w:hAnsi="Arial Narrow" w:cs="Times New Roman"/>
                <w:b/>
                <w:sz w:val="20"/>
              </w:rPr>
            </w:pPr>
            <w:r w:rsidRPr="006E5C4D">
              <w:rPr>
                <w:rFonts w:ascii="Arial Narrow" w:eastAsiaTheme="majorEastAsia" w:hAnsi="Arial Narrow" w:cs="Times New Roman"/>
                <w:b/>
                <w:sz w:val="20"/>
              </w:rPr>
              <w:t>Previous submission March 2020</w:t>
            </w:r>
          </w:p>
        </w:tc>
      </w:tr>
      <w:tr w:rsidR="00622DEB" w:rsidRPr="008D797E" w:rsidTr="00BB7BCB">
        <w:tc>
          <w:tcPr>
            <w:tcW w:w="1115" w:type="pct"/>
            <w:shd w:val="clear" w:color="auto" w:fill="DBE5F1" w:themeFill="accent1" w:themeFillTint="33"/>
            <w:vAlign w:val="center"/>
          </w:tcPr>
          <w:p w:rsidR="00622DEB" w:rsidRPr="008D797E" w:rsidRDefault="00622DEB" w:rsidP="003028C8">
            <w:pPr>
              <w:keepNext/>
              <w:jc w:val="left"/>
              <w:rPr>
                <w:rFonts w:ascii="Arial Narrow" w:eastAsiaTheme="majorEastAsia" w:hAnsi="Arial Narrow" w:cstheme="majorBidi"/>
                <w:bCs/>
                <w:sz w:val="19"/>
                <w:szCs w:val="19"/>
              </w:rPr>
            </w:pPr>
            <w:r w:rsidRPr="008D797E">
              <w:rPr>
                <w:rFonts w:ascii="Arial Narrow" w:eastAsiaTheme="majorEastAsia" w:hAnsi="Arial Narrow" w:cstheme="majorBidi"/>
                <w:bCs/>
                <w:sz w:val="19"/>
                <w:szCs w:val="19"/>
              </w:rPr>
              <w:t>Net cost to PBS/RPBS</w:t>
            </w:r>
          </w:p>
        </w:tc>
        <w:tc>
          <w:tcPr>
            <w:tcW w:w="612" w:type="pct"/>
            <w:tcBorders>
              <w:bottom w:val="single" w:sz="4" w:space="0" w:color="auto"/>
            </w:tcBorders>
            <w:shd w:val="clear" w:color="auto" w:fill="DBE5F1" w:themeFill="accent1" w:themeFillTint="33"/>
            <w:vAlign w:val="center"/>
          </w:tcPr>
          <w:p w:rsidR="00622DEB" w:rsidRPr="00BB7BCB" w:rsidRDefault="00622DEB" w:rsidP="003028C8">
            <w:pPr>
              <w:keepNext/>
              <w:jc w:val="center"/>
              <w:rPr>
                <w:rFonts w:ascii="Arial Narrow" w:eastAsiaTheme="majorEastAsia" w:hAnsi="Arial Narrow" w:cstheme="majorBidi"/>
                <w:bCs/>
                <w:sz w:val="19"/>
                <w:szCs w:val="19"/>
                <w:vertAlign w:val="superscript"/>
              </w:rPr>
            </w:pPr>
            <w:r w:rsidRPr="008D797E">
              <w:rPr>
                <w:rFonts w:ascii="Arial Narrow" w:eastAsiaTheme="majorEastAsia" w:hAnsi="Arial Narrow" w:cstheme="majorBidi"/>
                <w:bCs/>
                <w:sz w:val="19"/>
                <w:szCs w:val="19"/>
              </w:rPr>
              <w:t>$</w:t>
            </w:r>
            <w:r w:rsidR="006470F1">
              <w:rPr>
                <w:rFonts w:ascii="Arial Narrow" w:eastAsiaTheme="majorEastAsia" w:hAnsi="Arial Narrow" w:cstheme="majorBidi"/>
                <w:bCs/>
                <w:noProof/>
                <w:color w:val="000000"/>
                <w:sz w:val="19"/>
                <w:szCs w:val="19"/>
                <w:highlight w:val="black"/>
              </w:rPr>
              <w:t>'''''''''''''''''''''''''</w:t>
            </w:r>
            <w:r w:rsidR="00B52282" w:rsidRPr="00BB7BCB">
              <w:rPr>
                <w:rFonts w:ascii="Arial Narrow" w:eastAsiaTheme="majorEastAsia" w:hAnsi="Arial Narrow" w:cstheme="majorBidi"/>
                <w:bCs/>
                <w:sz w:val="19"/>
                <w:szCs w:val="19"/>
                <w:vertAlign w:val="superscript"/>
              </w:rPr>
              <w:t>3</w:t>
            </w:r>
          </w:p>
        </w:tc>
        <w:tc>
          <w:tcPr>
            <w:tcW w:w="683" w:type="pct"/>
            <w:tcBorders>
              <w:bottom w:val="single" w:sz="4" w:space="0" w:color="auto"/>
            </w:tcBorders>
            <w:shd w:val="clear" w:color="auto" w:fill="DBE5F1" w:themeFill="accent1" w:themeFillTint="33"/>
            <w:vAlign w:val="center"/>
          </w:tcPr>
          <w:p w:rsidR="00622DEB" w:rsidRPr="00BB7BCB" w:rsidRDefault="00622DEB" w:rsidP="003028C8">
            <w:pPr>
              <w:keepNext/>
              <w:jc w:val="center"/>
              <w:rPr>
                <w:rFonts w:ascii="Arial Narrow" w:eastAsiaTheme="majorEastAsia" w:hAnsi="Arial Narrow" w:cstheme="majorBidi"/>
                <w:bCs/>
                <w:sz w:val="19"/>
                <w:szCs w:val="19"/>
                <w:vertAlign w:val="superscript"/>
              </w:rPr>
            </w:pPr>
            <w:r w:rsidRPr="008D797E">
              <w:rPr>
                <w:rFonts w:ascii="Arial Narrow" w:eastAsiaTheme="majorEastAsia" w:hAnsi="Arial Narrow" w:cstheme="majorBidi"/>
                <w:bCs/>
                <w:sz w:val="19"/>
                <w:szCs w:val="19"/>
              </w:rPr>
              <w:t>$</w:t>
            </w:r>
            <w:r w:rsidR="006470F1">
              <w:rPr>
                <w:rFonts w:ascii="Arial Narrow" w:eastAsiaTheme="majorEastAsia" w:hAnsi="Arial Narrow" w:cstheme="majorBidi"/>
                <w:bCs/>
                <w:noProof/>
                <w:color w:val="000000"/>
                <w:sz w:val="19"/>
                <w:szCs w:val="19"/>
                <w:highlight w:val="black"/>
              </w:rPr>
              <w:t>'''''''''''''''''''''''''''''</w:t>
            </w:r>
            <w:r w:rsidR="00B52282" w:rsidRPr="00BB7BCB">
              <w:rPr>
                <w:rFonts w:ascii="Arial Narrow" w:eastAsiaTheme="majorEastAsia" w:hAnsi="Arial Narrow" w:cstheme="majorBidi"/>
                <w:bCs/>
                <w:sz w:val="19"/>
                <w:szCs w:val="19"/>
                <w:vertAlign w:val="superscript"/>
              </w:rPr>
              <w:t>4</w:t>
            </w:r>
          </w:p>
        </w:tc>
        <w:tc>
          <w:tcPr>
            <w:tcW w:w="647" w:type="pct"/>
            <w:tcBorders>
              <w:bottom w:val="single" w:sz="4" w:space="0" w:color="auto"/>
            </w:tcBorders>
            <w:shd w:val="clear" w:color="auto" w:fill="DBE5F1" w:themeFill="accent1" w:themeFillTint="33"/>
            <w:vAlign w:val="center"/>
          </w:tcPr>
          <w:p w:rsidR="00622DEB" w:rsidRPr="008D797E" w:rsidRDefault="00622DEB" w:rsidP="003028C8">
            <w:pPr>
              <w:keepNext/>
              <w:jc w:val="center"/>
              <w:rPr>
                <w:rFonts w:ascii="Arial Narrow" w:eastAsiaTheme="majorEastAsia" w:hAnsi="Arial Narrow" w:cstheme="majorBidi"/>
                <w:bCs/>
                <w:sz w:val="19"/>
                <w:szCs w:val="19"/>
              </w:rPr>
            </w:pPr>
            <w:r w:rsidRPr="008D797E">
              <w:rPr>
                <w:rFonts w:ascii="Arial Narrow" w:eastAsiaTheme="majorEastAsia" w:hAnsi="Arial Narrow" w:cstheme="majorBidi"/>
                <w:bCs/>
                <w:sz w:val="19"/>
                <w:szCs w:val="19"/>
              </w:rPr>
              <w:t>$</w:t>
            </w:r>
            <w:r w:rsidR="006470F1">
              <w:rPr>
                <w:rFonts w:ascii="Arial Narrow" w:eastAsiaTheme="majorEastAsia" w:hAnsi="Arial Narrow" w:cstheme="majorBidi"/>
                <w:bCs/>
                <w:noProof/>
                <w:color w:val="000000"/>
                <w:sz w:val="19"/>
                <w:szCs w:val="19"/>
                <w:highlight w:val="black"/>
              </w:rPr>
              <w:t>''''''''''''''''''''''''''''</w:t>
            </w:r>
            <w:r w:rsidR="00B52282" w:rsidRPr="00D7671F">
              <w:rPr>
                <w:rFonts w:ascii="Arial Narrow" w:eastAsiaTheme="majorEastAsia" w:hAnsi="Arial Narrow" w:cstheme="majorBidi"/>
                <w:bCs/>
                <w:sz w:val="19"/>
                <w:szCs w:val="19"/>
                <w:vertAlign w:val="superscript"/>
              </w:rPr>
              <w:t>4</w:t>
            </w:r>
          </w:p>
        </w:tc>
        <w:tc>
          <w:tcPr>
            <w:tcW w:w="647" w:type="pct"/>
            <w:tcBorders>
              <w:bottom w:val="single" w:sz="4" w:space="0" w:color="auto"/>
            </w:tcBorders>
            <w:shd w:val="clear" w:color="auto" w:fill="DBE5F1" w:themeFill="accent1" w:themeFillTint="33"/>
            <w:vAlign w:val="center"/>
          </w:tcPr>
          <w:p w:rsidR="00622DEB" w:rsidRPr="008D797E" w:rsidRDefault="00622DEB" w:rsidP="003028C8">
            <w:pPr>
              <w:keepNext/>
              <w:jc w:val="center"/>
              <w:rPr>
                <w:rFonts w:ascii="Arial Narrow" w:eastAsiaTheme="majorEastAsia" w:hAnsi="Arial Narrow" w:cstheme="majorBidi"/>
                <w:bCs/>
                <w:sz w:val="19"/>
                <w:szCs w:val="19"/>
              </w:rPr>
            </w:pPr>
            <w:r w:rsidRPr="008D797E">
              <w:rPr>
                <w:rFonts w:ascii="Arial Narrow" w:eastAsiaTheme="majorEastAsia" w:hAnsi="Arial Narrow" w:cstheme="majorBidi"/>
                <w:bCs/>
                <w:sz w:val="19"/>
                <w:szCs w:val="19"/>
              </w:rPr>
              <w:t>$</w:t>
            </w:r>
            <w:r w:rsidR="006470F1">
              <w:rPr>
                <w:rFonts w:ascii="Arial Narrow" w:eastAsiaTheme="majorEastAsia" w:hAnsi="Arial Narrow" w:cstheme="majorBidi"/>
                <w:bCs/>
                <w:noProof/>
                <w:color w:val="000000"/>
                <w:sz w:val="19"/>
                <w:szCs w:val="19"/>
                <w:highlight w:val="black"/>
              </w:rPr>
              <w:t>''''''''''''''''''''''''''</w:t>
            </w:r>
            <w:r w:rsidR="00B52282" w:rsidRPr="00D7671F">
              <w:rPr>
                <w:rFonts w:ascii="Arial Narrow" w:eastAsiaTheme="majorEastAsia" w:hAnsi="Arial Narrow" w:cstheme="majorBidi"/>
                <w:bCs/>
                <w:sz w:val="19"/>
                <w:szCs w:val="19"/>
                <w:vertAlign w:val="superscript"/>
              </w:rPr>
              <w:t>4</w:t>
            </w:r>
          </w:p>
        </w:tc>
        <w:tc>
          <w:tcPr>
            <w:tcW w:w="647" w:type="pct"/>
            <w:tcBorders>
              <w:bottom w:val="single" w:sz="4" w:space="0" w:color="auto"/>
            </w:tcBorders>
            <w:shd w:val="clear" w:color="auto" w:fill="DBE5F1" w:themeFill="accent1" w:themeFillTint="33"/>
            <w:vAlign w:val="center"/>
          </w:tcPr>
          <w:p w:rsidR="00622DEB" w:rsidRPr="008D797E" w:rsidRDefault="00622DEB" w:rsidP="003028C8">
            <w:pPr>
              <w:keepNext/>
              <w:jc w:val="center"/>
              <w:rPr>
                <w:rFonts w:ascii="Arial Narrow" w:eastAsiaTheme="majorEastAsia" w:hAnsi="Arial Narrow" w:cstheme="majorBidi"/>
                <w:bCs/>
                <w:sz w:val="19"/>
                <w:szCs w:val="19"/>
              </w:rPr>
            </w:pPr>
            <w:r w:rsidRPr="008D797E">
              <w:rPr>
                <w:rFonts w:ascii="Arial Narrow" w:eastAsiaTheme="majorEastAsia" w:hAnsi="Arial Narrow" w:cstheme="majorBidi"/>
                <w:bCs/>
                <w:sz w:val="19"/>
                <w:szCs w:val="19"/>
              </w:rPr>
              <w:t>$</w:t>
            </w:r>
            <w:r w:rsidR="006470F1">
              <w:rPr>
                <w:rFonts w:ascii="Arial Narrow" w:eastAsiaTheme="majorEastAsia" w:hAnsi="Arial Narrow" w:cstheme="majorBidi"/>
                <w:bCs/>
                <w:noProof/>
                <w:color w:val="000000"/>
                <w:sz w:val="19"/>
                <w:szCs w:val="19"/>
                <w:highlight w:val="black"/>
              </w:rPr>
              <w:t>''''''''''''''''''''''''''</w:t>
            </w:r>
            <w:r w:rsidR="00B52282" w:rsidRPr="00D7671F">
              <w:rPr>
                <w:rFonts w:ascii="Arial Narrow" w:eastAsiaTheme="majorEastAsia" w:hAnsi="Arial Narrow" w:cstheme="majorBidi"/>
                <w:bCs/>
                <w:sz w:val="19"/>
                <w:szCs w:val="19"/>
                <w:vertAlign w:val="superscript"/>
              </w:rPr>
              <w:t>4</w:t>
            </w:r>
          </w:p>
        </w:tc>
        <w:tc>
          <w:tcPr>
            <w:tcW w:w="649" w:type="pct"/>
            <w:tcBorders>
              <w:bottom w:val="single" w:sz="4" w:space="0" w:color="auto"/>
            </w:tcBorders>
            <w:shd w:val="clear" w:color="auto" w:fill="DBE5F1" w:themeFill="accent1" w:themeFillTint="33"/>
            <w:vAlign w:val="center"/>
          </w:tcPr>
          <w:p w:rsidR="00622DEB" w:rsidRPr="008D797E" w:rsidRDefault="00622DEB" w:rsidP="003028C8">
            <w:pPr>
              <w:keepNext/>
              <w:jc w:val="center"/>
              <w:rPr>
                <w:rFonts w:ascii="Arial Narrow" w:eastAsiaTheme="majorEastAsia" w:hAnsi="Arial Narrow" w:cstheme="majorBidi"/>
                <w:bCs/>
                <w:sz w:val="19"/>
                <w:szCs w:val="19"/>
              </w:rPr>
            </w:pPr>
            <w:r w:rsidRPr="008D797E">
              <w:rPr>
                <w:rFonts w:ascii="Arial Narrow" w:eastAsiaTheme="majorEastAsia" w:hAnsi="Arial Narrow" w:cstheme="majorBidi"/>
                <w:bCs/>
                <w:sz w:val="19"/>
                <w:szCs w:val="19"/>
              </w:rPr>
              <w:t>$</w:t>
            </w:r>
            <w:r w:rsidR="006470F1">
              <w:rPr>
                <w:rFonts w:ascii="Arial Narrow" w:eastAsiaTheme="majorEastAsia" w:hAnsi="Arial Narrow" w:cstheme="majorBidi"/>
                <w:bCs/>
                <w:noProof/>
                <w:color w:val="000000"/>
                <w:sz w:val="19"/>
                <w:szCs w:val="19"/>
                <w:highlight w:val="black"/>
              </w:rPr>
              <w:t>''''''''''''''''''''''''''''</w:t>
            </w:r>
            <w:r w:rsidR="00B52282" w:rsidRPr="00D7671F">
              <w:rPr>
                <w:rFonts w:ascii="Arial Narrow" w:eastAsiaTheme="majorEastAsia" w:hAnsi="Arial Narrow" w:cstheme="majorBidi"/>
                <w:bCs/>
                <w:sz w:val="19"/>
                <w:szCs w:val="19"/>
                <w:vertAlign w:val="superscript"/>
              </w:rPr>
              <w:t>4</w:t>
            </w:r>
          </w:p>
        </w:tc>
      </w:tr>
    </w:tbl>
    <w:p w:rsidR="00622DEB" w:rsidRPr="008D797E" w:rsidRDefault="00622DEB" w:rsidP="00622DEB">
      <w:pPr>
        <w:pStyle w:val="TableFigureFooter"/>
      </w:pPr>
      <w:r w:rsidRPr="008D797E">
        <w:t xml:space="preserve">Source: Table 4.6, p87, Table 4.7, p88, Table 4.9, p89, Table4.15, p92, Table 4.17, p93, Table4.24, p98, Table 4.32, p105 of the resubmission and Table 19, pp39-40 of atezolizumab, Ratified PBAC </w:t>
      </w:r>
      <w:r w:rsidR="001E5C43">
        <w:t>PSD</w:t>
      </w:r>
      <w:r w:rsidRPr="008D797E">
        <w:t>, March 2020 PBAC meeting.</w:t>
      </w:r>
    </w:p>
    <w:p w:rsidR="00622DEB" w:rsidRPr="008D797E" w:rsidRDefault="00622DEB" w:rsidP="00622DEB">
      <w:pPr>
        <w:pStyle w:val="TableFigureFooter"/>
      </w:pPr>
      <w:r w:rsidRPr="008D797E">
        <w:t>ATZ = atezolizumab; nab-P= nanoparticle albumin–bound paclitaxel</w:t>
      </w:r>
    </w:p>
    <w:p w:rsidR="00622DEB" w:rsidRPr="008D797E" w:rsidRDefault="00622DEB" w:rsidP="00622DEB">
      <w:pPr>
        <w:pStyle w:val="TableFigureFooter"/>
      </w:pPr>
      <w:r w:rsidRPr="008D797E">
        <w:rPr>
          <w:vertAlign w:val="superscript"/>
        </w:rPr>
        <w:t>a</w:t>
      </w:r>
      <w:r w:rsidRPr="008D797E">
        <w:t xml:space="preserve"> Assuming </w:t>
      </w:r>
      <w:r w:rsidR="006470F1">
        <w:rPr>
          <w:noProof/>
          <w:color w:val="000000"/>
          <w:highlight w:val="black"/>
        </w:rPr>
        <w:t>''''''</w:t>
      </w:r>
      <w:r w:rsidRPr="008D797E">
        <w:t xml:space="preserve"> doses per treatment course as estimated by the resubmission.</w:t>
      </w:r>
    </w:p>
    <w:p w:rsidR="00622DEB" w:rsidRPr="008D797E" w:rsidRDefault="00622DEB" w:rsidP="00080EC8">
      <w:pPr>
        <w:pStyle w:val="TableFigureFooter"/>
      </w:pPr>
      <w:r w:rsidRPr="008D797E">
        <w:rPr>
          <w:vertAlign w:val="superscript"/>
        </w:rPr>
        <w:t>b</w:t>
      </w:r>
      <w:r w:rsidRPr="008D797E">
        <w:t xml:space="preserve"> Assuming 10 doses per treatment course as estimated by the resubmission.</w:t>
      </w:r>
    </w:p>
    <w:p w:rsidR="00080EC8" w:rsidRDefault="00080EC8" w:rsidP="00080EC8">
      <w:pPr>
        <w:pStyle w:val="TableFigureFooter"/>
      </w:pPr>
      <w:r w:rsidRPr="008D797E">
        <w:t>Blue shading indicates data previously seen by the PBAC.</w:t>
      </w:r>
    </w:p>
    <w:p w:rsidR="002771FF" w:rsidRPr="00BB7BCB" w:rsidRDefault="002771FF" w:rsidP="00080EC8">
      <w:pPr>
        <w:pStyle w:val="TableFigureFooter"/>
        <w:rPr>
          <w:i/>
        </w:rPr>
      </w:pPr>
      <w:r w:rsidRPr="00BB7BCB">
        <w:rPr>
          <w:i/>
        </w:rPr>
        <w:t>The redacted values correspond to the following ranges:</w:t>
      </w:r>
    </w:p>
    <w:p w:rsidR="002771FF" w:rsidRPr="00BB7BCB" w:rsidRDefault="002771FF" w:rsidP="00080EC8">
      <w:pPr>
        <w:pStyle w:val="TableFigureFooter"/>
        <w:rPr>
          <w:i/>
        </w:rPr>
      </w:pPr>
      <w:r w:rsidRPr="00BB7BCB">
        <w:rPr>
          <w:i/>
          <w:vertAlign w:val="superscript"/>
        </w:rPr>
        <w:t>1</w:t>
      </w:r>
      <w:r w:rsidRPr="00BB7BCB">
        <w:rPr>
          <w:i/>
        </w:rPr>
        <w:t>500 to &lt;5,000</w:t>
      </w:r>
    </w:p>
    <w:p w:rsidR="002771FF" w:rsidRPr="00BB7BCB" w:rsidRDefault="002771FF" w:rsidP="00080EC8">
      <w:pPr>
        <w:pStyle w:val="TableFigureFooter"/>
        <w:rPr>
          <w:i/>
        </w:rPr>
      </w:pPr>
      <w:r w:rsidRPr="00BB7BCB">
        <w:rPr>
          <w:i/>
          <w:vertAlign w:val="superscript"/>
        </w:rPr>
        <w:t>2</w:t>
      </w:r>
      <w:r w:rsidRPr="00BB7BCB">
        <w:rPr>
          <w:i/>
        </w:rPr>
        <w:t>5,000 to &lt;$15,000</w:t>
      </w:r>
    </w:p>
    <w:p w:rsidR="00B52282" w:rsidRPr="00BB7BCB" w:rsidRDefault="00B52282" w:rsidP="00080EC8">
      <w:pPr>
        <w:pStyle w:val="TableFigureFooter"/>
        <w:rPr>
          <w:i/>
        </w:rPr>
      </w:pPr>
      <w:r w:rsidRPr="00BB7BCB">
        <w:rPr>
          <w:i/>
          <w:vertAlign w:val="superscript"/>
        </w:rPr>
        <w:t>3</w:t>
      </w:r>
      <w:r w:rsidRPr="00BB7BCB">
        <w:rPr>
          <w:i/>
        </w:rPr>
        <w:t xml:space="preserve">$10 million to &lt;$20 million </w:t>
      </w:r>
    </w:p>
    <w:p w:rsidR="00B52282" w:rsidRPr="00BB7BCB" w:rsidRDefault="00B52282" w:rsidP="00080EC8">
      <w:pPr>
        <w:pStyle w:val="TableFigureFooter"/>
        <w:rPr>
          <w:i/>
        </w:rPr>
      </w:pPr>
      <w:r w:rsidRPr="00BB7BCB">
        <w:rPr>
          <w:i/>
          <w:vertAlign w:val="superscript"/>
        </w:rPr>
        <w:t>4</w:t>
      </w:r>
      <w:r w:rsidRPr="00BB7BCB">
        <w:rPr>
          <w:i/>
        </w:rPr>
        <w:t>$20 million to &lt;$30 million</w:t>
      </w:r>
    </w:p>
    <w:p w:rsidR="00B52282" w:rsidRPr="00BB7BCB" w:rsidRDefault="00B52282" w:rsidP="00080EC8">
      <w:pPr>
        <w:pStyle w:val="TableFigureFooter"/>
        <w:rPr>
          <w:i/>
        </w:rPr>
      </w:pPr>
      <w:r w:rsidRPr="00BB7BCB">
        <w:rPr>
          <w:i/>
          <w:vertAlign w:val="superscript"/>
        </w:rPr>
        <w:t>5</w:t>
      </w:r>
      <w:r w:rsidRPr="00BB7BCB">
        <w:rPr>
          <w:i/>
        </w:rPr>
        <w:t>$0 to &lt;$10 million</w:t>
      </w:r>
    </w:p>
    <w:p w:rsidR="00622DEB" w:rsidRPr="008D797E" w:rsidRDefault="00622DEB" w:rsidP="00622DEB">
      <w:pPr>
        <w:pStyle w:val="3-BodyText"/>
      </w:pPr>
      <w:r w:rsidRPr="008D797E">
        <w:t xml:space="preserve">The estimated net financial implications to the PBS/RPBS </w:t>
      </w:r>
      <w:r w:rsidR="00761AA9" w:rsidRPr="008D797E">
        <w:t>were</w:t>
      </w:r>
      <w:r w:rsidRPr="008D797E">
        <w:t xml:space="preserve"> $</w:t>
      </w:r>
      <w:r w:rsidR="001E5C43">
        <w:t xml:space="preserve">10 </w:t>
      </w:r>
      <w:r w:rsidR="005A541F">
        <w:t xml:space="preserve">million </w:t>
      </w:r>
      <w:r w:rsidR="001E5C43">
        <w:t>to &lt;$20</w:t>
      </w:r>
      <w:r w:rsidRPr="008D797E">
        <w:t xml:space="preserve"> million in Year 1, increasing to $</w:t>
      </w:r>
      <w:r w:rsidR="001E5C43">
        <w:t>10</w:t>
      </w:r>
      <w:r w:rsidR="005A541F">
        <w:t xml:space="preserve"> million</w:t>
      </w:r>
      <w:r w:rsidR="001E5C43">
        <w:t xml:space="preserve"> to &lt;$20</w:t>
      </w:r>
      <w:r w:rsidRPr="008D797E">
        <w:t xml:space="preserve"> million in Year 6. The estimated overall net financial implications to the PBS/RPBS over the first 6 years of listing </w:t>
      </w:r>
      <w:r w:rsidR="00761AA9" w:rsidRPr="008D797E">
        <w:t>was</w:t>
      </w:r>
      <w:r w:rsidRPr="008D797E">
        <w:t xml:space="preserve"> $</w:t>
      </w:r>
      <w:r w:rsidR="001E5C43">
        <w:t xml:space="preserve">100 </w:t>
      </w:r>
      <w:r w:rsidR="005A541F">
        <w:t xml:space="preserve">million </w:t>
      </w:r>
      <w:r w:rsidR="001E5C43">
        <w:t>to &lt;$200</w:t>
      </w:r>
      <w:r w:rsidRPr="008D797E">
        <w:t xml:space="preserve"> million.</w:t>
      </w:r>
    </w:p>
    <w:p w:rsidR="00622DEB" w:rsidRPr="008D797E" w:rsidRDefault="00622DEB" w:rsidP="0069246C">
      <w:pPr>
        <w:pStyle w:val="3-BodyText"/>
      </w:pPr>
      <w:r w:rsidRPr="008D797E">
        <w:t xml:space="preserve">The net impact on the estimated number of patients with recurrent mTNBC who </w:t>
      </w:r>
      <w:r w:rsidR="0065157A" w:rsidRPr="008D797E">
        <w:t xml:space="preserve">were </w:t>
      </w:r>
      <w:r w:rsidRPr="008D797E">
        <w:t>diagnosed with early stage TNBC but developed distant recurrence in the first 6 years of listing was uncertain. Therefore, the number of eligible patients may be either over- or under-estimated. Any over-estimate of the number of patients likely to be treated has implications for the proposed risk sharing arrangement, in the form of annual subsidisation caps, as discussed above.</w:t>
      </w:r>
      <w:r w:rsidR="00AF16CF" w:rsidRPr="008D797E">
        <w:t xml:space="preserve"> </w:t>
      </w:r>
    </w:p>
    <w:p w:rsidR="00622DEB" w:rsidRPr="008D797E" w:rsidRDefault="00622DEB" w:rsidP="00622DEB">
      <w:pPr>
        <w:pStyle w:val="4-SubsectionHeading"/>
      </w:pPr>
      <w:bookmarkStart w:id="49" w:name="_Toc22897649"/>
      <w:bookmarkStart w:id="50" w:name="_Toc60915068"/>
      <w:bookmarkStart w:id="51" w:name="_Toc61965007"/>
      <w:r w:rsidRPr="008D797E">
        <w:t>Financial Management – Risk Sharing Arrangements</w:t>
      </w:r>
      <w:bookmarkEnd w:id="49"/>
      <w:bookmarkEnd w:id="50"/>
      <w:bookmarkEnd w:id="51"/>
    </w:p>
    <w:p w:rsidR="00622DEB" w:rsidRPr="008D797E" w:rsidRDefault="00622DEB" w:rsidP="00622DEB">
      <w:pPr>
        <w:pStyle w:val="3-BodyText"/>
      </w:pPr>
      <w:r w:rsidRPr="008D797E">
        <w:t>The resubmission stated that an EoC cap was proposed in order to achieve an ICER within the willingness to pay range for the PBS/RPBS listing of ATZ in combination with nab-P.</w:t>
      </w:r>
    </w:p>
    <w:p w:rsidR="009A5A45" w:rsidRPr="008D797E" w:rsidRDefault="00622DEB" w:rsidP="00622DEB">
      <w:pPr>
        <w:pStyle w:val="3-BodyText"/>
      </w:pPr>
      <w:r w:rsidRPr="008D797E">
        <w:t>The resubmission further stated that the EoC cap was proposed to be implemented in the form of subsidisation caps.</w:t>
      </w:r>
      <w:r w:rsidR="00864977" w:rsidRPr="008D797E">
        <w:t xml:space="preserve"> </w:t>
      </w:r>
      <w:r w:rsidRPr="008D797E">
        <w:t xml:space="preserve">These annual subsidisation caps would be calculated by multiplying the predicted number of patients treated by the effective price of </w:t>
      </w:r>
      <w:r w:rsidR="006470F1">
        <w:rPr>
          <w:noProof/>
          <w:color w:val="000000"/>
          <w:highlight w:val="black"/>
        </w:rPr>
        <w:t>'''''</w:t>
      </w:r>
      <w:r w:rsidRPr="008D797E">
        <w:t xml:space="preserve"> ATZ doses. Any expenditure above the agreed subsidisation caps was proposed to be rebated by the sponsor at </w:t>
      </w:r>
      <w:r w:rsidR="006470F1">
        <w:rPr>
          <w:noProof/>
          <w:color w:val="000000"/>
          <w:highlight w:val="black"/>
        </w:rPr>
        <w:t>'''''''</w:t>
      </w:r>
      <w:r w:rsidRPr="008D797E">
        <w:t>%. The resubmission stated that the sponsor will be willing to discuss alternate means of operationalising this risk sharing arrangement at the appropriate time.</w:t>
      </w:r>
      <w:r w:rsidR="00457929" w:rsidRPr="008D797E">
        <w:t xml:space="preserve"> </w:t>
      </w:r>
    </w:p>
    <w:p w:rsidR="007B3A84" w:rsidRPr="008D797E" w:rsidRDefault="007B3A84" w:rsidP="007B3A84">
      <w:pPr>
        <w:rPr>
          <w:i/>
        </w:rPr>
      </w:pPr>
      <w:bookmarkStart w:id="52" w:name="_Toc61965009"/>
      <w:r w:rsidRPr="008D797E">
        <w:rPr>
          <w:i/>
        </w:rPr>
        <w:t>For more detail on PBAC’s view, see section 7 PBAC outcome.</w:t>
      </w:r>
    </w:p>
    <w:p w:rsidR="005A20B4" w:rsidRPr="008D797E" w:rsidRDefault="005A20B4" w:rsidP="005A20B4">
      <w:pPr>
        <w:contextualSpacing/>
        <w:rPr>
          <w:rFonts w:eastAsia="Calibri"/>
          <w:i/>
          <w:szCs w:val="22"/>
        </w:rPr>
      </w:pPr>
    </w:p>
    <w:p w:rsidR="004221B4" w:rsidRPr="008D797E" w:rsidRDefault="004221B4" w:rsidP="00FA1A1B">
      <w:pPr>
        <w:pStyle w:val="2-SectionHeading"/>
      </w:pPr>
      <w:r w:rsidRPr="008D797E">
        <w:t>PBAC Outcome</w:t>
      </w:r>
    </w:p>
    <w:p w:rsidR="008844D5" w:rsidRPr="008D797E" w:rsidRDefault="008844D5" w:rsidP="008844D5">
      <w:pPr>
        <w:pStyle w:val="3-BodyText"/>
        <w:rPr>
          <w:rFonts w:ascii="Calibri" w:hAnsi="Calibri" w:cs="Calibri"/>
          <w:sz w:val="22"/>
          <w:szCs w:val="22"/>
        </w:rPr>
      </w:pPr>
      <w:r w:rsidRPr="008D797E">
        <w:t xml:space="preserve">The PBAC did not recommend atezolizumab </w:t>
      </w:r>
      <w:r w:rsidR="00115C2F">
        <w:t xml:space="preserve">(ATZ) </w:t>
      </w:r>
      <w:r w:rsidRPr="00115C2F">
        <w:t xml:space="preserve">for the first line treatment of patients with metastatic triple-negative breast cancer </w:t>
      </w:r>
      <w:r w:rsidR="00115C2F">
        <w:t xml:space="preserve">(TNBC) </w:t>
      </w:r>
      <w:r w:rsidRPr="00115C2F">
        <w:t>who are PD-L1 positive. The PBAC considered that there was a high clinical need for effective treatments for these patients</w:t>
      </w:r>
      <w:r w:rsidR="00E974F1" w:rsidRPr="00115C2F">
        <w:t>,</w:t>
      </w:r>
      <w:r w:rsidRPr="00115C2F">
        <w:t xml:space="preserve"> but previously considered that the clinical evidence in the relevant patient population was limited and the survival benefit claimed was uncertain. The PBAC noted that the resubmission provided updated trial data, bu</w:t>
      </w:r>
      <w:r w:rsidRPr="008D797E">
        <w:t xml:space="preserve">t considered the additional data did not provide confidence that atezolizumab provided the claimed </w:t>
      </w:r>
      <w:r w:rsidR="00761AA9" w:rsidRPr="008D797E">
        <w:t xml:space="preserve">overall </w:t>
      </w:r>
      <w:r w:rsidRPr="008D797E">
        <w:t>survival benefit</w:t>
      </w:r>
      <w:r w:rsidR="0004442C" w:rsidRPr="008D797E">
        <w:t xml:space="preserve"> and use of nab-P as the comparator further added uncertainty in the claimed benefit</w:t>
      </w:r>
      <w:r w:rsidRPr="008D797E">
        <w:t xml:space="preserve">. In addition, the PBAC noted that a confirmatory trial in a similar patient group had reported contradictory results. The PBAC noted that the incremental cost-effectiveness ratio remained high and modelled assumptions regarding overall survival were not sufficiently supported by the clinical evidence. </w:t>
      </w:r>
    </w:p>
    <w:p w:rsidR="004221B4" w:rsidRPr="006E5C4D" w:rsidRDefault="00E355BD" w:rsidP="004221B4">
      <w:pPr>
        <w:widowControl w:val="0"/>
        <w:numPr>
          <w:ilvl w:val="1"/>
          <w:numId w:val="1"/>
        </w:numPr>
        <w:spacing w:after="120"/>
        <w:rPr>
          <w:rFonts w:asciiTheme="minorHAnsi" w:hAnsiTheme="minorHAnsi"/>
          <w:bCs/>
          <w:snapToGrid w:val="0"/>
        </w:rPr>
      </w:pPr>
      <w:r w:rsidRPr="006E5C4D">
        <w:rPr>
          <w:rFonts w:asciiTheme="minorHAnsi" w:hAnsiTheme="minorHAnsi"/>
          <w:bCs/>
          <w:snapToGrid w:val="0"/>
        </w:rPr>
        <w:t>The PBAC noted that there is a high clinical need for effective treatments for patients with TNBC, where outcomes are poor</w:t>
      </w:r>
      <w:r w:rsidR="00BA770A" w:rsidRPr="008D797E">
        <w:rPr>
          <w:snapToGrid w:val="0"/>
        </w:rPr>
        <w:t xml:space="preserve"> </w:t>
      </w:r>
      <w:r w:rsidR="00BA770A" w:rsidRPr="00115C2F">
        <w:rPr>
          <w:snapToGrid w:val="0"/>
        </w:rPr>
        <w:t>and there are currently no other targeted treatments or immunotherapies available.</w:t>
      </w:r>
      <w:r w:rsidR="00B933C4" w:rsidRPr="00115C2F">
        <w:rPr>
          <w:snapToGrid w:val="0"/>
        </w:rPr>
        <w:t xml:space="preserve"> The PBAC also noted the consumer comments from cli</w:t>
      </w:r>
      <w:r w:rsidR="00B933C4" w:rsidRPr="008D797E">
        <w:rPr>
          <w:snapToGrid w:val="0"/>
        </w:rPr>
        <w:t>nicians that stated that for a subset of patients, atezolizumab has the potential to markedly improve overall survival</w:t>
      </w:r>
      <w:r w:rsidR="002717D0" w:rsidRPr="008D797E">
        <w:rPr>
          <w:snapToGrid w:val="0"/>
        </w:rPr>
        <w:t>.</w:t>
      </w:r>
    </w:p>
    <w:p w:rsidR="00536A6A" w:rsidRPr="006E5C4D" w:rsidRDefault="00954979" w:rsidP="00FA1A1B">
      <w:pPr>
        <w:pStyle w:val="3-BodyText"/>
        <w:rPr>
          <w:bCs/>
        </w:rPr>
      </w:pPr>
      <w:r w:rsidRPr="006E5C4D">
        <w:rPr>
          <w:bCs/>
        </w:rPr>
        <w:t xml:space="preserve">The PBAC noted that the restriction was revised in the resubmission to specify patients </w:t>
      </w:r>
      <w:r w:rsidR="00D0571D" w:rsidRPr="006E5C4D">
        <w:rPr>
          <w:bCs/>
        </w:rPr>
        <w:t xml:space="preserve">must have </w:t>
      </w:r>
      <w:r w:rsidRPr="008D797E">
        <w:t xml:space="preserve">PD-L1 </w:t>
      </w:r>
      <w:r w:rsidR="00536A6A" w:rsidRPr="00115C2F">
        <w:t xml:space="preserve">of any intensity in tumour-infiltrating immune cells covering ≥1% of the tumour area </w:t>
      </w:r>
      <w:r w:rsidRPr="008D797E">
        <w:t>as determined by the companion diagnostic Ventana PD-L1 immunohistochemistry (IHC) SP142 assay</w:t>
      </w:r>
      <w:r w:rsidR="00536A6A" w:rsidRPr="008D797E">
        <w:t>. The PBAC considered this was appropriate and consistent with the MSAC’s previous consideration of the PD-L1 testing for access to atezolizumab</w:t>
      </w:r>
      <w:r w:rsidR="008D797E">
        <w:t xml:space="preserve">. </w:t>
      </w:r>
    </w:p>
    <w:p w:rsidR="00C70697" w:rsidRPr="008D797E" w:rsidRDefault="005A45B7" w:rsidP="0004442C">
      <w:pPr>
        <w:pStyle w:val="3-BodyText"/>
        <w:rPr>
          <w:bCs/>
          <w:color w:val="FF0000"/>
        </w:rPr>
      </w:pPr>
      <w:r w:rsidRPr="008D797E">
        <w:rPr>
          <w:color w:val="000000" w:themeColor="text1"/>
        </w:rPr>
        <w:t>The PBAC previously considered that, given the current evidence, the appropriate clinical place for atezolizumab is in addition to nab-P, in patients who are PD-L1-positive, where a taxane would otherwise be used (para 7.7, atezolizumab PSD, March 202</w:t>
      </w:r>
      <w:r w:rsidRPr="00115C2F">
        <w:rPr>
          <w:color w:val="000000" w:themeColor="text1"/>
        </w:rPr>
        <w:t xml:space="preserve">0 PBAC meeting). </w:t>
      </w:r>
      <w:r w:rsidR="008527D6" w:rsidRPr="00115C2F">
        <w:rPr>
          <w:color w:val="000000" w:themeColor="text1"/>
        </w:rPr>
        <w:t xml:space="preserve">The PBAC acknowledged that some guidelines recommend use of ATZ+nab-P in this population. </w:t>
      </w:r>
      <w:r w:rsidR="00761AA9" w:rsidRPr="006E5C4D">
        <w:rPr>
          <w:bCs/>
        </w:rPr>
        <w:t xml:space="preserve">The PBAC noted that the </w:t>
      </w:r>
      <w:r w:rsidRPr="006E5C4D">
        <w:rPr>
          <w:bCs/>
        </w:rPr>
        <w:t>proposed use of ATZ</w:t>
      </w:r>
      <w:r w:rsidR="00761AA9" w:rsidRPr="006E5C4D">
        <w:rPr>
          <w:bCs/>
        </w:rPr>
        <w:t xml:space="preserve"> was revised in the resubmission to be in combination with nab-P (rather than any taxane). The PBAC considered this was appropriate given the negative outcomes of the IMpa</w:t>
      </w:r>
      <w:r w:rsidR="00115C2F">
        <w:rPr>
          <w:bCs/>
        </w:rPr>
        <w:t>s</w:t>
      </w:r>
      <w:r w:rsidR="00761AA9" w:rsidRPr="006E5C4D">
        <w:rPr>
          <w:bCs/>
        </w:rPr>
        <w:t>sion131 trial in which ATZ was used in combination with paclitaxel. The PBAC also considered that it was appropriate that</w:t>
      </w:r>
      <w:r w:rsidRPr="006E5C4D">
        <w:rPr>
          <w:bCs/>
        </w:rPr>
        <w:t xml:space="preserve"> the resubmission had revised the target population to exclude patients with locally advanced TNBC, who are not currently eligible for PBS funded treatment with nab-P. </w:t>
      </w:r>
      <w:r w:rsidR="00C70697" w:rsidRPr="006E5C4D">
        <w:rPr>
          <w:bCs/>
        </w:rPr>
        <w:t xml:space="preserve">The PBAC also noted the revised restrictions specify that </w:t>
      </w:r>
      <w:r w:rsidR="00C70697" w:rsidRPr="008D797E">
        <w:t>patients must not have received taxane (neo)adjuvant th</w:t>
      </w:r>
      <w:r w:rsidR="00C70697" w:rsidRPr="00115C2F">
        <w:t xml:space="preserve">erapy in </w:t>
      </w:r>
      <w:r w:rsidR="00C70697" w:rsidRPr="008D797E">
        <w:t xml:space="preserve">the previous 12 months. The PBAC considered that these changes were reasonable but that the resubmission did not adequately identify and define the patient population who would otherwise receive a taxane. </w:t>
      </w:r>
    </w:p>
    <w:p w:rsidR="00C70697" w:rsidRPr="008D797E" w:rsidRDefault="00C70697" w:rsidP="00A35BB6">
      <w:pPr>
        <w:widowControl w:val="0"/>
        <w:numPr>
          <w:ilvl w:val="1"/>
          <w:numId w:val="1"/>
        </w:numPr>
        <w:spacing w:after="120"/>
        <w:rPr>
          <w:bCs/>
          <w:color w:val="FF0000"/>
        </w:rPr>
      </w:pPr>
      <w:r w:rsidRPr="006E5C4D">
        <w:rPr>
          <w:snapToGrid w:val="0"/>
        </w:rPr>
        <w:t>T</w:t>
      </w:r>
      <w:r w:rsidRPr="006E5C4D">
        <w:rPr>
          <w:iCs/>
        </w:rPr>
        <w:t>he PBAC previously considered the most appropriate comparator for this heterogeneous population (</w:t>
      </w:r>
      <w:r w:rsidRPr="006E5C4D">
        <w:rPr>
          <w:snapToGrid w:val="0"/>
        </w:rPr>
        <w:t xml:space="preserve">patients who have received previous taxane therapy; patients who are chemotherapy naïve, including those with </w:t>
      </w:r>
      <w:r w:rsidRPr="006E5C4D">
        <w:rPr>
          <w:i/>
          <w:snapToGrid w:val="0"/>
        </w:rPr>
        <w:t>de novo</w:t>
      </w:r>
      <w:r w:rsidRPr="006E5C4D">
        <w:rPr>
          <w:snapToGrid w:val="0"/>
        </w:rPr>
        <w:t xml:space="preserve"> metastatic disease and patients with BRCA1/2 deleterious mutations) </w:t>
      </w:r>
      <w:r w:rsidRPr="006E5C4D">
        <w:rPr>
          <w:iCs/>
        </w:rPr>
        <w:t>would be physician choice (</w:t>
      </w:r>
      <w:r w:rsidR="003906D1" w:rsidRPr="008D797E">
        <w:rPr>
          <w:rFonts w:asciiTheme="minorHAnsi" w:hAnsiTheme="minorHAnsi"/>
          <w:snapToGrid w:val="0"/>
          <w:color w:val="000000" w:themeColor="text1"/>
        </w:rPr>
        <w:t>para 7.</w:t>
      </w:r>
      <w:r w:rsidR="003906D1" w:rsidRPr="00115C2F">
        <w:rPr>
          <w:rFonts w:asciiTheme="minorHAnsi" w:hAnsiTheme="minorHAnsi"/>
          <w:snapToGrid w:val="0"/>
          <w:color w:val="000000" w:themeColor="text1"/>
        </w:rPr>
        <w:t xml:space="preserve">6, atezolizumab PSD, March 2020 PBAC meeting). </w:t>
      </w:r>
      <w:r w:rsidR="00804813" w:rsidRPr="00115C2F">
        <w:rPr>
          <w:rFonts w:asciiTheme="minorHAnsi" w:hAnsiTheme="minorHAnsi"/>
          <w:snapToGrid w:val="0"/>
          <w:color w:val="000000" w:themeColor="text1"/>
        </w:rPr>
        <w:t>However, t</w:t>
      </w:r>
      <w:r w:rsidRPr="00115C2F">
        <w:t xml:space="preserve">he PBAC considered that the resubmission </w:t>
      </w:r>
      <w:r w:rsidR="003906D1" w:rsidRPr="008D797E">
        <w:t xml:space="preserve">did not adequately address the fact that nab-P is not the only treatment pathway </w:t>
      </w:r>
      <w:r w:rsidR="00804813" w:rsidRPr="008D797E">
        <w:t xml:space="preserve">for this population </w:t>
      </w:r>
      <w:r w:rsidR="003906D1" w:rsidRPr="008D797E">
        <w:t xml:space="preserve">and in some patients, may be an inferior treatment choice. The PBAC noted that the submission did not present a robust analysis of the relative efficacy of nab-P versus other treatment options in this population. The PBAC noted that the evidence for ATZ was based on the IMpassion130 trial, where the comparator was nab-P. The PBAC considered that as nab-P may not be representative of physician choice in the PBS population, the extent of clinical benefit compared with physician choice is not informed by this trial. </w:t>
      </w:r>
    </w:p>
    <w:p w:rsidR="00804813" w:rsidRPr="008D797E" w:rsidRDefault="00804813" w:rsidP="0004442C">
      <w:pPr>
        <w:pStyle w:val="ListParagraph"/>
        <w:numPr>
          <w:ilvl w:val="1"/>
          <w:numId w:val="1"/>
        </w:numPr>
        <w:spacing w:before="120"/>
        <w:rPr>
          <w:color w:val="0066FF"/>
        </w:rPr>
      </w:pPr>
      <w:r w:rsidRPr="006E5C4D">
        <w:t>The PBAC noted that the resubmission provided updated data from the final analysis (clinical cut-off date 14 April 2020) of the head-to-head trial comparing ATZ+nab-P to PBO+</w:t>
      </w:r>
      <w:r w:rsidR="0085593B" w:rsidRPr="006E5C4D">
        <w:t>nab-P</w:t>
      </w:r>
      <w:r w:rsidRPr="006E5C4D">
        <w:t xml:space="preserve">, IMpassion130. The PBAC noted that results were consistent with those previously considered by the PBAC, from the 2 January 2019 clinical cut-off date. </w:t>
      </w:r>
      <w:r w:rsidR="00D0571D" w:rsidRPr="006E5C4D">
        <w:t xml:space="preserve">The PBAC noted that </w:t>
      </w:r>
      <w:r w:rsidR="00D0571D" w:rsidRPr="008D797E">
        <w:t xml:space="preserve">ATZ+nab-P demonstrated a statistically significant benefit in prolonging PFS, compared with nab-P. However, the PBAC </w:t>
      </w:r>
      <w:r w:rsidR="00C4772D" w:rsidRPr="00115C2F">
        <w:t xml:space="preserve">recalled it previously </w:t>
      </w:r>
      <w:r w:rsidR="00D0571D" w:rsidRPr="00115C2F">
        <w:t>considered that the small difference in median PFS of 2 months for the PD-L1 population</w:t>
      </w:r>
      <w:r w:rsidR="00D0571D" w:rsidRPr="006E5C4D">
        <w:t xml:space="preserve"> was of unclear clinical significance. </w:t>
      </w:r>
      <w:r w:rsidRPr="006E5C4D">
        <w:t xml:space="preserve">The OS results </w:t>
      </w:r>
      <w:r w:rsidR="00D0571D" w:rsidRPr="006E5C4D">
        <w:t xml:space="preserve">also </w:t>
      </w:r>
      <w:r w:rsidRPr="006E5C4D">
        <w:t>remained non-significant in the ITT population (hazard ratio (HR) 0.87; 95% confidence interval (CI) 0.75, 1.02), with the hierarchical study design precluding formal statistical testing of the PD-L1 subgroup.</w:t>
      </w:r>
      <w:r w:rsidR="00D0571D" w:rsidRPr="006E5C4D">
        <w:t xml:space="preserve"> </w:t>
      </w:r>
      <w:r w:rsidR="00A54464" w:rsidRPr="006E5C4D">
        <w:t>The PD-L1-positive subgroup of IMpassion130 generated an unstratified HR of 0.69 (95% CI 0.5</w:t>
      </w:r>
      <w:r w:rsidR="00145ED2">
        <w:t>4</w:t>
      </w:r>
      <w:r w:rsidR="00A54464" w:rsidRPr="006E5C4D">
        <w:t>, 0.8</w:t>
      </w:r>
      <w:r w:rsidR="00145ED2">
        <w:t>8</w:t>
      </w:r>
      <w:r w:rsidR="00A54464" w:rsidRPr="006E5C4D">
        <w:t>) at the 14 April 2020 clinical cut-off date</w:t>
      </w:r>
      <w:r w:rsidR="00EB7053">
        <w:t xml:space="preserve">, with a median OS benefit of 7.5 months. These results were similar to that noted in the original submission, and while clinically relevant, were similarly uncertain. </w:t>
      </w:r>
      <w:r w:rsidR="00D0571D" w:rsidRPr="006E5C4D">
        <w:t xml:space="preserve">As such, the PBAC considered that the updated data did not provide additional confidence that </w:t>
      </w:r>
      <w:r w:rsidR="00C4772D" w:rsidRPr="006E5C4D">
        <w:t>ATZ would provide the claimed OS benefit.</w:t>
      </w:r>
    </w:p>
    <w:p w:rsidR="00C4772D" w:rsidRPr="008D797E" w:rsidRDefault="00E764F6" w:rsidP="00FA1A1B">
      <w:pPr>
        <w:pStyle w:val="3-BodyText"/>
      </w:pPr>
      <w:r w:rsidRPr="006E5C4D">
        <w:t xml:space="preserve">The PBAC </w:t>
      </w:r>
      <w:r w:rsidR="0085593B" w:rsidRPr="006E5C4D">
        <w:t xml:space="preserve">also </w:t>
      </w:r>
      <w:r w:rsidRPr="006E5C4D">
        <w:t xml:space="preserve">noted that </w:t>
      </w:r>
      <w:r w:rsidR="0085593B" w:rsidRPr="006E5C4D">
        <w:t xml:space="preserve">results </w:t>
      </w:r>
      <w:r w:rsidRPr="006E5C4D">
        <w:t>were available</w:t>
      </w:r>
      <w:r w:rsidR="0085593B" w:rsidRPr="006E5C4D">
        <w:t xml:space="preserve"> for the head-to-head trial comparing ATZ+P to PBO+P, IMpassion131</w:t>
      </w:r>
      <w:r w:rsidRPr="006E5C4D">
        <w:t xml:space="preserve">. </w:t>
      </w:r>
      <w:r w:rsidR="0085593B" w:rsidRPr="006E5C4D">
        <w:t>IMpassion</w:t>
      </w:r>
      <w:r w:rsidRPr="006E5C4D">
        <w:t>131 was intended to be a confirmatory trial for conversion of the provisional listing for atezolizumab and was similar in design to IMpassion13</w:t>
      </w:r>
      <w:r w:rsidR="0085593B" w:rsidRPr="006E5C4D">
        <w:t>0</w:t>
      </w:r>
      <w:r w:rsidRPr="006E5C4D">
        <w:t xml:space="preserve">. </w:t>
      </w:r>
      <w:r w:rsidRPr="006E5C4D">
        <w:rPr>
          <w:iCs/>
        </w:rPr>
        <w:t>The PBAC considered that the IMpassion131 results were relevant to the interpretation of IMpassion130 results.</w:t>
      </w:r>
      <w:r w:rsidRPr="006E5C4D">
        <w:rPr>
          <w:bCs/>
        </w:rPr>
        <w:t xml:space="preserve"> The PBAC noted that </w:t>
      </w:r>
      <w:r w:rsidR="0085593B" w:rsidRPr="006E5C4D">
        <w:rPr>
          <w:bCs/>
        </w:rPr>
        <w:t xml:space="preserve">in </w:t>
      </w:r>
      <w:r w:rsidRPr="008D797E">
        <w:t>the IMpassion131 trial the PBO+P demonstrated greater median OS than the ATZ+P arm (28.3 vs 22.1 months respectively) in the PD-L1-positive subgroup.</w:t>
      </w:r>
      <w:r w:rsidR="00D0571D" w:rsidRPr="00115C2F">
        <w:t xml:space="preserve"> The PBAC also noted that </w:t>
      </w:r>
      <w:r w:rsidR="00C4772D" w:rsidRPr="006E5C4D">
        <w:rPr>
          <w:iCs/>
        </w:rPr>
        <w:t>results in the comparator arms of the PD-L1-positive subgroups in IMpassion13</w:t>
      </w:r>
      <w:r w:rsidR="00115C2F">
        <w:rPr>
          <w:iCs/>
        </w:rPr>
        <w:t>0</w:t>
      </w:r>
      <w:r w:rsidR="00C4772D" w:rsidRPr="006E5C4D">
        <w:rPr>
          <w:iCs/>
        </w:rPr>
        <w:t xml:space="preserve"> and IMpassion131 were not consistent, with a median OS of 17.9 months in the PBO+nab-P arm of IMpassion130 compared with 28.3 months in the PBO+P arm of IMpassion131. In contrast, the outcomes in the ATZ+nab-P and ATZ+P arms were similar in the PD-L1-positive subgroups of both trials (median OS 25.4 and 22.1 months, respectively). Further, </w:t>
      </w:r>
      <w:r w:rsidR="00C85E49" w:rsidRPr="008D797E">
        <w:rPr>
          <w:iCs/>
          <w:snapToGrid/>
        </w:rPr>
        <w:t>PD-L1 expression</w:t>
      </w:r>
      <w:r w:rsidR="00C4772D" w:rsidRPr="00115C2F">
        <w:rPr>
          <w:iCs/>
        </w:rPr>
        <w:t xml:space="preserve"> was</w:t>
      </w:r>
      <w:r w:rsidR="00C85E49" w:rsidRPr="00115C2F">
        <w:rPr>
          <w:iCs/>
          <w:snapToGrid/>
        </w:rPr>
        <w:t xml:space="preserve"> not observe</w:t>
      </w:r>
      <w:r w:rsidR="00C4772D" w:rsidRPr="00115C2F">
        <w:rPr>
          <w:iCs/>
        </w:rPr>
        <w:t xml:space="preserve">d </w:t>
      </w:r>
      <w:r w:rsidR="00C85E49" w:rsidRPr="00115C2F">
        <w:rPr>
          <w:iCs/>
          <w:snapToGrid/>
        </w:rPr>
        <w:t xml:space="preserve">as </w:t>
      </w:r>
      <w:r w:rsidR="00C4772D" w:rsidRPr="00115C2F">
        <w:rPr>
          <w:iCs/>
        </w:rPr>
        <w:t xml:space="preserve">a </w:t>
      </w:r>
      <w:r w:rsidR="00C85E49" w:rsidRPr="00115C2F">
        <w:rPr>
          <w:iCs/>
          <w:snapToGrid/>
        </w:rPr>
        <w:t>positive prognostic factor in IMpassion130</w:t>
      </w:r>
      <w:r w:rsidR="00E342CD" w:rsidRPr="008D797E">
        <w:rPr>
          <w:iCs/>
        </w:rPr>
        <w:t xml:space="preserve">. </w:t>
      </w:r>
      <w:r w:rsidR="00C4772D" w:rsidRPr="008D797E">
        <w:t xml:space="preserve">Given the similarity between IMpassion130 and IMpassion131 cohorts, the PBAC considered this inconsistency raises internal validity concerns and suggests that </w:t>
      </w:r>
      <w:r w:rsidR="00E342CD" w:rsidRPr="008D797E">
        <w:t>the performance of the</w:t>
      </w:r>
      <w:r w:rsidR="00C85E49" w:rsidRPr="008D797E">
        <w:rPr>
          <w:rFonts w:ascii="Calibri" w:hAnsi="Calibri"/>
          <w:snapToGrid/>
        </w:rPr>
        <w:t xml:space="preserve"> control arm</w:t>
      </w:r>
      <w:r w:rsidR="00E342CD" w:rsidRPr="008D797E">
        <w:t xml:space="preserve"> in IMpassion130</w:t>
      </w:r>
      <w:r w:rsidR="00C85E49" w:rsidRPr="008D797E">
        <w:rPr>
          <w:rFonts w:ascii="Calibri" w:hAnsi="Calibri"/>
          <w:snapToGrid/>
        </w:rPr>
        <w:t xml:space="preserve"> </w:t>
      </w:r>
      <w:r w:rsidR="00392068">
        <w:rPr>
          <w:rFonts w:ascii="Calibri" w:hAnsi="Calibri"/>
          <w:snapToGrid/>
        </w:rPr>
        <w:t xml:space="preserve">cannot be excluded as   </w:t>
      </w:r>
      <w:r w:rsidR="00C85E49" w:rsidRPr="008D797E">
        <w:rPr>
          <w:rFonts w:ascii="Calibri" w:hAnsi="Calibri"/>
          <w:snapToGrid/>
        </w:rPr>
        <w:t xml:space="preserve">aberrant, which increases uncertainty about the benefit of ATZ+nab-P described by IMpassion130. </w:t>
      </w:r>
    </w:p>
    <w:p w:rsidR="004221B4" w:rsidRPr="006E5C4D" w:rsidRDefault="00E342CD" w:rsidP="004221B4">
      <w:pPr>
        <w:widowControl w:val="0"/>
        <w:numPr>
          <w:ilvl w:val="1"/>
          <w:numId w:val="1"/>
        </w:numPr>
        <w:spacing w:after="120"/>
        <w:rPr>
          <w:rFonts w:asciiTheme="minorHAnsi" w:hAnsiTheme="minorHAnsi"/>
          <w:bCs/>
          <w:snapToGrid w:val="0"/>
        </w:rPr>
      </w:pPr>
      <w:r w:rsidRPr="006E5C4D">
        <w:rPr>
          <w:rFonts w:asciiTheme="minorHAnsi" w:hAnsiTheme="minorHAnsi"/>
          <w:bCs/>
          <w:snapToGrid w:val="0"/>
        </w:rPr>
        <w:t xml:space="preserve">The PBAC recalled that it had previously considered that the claim of inferior safety compared with nab-P alone was reasonable and noted that the updated IMpassion130 trial data did not change its conclusions regarding safety. </w:t>
      </w:r>
    </w:p>
    <w:p w:rsidR="0010155F" w:rsidRPr="008D797E" w:rsidRDefault="006F397B" w:rsidP="0004442C">
      <w:pPr>
        <w:numPr>
          <w:ilvl w:val="1"/>
          <w:numId w:val="1"/>
        </w:numPr>
        <w:spacing w:after="120"/>
      </w:pPr>
      <w:r w:rsidRPr="008D797E">
        <w:rPr>
          <w:rFonts w:asciiTheme="minorHAnsi" w:hAnsiTheme="minorHAnsi"/>
          <w:snapToGrid w:val="0"/>
        </w:rPr>
        <w:t>The PBAC noted t</w:t>
      </w:r>
      <w:r w:rsidRPr="00115C2F">
        <w:rPr>
          <w:rFonts w:asciiTheme="minorHAnsi" w:hAnsiTheme="minorHAnsi"/>
          <w:snapToGrid w:val="0"/>
        </w:rPr>
        <w:t xml:space="preserve">hat </w:t>
      </w:r>
      <w:r w:rsidR="0010155F" w:rsidRPr="00115C2F">
        <w:rPr>
          <w:rFonts w:asciiTheme="minorHAnsi" w:hAnsiTheme="minorHAnsi"/>
          <w:snapToGrid w:val="0"/>
        </w:rPr>
        <w:t>the model presented in the resubmission was largely unchanged compared with the previous submission, with the exception of the extrapolation of OS, the utilities applied and the assumed duration of treatment for ATZ and nab-</w:t>
      </w:r>
      <w:r w:rsidR="0010155F" w:rsidRPr="008D797E">
        <w:rPr>
          <w:rFonts w:asciiTheme="minorHAnsi" w:hAnsiTheme="minorHAnsi"/>
          <w:snapToGrid w:val="0"/>
        </w:rPr>
        <w:t xml:space="preserve">P. </w:t>
      </w:r>
    </w:p>
    <w:p w:rsidR="00F72110" w:rsidRPr="008D797E" w:rsidRDefault="0010155F" w:rsidP="0004442C">
      <w:pPr>
        <w:numPr>
          <w:ilvl w:val="1"/>
          <w:numId w:val="1"/>
        </w:numPr>
        <w:spacing w:after="120"/>
      </w:pPr>
      <w:r w:rsidRPr="008D797E">
        <w:rPr>
          <w:rFonts w:asciiTheme="minorHAnsi" w:hAnsiTheme="minorHAnsi"/>
          <w:snapToGrid w:val="0"/>
        </w:rPr>
        <w:t xml:space="preserve">The PBAC noted </w:t>
      </w:r>
      <w:r w:rsidR="00F72110" w:rsidRPr="008D797E">
        <w:t>the same parametric functions (Gamma distributions) were used for all patients</w:t>
      </w:r>
      <w:r w:rsidR="006F397B" w:rsidRPr="008D797E">
        <w:t xml:space="preserve"> in both the proposed scenario </w:t>
      </w:r>
      <w:r w:rsidR="00F72110" w:rsidRPr="008D797E">
        <w:t>and the current scenario</w:t>
      </w:r>
      <w:r w:rsidR="006F397B" w:rsidRPr="008D797E">
        <w:t xml:space="preserve">. </w:t>
      </w:r>
      <w:r w:rsidR="00405465" w:rsidRPr="008D797E">
        <w:t xml:space="preserve">The PBAC noted that gamma distributions </w:t>
      </w:r>
      <w:r w:rsidR="0047502A" w:rsidRPr="008D797E">
        <w:t>included some</w:t>
      </w:r>
      <w:r w:rsidR="00405465" w:rsidRPr="008D797E">
        <w:t xml:space="preserve"> flattening of the</w:t>
      </w:r>
      <w:r w:rsidRPr="008D797E">
        <w:t xml:space="preserve"> OS</w:t>
      </w:r>
      <w:r w:rsidR="00405465" w:rsidRPr="008D797E">
        <w:t xml:space="preserve"> curve, which assumed an ongoing</w:t>
      </w:r>
      <w:r w:rsidR="00782FC7" w:rsidRPr="008D797E">
        <w:t>,</w:t>
      </w:r>
      <w:r w:rsidR="00405465" w:rsidRPr="008D797E">
        <w:t xml:space="preserve"> durable response for some patients</w:t>
      </w:r>
      <w:r w:rsidRPr="008D797E">
        <w:t>. However</w:t>
      </w:r>
      <w:r w:rsidR="0047502A" w:rsidRPr="008D797E">
        <w:t>,</w:t>
      </w:r>
      <w:r w:rsidRPr="008D797E">
        <w:t xml:space="preserve"> the PBAC considered this</w:t>
      </w:r>
      <w:r w:rsidR="00405465" w:rsidRPr="008D797E">
        <w:t xml:space="preserve"> has not been adequately demonstrated</w:t>
      </w:r>
      <w:r w:rsidRPr="008D797E">
        <w:t xml:space="preserve"> for this population</w:t>
      </w:r>
      <w:r w:rsidR="00405465" w:rsidRPr="008D797E">
        <w:t xml:space="preserve">. </w:t>
      </w:r>
      <w:r w:rsidR="0047502A" w:rsidRPr="006E5C4D">
        <w:t xml:space="preserve">The PBAC recalled it had previously considered the Weibull function </w:t>
      </w:r>
      <w:r w:rsidR="0047502A" w:rsidRPr="008D797E">
        <w:t>resulted in OS estimates that were more clinically plausibl</w:t>
      </w:r>
      <w:r w:rsidR="0047502A" w:rsidRPr="00115C2F">
        <w:t xml:space="preserve">e (para 7.15, atezolizumab PSD, March 2020 PBAC meeting). </w:t>
      </w:r>
      <w:r w:rsidR="006F397B" w:rsidRPr="00115C2F">
        <w:t xml:space="preserve">The PBAC </w:t>
      </w:r>
      <w:r w:rsidR="0047502A" w:rsidRPr="00115C2F">
        <w:t xml:space="preserve">also </w:t>
      </w:r>
      <w:r w:rsidR="006F397B" w:rsidRPr="00115C2F">
        <w:t xml:space="preserve">recalled that it had </w:t>
      </w:r>
      <w:r w:rsidR="00405465" w:rsidRPr="00115C2F">
        <w:t xml:space="preserve">previously </w:t>
      </w:r>
      <w:r w:rsidR="006F397B" w:rsidRPr="00115C2F">
        <w:t xml:space="preserve">recommended </w:t>
      </w:r>
      <w:r w:rsidRPr="00115C2F">
        <w:t>“i</w:t>
      </w:r>
      <w:r w:rsidRPr="006E5C4D">
        <w:rPr>
          <w:snapToGrid w:val="0"/>
        </w:rPr>
        <w:t>n the absence of a statistically significant OS benefit (when adjusted for multiplicity), the economic model would need to be based on conservative assumptions including regarding the magnitude of any modelled OS gains</w:t>
      </w:r>
      <w:r w:rsidRPr="006E5C4D">
        <w:t xml:space="preserve">” (para 7.22 atezolizumab PSD, March 2020 PBAC meeting). </w:t>
      </w:r>
      <w:r w:rsidR="00782FC7" w:rsidRPr="006E5C4D">
        <w:t>The PBAC noted that the updated IMpassion130 data had not provided additional confidence in the OS benefit</w:t>
      </w:r>
      <w:r w:rsidR="0047502A" w:rsidRPr="006E5C4D">
        <w:t xml:space="preserve"> and additionally, in the context of the IMpassion131 trial results, uncertainty regarding the treatment effect remains.</w:t>
      </w:r>
      <w:r w:rsidR="00782FC7" w:rsidRPr="006E5C4D">
        <w:t xml:space="preserve"> </w:t>
      </w:r>
      <w:r w:rsidR="00405465" w:rsidRPr="008D797E">
        <w:t xml:space="preserve">The PBAC </w:t>
      </w:r>
      <w:r w:rsidR="006F397B" w:rsidRPr="00115C2F">
        <w:t xml:space="preserve">considered that the </w:t>
      </w:r>
      <w:r w:rsidR="00782FC7" w:rsidRPr="00115C2F">
        <w:t xml:space="preserve">OS </w:t>
      </w:r>
      <w:r w:rsidR="006F397B" w:rsidRPr="00115C2F">
        <w:t>extrapolation functions applied in the resubmission did not adequately address the PBAC</w:t>
      </w:r>
      <w:r w:rsidR="00782FC7" w:rsidRPr="008D797E">
        <w:t>’s</w:t>
      </w:r>
      <w:r w:rsidR="006F397B" w:rsidRPr="008D797E">
        <w:t xml:space="preserve"> previous </w:t>
      </w:r>
      <w:r w:rsidR="00782FC7" w:rsidRPr="008D797E">
        <w:t>concerns and</w:t>
      </w:r>
      <w:r w:rsidR="006F397B" w:rsidRPr="008D797E">
        <w:t xml:space="preserve"> were not </w:t>
      </w:r>
      <w:r w:rsidR="00405465" w:rsidRPr="008D797E">
        <w:t>appropriately conservative</w:t>
      </w:r>
      <w:r w:rsidRPr="008D797E">
        <w:t xml:space="preserve">. Further, the model relied on </w:t>
      </w:r>
      <w:r w:rsidR="0047502A" w:rsidRPr="008D797E">
        <w:t>the majority (</w:t>
      </w:r>
      <w:r w:rsidRPr="006E5C4D">
        <w:rPr>
          <w:rFonts w:asciiTheme="minorHAnsi" w:hAnsiTheme="minorHAnsi"/>
          <w:bCs/>
          <w:snapToGrid w:val="0"/>
        </w:rPr>
        <w:t>85%</w:t>
      </w:r>
      <w:r w:rsidR="0047502A" w:rsidRPr="006E5C4D">
        <w:rPr>
          <w:rFonts w:asciiTheme="minorHAnsi" w:hAnsiTheme="minorHAnsi"/>
          <w:bCs/>
          <w:snapToGrid w:val="0"/>
        </w:rPr>
        <w:t>)</w:t>
      </w:r>
      <w:r w:rsidRPr="006E5C4D">
        <w:rPr>
          <w:rFonts w:asciiTheme="minorHAnsi" w:hAnsiTheme="minorHAnsi"/>
          <w:bCs/>
          <w:snapToGrid w:val="0"/>
        </w:rPr>
        <w:t xml:space="preserve"> of overall survival benefit (LYG) </w:t>
      </w:r>
      <w:r w:rsidR="0047502A" w:rsidRPr="006E5C4D">
        <w:rPr>
          <w:rFonts w:asciiTheme="minorHAnsi" w:hAnsiTheme="minorHAnsi"/>
          <w:bCs/>
          <w:snapToGrid w:val="0"/>
        </w:rPr>
        <w:t xml:space="preserve">accrued </w:t>
      </w:r>
      <w:r w:rsidRPr="006E5C4D">
        <w:rPr>
          <w:rFonts w:asciiTheme="minorHAnsi" w:hAnsiTheme="minorHAnsi"/>
          <w:bCs/>
          <w:snapToGrid w:val="0"/>
        </w:rPr>
        <w:t xml:space="preserve">in the extrapolated period, with substantial additional survival beyond the point of median </w:t>
      </w:r>
      <w:r w:rsidR="0047502A" w:rsidRPr="006E5C4D">
        <w:rPr>
          <w:rFonts w:asciiTheme="minorHAnsi" w:hAnsiTheme="minorHAnsi"/>
          <w:bCs/>
          <w:snapToGrid w:val="0"/>
        </w:rPr>
        <w:t>follow-up.</w:t>
      </w:r>
      <w:r w:rsidR="00DC4309" w:rsidRPr="006E5C4D">
        <w:rPr>
          <w:rFonts w:asciiTheme="minorHAnsi" w:hAnsiTheme="minorHAnsi"/>
          <w:bCs/>
          <w:snapToGrid w:val="0"/>
        </w:rPr>
        <w:t xml:space="preserve"> The PBAC noted that the model was also sensitive to convergence of the survival curves, though the choice of the timepoint for commencement of convergence </w:t>
      </w:r>
      <w:r w:rsidR="00CB6A0C" w:rsidRPr="006E5C4D">
        <w:rPr>
          <w:rFonts w:asciiTheme="minorHAnsi" w:hAnsiTheme="minorHAnsi"/>
          <w:bCs/>
          <w:snapToGrid w:val="0"/>
        </w:rPr>
        <w:t xml:space="preserve">(applied in sensitivity analyses) </w:t>
      </w:r>
      <w:r w:rsidR="00DC4309" w:rsidRPr="006E5C4D">
        <w:rPr>
          <w:rFonts w:asciiTheme="minorHAnsi" w:hAnsiTheme="minorHAnsi"/>
          <w:bCs/>
          <w:snapToGrid w:val="0"/>
        </w:rPr>
        <w:t>was not justified.</w:t>
      </w:r>
    </w:p>
    <w:p w:rsidR="00F72110" w:rsidRPr="008D797E" w:rsidRDefault="00263E6E" w:rsidP="0004442C">
      <w:pPr>
        <w:pStyle w:val="3-BodyText"/>
      </w:pPr>
      <w:r w:rsidRPr="00115C2F">
        <w:t xml:space="preserve">The PBAC noted that the resubmission introduced caps on the </w:t>
      </w:r>
      <w:r w:rsidR="00F72110" w:rsidRPr="00115C2F">
        <w:t>number of adm</w:t>
      </w:r>
      <w:r w:rsidR="00F72110" w:rsidRPr="008D797E">
        <w:t>inistrations for both ATZ and nab-P applied</w:t>
      </w:r>
      <w:r w:rsidRPr="008D797E">
        <w:t xml:space="preserve"> in the model. The PBAC noted </w:t>
      </w:r>
      <w:r w:rsidRPr="008D797E">
        <w:rPr>
          <w:bCs/>
        </w:rPr>
        <w:t xml:space="preserve">that realisation of the ICER relied on only reimbursing </w:t>
      </w:r>
      <w:r w:rsidR="006470F1">
        <w:rPr>
          <w:bCs/>
          <w:noProof/>
          <w:color w:val="000000"/>
          <w:highlight w:val="black"/>
        </w:rPr>
        <w:t>'''''</w:t>
      </w:r>
      <w:r w:rsidRPr="008D797E">
        <w:rPr>
          <w:bCs/>
        </w:rPr>
        <w:t xml:space="preserve"> doses of ATZ and so cost effectiveness would only delivered through the RSA, and only where financial estimates are accurate. In the context of other concerns about the ICER resulting from the uncertain modelled OS benefit, this </w:t>
      </w:r>
      <w:r w:rsidR="006F197A">
        <w:rPr>
          <w:bCs/>
        </w:rPr>
        <w:t>approach</w:t>
      </w:r>
      <w:r w:rsidR="006F197A" w:rsidRPr="008D797E">
        <w:rPr>
          <w:bCs/>
        </w:rPr>
        <w:t xml:space="preserve"> </w:t>
      </w:r>
      <w:r w:rsidRPr="008D797E">
        <w:rPr>
          <w:bCs/>
        </w:rPr>
        <w:t xml:space="preserve">added to the uncertainty that the proposed ICER would be achieved. </w:t>
      </w:r>
    </w:p>
    <w:p w:rsidR="00F72110" w:rsidRPr="008D797E" w:rsidRDefault="00DC4309" w:rsidP="0004442C">
      <w:pPr>
        <w:pStyle w:val="3-BodyText"/>
      </w:pPr>
      <w:r w:rsidRPr="008D797E">
        <w:t xml:space="preserve">The PBAC noted that in resubmission model the </w:t>
      </w:r>
      <w:r w:rsidR="00F72110" w:rsidRPr="008D797E">
        <w:t>Australian-specific algorithm (Norman 2012</w:t>
      </w:r>
      <w:r w:rsidR="00F72110" w:rsidRPr="008D797E">
        <w:rPr>
          <w:rStyle w:val="FootnoteReference"/>
        </w:rPr>
        <w:footnoteReference w:id="13"/>
      </w:r>
      <w:r w:rsidR="00F72110" w:rsidRPr="008D797E">
        <w:t xml:space="preserve">) </w:t>
      </w:r>
      <w:r w:rsidRPr="00115C2F">
        <w:t xml:space="preserve">was </w:t>
      </w:r>
      <w:r w:rsidR="00F72110" w:rsidRPr="00115C2F">
        <w:t xml:space="preserve">applied to </w:t>
      </w:r>
      <w:r w:rsidRPr="00115C2F">
        <w:t xml:space="preserve">the </w:t>
      </w:r>
      <w:r w:rsidR="00F72110" w:rsidRPr="00115C2F">
        <w:t>final EuroQol- 5 Dimension (EQ-5D) data from IMpassion130 (PFS: 0.695, Progression: 0.583).</w:t>
      </w:r>
      <w:r w:rsidRPr="008D797E">
        <w:t xml:space="preserve"> The PBAC considered that this was appropriate.</w:t>
      </w:r>
    </w:p>
    <w:p w:rsidR="00C85E49" w:rsidRPr="008D797E" w:rsidRDefault="00CB6A0C" w:rsidP="00FA1A1B">
      <w:pPr>
        <w:pStyle w:val="3-BodyText"/>
        <w:rPr>
          <w:bCs/>
        </w:rPr>
      </w:pPr>
      <w:r w:rsidRPr="006E5C4D">
        <w:rPr>
          <w:bCs/>
        </w:rPr>
        <w:t xml:space="preserve">The PBAC noted that multivariate sensitivity analyses </w:t>
      </w:r>
      <w:r w:rsidR="00E355BD" w:rsidRPr="008D797E">
        <w:rPr>
          <w:bCs/>
        </w:rPr>
        <w:t xml:space="preserve">excluding caps on </w:t>
      </w:r>
      <w:r w:rsidRPr="00115C2F">
        <w:rPr>
          <w:bCs/>
        </w:rPr>
        <w:t>nab-P</w:t>
      </w:r>
      <w:r w:rsidR="00E355BD" w:rsidRPr="00115C2F">
        <w:rPr>
          <w:bCs/>
        </w:rPr>
        <w:t>, u</w:t>
      </w:r>
      <w:r w:rsidRPr="00115C2F">
        <w:rPr>
          <w:bCs/>
        </w:rPr>
        <w:t>s</w:t>
      </w:r>
      <w:r w:rsidR="00E355BD" w:rsidRPr="00115C2F">
        <w:rPr>
          <w:bCs/>
        </w:rPr>
        <w:t>i</w:t>
      </w:r>
      <w:r w:rsidR="00E355BD" w:rsidRPr="008D797E">
        <w:rPr>
          <w:bCs/>
        </w:rPr>
        <w:t xml:space="preserve">ng Weibull </w:t>
      </w:r>
      <w:r w:rsidRPr="008D797E">
        <w:rPr>
          <w:bCs/>
        </w:rPr>
        <w:t xml:space="preserve">functions for OS extrapolations </w:t>
      </w:r>
      <w:r w:rsidR="00E355BD" w:rsidRPr="008D797E">
        <w:rPr>
          <w:bCs/>
        </w:rPr>
        <w:t xml:space="preserve">and converging </w:t>
      </w:r>
      <w:r w:rsidRPr="008D797E">
        <w:rPr>
          <w:bCs/>
        </w:rPr>
        <w:t xml:space="preserve">the OS curves from 60 months </w:t>
      </w:r>
      <w:r w:rsidR="00E355BD" w:rsidRPr="008D797E">
        <w:rPr>
          <w:bCs/>
        </w:rPr>
        <w:t>increase</w:t>
      </w:r>
      <w:r w:rsidRPr="008D797E">
        <w:rPr>
          <w:bCs/>
        </w:rPr>
        <w:t>d</w:t>
      </w:r>
      <w:r w:rsidR="00E355BD" w:rsidRPr="008D797E">
        <w:rPr>
          <w:bCs/>
        </w:rPr>
        <w:t xml:space="preserve"> </w:t>
      </w:r>
      <w:r w:rsidRPr="008D797E">
        <w:rPr>
          <w:bCs/>
        </w:rPr>
        <w:t xml:space="preserve">the </w:t>
      </w:r>
      <w:r w:rsidR="00E355BD" w:rsidRPr="008D797E">
        <w:rPr>
          <w:bCs/>
        </w:rPr>
        <w:t>IC</w:t>
      </w:r>
      <w:r w:rsidRPr="008D797E">
        <w:rPr>
          <w:bCs/>
        </w:rPr>
        <w:t xml:space="preserve">ER </w:t>
      </w:r>
      <w:r w:rsidR="006F197A">
        <w:rPr>
          <w:bCs/>
        </w:rPr>
        <w:t xml:space="preserve">to </w:t>
      </w:r>
      <w:r w:rsidRPr="008D797E">
        <w:t>$</w:t>
      </w:r>
      <w:r w:rsidR="001E5C43">
        <w:t>115,000 to &lt;$135,000/QALY gained</w:t>
      </w:r>
      <w:r w:rsidRPr="008D797E">
        <w:t xml:space="preserve"> where caps on ATZ were </w:t>
      </w:r>
      <w:r w:rsidR="00BE232F" w:rsidRPr="008D797E">
        <w:t>modelled</w:t>
      </w:r>
      <w:r w:rsidRPr="008D797E">
        <w:t xml:space="preserve"> and </w:t>
      </w:r>
      <w:r w:rsidR="006F197A">
        <w:t xml:space="preserve">that </w:t>
      </w:r>
      <w:r w:rsidR="00BE232F" w:rsidRPr="008D797E">
        <w:t xml:space="preserve">the ICER </w:t>
      </w:r>
      <w:r w:rsidRPr="008D797E">
        <w:t>increased to $</w:t>
      </w:r>
      <w:r w:rsidR="001E5C43">
        <w:t>135,000 to &lt;$155,000/QALY gained</w:t>
      </w:r>
      <w:r w:rsidRPr="008D797E">
        <w:t xml:space="preserve"> without caps on the </w:t>
      </w:r>
      <w:r w:rsidR="00BE232F" w:rsidRPr="008D797E">
        <w:t xml:space="preserve">number of </w:t>
      </w:r>
      <w:r w:rsidRPr="008D797E">
        <w:t xml:space="preserve">ATZ doses. </w:t>
      </w:r>
      <w:r w:rsidR="00C85E49" w:rsidRPr="008D797E">
        <w:rPr>
          <w:bCs/>
        </w:rPr>
        <w:t xml:space="preserve">Thus, </w:t>
      </w:r>
      <w:r w:rsidRPr="008D797E">
        <w:rPr>
          <w:bCs/>
        </w:rPr>
        <w:t xml:space="preserve">the PBAC considered that </w:t>
      </w:r>
      <w:r w:rsidR="00C85E49" w:rsidRPr="008D797E">
        <w:rPr>
          <w:bCs/>
        </w:rPr>
        <w:t xml:space="preserve">not only </w:t>
      </w:r>
      <w:r w:rsidRPr="008D797E">
        <w:rPr>
          <w:bCs/>
        </w:rPr>
        <w:t>wa</w:t>
      </w:r>
      <w:r w:rsidR="00C85E49" w:rsidRPr="008D797E">
        <w:rPr>
          <w:bCs/>
        </w:rPr>
        <w:t xml:space="preserve">s the ICER uncertain due to the OS uncertainty, it </w:t>
      </w:r>
      <w:r w:rsidRPr="008D797E">
        <w:rPr>
          <w:bCs/>
        </w:rPr>
        <w:t>was</w:t>
      </w:r>
      <w:r w:rsidR="00C85E49" w:rsidRPr="008D797E">
        <w:rPr>
          <w:bCs/>
        </w:rPr>
        <w:t xml:space="preserve"> </w:t>
      </w:r>
      <w:r w:rsidRPr="008D797E">
        <w:rPr>
          <w:bCs/>
        </w:rPr>
        <w:t xml:space="preserve">also </w:t>
      </w:r>
      <w:r w:rsidR="00C85E49" w:rsidRPr="008D797E">
        <w:rPr>
          <w:bCs/>
        </w:rPr>
        <w:t>sensitive to alternative and realistic assumptions regarding its extrapolation</w:t>
      </w:r>
      <w:r w:rsidR="008D797E">
        <w:rPr>
          <w:bCs/>
        </w:rPr>
        <w:t xml:space="preserve">. </w:t>
      </w:r>
    </w:p>
    <w:p w:rsidR="009C2BB0" w:rsidRPr="008D797E" w:rsidRDefault="00BE232F" w:rsidP="009C2BB0">
      <w:pPr>
        <w:pStyle w:val="3-BodyText"/>
      </w:pPr>
      <w:r w:rsidRPr="008D797E">
        <w:t>The PBAC noted that the resubmission’s approach to the financial estimates was largely unchanged from the previous submission, although with updated inputs that were consistent with DUSC’s and PBAC’s previous recommendations. The PBAC considered that the financial estimates remained somewhat uncertain</w:t>
      </w:r>
      <w:r w:rsidR="009C2BB0" w:rsidRPr="008D797E">
        <w:t xml:space="preserve"> as the estimated number of patients with recurrent mTNBC who were diagnosed with early stage TNBC but developed distant recurrence in the first 6 years of listing was uncertain. Any over-estimate of the number of patients likely to be treated has implications for the proposed risk sharing arrangement.</w:t>
      </w:r>
    </w:p>
    <w:p w:rsidR="00C85E49" w:rsidRPr="008D797E" w:rsidRDefault="009C2BB0" w:rsidP="0004442C">
      <w:pPr>
        <w:widowControl w:val="0"/>
        <w:numPr>
          <w:ilvl w:val="1"/>
          <w:numId w:val="1"/>
        </w:numPr>
        <w:spacing w:after="120"/>
      </w:pPr>
      <w:r w:rsidRPr="008D797E">
        <w:t xml:space="preserve">The PBAC considered that it would be preferable that a decision is made regarding the provisional registration status prior to any resubmission and considered that any resubmission would need to address the comparator issue, the uncertainty in the OS benefit, revise the economic model as outlined in paragraph 7.10 and 7.11 without reliance on the RSA for cost-effectiveness. </w:t>
      </w:r>
    </w:p>
    <w:p w:rsidR="004221B4" w:rsidRPr="006E5C4D" w:rsidRDefault="004221B4" w:rsidP="0004442C">
      <w:pPr>
        <w:widowControl w:val="0"/>
        <w:numPr>
          <w:ilvl w:val="1"/>
          <w:numId w:val="1"/>
        </w:numPr>
        <w:spacing w:after="120"/>
        <w:rPr>
          <w:rFonts w:asciiTheme="minorHAnsi" w:hAnsiTheme="minorHAnsi"/>
          <w:bCs/>
          <w:i/>
          <w:snapToGrid w:val="0"/>
        </w:rPr>
      </w:pPr>
      <w:r w:rsidRPr="006E5C4D">
        <w:rPr>
          <w:rFonts w:asciiTheme="minorHAnsi" w:hAnsiTheme="minorHAnsi"/>
          <w:bCs/>
          <w:snapToGrid w:val="0"/>
        </w:rPr>
        <w:t xml:space="preserve">The PBAC noted that this submission is eligible for an Independent Review. </w:t>
      </w:r>
    </w:p>
    <w:p w:rsidR="004221B4" w:rsidRPr="006E5C4D" w:rsidRDefault="004221B4" w:rsidP="004221B4">
      <w:pPr>
        <w:spacing w:before="240"/>
        <w:rPr>
          <w:rFonts w:asciiTheme="minorHAnsi" w:hAnsiTheme="minorHAnsi"/>
          <w:b/>
          <w:bCs/>
          <w:snapToGrid w:val="0"/>
        </w:rPr>
      </w:pPr>
      <w:r w:rsidRPr="006E5C4D">
        <w:rPr>
          <w:rFonts w:asciiTheme="minorHAnsi" w:hAnsiTheme="minorHAnsi"/>
          <w:b/>
          <w:bCs/>
          <w:snapToGrid w:val="0"/>
        </w:rPr>
        <w:t>Outcome:</w:t>
      </w:r>
    </w:p>
    <w:p w:rsidR="006B0813" w:rsidRDefault="004221B4" w:rsidP="004221B4">
      <w:pPr>
        <w:rPr>
          <w:rFonts w:asciiTheme="minorHAnsi" w:hAnsiTheme="minorHAnsi"/>
          <w:bCs/>
          <w:snapToGrid w:val="0"/>
        </w:rPr>
      </w:pPr>
      <w:r w:rsidRPr="006E5C4D">
        <w:rPr>
          <w:rFonts w:asciiTheme="minorHAnsi" w:hAnsiTheme="minorHAnsi"/>
          <w:bCs/>
          <w:snapToGrid w:val="0"/>
        </w:rPr>
        <w:t>Rejected</w:t>
      </w:r>
    </w:p>
    <w:p w:rsidR="006B0813" w:rsidRDefault="006B0813">
      <w:pPr>
        <w:jc w:val="left"/>
        <w:rPr>
          <w:rFonts w:asciiTheme="minorHAnsi" w:hAnsiTheme="minorHAnsi"/>
          <w:bCs/>
          <w:snapToGrid w:val="0"/>
        </w:rPr>
      </w:pPr>
    </w:p>
    <w:p w:rsidR="006B0813" w:rsidRPr="006B0813" w:rsidRDefault="006B0813" w:rsidP="006B0813">
      <w:pPr>
        <w:pStyle w:val="2-SectionHeading"/>
      </w:pPr>
      <w:r w:rsidRPr="00C07617">
        <w:t>Context for Decision</w:t>
      </w:r>
    </w:p>
    <w:p w:rsidR="006B0813" w:rsidRPr="007129F2" w:rsidRDefault="006B0813" w:rsidP="006B0813">
      <w:pPr>
        <w:spacing w:after="120"/>
        <w:ind w:left="720"/>
        <w:rPr>
          <w:rFonts w:asciiTheme="minorHAnsi" w:hAnsiTheme="minorHAnsi"/>
          <w:bCs/>
          <w:lang w:val="en-GB"/>
        </w:rPr>
      </w:pPr>
      <w:r w:rsidRPr="007129F2">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rsidR="006B0813" w:rsidRPr="006B0813" w:rsidRDefault="006B0813" w:rsidP="006B0813">
      <w:pPr>
        <w:pStyle w:val="2-SectionHeading"/>
      </w:pPr>
      <w:r>
        <w:t>Sponsor’s Comment</w:t>
      </w:r>
    </w:p>
    <w:bookmarkEnd w:id="52"/>
    <w:p w:rsidR="00D51D3C" w:rsidRPr="00BF0D6B" w:rsidRDefault="00D51D3C" w:rsidP="00BB7BCB">
      <w:pPr>
        <w:ind w:left="720"/>
        <w:rPr>
          <w:rFonts w:asciiTheme="minorHAnsi" w:hAnsiTheme="minorHAnsi" w:cstheme="minorHAnsi"/>
          <w:bCs/>
          <w:snapToGrid w:val="0"/>
        </w:rPr>
      </w:pPr>
      <w:r w:rsidRPr="00BB7BCB">
        <w:rPr>
          <w:rFonts w:asciiTheme="minorHAnsi" w:hAnsiTheme="minorHAnsi" w:cstheme="minorHAnsi"/>
          <w:color w:val="222222"/>
          <w:shd w:val="clear" w:color="auto" w:fill="FFFFFF"/>
        </w:rPr>
        <w:t>Roche is disappointed with the outcome of this submission.  </w:t>
      </w:r>
      <w:r w:rsidRPr="00BB7BCB">
        <w:rPr>
          <w:rFonts w:asciiTheme="minorHAnsi" w:hAnsiTheme="minorHAnsi" w:cstheme="minorHAnsi"/>
          <w:color w:val="000000"/>
        </w:rPr>
        <w:t>We remain committed to Australian triple negative breast cancer patients and will continue to seek innovative therapeutic developments in this area of clinically unmet need.</w:t>
      </w:r>
    </w:p>
    <w:p w:rsidR="004221B4" w:rsidRPr="006E5C4D" w:rsidRDefault="004221B4" w:rsidP="004221B4">
      <w:pPr>
        <w:rPr>
          <w:rFonts w:asciiTheme="minorHAnsi" w:hAnsiTheme="minorHAnsi"/>
          <w:bCs/>
          <w:snapToGrid w:val="0"/>
        </w:rPr>
      </w:pPr>
    </w:p>
    <w:sectPr w:rsidR="004221B4" w:rsidRPr="006E5C4D" w:rsidSect="00F8220B">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1440" w:header="1440" w:footer="1440" w:gutter="0"/>
      <w:pgNumType w:start="1"/>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202D5A" w16cex:dateUtc="2021-04-13T04:46:00Z"/>
  <w16cex:commentExtensible w16cex:durableId="24203FBE" w16cex:dateUtc="2021-04-13T06:05:00Z"/>
  <w16cex:commentExtensible w16cex:durableId="242037C4" w16cex:dateUtc="2021-04-13T05: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176D022" w16cid:durableId="24202D5A"/>
  <w16cid:commentId w16cid:paraId="578B0AD5" w16cid:durableId="24203FBE"/>
  <w16cid:commentId w16cid:paraId="61522A39" w16cid:durableId="242037C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1D75" w:rsidRDefault="00691D75" w:rsidP="00124A51">
      <w:r>
        <w:separator/>
      </w:r>
    </w:p>
    <w:p w:rsidR="00691D75" w:rsidRDefault="00691D75"/>
  </w:endnote>
  <w:endnote w:type="continuationSeparator" w:id="0">
    <w:p w:rsidR="00691D75" w:rsidRDefault="00691D75" w:rsidP="00124A51">
      <w:r>
        <w:continuationSeparator/>
      </w:r>
    </w:p>
    <w:p w:rsidR="00691D75" w:rsidRDefault="00691D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altName w:val="Sylfae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Bahnschrift">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1D75" w:rsidRDefault="00691D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1D75" w:rsidRDefault="00691D75" w:rsidP="005A20B4">
    <w:pPr>
      <w:ind w:left="709"/>
      <w:contextualSpacing/>
      <w:jc w:val="center"/>
      <w:rPr>
        <w:rFonts w:eastAsia="Calibri"/>
        <w:szCs w:val="22"/>
      </w:rPr>
    </w:pPr>
  </w:p>
  <w:p w:rsidR="00691D75" w:rsidRPr="00721F57" w:rsidRDefault="00691D75" w:rsidP="005A20B4">
    <w:pPr>
      <w:ind w:left="709"/>
      <w:contextualSpacing/>
      <w:jc w:val="center"/>
      <w:rPr>
        <w:rFonts w:asciiTheme="minorHAnsi" w:hAnsiTheme="minorHAnsi" w:cstheme="minorHAnsi"/>
        <w:b/>
        <w:bCs/>
      </w:rPr>
    </w:pPr>
    <w:r w:rsidRPr="00721F57">
      <w:rPr>
        <w:rFonts w:asciiTheme="minorHAnsi" w:hAnsiTheme="minorHAnsi" w:cstheme="minorHAnsi"/>
        <w:b/>
        <w:bCs/>
      </w:rPr>
      <w:fldChar w:fldCharType="begin"/>
    </w:r>
    <w:r w:rsidRPr="00721F57">
      <w:rPr>
        <w:rFonts w:asciiTheme="minorHAnsi" w:hAnsiTheme="minorHAnsi" w:cstheme="minorHAnsi"/>
        <w:b/>
        <w:bCs/>
      </w:rPr>
      <w:instrText xml:space="preserve"> PAGE   \* MERGEFORMAT </w:instrText>
    </w:r>
    <w:r w:rsidRPr="00721F57">
      <w:rPr>
        <w:rFonts w:asciiTheme="minorHAnsi" w:hAnsiTheme="minorHAnsi" w:cstheme="minorHAnsi"/>
        <w:b/>
        <w:bCs/>
      </w:rPr>
      <w:fldChar w:fldCharType="separate"/>
    </w:r>
    <w:r w:rsidR="007316BD">
      <w:rPr>
        <w:rFonts w:asciiTheme="minorHAnsi" w:hAnsiTheme="minorHAnsi" w:cstheme="minorHAnsi"/>
        <w:b/>
        <w:bCs/>
        <w:noProof/>
      </w:rPr>
      <w:t>24</w:t>
    </w:r>
    <w:r w:rsidRPr="00721F57">
      <w:rPr>
        <w:rFonts w:asciiTheme="minorHAnsi" w:hAnsiTheme="minorHAnsi" w:cstheme="minorHAnsi"/>
        <w:b/>
        <w:bCs/>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1D75" w:rsidRDefault="00691D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1D75" w:rsidRDefault="00691D75" w:rsidP="00124A51">
      <w:r>
        <w:separator/>
      </w:r>
    </w:p>
    <w:p w:rsidR="00691D75" w:rsidRDefault="00691D75"/>
  </w:footnote>
  <w:footnote w:type="continuationSeparator" w:id="0">
    <w:p w:rsidR="00691D75" w:rsidRDefault="00691D75" w:rsidP="00124A51">
      <w:r>
        <w:continuationSeparator/>
      </w:r>
    </w:p>
    <w:p w:rsidR="00691D75" w:rsidRDefault="00691D75"/>
  </w:footnote>
  <w:footnote w:id="1">
    <w:p w:rsidR="00691D75" w:rsidRPr="006E5C4D" w:rsidRDefault="00691D75" w:rsidP="00547D9A">
      <w:pPr>
        <w:pStyle w:val="FootnoteText"/>
      </w:pPr>
      <w:r w:rsidRPr="008D797E">
        <w:rPr>
          <w:rStyle w:val="FootnoteReference"/>
        </w:rPr>
        <w:footnoteRef/>
      </w:r>
      <w:r w:rsidRPr="008D797E">
        <w:t xml:space="preserve"> AGO: Diagnosis and Treatment of Patients with early and advanced Breast Cancer Version 2020.1; </w:t>
      </w:r>
      <w:r w:rsidRPr="006E5C4D">
        <w:t xml:space="preserve">URL: </w:t>
      </w:r>
      <w:hyperlink r:id="rId1" w:history="1">
        <w:r w:rsidRPr="006E5C4D">
          <w:rPr>
            <w:rStyle w:val="Hyperlink"/>
          </w:rPr>
          <w:t>https://www.ago-online.de/fileadmin/ago-online/downloads/_leitlinien/kommission_mamma/2020/Updated_Guidelines_2020.pdf</w:t>
        </w:r>
      </w:hyperlink>
      <w:r w:rsidRPr="006E5C4D">
        <w:t xml:space="preserve"> </w:t>
      </w:r>
    </w:p>
  </w:footnote>
  <w:footnote w:id="2">
    <w:p w:rsidR="00691D75" w:rsidRPr="006E5C4D" w:rsidRDefault="00691D75">
      <w:pPr>
        <w:pStyle w:val="FootnoteText"/>
      </w:pPr>
      <w:r w:rsidRPr="008D797E">
        <w:rPr>
          <w:rStyle w:val="FootnoteReference"/>
        </w:rPr>
        <w:footnoteRef/>
      </w:r>
      <w:r w:rsidRPr="008D797E">
        <w:t xml:space="preserve"> Cardoso, F </w:t>
      </w:r>
      <w:r w:rsidRPr="00115C2F">
        <w:rPr>
          <w:i/>
        </w:rPr>
        <w:t>et. al.</w:t>
      </w:r>
      <w:r w:rsidRPr="008D797E">
        <w:t xml:space="preserve"> 5th ESO-ESMO international consensus guidelines for advanced breast cancer (ABC 5). </w:t>
      </w:r>
      <w:r w:rsidRPr="008D797E">
        <w:rPr>
          <w:i/>
        </w:rPr>
        <w:t>Annals of Oncology</w:t>
      </w:r>
      <w:r w:rsidRPr="008D797E">
        <w:t>, Volume 31, Issue 12, 2020; 1623-1649.</w:t>
      </w:r>
    </w:p>
  </w:footnote>
  <w:footnote w:id="3">
    <w:p w:rsidR="00691D75" w:rsidRPr="006E5C4D" w:rsidRDefault="00691D75">
      <w:pPr>
        <w:pStyle w:val="FootnoteText"/>
      </w:pPr>
      <w:r w:rsidRPr="008D797E">
        <w:rPr>
          <w:rStyle w:val="FootnoteReference"/>
        </w:rPr>
        <w:footnoteRef/>
      </w:r>
      <w:r w:rsidRPr="008D797E">
        <w:t xml:space="preserve"> </w:t>
      </w:r>
      <w:r w:rsidRPr="00115C2F">
        <w:t>National Comprehensive Cancer Network Guidelines Version 5.2020 - Breast Cancer; as provided with the resubmission.</w:t>
      </w:r>
    </w:p>
  </w:footnote>
  <w:footnote w:id="4">
    <w:p w:rsidR="00691D75" w:rsidRPr="006E5C4D" w:rsidRDefault="00691D75" w:rsidP="00316D42">
      <w:pPr>
        <w:pStyle w:val="FootnoteText"/>
        <w:spacing w:after="60"/>
      </w:pPr>
      <w:r w:rsidRPr="008D797E">
        <w:rPr>
          <w:rStyle w:val="FootnoteReference"/>
        </w:rPr>
        <w:footnoteRef/>
      </w:r>
      <w:r w:rsidRPr="008D797E">
        <w:t xml:space="preserve"> Li, C.H., Karantza, V., Aktan, G. </w:t>
      </w:r>
      <w:r w:rsidRPr="00115C2F">
        <w:rPr>
          <w:i/>
          <w:iCs/>
        </w:rPr>
        <w:t xml:space="preserve">et al. </w:t>
      </w:r>
      <w:r w:rsidRPr="008D797E">
        <w:t xml:space="preserve">Current treatment landscape for patients with locally recurrent inoperable or metastatic triple-negative breast cancer: a systematic literature review. </w:t>
      </w:r>
      <w:r w:rsidRPr="008D797E">
        <w:rPr>
          <w:i/>
          <w:iCs/>
        </w:rPr>
        <w:t>Breast Cancer Res 2019;</w:t>
      </w:r>
      <w:r w:rsidRPr="008D797E">
        <w:t xml:space="preserve"> 21,</w:t>
      </w:r>
      <w:r w:rsidRPr="008D797E">
        <w:rPr>
          <w:b/>
          <w:bCs/>
        </w:rPr>
        <w:t xml:space="preserve"> </w:t>
      </w:r>
      <w:r w:rsidRPr="008D797E">
        <w:t>143.</w:t>
      </w:r>
    </w:p>
  </w:footnote>
  <w:footnote w:id="5">
    <w:p w:rsidR="00691D75" w:rsidRPr="006E5C4D" w:rsidRDefault="00691D75">
      <w:pPr>
        <w:pStyle w:val="FootnoteText"/>
      </w:pPr>
      <w:r w:rsidRPr="008D797E">
        <w:rPr>
          <w:rStyle w:val="FootnoteReference"/>
        </w:rPr>
        <w:footnoteRef/>
      </w:r>
      <w:r w:rsidRPr="008D797E">
        <w:t xml:space="preserve"> Cortes, JavierLuis, Fein </w:t>
      </w:r>
      <w:r w:rsidRPr="00115C2F">
        <w:rPr>
          <w:i/>
        </w:rPr>
        <w:t xml:space="preserve">et al. </w:t>
      </w:r>
      <w:r w:rsidRPr="008D797E">
        <w:t xml:space="preserve">Pembrolizumab plus chemotherapy versus placebo plus chemotherapy for previously untreated locally recurrent inoperable or metastatic triple-negative breast cancer (KEYNOTE-355): a randomised, placebo-controlled, double-blind, phase 3 clinical trial. </w:t>
      </w:r>
      <w:r w:rsidRPr="008D797E">
        <w:rPr>
          <w:i/>
        </w:rPr>
        <w:t>The Lancet</w:t>
      </w:r>
      <w:r w:rsidRPr="008D797E">
        <w:t>, Volume 396, Issue 10265, 1817 - 1828</w:t>
      </w:r>
    </w:p>
  </w:footnote>
  <w:footnote w:id="6">
    <w:p w:rsidR="00691D75" w:rsidRPr="008D797E" w:rsidRDefault="00691D75" w:rsidP="00792017">
      <w:pPr>
        <w:pStyle w:val="FootnoteText"/>
      </w:pPr>
      <w:r w:rsidRPr="008D797E">
        <w:rPr>
          <w:rStyle w:val="FootnoteReference"/>
        </w:rPr>
        <w:footnoteRef/>
      </w:r>
      <w:r w:rsidRPr="008D797E">
        <w:t xml:space="preserve"> </w:t>
      </w:r>
      <w:r w:rsidRPr="008D797E">
        <w:rPr>
          <w:snapToGrid w:val="0"/>
          <w:sz w:val="16"/>
        </w:rPr>
        <w:t>Cherny NI, Dafni U, Bogaerts J, et al: ESMO-Magnitude of Clinical Benefit Sca</w:t>
      </w:r>
      <w:r w:rsidRPr="00115C2F">
        <w:rPr>
          <w:snapToGrid w:val="0"/>
          <w:sz w:val="16"/>
        </w:rPr>
        <w:t>le vers</w:t>
      </w:r>
      <w:r w:rsidRPr="008D797E">
        <w:rPr>
          <w:snapToGrid w:val="0"/>
          <w:sz w:val="16"/>
        </w:rPr>
        <w:t>ion 1.1. Annals of Oncology 28:2340-2366, 2017]</w:t>
      </w:r>
    </w:p>
  </w:footnote>
  <w:footnote w:id="7">
    <w:p w:rsidR="00691D75" w:rsidRPr="006E5C4D" w:rsidRDefault="00691D75">
      <w:pPr>
        <w:pStyle w:val="FootnoteText"/>
      </w:pPr>
      <w:r w:rsidRPr="008D797E">
        <w:rPr>
          <w:rStyle w:val="FootnoteReference"/>
        </w:rPr>
        <w:footnoteRef/>
      </w:r>
      <w:r w:rsidRPr="008D797E">
        <w:t xml:space="preserve"> Abbott,</w:t>
      </w:r>
      <w:r w:rsidRPr="00115C2F">
        <w:t xml:space="preserve"> D </w:t>
      </w:r>
      <w:r w:rsidRPr="00115C2F">
        <w:rPr>
          <w:i/>
        </w:rPr>
        <w:t>et. al.</w:t>
      </w:r>
      <w:r w:rsidRPr="008D797E">
        <w:t xml:space="preserve"> How Median Follow-up Time Informs Survival Outcomes: Lessons from a Trial of Acute Myeloid Patients Treated with Venetoclax and Azacitidine. </w:t>
      </w:r>
      <w:r w:rsidRPr="008D797E">
        <w:rPr>
          <w:i/>
        </w:rPr>
        <w:t>Blood</w:t>
      </w:r>
      <w:r w:rsidRPr="008D797E">
        <w:t xml:space="preserve"> 2019; 134 (Supplement_1): 5897.</w:t>
      </w:r>
    </w:p>
  </w:footnote>
  <w:footnote w:id="8">
    <w:p w:rsidR="00691D75" w:rsidRPr="006E5C4D" w:rsidRDefault="00691D75">
      <w:pPr>
        <w:pStyle w:val="FootnoteText"/>
      </w:pPr>
      <w:r w:rsidRPr="008D797E">
        <w:rPr>
          <w:rStyle w:val="FootnoteReference"/>
        </w:rPr>
        <w:footnoteRef/>
      </w:r>
      <w:r w:rsidRPr="008D797E">
        <w:t xml:space="preserve"> </w:t>
      </w:r>
      <w:r w:rsidRPr="006E5C4D">
        <w:t xml:space="preserve">Miles D, </w:t>
      </w:r>
      <w:r w:rsidRPr="006E5C4D">
        <w:rPr>
          <w:i/>
        </w:rPr>
        <w:t xml:space="preserve">et. al. </w:t>
      </w:r>
      <w:r w:rsidRPr="006E5C4D">
        <w:t xml:space="preserve">Primary results from IMpassion131, a double blind placebo controlled randomised phase 3 trial of first line paclitaxel ± atezolizumab for unresectable locally advanced/metastatic triple negative breast cancer. Presented at the ESMO 2020 Virtual Congress, online: https://oncologypro.esmo.org/meeting-resources/esmo-virtual-congress-2020/primary-results-from-impassion131-a-double-blind-placebo-controlled-randomised-phase-iii-trial-of-first-line-paclitaxel-pac-atezolizumab-atez </w:t>
      </w:r>
    </w:p>
  </w:footnote>
  <w:footnote w:id="9">
    <w:p w:rsidR="00691D75" w:rsidRPr="006E5C4D" w:rsidRDefault="00691D75" w:rsidP="00EA35CA">
      <w:pPr>
        <w:pStyle w:val="FootnoteText"/>
      </w:pPr>
      <w:r w:rsidRPr="008D797E">
        <w:rPr>
          <w:rStyle w:val="FootnoteReference"/>
        </w:rPr>
        <w:footnoteRef/>
      </w:r>
      <w:r w:rsidRPr="008D797E">
        <w:t xml:space="preserve"> Luhn P, </w:t>
      </w:r>
      <w:r w:rsidRPr="008D797E">
        <w:rPr>
          <w:i/>
          <w:iCs/>
        </w:rPr>
        <w:t>et. al.</w:t>
      </w:r>
      <w:r w:rsidRPr="00115C2F">
        <w:t xml:space="preserve">. Comparative effectiveness of first-line nab-paclitaxel versus paclitaxel monotherapy in triple-negative breast cancer. </w:t>
      </w:r>
      <w:r w:rsidRPr="00115C2F">
        <w:rPr>
          <w:i/>
        </w:rPr>
        <w:t>J Comp Eff Res</w:t>
      </w:r>
      <w:r w:rsidRPr="008D797E">
        <w:t xml:space="preserve"> 2019 Oct;8(14):1173-1185.</w:t>
      </w:r>
    </w:p>
  </w:footnote>
  <w:footnote w:id="10">
    <w:p w:rsidR="00691D75" w:rsidRPr="006E5C4D" w:rsidRDefault="00691D75" w:rsidP="004F14D7">
      <w:pPr>
        <w:pStyle w:val="FootnoteText"/>
      </w:pPr>
      <w:r w:rsidRPr="008D797E">
        <w:rPr>
          <w:rStyle w:val="FootnoteReference"/>
        </w:rPr>
        <w:footnoteRef/>
      </w:r>
      <w:r w:rsidRPr="008D797E">
        <w:t xml:space="preserve"> </w:t>
      </w:r>
      <w:r w:rsidRPr="008D797E">
        <w:rPr>
          <w:sz w:val="18"/>
          <w:szCs w:val="18"/>
        </w:rPr>
        <w:t xml:space="preserve">Rugo HS </w:t>
      </w:r>
      <w:r w:rsidRPr="008D797E">
        <w:rPr>
          <w:i/>
          <w:sz w:val="18"/>
          <w:szCs w:val="18"/>
        </w:rPr>
        <w:t>et al</w:t>
      </w:r>
      <w:r w:rsidRPr="00115C2F">
        <w:rPr>
          <w:sz w:val="18"/>
          <w:szCs w:val="18"/>
        </w:rPr>
        <w:t xml:space="preserve">, Randomized Phase III Trial of Paclitaxel Once Per Week Compared With Nanoparticle Albumin-Bound Nab-Paclitaxel Once Per Week or Ixabepilone With Bevacizumab As First-Line Chemotherapy for Locally Recurrent or Metastatic Breast Cancer: CALGB 40502/NCCTG N063H (Alliance) </w:t>
      </w:r>
      <w:r w:rsidRPr="008D797E">
        <w:rPr>
          <w:i/>
          <w:sz w:val="18"/>
          <w:szCs w:val="18"/>
        </w:rPr>
        <w:t>J Clin Oncol</w:t>
      </w:r>
      <w:r w:rsidRPr="008D797E">
        <w:rPr>
          <w:sz w:val="18"/>
          <w:szCs w:val="18"/>
        </w:rPr>
        <w:t xml:space="preserve"> 2015 Jul 20;33(21):2361-9 </w:t>
      </w:r>
      <w:r w:rsidRPr="008D797E">
        <w:t xml:space="preserve"> </w:t>
      </w:r>
    </w:p>
  </w:footnote>
  <w:footnote w:id="11">
    <w:p w:rsidR="00691D75" w:rsidRPr="008D797E" w:rsidRDefault="00691D75" w:rsidP="00622DEB">
      <w:pPr>
        <w:pStyle w:val="FootnoteText"/>
      </w:pPr>
      <w:r w:rsidRPr="008D797E">
        <w:rPr>
          <w:rStyle w:val="FootnoteReference"/>
        </w:rPr>
        <w:footnoteRef/>
      </w:r>
      <w:r w:rsidRPr="008D797E">
        <w:t xml:space="preserve"> The economic model included a single arm to model both the </w:t>
      </w:r>
      <w:r w:rsidRPr="00115C2F">
        <w:t xml:space="preserve">PD-L1-positive and PD-L1-negative patients in the resubmission base case. However, the financial estimates only considered the difference in treatment costs for the PD-L1-positive population. Therefore, the implied per-treatment cost of PD-L1-positive patients treated with nab-P was taken from the ‘false-negative’ sub-population in the economic model. This treatment pathway in the economic model was based on PD-L1-positive patients treated with nab-P, and is therefore </w:t>
      </w:r>
      <w:r w:rsidRPr="008D797E">
        <w:t>suitable for comparison.</w:t>
      </w:r>
    </w:p>
  </w:footnote>
  <w:footnote w:id="12">
    <w:p w:rsidR="00691D75" w:rsidRPr="008D797E" w:rsidRDefault="00691D75" w:rsidP="00622DEB">
      <w:pPr>
        <w:pStyle w:val="FootnoteText"/>
      </w:pPr>
      <w:r w:rsidRPr="00115C2F">
        <w:rPr>
          <w:rStyle w:val="FootnoteReference"/>
        </w:rPr>
        <w:footnoteRef/>
      </w:r>
      <w:r w:rsidRPr="00115C2F">
        <w:t xml:space="preserve"> Early Breast Cancer Trialists’ Collaborative Group (EBCTCG). Increasing the dose intensity of chemotherapy by more frequent administration or sequential scheduling: a patient-level meta-analysis of 37 298 women with early breast </w:t>
      </w:r>
      <w:r w:rsidRPr="008D797E">
        <w:t>cancer in 26 randomised trials. Lancet 2019; 393: 1440–52</w:t>
      </w:r>
    </w:p>
    <w:p w:rsidR="00691D75" w:rsidRPr="008D797E" w:rsidRDefault="00691D75" w:rsidP="00622DEB">
      <w:pPr>
        <w:pStyle w:val="FootnoteText"/>
      </w:pPr>
      <w:r w:rsidRPr="008D797E">
        <w:t>Radosa JC et al. Evaluation of Local and Distant Recurrence Patterns in Patients with Triple-Negative Breast Cancer According to Age. Ann Surg Oncol. 2017; 24(3): 698–704.</w:t>
      </w:r>
    </w:p>
    <w:p w:rsidR="00691D75" w:rsidRPr="008D797E" w:rsidRDefault="00691D75" w:rsidP="00622DEB">
      <w:pPr>
        <w:pStyle w:val="FootnoteText"/>
      </w:pPr>
      <w:r w:rsidRPr="008D797E">
        <w:t>Lin NU et al. Clinicopathologic features, patterns of recurrence, and survival among women with triple-negative breast cancer in the national comprehensive cancer network. Cancer, 2012; 118: 5463-72.</w:t>
      </w:r>
    </w:p>
  </w:footnote>
  <w:footnote w:id="13">
    <w:p w:rsidR="00691D75" w:rsidRPr="00115C2F" w:rsidRDefault="00691D75" w:rsidP="00F72110">
      <w:pPr>
        <w:pStyle w:val="FootnoteText"/>
      </w:pPr>
      <w:r w:rsidRPr="00115C2F">
        <w:rPr>
          <w:rStyle w:val="FootnoteReference"/>
        </w:rPr>
        <w:footnoteRef/>
      </w:r>
      <w:r w:rsidRPr="00115C2F">
        <w:t xml:space="preserve"> Norman R et al. Deriving utility weights for the EQ-5D-5L using a discrete choice experiment. Working paper 2012/01. Centre for Health Economics Research and Evaluation (CHERE), Univer</w:t>
      </w:r>
      <w:r>
        <w:t>sity of Technology Sydney. 2012.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1D75" w:rsidRDefault="00691D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1D75" w:rsidRPr="00721F57" w:rsidRDefault="00691D75">
    <w:pPr>
      <w:pStyle w:val="Header"/>
      <w:rPr>
        <w:i/>
      </w:rPr>
    </w:pPr>
    <w:r>
      <w:rPr>
        <w:i/>
      </w:rPr>
      <w:t xml:space="preserve">Public Summary Document </w:t>
    </w:r>
    <w:r w:rsidRPr="00721F57">
      <w:rPr>
        <w:i/>
      </w:rPr>
      <w:t>– March 2021 PBAC Meeting</w:t>
    </w:r>
  </w:p>
  <w:p w:rsidR="00691D75" w:rsidRDefault="00691D75"/>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1D75" w:rsidRDefault="00691D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ED08FE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DE70EDE"/>
    <w:multiLevelType w:val="hybridMultilevel"/>
    <w:tmpl w:val="36166D56"/>
    <w:lvl w:ilvl="0" w:tplc="0C090001">
      <w:start w:val="1"/>
      <w:numFmt w:val="bullet"/>
      <w:lvlText w:val=""/>
      <w:lvlJc w:val="left"/>
      <w:pPr>
        <w:ind w:left="1440" w:hanging="360"/>
      </w:pPr>
      <w:rPr>
        <w:rFonts w:ascii="Symbol" w:hAnsi="Symbol" w:hint="default"/>
      </w:rPr>
    </w:lvl>
    <w:lvl w:ilvl="1" w:tplc="C9AEA9AA">
      <w:start w:val="1"/>
      <w:numFmt w:val="bullet"/>
      <w:lvlText w:val="-"/>
      <w:lvlJc w:val="left"/>
      <w:pPr>
        <w:ind w:left="2160" w:hanging="360"/>
      </w:pPr>
      <w:rPr>
        <w:rFonts w:ascii="Times New Roman" w:eastAsia="Times New Roman" w:hAnsi="Times New Roman" w:cs="Times New Roman"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144C6C3A"/>
    <w:multiLevelType w:val="hybridMultilevel"/>
    <w:tmpl w:val="516AC552"/>
    <w:lvl w:ilvl="0" w:tplc="87F8B37A">
      <w:start w:val="1"/>
      <w:numFmt w:val="bullet"/>
      <w:lvlText w:val="•"/>
      <w:lvlJc w:val="left"/>
      <w:pPr>
        <w:tabs>
          <w:tab w:val="num" w:pos="720"/>
        </w:tabs>
        <w:ind w:left="720" w:hanging="360"/>
      </w:pPr>
      <w:rPr>
        <w:rFonts w:ascii="Arial" w:hAnsi="Arial" w:hint="default"/>
      </w:rPr>
    </w:lvl>
    <w:lvl w:ilvl="1" w:tplc="F7D08698" w:tentative="1">
      <w:start w:val="1"/>
      <w:numFmt w:val="bullet"/>
      <w:lvlText w:val="•"/>
      <w:lvlJc w:val="left"/>
      <w:pPr>
        <w:tabs>
          <w:tab w:val="num" w:pos="1440"/>
        </w:tabs>
        <w:ind w:left="1440" w:hanging="360"/>
      </w:pPr>
      <w:rPr>
        <w:rFonts w:ascii="Arial" w:hAnsi="Arial" w:hint="default"/>
      </w:rPr>
    </w:lvl>
    <w:lvl w:ilvl="2" w:tplc="FE469128" w:tentative="1">
      <w:start w:val="1"/>
      <w:numFmt w:val="bullet"/>
      <w:lvlText w:val="•"/>
      <w:lvlJc w:val="left"/>
      <w:pPr>
        <w:tabs>
          <w:tab w:val="num" w:pos="2160"/>
        </w:tabs>
        <w:ind w:left="2160" w:hanging="360"/>
      </w:pPr>
      <w:rPr>
        <w:rFonts w:ascii="Arial" w:hAnsi="Arial" w:hint="default"/>
      </w:rPr>
    </w:lvl>
    <w:lvl w:ilvl="3" w:tplc="34C4B2EE" w:tentative="1">
      <w:start w:val="1"/>
      <w:numFmt w:val="bullet"/>
      <w:lvlText w:val="•"/>
      <w:lvlJc w:val="left"/>
      <w:pPr>
        <w:tabs>
          <w:tab w:val="num" w:pos="2880"/>
        </w:tabs>
        <w:ind w:left="2880" w:hanging="360"/>
      </w:pPr>
      <w:rPr>
        <w:rFonts w:ascii="Arial" w:hAnsi="Arial" w:hint="default"/>
      </w:rPr>
    </w:lvl>
    <w:lvl w:ilvl="4" w:tplc="D74C2D2A" w:tentative="1">
      <w:start w:val="1"/>
      <w:numFmt w:val="bullet"/>
      <w:lvlText w:val="•"/>
      <w:lvlJc w:val="left"/>
      <w:pPr>
        <w:tabs>
          <w:tab w:val="num" w:pos="3600"/>
        </w:tabs>
        <w:ind w:left="3600" w:hanging="360"/>
      </w:pPr>
      <w:rPr>
        <w:rFonts w:ascii="Arial" w:hAnsi="Arial" w:hint="default"/>
      </w:rPr>
    </w:lvl>
    <w:lvl w:ilvl="5" w:tplc="217C1440" w:tentative="1">
      <w:start w:val="1"/>
      <w:numFmt w:val="bullet"/>
      <w:lvlText w:val="•"/>
      <w:lvlJc w:val="left"/>
      <w:pPr>
        <w:tabs>
          <w:tab w:val="num" w:pos="4320"/>
        </w:tabs>
        <w:ind w:left="4320" w:hanging="360"/>
      </w:pPr>
      <w:rPr>
        <w:rFonts w:ascii="Arial" w:hAnsi="Arial" w:hint="default"/>
      </w:rPr>
    </w:lvl>
    <w:lvl w:ilvl="6" w:tplc="596C161A" w:tentative="1">
      <w:start w:val="1"/>
      <w:numFmt w:val="bullet"/>
      <w:lvlText w:val="•"/>
      <w:lvlJc w:val="left"/>
      <w:pPr>
        <w:tabs>
          <w:tab w:val="num" w:pos="5040"/>
        </w:tabs>
        <w:ind w:left="5040" w:hanging="360"/>
      </w:pPr>
      <w:rPr>
        <w:rFonts w:ascii="Arial" w:hAnsi="Arial" w:hint="default"/>
      </w:rPr>
    </w:lvl>
    <w:lvl w:ilvl="7" w:tplc="3F449E0E" w:tentative="1">
      <w:start w:val="1"/>
      <w:numFmt w:val="bullet"/>
      <w:lvlText w:val="•"/>
      <w:lvlJc w:val="left"/>
      <w:pPr>
        <w:tabs>
          <w:tab w:val="num" w:pos="5760"/>
        </w:tabs>
        <w:ind w:left="5760" w:hanging="360"/>
      </w:pPr>
      <w:rPr>
        <w:rFonts w:ascii="Arial" w:hAnsi="Arial" w:hint="default"/>
      </w:rPr>
    </w:lvl>
    <w:lvl w:ilvl="8" w:tplc="30DE037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7B1202D"/>
    <w:multiLevelType w:val="hybridMultilevel"/>
    <w:tmpl w:val="2462431A"/>
    <w:lvl w:ilvl="0" w:tplc="BFCA2844">
      <w:start w:val="1"/>
      <w:numFmt w:val="bullet"/>
      <w:lvlText w:val="•"/>
      <w:lvlJc w:val="left"/>
      <w:pPr>
        <w:tabs>
          <w:tab w:val="num" w:pos="720"/>
        </w:tabs>
        <w:ind w:left="720" w:hanging="360"/>
      </w:pPr>
      <w:rPr>
        <w:rFonts w:ascii="Arial" w:hAnsi="Arial" w:hint="default"/>
      </w:rPr>
    </w:lvl>
    <w:lvl w:ilvl="1" w:tplc="000E9AF4" w:tentative="1">
      <w:start w:val="1"/>
      <w:numFmt w:val="bullet"/>
      <w:lvlText w:val="•"/>
      <w:lvlJc w:val="left"/>
      <w:pPr>
        <w:tabs>
          <w:tab w:val="num" w:pos="1440"/>
        </w:tabs>
        <w:ind w:left="1440" w:hanging="360"/>
      </w:pPr>
      <w:rPr>
        <w:rFonts w:ascii="Arial" w:hAnsi="Arial" w:hint="default"/>
      </w:rPr>
    </w:lvl>
    <w:lvl w:ilvl="2" w:tplc="F50447CC" w:tentative="1">
      <w:start w:val="1"/>
      <w:numFmt w:val="bullet"/>
      <w:lvlText w:val="•"/>
      <w:lvlJc w:val="left"/>
      <w:pPr>
        <w:tabs>
          <w:tab w:val="num" w:pos="2160"/>
        </w:tabs>
        <w:ind w:left="2160" w:hanging="360"/>
      </w:pPr>
      <w:rPr>
        <w:rFonts w:ascii="Arial" w:hAnsi="Arial" w:hint="default"/>
      </w:rPr>
    </w:lvl>
    <w:lvl w:ilvl="3" w:tplc="BDC6C790" w:tentative="1">
      <w:start w:val="1"/>
      <w:numFmt w:val="bullet"/>
      <w:lvlText w:val="•"/>
      <w:lvlJc w:val="left"/>
      <w:pPr>
        <w:tabs>
          <w:tab w:val="num" w:pos="2880"/>
        </w:tabs>
        <w:ind w:left="2880" w:hanging="360"/>
      </w:pPr>
      <w:rPr>
        <w:rFonts w:ascii="Arial" w:hAnsi="Arial" w:hint="default"/>
      </w:rPr>
    </w:lvl>
    <w:lvl w:ilvl="4" w:tplc="8AAEBECA" w:tentative="1">
      <w:start w:val="1"/>
      <w:numFmt w:val="bullet"/>
      <w:lvlText w:val="•"/>
      <w:lvlJc w:val="left"/>
      <w:pPr>
        <w:tabs>
          <w:tab w:val="num" w:pos="3600"/>
        </w:tabs>
        <w:ind w:left="3600" w:hanging="360"/>
      </w:pPr>
      <w:rPr>
        <w:rFonts w:ascii="Arial" w:hAnsi="Arial" w:hint="default"/>
      </w:rPr>
    </w:lvl>
    <w:lvl w:ilvl="5" w:tplc="BE7E5F80" w:tentative="1">
      <w:start w:val="1"/>
      <w:numFmt w:val="bullet"/>
      <w:lvlText w:val="•"/>
      <w:lvlJc w:val="left"/>
      <w:pPr>
        <w:tabs>
          <w:tab w:val="num" w:pos="4320"/>
        </w:tabs>
        <w:ind w:left="4320" w:hanging="360"/>
      </w:pPr>
      <w:rPr>
        <w:rFonts w:ascii="Arial" w:hAnsi="Arial" w:hint="default"/>
      </w:rPr>
    </w:lvl>
    <w:lvl w:ilvl="6" w:tplc="27FAF8D4" w:tentative="1">
      <w:start w:val="1"/>
      <w:numFmt w:val="bullet"/>
      <w:lvlText w:val="•"/>
      <w:lvlJc w:val="left"/>
      <w:pPr>
        <w:tabs>
          <w:tab w:val="num" w:pos="5040"/>
        </w:tabs>
        <w:ind w:left="5040" w:hanging="360"/>
      </w:pPr>
      <w:rPr>
        <w:rFonts w:ascii="Arial" w:hAnsi="Arial" w:hint="default"/>
      </w:rPr>
    </w:lvl>
    <w:lvl w:ilvl="7" w:tplc="80244C82" w:tentative="1">
      <w:start w:val="1"/>
      <w:numFmt w:val="bullet"/>
      <w:lvlText w:val="•"/>
      <w:lvlJc w:val="left"/>
      <w:pPr>
        <w:tabs>
          <w:tab w:val="num" w:pos="5760"/>
        </w:tabs>
        <w:ind w:left="5760" w:hanging="360"/>
      </w:pPr>
      <w:rPr>
        <w:rFonts w:ascii="Arial" w:hAnsi="Arial" w:hint="default"/>
      </w:rPr>
    </w:lvl>
    <w:lvl w:ilvl="8" w:tplc="86004FC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8547756"/>
    <w:multiLevelType w:val="hybridMultilevel"/>
    <w:tmpl w:val="E4F05A0A"/>
    <w:lvl w:ilvl="0" w:tplc="BBF4220C">
      <w:start w:val="1"/>
      <w:numFmt w:val="bullet"/>
      <w:lvlText w:val=""/>
      <w:lvlJc w:val="left"/>
      <w:pPr>
        <w:tabs>
          <w:tab w:val="num" w:pos="720"/>
        </w:tabs>
        <w:ind w:left="720" w:hanging="360"/>
      </w:pPr>
      <w:rPr>
        <w:rFonts w:ascii="Symbol" w:hAnsi="Symbol" w:hint="default"/>
      </w:rPr>
    </w:lvl>
    <w:lvl w:ilvl="1" w:tplc="7EBEE7B2" w:tentative="1">
      <w:start w:val="1"/>
      <w:numFmt w:val="bullet"/>
      <w:lvlText w:val=""/>
      <w:lvlJc w:val="left"/>
      <w:pPr>
        <w:tabs>
          <w:tab w:val="num" w:pos="1440"/>
        </w:tabs>
        <w:ind w:left="1440" w:hanging="360"/>
      </w:pPr>
      <w:rPr>
        <w:rFonts w:ascii="Symbol" w:hAnsi="Symbol" w:hint="default"/>
      </w:rPr>
    </w:lvl>
    <w:lvl w:ilvl="2" w:tplc="49E430AC" w:tentative="1">
      <w:start w:val="1"/>
      <w:numFmt w:val="bullet"/>
      <w:lvlText w:val=""/>
      <w:lvlJc w:val="left"/>
      <w:pPr>
        <w:tabs>
          <w:tab w:val="num" w:pos="2160"/>
        </w:tabs>
        <w:ind w:left="2160" w:hanging="360"/>
      </w:pPr>
      <w:rPr>
        <w:rFonts w:ascii="Symbol" w:hAnsi="Symbol" w:hint="default"/>
      </w:rPr>
    </w:lvl>
    <w:lvl w:ilvl="3" w:tplc="84FE8486" w:tentative="1">
      <w:start w:val="1"/>
      <w:numFmt w:val="bullet"/>
      <w:lvlText w:val=""/>
      <w:lvlJc w:val="left"/>
      <w:pPr>
        <w:tabs>
          <w:tab w:val="num" w:pos="2880"/>
        </w:tabs>
        <w:ind w:left="2880" w:hanging="360"/>
      </w:pPr>
      <w:rPr>
        <w:rFonts w:ascii="Symbol" w:hAnsi="Symbol" w:hint="default"/>
      </w:rPr>
    </w:lvl>
    <w:lvl w:ilvl="4" w:tplc="9022CD56" w:tentative="1">
      <w:start w:val="1"/>
      <w:numFmt w:val="bullet"/>
      <w:lvlText w:val=""/>
      <w:lvlJc w:val="left"/>
      <w:pPr>
        <w:tabs>
          <w:tab w:val="num" w:pos="3600"/>
        </w:tabs>
        <w:ind w:left="3600" w:hanging="360"/>
      </w:pPr>
      <w:rPr>
        <w:rFonts w:ascii="Symbol" w:hAnsi="Symbol" w:hint="default"/>
      </w:rPr>
    </w:lvl>
    <w:lvl w:ilvl="5" w:tplc="1076BAF0" w:tentative="1">
      <w:start w:val="1"/>
      <w:numFmt w:val="bullet"/>
      <w:lvlText w:val=""/>
      <w:lvlJc w:val="left"/>
      <w:pPr>
        <w:tabs>
          <w:tab w:val="num" w:pos="4320"/>
        </w:tabs>
        <w:ind w:left="4320" w:hanging="360"/>
      </w:pPr>
      <w:rPr>
        <w:rFonts w:ascii="Symbol" w:hAnsi="Symbol" w:hint="default"/>
      </w:rPr>
    </w:lvl>
    <w:lvl w:ilvl="6" w:tplc="27B6C252" w:tentative="1">
      <w:start w:val="1"/>
      <w:numFmt w:val="bullet"/>
      <w:lvlText w:val=""/>
      <w:lvlJc w:val="left"/>
      <w:pPr>
        <w:tabs>
          <w:tab w:val="num" w:pos="5040"/>
        </w:tabs>
        <w:ind w:left="5040" w:hanging="360"/>
      </w:pPr>
      <w:rPr>
        <w:rFonts w:ascii="Symbol" w:hAnsi="Symbol" w:hint="default"/>
      </w:rPr>
    </w:lvl>
    <w:lvl w:ilvl="7" w:tplc="7E34F984" w:tentative="1">
      <w:start w:val="1"/>
      <w:numFmt w:val="bullet"/>
      <w:lvlText w:val=""/>
      <w:lvlJc w:val="left"/>
      <w:pPr>
        <w:tabs>
          <w:tab w:val="num" w:pos="5760"/>
        </w:tabs>
        <w:ind w:left="5760" w:hanging="360"/>
      </w:pPr>
      <w:rPr>
        <w:rFonts w:ascii="Symbol" w:hAnsi="Symbol" w:hint="default"/>
      </w:rPr>
    </w:lvl>
    <w:lvl w:ilvl="8" w:tplc="CADCD336"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1D383609"/>
    <w:multiLevelType w:val="hybridMultilevel"/>
    <w:tmpl w:val="E83030C6"/>
    <w:lvl w:ilvl="0" w:tplc="A6D6EF40">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FC27EDB"/>
    <w:multiLevelType w:val="hybridMultilevel"/>
    <w:tmpl w:val="FDE84E90"/>
    <w:lvl w:ilvl="0" w:tplc="6664A8B2">
      <w:start w:val="1"/>
      <w:numFmt w:val="bullet"/>
      <w:lvlText w:val="•"/>
      <w:lvlJc w:val="left"/>
      <w:pPr>
        <w:tabs>
          <w:tab w:val="num" w:pos="720"/>
        </w:tabs>
        <w:ind w:left="720" w:hanging="360"/>
      </w:pPr>
      <w:rPr>
        <w:rFonts w:ascii="Arial" w:hAnsi="Arial" w:hint="default"/>
      </w:rPr>
    </w:lvl>
    <w:lvl w:ilvl="1" w:tplc="4CC0C9B8" w:tentative="1">
      <w:start w:val="1"/>
      <w:numFmt w:val="bullet"/>
      <w:lvlText w:val="•"/>
      <w:lvlJc w:val="left"/>
      <w:pPr>
        <w:tabs>
          <w:tab w:val="num" w:pos="1440"/>
        </w:tabs>
        <w:ind w:left="1440" w:hanging="360"/>
      </w:pPr>
      <w:rPr>
        <w:rFonts w:ascii="Arial" w:hAnsi="Arial" w:hint="default"/>
      </w:rPr>
    </w:lvl>
    <w:lvl w:ilvl="2" w:tplc="4572AAE0" w:tentative="1">
      <w:start w:val="1"/>
      <w:numFmt w:val="bullet"/>
      <w:lvlText w:val="•"/>
      <w:lvlJc w:val="left"/>
      <w:pPr>
        <w:tabs>
          <w:tab w:val="num" w:pos="2160"/>
        </w:tabs>
        <w:ind w:left="2160" w:hanging="360"/>
      </w:pPr>
      <w:rPr>
        <w:rFonts w:ascii="Arial" w:hAnsi="Arial" w:hint="default"/>
      </w:rPr>
    </w:lvl>
    <w:lvl w:ilvl="3" w:tplc="EB56EF82" w:tentative="1">
      <w:start w:val="1"/>
      <w:numFmt w:val="bullet"/>
      <w:lvlText w:val="•"/>
      <w:lvlJc w:val="left"/>
      <w:pPr>
        <w:tabs>
          <w:tab w:val="num" w:pos="2880"/>
        </w:tabs>
        <w:ind w:left="2880" w:hanging="360"/>
      </w:pPr>
      <w:rPr>
        <w:rFonts w:ascii="Arial" w:hAnsi="Arial" w:hint="default"/>
      </w:rPr>
    </w:lvl>
    <w:lvl w:ilvl="4" w:tplc="D9D8EC9A" w:tentative="1">
      <w:start w:val="1"/>
      <w:numFmt w:val="bullet"/>
      <w:lvlText w:val="•"/>
      <w:lvlJc w:val="left"/>
      <w:pPr>
        <w:tabs>
          <w:tab w:val="num" w:pos="3600"/>
        </w:tabs>
        <w:ind w:left="3600" w:hanging="360"/>
      </w:pPr>
      <w:rPr>
        <w:rFonts w:ascii="Arial" w:hAnsi="Arial" w:hint="default"/>
      </w:rPr>
    </w:lvl>
    <w:lvl w:ilvl="5" w:tplc="730AB7A2" w:tentative="1">
      <w:start w:val="1"/>
      <w:numFmt w:val="bullet"/>
      <w:lvlText w:val="•"/>
      <w:lvlJc w:val="left"/>
      <w:pPr>
        <w:tabs>
          <w:tab w:val="num" w:pos="4320"/>
        </w:tabs>
        <w:ind w:left="4320" w:hanging="360"/>
      </w:pPr>
      <w:rPr>
        <w:rFonts w:ascii="Arial" w:hAnsi="Arial" w:hint="default"/>
      </w:rPr>
    </w:lvl>
    <w:lvl w:ilvl="6" w:tplc="6576D8C2" w:tentative="1">
      <w:start w:val="1"/>
      <w:numFmt w:val="bullet"/>
      <w:lvlText w:val="•"/>
      <w:lvlJc w:val="left"/>
      <w:pPr>
        <w:tabs>
          <w:tab w:val="num" w:pos="5040"/>
        </w:tabs>
        <w:ind w:left="5040" w:hanging="360"/>
      </w:pPr>
      <w:rPr>
        <w:rFonts w:ascii="Arial" w:hAnsi="Arial" w:hint="default"/>
      </w:rPr>
    </w:lvl>
    <w:lvl w:ilvl="7" w:tplc="3082392E" w:tentative="1">
      <w:start w:val="1"/>
      <w:numFmt w:val="bullet"/>
      <w:lvlText w:val="•"/>
      <w:lvlJc w:val="left"/>
      <w:pPr>
        <w:tabs>
          <w:tab w:val="num" w:pos="5760"/>
        </w:tabs>
        <w:ind w:left="5760" w:hanging="360"/>
      </w:pPr>
      <w:rPr>
        <w:rFonts w:ascii="Arial" w:hAnsi="Arial" w:hint="default"/>
      </w:rPr>
    </w:lvl>
    <w:lvl w:ilvl="8" w:tplc="257440A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FF65C3F"/>
    <w:multiLevelType w:val="hybridMultilevel"/>
    <w:tmpl w:val="2B46A02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8086C81"/>
    <w:multiLevelType w:val="hybridMultilevel"/>
    <w:tmpl w:val="DDE068E2"/>
    <w:lvl w:ilvl="0" w:tplc="0BECC6BE">
      <w:start w:val="1"/>
      <w:numFmt w:val="bullet"/>
      <w:lvlText w:val="•"/>
      <w:lvlJc w:val="left"/>
      <w:pPr>
        <w:tabs>
          <w:tab w:val="num" w:pos="720"/>
        </w:tabs>
        <w:ind w:left="720" w:hanging="360"/>
      </w:pPr>
      <w:rPr>
        <w:rFonts w:ascii="Arial" w:hAnsi="Arial" w:hint="default"/>
      </w:rPr>
    </w:lvl>
    <w:lvl w:ilvl="1" w:tplc="EEE0CE26" w:tentative="1">
      <w:start w:val="1"/>
      <w:numFmt w:val="bullet"/>
      <w:lvlText w:val="•"/>
      <w:lvlJc w:val="left"/>
      <w:pPr>
        <w:tabs>
          <w:tab w:val="num" w:pos="1440"/>
        </w:tabs>
        <w:ind w:left="1440" w:hanging="360"/>
      </w:pPr>
      <w:rPr>
        <w:rFonts w:ascii="Arial" w:hAnsi="Arial" w:hint="default"/>
      </w:rPr>
    </w:lvl>
    <w:lvl w:ilvl="2" w:tplc="21203A26" w:tentative="1">
      <w:start w:val="1"/>
      <w:numFmt w:val="bullet"/>
      <w:lvlText w:val="•"/>
      <w:lvlJc w:val="left"/>
      <w:pPr>
        <w:tabs>
          <w:tab w:val="num" w:pos="2160"/>
        </w:tabs>
        <w:ind w:left="2160" w:hanging="360"/>
      </w:pPr>
      <w:rPr>
        <w:rFonts w:ascii="Arial" w:hAnsi="Arial" w:hint="default"/>
      </w:rPr>
    </w:lvl>
    <w:lvl w:ilvl="3" w:tplc="2AAA2924" w:tentative="1">
      <w:start w:val="1"/>
      <w:numFmt w:val="bullet"/>
      <w:lvlText w:val="•"/>
      <w:lvlJc w:val="left"/>
      <w:pPr>
        <w:tabs>
          <w:tab w:val="num" w:pos="2880"/>
        </w:tabs>
        <w:ind w:left="2880" w:hanging="360"/>
      </w:pPr>
      <w:rPr>
        <w:rFonts w:ascii="Arial" w:hAnsi="Arial" w:hint="default"/>
      </w:rPr>
    </w:lvl>
    <w:lvl w:ilvl="4" w:tplc="B488550E" w:tentative="1">
      <w:start w:val="1"/>
      <w:numFmt w:val="bullet"/>
      <w:lvlText w:val="•"/>
      <w:lvlJc w:val="left"/>
      <w:pPr>
        <w:tabs>
          <w:tab w:val="num" w:pos="3600"/>
        </w:tabs>
        <w:ind w:left="3600" w:hanging="360"/>
      </w:pPr>
      <w:rPr>
        <w:rFonts w:ascii="Arial" w:hAnsi="Arial" w:hint="default"/>
      </w:rPr>
    </w:lvl>
    <w:lvl w:ilvl="5" w:tplc="662E5BD2" w:tentative="1">
      <w:start w:val="1"/>
      <w:numFmt w:val="bullet"/>
      <w:lvlText w:val="•"/>
      <w:lvlJc w:val="left"/>
      <w:pPr>
        <w:tabs>
          <w:tab w:val="num" w:pos="4320"/>
        </w:tabs>
        <w:ind w:left="4320" w:hanging="360"/>
      </w:pPr>
      <w:rPr>
        <w:rFonts w:ascii="Arial" w:hAnsi="Arial" w:hint="default"/>
      </w:rPr>
    </w:lvl>
    <w:lvl w:ilvl="6" w:tplc="FF7E2C36" w:tentative="1">
      <w:start w:val="1"/>
      <w:numFmt w:val="bullet"/>
      <w:lvlText w:val="•"/>
      <w:lvlJc w:val="left"/>
      <w:pPr>
        <w:tabs>
          <w:tab w:val="num" w:pos="5040"/>
        </w:tabs>
        <w:ind w:left="5040" w:hanging="360"/>
      </w:pPr>
      <w:rPr>
        <w:rFonts w:ascii="Arial" w:hAnsi="Arial" w:hint="default"/>
      </w:rPr>
    </w:lvl>
    <w:lvl w:ilvl="7" w:tplc="900EF6CC" w:tentative="1">
      <w:start w:val="1"/>
      <w:numFmt w:val="bullet"/>
      <w:lvlText w:val="•"/>
      <w:lvlJc w:val="left"/>
      <w:pPr>
        <w:tabs>
          <w:tab w:val="num" w:pos="5760"/>
        </w:tabs>
        <w:ind w:left="5760" w:hanging="360"/>
      </w:pPr>
      <w:rPr>
        <w:rFonts w:ascii="Arial" w:hAnsi="Arial" w:hint="default"/>
      </w:rPr>
    </w:lvl>
    <w:lvl w:ilvl="8" w:tplc="99C0F6A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D293E6A"/>
    <w:multiLevelType w:val="hybridMultilevel"/>
    <w:tmpl w:val="40BE07A2"/>
    <w:lvl w:ilvl="0" w:tplc="2DEE77CA">
      <w:start w:val="1"/>
      <w:numFmt w:val="bullet"/>
      <w:lvlText w:val="•"/>
      <w:lvlJc w:val="left"/>
      <w:pPr>
        <w:tabs>
          <w:tab w:val="num" w:pos="720"/>
        </w:tabs>
        <w:ind w:left="720" w:hanging="360"/>
      </w:pPr>
      <w:rPr>
        <w:rFonts w:ascii="Arial" w:hAnsi="Arial" w:hint="default"/>
      </w:rPr>
    </w:lvl>
    <w:lvl w:ilvl="1" w:tplc="1848C0B4" w:tentative="1">
      <w:start w:val="1"/>
      <w:numFmt w:val="bullet"/>
      <w:lvlText w:val="•"/>
      <w:lvlJc w:val="left"/>
      <w:pPr>
        <w:tabs>
          <w:tab w:val="num" w:pos="1440"/>
        </w:tabs>
        <w:ind w:left="1440" w:hanging="360"/>
      </w:pPr>
      <w:rPr>
        <w:rFonts w:ascii="Arial" w:hAnsi="Arial" w:hint="default"/>
      </w:rPr>
    </w:lvl>
    <w:lvl w:ilvl="2" w:tplc="5256107A" w:tentative="1">
      <w:start w:val="1"/>
      <w:numFmt w:val="bullet"/>
      <w:lvlText w:val="•"/>
      <w:lvlJc w:val="left"/>
      <w:pPr>
        <w:tabs>
          <w:tab w:val="num" w:pos="2160"/>
        </w:tabs>
        <w:ind w:left="2160" w:hanging="360"/>
      </w:pPr>
      <w:rPr>
        <w:rFonts w:ascii="Arial" w:hAnsi="Arial" w:hint="default"/>
      </w:rPr>
    </w:lvl>
    <w:lvl w:ilvl="3" w:tplc="95C05146" w:tentative="1">
      <w:start w:val="1"/>
      <w:numFmt w:val="bullet"/>
      <w:lvlText w:val="•"/>
      <w:lvlJc w:val="left"/>
      <w:pPr>
        <w:tabs>
          <w:tab w:val="num" w:pos="2880"/>
        </w:tabs>
        <w:ind w:left="2880" w:hanging="360"/>
      </w:pPr>
      <w:rPr>
        <w:rFonts w:ascii="Arial" w:hAnsi="Arial" w:hint="default"/>
      </w:rPr>
    </w:lvl>
    <w:lvl w:ilvl="4" w:tplc="44B08CD8" w:tentative="1">
      <w:start w:val="1"/>
      <w:numFmt w:val="bullet"/>
      <w:lvlText w:val="•"/>
      <w:lvlJc w:val="left"/>
      <w:pPr>
        <w:tabs>
          <w:tab w:val="num" w:pos="3600"/>
        </w:tabs>
        <w:ind w:left="3600" w:hanging="360"/>
      </w:pPr>
      <w:rPr>
        <w:rFonts w:ascii="Arial" w:hAnsi="Arial" w:hint="default"/>
      </w:rPr>
    </w:lvl>
    <w:lvl w:ilvl="5" w:tplc="D67E4F66" w:tentative="1">
      <w:start w:val="1"/>
      <w:numFmt w:val="bullet"/>
      <w:lvlText w:val="•"/>
      <w:lvlJc w:val="left"/>
      <w:pPr>
        <w:tabs>
          <w:tab w:val="num" w:pos="4320"/>
        </w:tabs>
        <w:ind w:left="4320" w:hanging="360"/>
      </w:pPr>
      <w:rPr>
        <w:rFonts w:ascii="Arial" w:hAnsi="Arial" w:hint="default"/>
      </w:rPr>
    </w:lvl>
    <w:lvl w:ilvl="6" w:tplc="52504C60" w:tentative="1">
      <w:start w:val="1"/>
      <w:numFmt w:val="bullet"/>
      <w:lvlText w:val="•"/>
      <w:lvlJc w:val="left"/>
      <w:pPr>
        <w:tabs>
          <w:tab w:val="num" w:pos="5040"/>
        </w:tabs>
        <w:ind w:left="5040" w:hanging="360"/>
      </w:pPr>
      <w:rPr>
        <w:rFonts w:ascii="Arial" w:hAnsi="Arial" w:hint="default"/>
      </w:rPr>
    </w:lvl>
    <w:lvl w:ilvl="7" w:tplc="8BFCBEC4" w:tentative="1">
      <w:start w:val="1"/>
      <w:numFmt w:val="bullet"/>
      <w:lvlText w:val="•"/>
      <w:lvlJc w:val="left"/>
      <w:pPr>
        <w:tabs>
          <w:tab w:val="num" w:pos="5760"/>
        </w:tabs>
        <w:ind w:left="5760" w:hanging="360"/>
      </w:pPr>
      <w:rPr>
        <w:rFonts w:ascii="Arial" w:hAnsi="Arial" w:hint="default"/>
      </w:rPr>
    </w:lvl>
    <w:lvl w:ilvl="8" w:tplc="DE7A7E14"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D7A588E"/>
    <w:multiLevelType w:val="hybridMultilevel"/>
    <w:tmpl w:val="326221B6"/>
    <w:lvl w:ilvl="0" w:tplc="85347C1C">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35D2B7F"/>
    <w:multiLevelType w:val="hybridMultilevel"/>
    <w:tmpl w:val="E2BAA6BC"/>
    <w:lvl w:ilvl="0" w:tplc="171E5D5E">
      <w:start w:val="1"/>
      <w:numFmt w:val="bullet"/>
      <w:lvlText w:val="•"/>
      <w:lvlJc w:val="left"/>
      <w:pPr>
        <w:tabs>
          <w:tab w:val="num" w:pos="720"/>
        </w:tabs>
        <w:ind w:left="720" w:hanging="360"/>
      </w:pPr>
      <w:rPr>
        <w:rFonts w:ascii="Arial" w:hAnsi="Arial" w:hint="default"/>
      </w:rPr>
    </w:lvl>
    <w:lvl w:ilvl="1" w:tplc="3A88EC0E" w:tentative="1">
      <w:start w:val="1"/>
      <w:numFmt w:val="bullet"/>
      <w:lvlText w:val="•"/>
      <w:lvlJc w:val="left"/>
      <w:pPr>
        <w:tabs>
          <w:tab w:val="num" w:pos="1440"/>
        </w:tabs>
        <w:ind w:left="1440" w:hanging="360"/>
      </w:pPr>
      <w:rPr>
        <w:rFonts w:ascii="Arial" w:hAnsi="Arial" w:hint="default"/>
      </w:rPr>
    </w:lvl>
    <w:lvl w:ilvl="2" w:tplc="77D45DB0" w:tentative="1">
      <w:start w:val="1"/>
      <w:numFmt w:val="bullet"/>
      <w:lvlText w:val="•"/>
      <w:lvlJc w:val="left"/>
      <w:pPr>
        <w:tabs>
          <w:tab w:val="num" w:pos="2160"/>
        </w:tabs>
        <w:ind w:left="2160" w:hanging="360"/>
      </w:pPr>
      <w:rPr>
        <w:rFonts w:ascii="Arial" w:hAnsi="Arial" w:hint="default"/>
      </w:rPr>
    </w:lvl>
    <w:lvl w:ilvl="3" w:tplc="87DA618C" w:tentative="1">
      <w:start w:val="1"/>
      <w:numFmt w:val="bullet"/>
      <w:lvlText w:val="•"/>
      <w:lvlJc w:val="left"/>
      <w:pPr>
        <w:tabs>
          <w:tab w:val="num" w:pos="2880"/>
        </w:tabs>
        <w:ind w:left="2880" w:hanging="360"/>
      </w:pPr>
      <w:rPr>
        <w:rFonts w:ascii="Arial" w:hAnsi="Arial" w:hint="default"/>
      </w:rPr>
    </w:lvl>
    <w:lvl w:ilvl="4" w:tplc="BABAEC92" w:tentative="1">
      <w:start w:val="1"/>
      <w:numFmt w:val="bullet"/>
      <w:lvlText w:val="•"/>
      <w:lvlJc w:val="left"/>
      <w:pPr>
        <w:tabs>
          <w:tab w:val="num" w:pos="3600"/>
        </w:tabs>
        <w:ind w:left="3600" w:hanging="360"/>
      </w:pPr>
      <w:rPr>
        <w:rFonts w:ascii="Arial" w:hAnsi="Arial" w:hint="default"/>
      </w:rPr>
    </w:lvl>
    <w:lvl w:ilvl="5" w:tplc="5DD6329C" w:tentative="1">
      <w:start w:val="1"/>
      <w:numFmt w:val="bullet"/>
      <w:lvlText w:val="•"/>
      <w:lvlJc w:val="left"/>
      <w:pPr>
        <w:tabs>
          <w:tab w:val="num" w:pos="4320"/>
        </w:tabs>
        <w:ind w:left="4320" w:hanging="360"/>
      </w:pPr>
      <w:rPr>
        <w:rFonts w:ascii="Arial" w:hAnsi="Arial" w:hint="default"/>
      </w:rPr>
    </w:lvl>
    <w:lvl w:ilvl="6" w:tplc="DE3AE91C" w:tentative="1">
      <w:start w:val="1"/>
      <w:numFmt w:val="bullet"/>
      <w:lvlText w:val="•"/>
      <w:lvlJc w:val="left"/>
      <w:pPr>
        <w:tabs>
          <w:tab w:val="num" w:pos="5040"/>
        </w:tabs>
        <w:ind w:left="5040" w:hanging="360"/>
      </w:pPr>
      <w:rPr>
        <w:rFonts w:ascii="Arial" w:hAnsi="Arial" w:hint="default"/>
      </w:rPr>
    </w:lvl>
    <w:lvl w:ilvl="7" w:tplc="66D2FC82" w:tentative="1">
      <w:start w:val="1"/>
      <w:numFmt w:val="bullet"/>
      <w:lvlText w:val="•"/>
      <w:lvlJc w:val="left"/>
      <w:pPr>
        <w:tabs>
          <w:tab w:val="num" w:pos="5760"/>
        </w:tabs>
        <w:ind w:left="5760" w:hanging="360"/>
      </w:pPr>
      <w:rPr>
        <w:rFonts w:ascii="Arial" w:hAnsi="Arial" w:hint="default"/>
      </w:rPr>
    </w:lvl>
    <w:lvl w:ilvl="8" w:tplc="8ED4F3C2"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9720272"/>
    <w:multiLevelType w:val="hybridMultilevel"/>
    <w:tmpl w:val="00BC73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2376C72"/>
    <w:multiLevelType w:val="hybridMultilevel"/>
    <w:tmpl w:val="2F2AC3FE"/>
    <w:lvl w:ilvl="0" w:tplc="7E80838C">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2E31AA"/>
    <w:multiLevelType w:val="hybridMultilevel"/>
    <w:tmpl w:val="26FCE9B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458D67A6"/>
    <w:multiLevelType w:val="hybridMultilevel"/>
    <w:tmpl w:val="51CA1480"/>
    <w:lvl w:ilvl="0" w:tplc="04090001">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A73C3C"/>
    <w:multiLevelType w:val="hybridMultilevel"/>
    <w:tmpl w:val="139A44D0"/>
    <w:lvl w:ilvl="0" w:tplc="45CC3A04">
      <w:start w:val="1"/>
      <w:numFmt w:val="bullet"/>
      <w:lvlText w:val="•"/>
      <w:lvlJc w:val="left"/>
      <w:pPr>
        <w:tabs>
          <w:tab w:val="num" w:pos="720"/>
        </w:tabs>
        <w:ind w:left="720" w:hanging="360"/>
      </w:pPr>
      <w:rPr>
        <w:rFonts w:ascii="Arial" w:hAnsi="Arial" w:hint="default"/>
      </w:rPr>
    </w:lvl>
    <w:lvl w:ilvl="1" w:tplc="177C66B8" w:tentative="1">
      <w:start w:val="1"/>
      <w:numFmt w:val="bullet"/>
      <w:lvlText w:val="•"/>
      <w:lvlJc w:val="left"/>
      <w:pPr>
        <w:tabs>
          <w:tab w:val="num" w:pos="1440"/>
        </w:tabs>
        <w:ind w:left="1440" w:hanging="360"/>
      </w:pPr>
      <w:rPr>
        <w:rFonts w:ascii="Arial" w:hAnsi="Arial" w:hint="default"/>
      </w:rPr>
    </w:lvl>
    <w:lvl w:ilvl="2" w:tplc="FC805D48" w:tentative="1">
      <w:start w:val="1"/>
      <w:numFmt w:val="bullet"/>
      <w:lvlText w:val="•"/>
      <w:lvlJc w:val="left"/>
      <w:pPr>
        <w:tabs>
          <w:tab w:val="num" w:pos="2160"/>
        </w:tabs>
        <w:ind w:left="2160" w:hanging="360"/>
      </w:pPr>
      <w:rPr>
        <w:rFonts w:ascii="Arial" w:hAnsi="Arial" w:hint="default"/>
      </w:rPr>
    </w:lvl>
    <w:lvl w:ilvl="3" w:tplc="10E0B88E" w:tentative="1">
      <w:start w:val="1"/>
      <w:numFmt w:val="bullet"/>
      <w:lvlText w:val="•"/>
      <w:lvlJc w:val="left"/>
      <w:pPr>
        <w:tabs>
          <w:tab w:val="num" w:pos="2880"/>
        </w:tabs>
        <w:ind w:left="2880" w:hanging="360"/>
      </w:pPr>
      <w:rPr>
        <w:rFonts w:ascii="Arial" w:hAnsi="Arial" w:hint="default"/>
      </w:rPr>
    </w:lvl>
    <w:lvl w:ilvl="4" w:tplc="9C3C2F6C" w:tentative="1">
      <w:start w:val="1"/>
      <w:numFmt w:val="bullet"/>
      <w:lvlText w:val="•"/>
      <w:lvlJc w:val="left"/>
      <w:pPr>
        <w:tabs>
          <w:tab w:val="num" w:pos="3600"/>
        </w:tabs>
        <w:ind w:left="3600" w:hanging="360"/>
      </w:pPr>
      <w:rPr>
        <w:rFonts w:ascii="Arial" w:hAnsi="Arial" w:hint="default"/>
      </w:rPr>
    </w:lvl>
    <w:lvl w:ilvl="5" w:tplc="CBA891EA" w:tentative="1">
      <w:start w:val="1"/>
      <w:numFmt w:val="bullet"/>
      <w:lvlText w:val="•"/>
      <w:lvlJc w:val="left"/>
      <w:pPr>
        <w:tabs>
          <w:tab w:val="num" w:pos="4320"/>
        </w:tabs>
        <w:ind w:left="4320" w:hanging="360"/>
      </w:pPr>
      <w:rPr>
        <w:rFonts w:ascii="Arial" w:hAnsi="Arial" w:hint="default"/>
      </w:rPr>
    </w:lvl>
    <w:lvl w:ilvl="6" w:tplc="4920AFB8" w:tentative="1">
      <w:start w:val="1"/>
      <w:numFmt w:val="bullet"/>
      <w:lvlText w:val="•"/>
      <w:lvlJc w:val="left"/>
      <w:pPr>
        <w:tabs>
          <w:tab w:val="num" w:pos="5040"/>
        </w:tabs>
        <w:ind w:left="5040" w:hanging="360"/>
      </w:pPr>
      <w:rPr>
        <w:rFonts w:ascii="Arial" w:hAnsi="Arial" w:hint="default"/>
      </w:rPr>
    </w:lvl>
    <w:lvl w:ilvl="7" w:tplc="A1BAD574" w:tentative="1">
      <w:start w:val="1"/>
      <w:numFmt w:val="bullet"/>
      <w:lvlText w:val="•"/>
      <w:lvlJc w:val="left"/>
      <w:pPr>
        <w:tabs>
          <w:tab w:val="num" w:pos="5760"/>
        </w:tabs>
        <w:ind w:left="5760" w:hanging="360"/>
      </w:pPr>
      <w:rPr>
        <w:rFonts w:ascii="Arial" w:hAnsi="Arial" w:hint="default"/>
      </w:rPr>
    </w:lvl>
    <w:lvl w:ilvl="8" w:tplc="810E5C1C"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A9D3984"/>
    <w:multiLevelType w:val="hybridMultilevel"/>
    <w:tmpl w:val="7110E154"/>
    <w:lvl w:ilvl="0" w:tplc="F19ED8EA">
      <w:start w:val="1"/>
      <w:numFmt w:val="bullet"/>
      <w:lvlText w:val="•"/>
      <w:lvlJc w:val="left"/>
      <w:pPr>
        <w:tabs>
          <w:tab w:val="num" w:pos="720"/>
        </w:tabs>
        <w:ind w:left="720" w:hanging="360"/>
      </w:pPr>
      <w:rPr>
        <w:rFonts w:ascii="Arial" w:hAnsi="Arial" w:hint="default"/>
      </w:rPr>
    </w:lvl>
    <w:lvl w:ilvl="1" w:tplc="07382A52" w:tentative="1">
      <w:start w:val="1"/>
      <w:numFmt w:val="bullet"/>
      <w:lvlText w:val="•"/>
      <w:lvlJc w:val="left"/>
      <w:pPr>
        <w:tabs>
          <w:tab w:val="num" w:pos="1440"/>
        </w:tabs>
        <w:ind w:left="1440" w:hanging="360"/>
      </w:pPr>
      <w:rPr>
        <w:rFonts w:ascii="Arial" w:hAnsi="Arial" w:hint="default"/>
      </w:rPr>
    </w:lvl>
    <w:lvl w:ilvl="2" w:tplc="13B8E98C" w:tentative="1">
      <w:start w:val="1"/>
      <w:numFmt w:val="bullet"/>
      <w:lvlText w:val="•"/>
      <w:lvlJc w:val="left"/>
      <w:pPr>
        <w:tabs>
          <w:tab w:val="num" w:pos="2160"/>
        </w:tabs>
        <w:ind w:left="2160" w:hanging="360"/>
      </w:pPr>
      <w:rPr>
        <w:rFonts w:ascii="Arial" w:hAnsi="Arial" w:hint="default"/>
      </w:rPr>
    </w:lvl>
    <w:lvl w:ilvl="3" w:tplc="65308234" w:tentative="1">
      <w:start w:val="1"/>
      <w:numFmt w:val="bullet"/>
      <w:lvlText w:val="•"/>
      <w:lvlJc w:val="left"/>
      <w:pPr>
        <w:tabs>
          <w:tab w:val="num" w:pos="2880"/>
        </w:tabs>
        <w:ind w:left="2880" w:hanging="360"/>
      </w:pPr>
      <w:rPr>
        <w:rFonts w:ascii="Arial" w:hAnsi="Arial" w:hint="default"/>
      </w:rPr>
    </w:lvl>
    <w:lvl w:ilvl="4" w:tplc="830038FC" w:tentative="1">
      <w:start w:val="1"/>
      <w:numFmt w:val="bullet"/>
      <w:lvlText w:val="•"/>
      <w:lvlJc w:val="left"/>
      <w:pPr>
        <w:tabs>
          <w:tab w:val="num" w:pos="3600"/>
        </w:tabs>
        <w:ind w:left="3600" w:hanging="360"/>
      </w:pPr>
      <w:rPr>
        <w:rFonts w:ascii="Arial" w:hAnsi="Arial" w:hint="default"/>
      </w:rPr>
    </w:lvl>
    <w:lvl w:ilvl="5" w:tplc="8FF2C876" w:tentative="1">
      <w:start w:val="1"/>
      <w:numFmt w:val="bullet"/>
      <w:lvlText w:val="•"/>
      <w:lvlJc w:val="left"/>
      <w:pPr>
        <w:tabs>
          <w:tab w:val="num" w:pos="4320"/>
        </w:tabs>
        <w:ind w:left="4320" w:hanging="360"/>
      </w:pPr>
      <w:rPr>
        <w:rFonts w:ascii="Arial" w:hAnsi="Arial" w:hint="default"/>
      </w:rPr>
    </w:lvl>
    <w:lvl w:ilvl="6" w:tplc="F412011E" w:tentative="1">
      <w:start w:val="1"/>
      <w:numFmt w:val="bullet"/>
      <w:lvlText w:val="•"/>
      <w:lvlJc w:val="left"/>
      <w:pPr>
        <w:tabs>
          <w:tab w:val="num" w:pos="5040"/>
        </w:tabs>
        <w:ind w:left="5040" w:hanging="360"/>
      </w:pPr>
      <w:rPr>
        <w:rFonts w:ascii="Arial" w:hAnsi="Arial" w:hint="default"/>
      </w:rPr>
    </w:lvl>
    <w:lvl w:ilvl="7" w:tplc="4470CEBC" w:tentative="1">
      <w:start w:val="1"/>
      <w:numFmt w:val="bullet"/>
      <w:lvlText w:val="•"/>
      <w:lvlJc w:val="left"/>
      <w:pPr>
        <w:tabs>
          <w:tab w:val="num" w:pos="5760"/>
        </w:tabs>
        <w:ind w:left="5760" w:hanging="360"/>
      </w:pPr>
      <w:rPr>
        <w:rFonts w:ascii="Arial" w:hAnsi="Arial" w:hint="default"/>
      </w:rPr>
    </w:lvl>
    <w:lvl w:ilvl="8" w:tplc="951867A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FA94EF0"/>
    <w:multiLevelType w:val="hybridMultilevel"/>
    <w:tmpl w:val="1E4E1C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2CF5D49"/>
    <w:multiLevelType w:val="hybridMultilevel"/>
    <w:tmpl w:val="5D8C4E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46E195B"/>
    <w:multiLevelType w:val="hybridMultilevel"/>
    <w:tmpl w:val="14EABFF2"/>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8" w15:restartNumberingAfterBreak="0">
    <w:nsid w:val="64A30C12"/>
    <w:multiLevelType w:val="hybridMultilevel"/>
    <w:tmpl w:val="A3568FF0"/>
    <w:lvl w:ilvl="0" w:tplc="6122DC2C">
      <w:start w:val="1"/>
      <w:numFmt w:val="bullet"/>
      <w:lvlText w:val="•"/>
      <w:lvlJc w:val="left"/>
      <w:pPr>
        <w:tabs>
          <w:tab w:val="num" w:pos="720"/>
        </w:tabs>
        <w:ind w:left="720" w:hanging="360"/>
      </w:pPr>
      <w:rPr>
        <w:rFonts w:ascii="Arial" w:hAnsi="Arial" w:hint="default"/>
      </w:rPr>
    </w:lvl>
    <w:lvl w:ilvl="1" w:tplc="1324C55E">
      <w:start w:val="1"/>
      <w:numFmt w:val="bullet"/>
      <w:lvlText w:val="•"/>
      <w:lvlJc w:val="left"/>
      <w:pPr>
        <w:tabs>
          <w:tab w:val="num" w:pos="1440"/>
        </w:tabs>
        <w:ind w:left="1440" w:hanging="360"/>
      </w:pPr>
      <w:rPr>
        <w:rFonts w:ascii="Arial" w:hAnsi="Arial" w:hint="default"/>
      </w:rPr>
    </w:lvl>
    <w:lvl w:ilvl="2" w:tplc="454261CE" w:tentative="1">
      <w:start w:val="1"/>
      <w:numFmt w:val="bullet"/>
      <w:lvlText w:val="•"/>
      <w:lvlJc w:val="left"/>
      <w:pPr>
        <w:tabs>
          <w:tab w:val="num" w:pos="2160"/>
        </w:tabs>
        <w:ind w:left="2160" w:hanging="360"/>
      </w:pPr>
      <w:rPr>
        <w:rFonts w:ascii="Arial" w:hAnsi="Arial" w:hint="default"/>
      </w:rPr>
    </w:lvl>
    <w:lvl w:ilvl="3" w:tplc="91B0A92E" w:tentative="1">
      <w:start w:val="1"/>
      <w:numFmt w:val="bullet"/>
      <w:lvlText w:val="•"/>
      <w:lvlJc w:val="left"/>
      <w:pPr>
        <w:tabs>
          <w:tab w:val="num" w:pos="2880"/>
        </w:tabs>
        <w:ind w:left="2880" w:hanging="360"/>
      </w:pPr>
      <w:rPr>
        <w:rFonts w:ascii="Arial" w:hAnsi="Arial" w:hint="default"/>
      </w:rPr>
    </w:lvl>
    <w:lvl w:ilvl="4" w:tplc="F81E52C4" w:tentative="1">
      <w:start w:val="1"/>
      <w:numFmt w:val="bullet"/>
      <w:lvlText w:val="•"/>
      <w:lvlJc w:val="left"/>
      <w:pPr>
        <w:tabs>
          <w:tab w:val="num" w:pos="3600"/>
        </w:tabs>
        <w:ind w:left="3600" w:hanging="360"/>
      </w:pPr>
      <w:rPr>
        <w:rFonts w:ascii="Arial" w:hAnsi="Arial" w:hint="default"/>
      </w:rPr>
    </w:lvl>
    <w:lvl w:ilvl="5" w:tplc="B5BEDD94" w:tentative="1">
      <w:start w:val="1"/>
      <w:numFmt w:val="bullet"/>
      <w:lvlText w:val="•"/>
      <w:lvlJc w:val="left"/>
      <w:pPr>
        <w:tabs>
          <w:tab w:val="num" w:pos="4320"/>
        </w:tabs>
        <w:ind w:left="4320" w:hanging="360"/>
      </w:pPr>
      <w:rPr>
        <w:rFonts w:ascii="Arial" w:hAnsi="Arial" w:hint="default"/>
      </w:rPr>
    </w:lvl>
    <w:lvl w:ilvl="6" w:tplc="1F0EA36C" w:tentative="1">
      <w:start w:val="1"/>
      <w:numFmt w:val="bullet"/>
      <w:lvlText w:val="•"/>
      <w:lvlJc w:val="left"/>
      <w:pPr>
        <w:tabs>
          <w:tab w:val="num" w:pos="5040"/>
        </w:tabs>
        <w:ind w:left="5040" w:hanging="360"/>
      </w:pPr>
      <w:rPr>
        <w:rFonts w:ascii="Arial" w:hAnsi="Arial" w:hint="default"/>
      </w:rPr>
    </w:lvl>
    <w:lvl w:ilvl="7" w:tplc="1562A11A" w:tentative="1">
      <w:start w:val="1"/>
      <w:numFmt w:val="bullet"/>
      <w:lvlText w:val="•"/>
      <w:lvlJc w:val="left"/>
      <w:pPr>
        <w:tabs>
          <w:tab w:val="num" w:pos="5760"/>
        </w:tabs>
        <w:ind w:left="5760" w:hanging="360"/>
      </w:pPr>
      <w:rPr>
        <w:rFonts w:ascii="Arial" w:hAnsi="Arial" w:hint="default"/>
      </w:rPr>
    </w:lvl>
    <w:lvl w:ilvl="8" w:tplc="EAD219CA"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8137744"/>
    <w:multiLevelType w:val="hybridMultilevel"/>
    <w:tmpl w:val="64A21ED2"/>
    <w:lvl w:ilvl="0" w:tplc="BF7A3982">
      <w:start w:val="1"/>
      <w:numFmt w:val="bullet"/>
      <w:lvlText w:val="•"/>
      <w:lvlJc w:val="left"/>
      <w:pPr>
        <w:tabs>
          <w:tab w:val="num" w:pos="720"/>
        </w:tabs>
        <w:ind w:left="720" w:hanging="360"/>
      </w:pPr>
      <w:rPr>
        <w:rFonts w:ascii="Arial" w:hAnsi="Arial" w:hint="default"/>
      </w:rPr>
    </w:lvl>
    <w:lvl w:ilvl="1" w:tplc="AAC48F00" w:tentative="1">
      <w:start w:val="1"/>
      <w:numFmt w:val="bullet"/>
      <w:lvlText w:val="•"/>
      <w:lvlJc w:val="left"/>
      <w:pPr>
        <w:tabs>
          <w:tab w:val="num" w:pos="1440"/>
        </w:tabs>
        <w:ind w:left="1440" w:hanging="360"/>
      </w:pPr>
      <w:rPr>
        <w:rFonts w:ascii="Arial" w:hAnsi="Arial" w:hint="default"/>
      </w:rPr>
    </w:lvl>
    <w:lvl w:ilvl="2" w:tplc="9D64A500" w:tentative="1">
      <w:start w:val="1"/>
      <w:numFmt w:val="bullet"/>
      <w:lvlText w:val="•"/>
      <w:lvlJc w:val="left"/>
      <w:pPr>
        <w:tabs>
          <w:tab w:val="num" w:pos="2160"/>
        </w:tabs>
        <w:ind w:left="2160" w:hanging="360"/>
      </w:pPr>
      <w:rPr>
        <w:rFonts w:ascii="Arial" w:hAnsi="Arial" w:hint="default"/>
      </w:rPr>
    </w:lvl>
    <w:lvl w:ilvl="3" w:tplc="943C6D82" w:tentative="1">
      <w:start w:val="1"/>
      <w:numFmt w:val="bullet"/>
      <w:lvlText w:val="•"/>
      <w:lvlJc w:val="left"/>
      <w:pPr>
        <w:tabs>
          <w:tab w:val="num" w:pos="2880"/>
        </w:tabs>
        <w:ind w:left="2880" w:hanging="360"/>
      </w:pPr>
      <w:rPr>
        <w:rFonts w:ascii="Arial" w:hAnsi="Arial" w:hint="default"/>
      </w:rPr>
    </w:lvl>
    <w:lvl w:ilvl="4" w:tplc="90688780" w:tentative="1">
      <w:start w:val="1"/>
      <w:numFmt w:val="bullet"/>
      <w:lvlText w:val="•"/>
      <w:lvlJc w:val="left"/>
      <w:pPr>
        <w:tabs>
          <w:tab w:val="num" w:pos="3600"/>
        </w:tabs>
        <w:ind w:left="3600" w:hanging="360"/>
      </w:pPr>
      <w:rPr>
        <w:rFonts w:ascii="Arial" w:hAnsi="Arial" w:hint="default"/>
      </w:rPr>
    </w:lvl>
    <w:lvl w:ilvl="5" w:tplc="C6F8B2D6" w:tentative="1">
      <w:start w:val="1"/>
      <w:numFmt w:val="bullet"/>
      <w:lvlText w:val="•"/>
      <w:lvlJc w:val="left"/>
      <w:pPr>
        <w:tabs>
          <w:tab w:val="num" w:pos="4320"/>
        </w:tabs>
        <w:ind w:left="4320" w:hanging="360"/>
      </w:pPr>
      <w:rPr>
        <w:rFonts w:ascii="Arial" w:hAnsi="Arial" w:hint="default"/>
      </w:rPr>
    </w:lvl>
    <w:lvl w:ilvl="6" w:tplc="5EA4343E" w:tentative="1">
      <w:start w:val="1"/>
      <w:numFmt w:val="bullet"/>
      <w:lvlText w:val="•"/>
      <w:lvlJc w:val="left"/>
      <w:pPr>
        <w:tabs>
          <w:tab w:val="num" w:pos="5040"/>
        </w:tabs>
        <w:ind w:left="5040" w:hanging="360"/>
      </w:pPr>
      <w:rPr>
        <w:rFonts w:ascii="Arial" w:hAnsi="Arial" w:hint="default"/>
      </w:rPr>
    </w:lvl>
    <w:lvl w:ilvl="7" w:tplc="89CE3558" w:tentative="1">
      <w:start w:val="1"/>
      <w:numFmt w:val="bullet"/>
      <w:lvlText w:val="•"/>
      <w:lvlJc w:val="left"/>
      <w:pPr>
        <w:tabs>
          <w:tab w:val="num" w:pos="5760"/>
        </w:tabs>
        <w:ind w:left="5760" w:hanging="360"/>
      </w:pPr>
      <w:rPr>
        <w:rFonts w:ascii="Arial" w:hAnsi="Arial" w:hint="default"/>
      </w:rPr>
    </w:lvl>
    <w:lvl w:ilvl="8" w:tplc="EDA2FFD6"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76DF09D8"/>
    <w:multiLevelType w:val="hybridMultilevel"/>
    <w:tmpl w:val="B4F46678"/>
    <w:lvl w:ilvl="0" w:tplc="91D63A56">
      <w:start w:val="1"/>
      <w:numFmt w:val="bullet"/>
      <w:lvlText w:val="•"/>
      <w:lvlJc w:val="left"/>
      <w:pPr>
        <w:tabs>
          <w:tab w:val="num" w:pos="720"/>
        </w:tabs>
        <w:ind w:left="720" w:hanging="360"/>
      </w:pPr>
      <w:rPr>
        <w:rFonts w:ascii="Arial" w:hAnsi="Arial" w:hint="default"/>
      </w:rPr>
    </w:lvl>
    <w:lvl w:ilvl="1" w:tplc="4CB2DF5C">
      <w:start w:val="1"/>
      <w:numFmt w:val="bullet"/>
      <w:lvlText w:val="•"/>
      <w:lvlJc w:val="left"/>
      <w:pPr>
        <w:tabs>
          <w:tab w:val="num" w:pos="1440"/>
        </w:tabs>
        <w:ind w:left="1440" w:hanging="360"/>
      </w:pPr>
      <w:rPr>
        <w:rFonts w:ascii="Arial" w:hAnsi="Arial" w:hint="default"/>
      </w:rPr>
    </w:lvl>
    <w:lvl w:ilvl="2" w:tplc="6F242E7E" w:tentative="1">
      <w:start w:val="1"/>
      <w:numFmt w:val="bullet"/>
      <w:lvlText w:val="•"/>
      <w:lvlJc w:val="left"/>
      <w:pPr>
        <w:tabs>
          <w:tab w:val="num" w:pos="2160"/>
        </w:tabs>
        <w:ind w:left="2160" w:hanging="360"/>
      </w:pPr>
      <w:rPr>
        <w:rFonts w:ascii="Arial" w:hAnsi="Arial" w:hint="default"/>
      </w:rPr>
    </w:lvl>
    <w:lvl w:ilvl="3" w:tplc="0002B036" w:tentative="1">
      <w:start w:val="1"/>
      <w:numFmt w:val="bullet"/>
      <w:lvlText w:val="•"/>
      <w:lvlJc w:val="left"/>
      <w:pPr>
        <w:tabs>
          <w:tab w:val="num" w:pos="2880"/>
        </w:tabs>
        <w:ind w:left="2880" w:hanging="360"/>
      </w:pPr>
      <w:rPr>
        <w:rFonts w:ascii="Arial" w:hAnsi="Arial" w:hint="default"/>
      </w:rPr>
    </w:lvl>
    <w:lvl w:ilvl="4" w:tplc="8AD0C2B4" w:tentative="1">
      <w:start w:val="1"/>
      <w:numFmt w:val="bullet"/>
      <w:lvlText w:val="•"/>
      <w:lvlJc w:val="left"/>
      <w:pPr>
        <w:tabs>
          <w:tab w:val="num" w:pos="3600"/>
        </w:tabs>
        <w:ind w:left="3600" w:hanging="360"/>
      </w:pPr>
      <w:rPr>
        <w:rFonts w:ascii="Arial" w:hAnsi="Arial" w:hint="default"/>
      </w:rPr>
    </w:lvl>
    <w:lvl w:ilvl="5" w:tplc="F65CE01E" w:tentative="1">
      <w:start w:val="1"/>
      <w:numFmt w:val="bullet"/>
      <w:lvlText w:val="•"/>
      <w:lvlJc w:val="left"/>
      <w:pPr>
        <w:tabs>
          <w:tab w:val="num" w:pos="4320"/>
        </w:tabs>
        <w:ind w:left="4320" w:hanging="360"/>
      </w:pPr>
      <w:rPr>
        <w:rFonts w:ascii="Arial" w:hAnsi="Arial" w:hint="default"/>
      </w:rPr>
    </w:lvl>
    <w:lvl w:ilvl="6" w:tplc="904AD4C6" w:tentative="1">
      <w:start w:val="1"/>
      <w:numFmt w:val="bullet"/>
      <w:lvlText w:val="•"/>
      <w:lvlJc w:val="left"/>
      <w:pPr>
        <w:tabs>
          <w:tab w:val="num" w:pos="5040"/>
        </w:tabs>
        <w:ind w:left="5040" w:hanging="360"/>
      </w:pPr>
      <w:rPr>
        <w:rFonts w:ascii="Arial" w:hAnsi="Arial" w:hint="default"/>
      </w:rPr>
    </w:lvl>
    <w:lvl w:ilvl="7" w:tplc="2D1275FA" w:tentative="1">
      <w:start w:val="1"/>
      <w:numFmt w:val="bullet"/>
      <w:lvlText w:val="•"/>
      <w:lvlJc w:val="left"/>
      <w:pPr>
        <w:tabs>
          <w:tab w:val="num" w:pos="5760"/>
        </w:tabs>
        <w:ind w:left="5760" w:hanging="360"/>
      </w:pPr>
      <w:rPr>
        <w:rFonts w:ascii="Arial" w:hAnsi="Arial" w:hint="default"/>
      </w:rPr>
    </w:lvl>
    <w:lvl w:ilvl="8" w:tplc="5ACE0CCA"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784D033C"/>
    <w:multiLevelType w:val="multilevel"/>
    <w:tmpl w:val="0CAEBDF4"/>
    <w:lvl w:ilvl="0">
      <w:start w:val="1"/>
      <w:numFmt w:val="decimal"/>
      <w:pStyle w:val="2-SectionHeading"/>
      <w:lvlText w:val="%1"/>
      <w:lvlJc w:val="left"/>
      <w:pPr>
        <w:ind w:left="720" w:hanging="720"/>
      </w:pPr>
      <w:rPr>
        <w:rFonts w:hint="default"/>
        <w:b/>
        <w:i w:val="0"/>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9EC272B"/>
    <w:multiLevelType w:val="hybridMultilevel"/>
    <w:tmpl w:val="CDA6EF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1"/>
  </w:num>
  <w:num w:numId="2">
    <w:abstractNumId w:val="19"/>
  </w:num>
  <w:num w:numId="3">
    <w:abstractNumId w:val="21"/>
  </w:num>
  <w:num w:numId="4">
    <w:abstractNumId w:val="0"/>
  </w:num>
  <w:num w:numId="5">
    <w:abstractNumId w:val="17"/>
  </w:num>
  <w:num w:numId="6">
    <w:abstractNumId w:val="24"/>
  </w:num>
  <w:num w:numId="7">
    <w:abstractNumId w:val="32"/>
  </w:num>
  <w:num w:numId="8">
    <w:abstractNumId w:val="26"/>
  </w:num>
  <w:num w:numId="9">
    <w:abstractNumId w:val="18"/>
  </w:num>
  <w:num w:numId="10">
    <w:abstractNumId w:val="9"/>
  </w:num>
  <w:num w:numId="11">
    <w:abstractNumId w:val="20"/>
  </w:num>
  <w:num w:numId="12">
    <w:abstractNumId w:val="7"/>
  </w:num>
  <w:num w:numId="13">
    <w:abstractNumId w:val="3"/>
  </w:num>
  <w:num w:numId="14">
    <w:abstractNumId w:val="27"/>
  </w:num>
  <w:num w:numId="15">
    <w:abstractNumId w:val="15"/>
  </w:num>
  <w:num w:numId="16">
    <w:abstractNumId w:val="25"/>
  </w:num>
  <w:num w:numId="17">
    <w:abstractNumId w:val="2"/>
  </w:num>
  <w:num w:numId="18">
    <w:abstractNumId w:val="1"/>
  </w:num>
  <w:num w:numId="19">
    <w:abstractNumId w:val="11"/>
  </w:num>
  <w:num w:numId="20">
    <w:abstractNumId w:val="13"/>
  </w:num>
  <w:num w:numId="21">
    <w:abstractNumId w:val="10"/>
  </w:num>
  <w:num w:numId="22">
    <w:abstractNumId w:val="6"/>
  </w:num>
  <w:num w:numId="23">
    <w:abstractNumId w:val="12"/>
  </w:num>
  <w:num w:numId="24">
    <w:abstractNumId w:val="22"/>
  </w:num>
  <w:num w:numId="25">
    <w:abstractNumId w:val="4"/>
  </w:num>
  <w:num w:numId="26">
    <w:abstractNumId w:val="16"/>
  </w:num>
  <w:num w:numId="27">
    <w:abstractNumId w:val="23"/>
  </w:num>
  <w:num w:numId="28">
    <w:abstractNumId w:val="29"/>
  </w:num>
  <w:num w:numId="29">
    <w:abstractNumId w:val="8"/>
  </w:num>
  <w:num w:numId="30">
    <w:abstractNumId w:val="14"/>
  </w:num>
  <w:num w:numId="31">
    <w:abstractNumId w:val="28"/>
  </w:num>
  <w:num w:numId="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 w:numId="34">
    <w:abstractNumId w:val="30"/>
  </w:num>
  <w:num w:numId="35">
    <w:abstractNumId w:val="31"/>
  </w:num>
  <w:num w:numId="36">
    <w:abstractNumId w:val="31"/>
  </w:num>
  <w:num w:numId="37">
    <w:abstractNumId w:val="31"/>
  </w:num>
  <w:num w:numId="38">
    <w:abstractNumId w:val="31"/>
  </w:num>
  <w:num w:numId="39">
    <w:abstractNumId w:val="3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4"/>
  <w:removePersonalInformation/>
  <w:removeDateAndTime/>
  <w:activeWritingStyle w:appName="MSWord" w:lang="es-ES" w:vendorID="64" w:dllVersion="6" w:nlCheck="1" w:checkStyle="0"/>
  <w:activeWritingStyle w:appName="MSWord" w:lang="en-AU" w:vendorID="64" w:dllVersion="6"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0"/>
  <w:activeWritingStyle w:appName="MSWord" w:lang="en-AU" w:vendorID="64" w:dllVersion="0" w:nlCheck="1" w:checkStyle="0"/>
  <w:activeWritingStyle w:appName="MSWord" w:lang="en-US" w:vendorID="64" w:dllVersion="0" w:nlCheck="1" w:checkStyle="0"/>
  <w:activeWritingStyle w:appName="MSWord" w:lang="fr-FR" w:vendorID="64" w:dllVersion="0" w:nlCheck="1" w:checkStyle="0"/>
  <w:activeWritingStyle w:appName="MSWord" w:lang="en-AU" w:vendorID="64" w:dllVersion="131078" w:nlCheck="1" w:checkStyle="1"/>
  <w:activeWritingStyle w:appName="MSWord" w:lang="en-GB" w:vendorID="64" w:dllVersion="131078" w:nlCheck="1" w:checkStyle="1"/>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Vancouver modified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szxtxpxkezdzle9t2mxvf9yt9r5pra2awtr&quot;&gt;Atezolizumab_CoDep_Library_Converted&lt;record-ids&gt;&lt;item&gt;1&lt;/item&gt;&lt;item&gt;2&lt;/item&gt;&lt;item&gt;5&lt;/item&gt;&lt;item&gt;7&lt;/item&gt;&lt;item&gt;10&lt;/item&gt;&lt;item&gt;11&lt;/item&gt;&lt;item&gt;15&lt;/item&gt;&lt;item&gt;16&lt;/item&gt;&lt;item&gt;17&lt;/item&gt;&lt;item&gt;36&lt;/item&gt;&lt;item&gt;80&lt;/item&gt;&lt;item&gt;81&lt;/item&gt;&lt;item&gt;97&lt;/item&gt;&lt;item&gt;98&lt;/item&gt;&lt;item&gt;99&lt;/item&gt;&lt;item&gt;100&lt;/item&gt;&lt;item&gt;101&lt;/item&gt;&lt;item&gt;102&lt;/item&gt;&lt;item&gt;103&lt;/item&gt;&lt;item&gt;121&lt;/item&gt;&lt;item&gt;122&lt;/item&gt;&lt;item&gt;123&lt;/item&gt;&lt;item&gt;125&lt;/item&gt;&lt;item&gt;126&lt;/item&gt;&lt;item&gt;127&lt;/item&gt;&lt;item&gt;128&lt;/item&gt;&lt;item&gt;129&lt;/item&gt;&lt;item&gt;130&lt;/item&gt;&lt;item&gt;131&lt;/item&gt;&lt;/record-ids&gt;&lt;/item&gt;&lt;/Libraries&gt;"/>
  </w:docVars>
  <w:rsids>
    <w:rsidRoot w:val="00E65E79"/>
    <w:rsid w:val="00000790"/>
    <w:rsid w:val="00000EE6"/>
    <w:rsid w:val="0000110B"/>
    <w:rsid w:val="0000143E"/>
    <w:rsid w:val="00001774"/>
    <w:rsid w:val="000028AB"/>
    <w:rsid w:val="00003499"/>
    <w:rsid w:val="000039B7"/>
    <w:rsid w:val="000047F4"/>
    <w:rsid w:val="000051BD"/>
    <w:rsid w:val="0000639A"/>
    <w:rsid w:val="00010653"/>
    <w:rsid w:val="00010A2B"/>
    <w:rsid w:val="00013247"/>
    <w:rsid w:val="00013B96"/>
    <w:rsid w:val="000145DD"/>
    <w:rsid w:val="00015886"/>
    <w:rsid w:val="00015CC7"/>
    <w:rsid w:val="000162EF"/>
    <w:rsid w:val="0001646E"/>
    <w:rsid w:val="00017C4E"/>
    <w:rsid w:val="00017C83"/>
    <w:rsid w:val="000207C9"/>
    <w:rsid w:val="00021907"/>
    <w:rsid w:val="0002225F"/>
    <w:rsid w:val="00022442"/>
    <w:rsid w:val="00023763"/>
    <w:rsid w:val="00025AF7"/>
    <w:rsid w:val="000274B8"/>
    <w:rsid w:val="000279A9"/>
    <w:rsid w:val="000331AF"/>
    <w:rsid w:val="00033863"/>
    <w:rsid w:val="00034F14"/>
    <w:rsid w:val="00035DC0"/>
    <w:rsid w:val="00036829"/>
    <w:rsid w:val="00036D64"/>
    <w:rsid w:val="00040895"/>
    <w:rsid w:val="00040FC1"/>
    <w:rsid w:val="000415EB"/>
    <w:rsid w:val="000435EE"/>
    <w:rsid w:val="00043C37"/>
    <w:rsid w:val="0004442C"/>
    <w:rsid w:val="00044FFE"/>
    <w:rsid w:val="00045017"/>
    <w:rsid w:val="00045A2B"/>
    <w:rsid w:val="0004638E"/>
    <w:rsid w:val="0004698F"/>
    <w:rsid w:val="00047D37"/>
    <w:rsid w:val="00053081"/>
    <w:rsid w:val="000539D0"/>
    <w:rsid w:val="00054621"/>
    <w:rsid w:val="000546D7"/>
    <w:rsid w:val="00054E3A"/>
    <w:rsid w:val="00055240"/>
    <w:rsid w:val="000552BC"/>
    <w:rsid w:val="000566C9"/>
    <w:rsid w:val="00056ECF"/>
    <w:rsid w:val="00056F23"/>
    <w:rsid w:val="00057F4D"/>
    <w:rsid w:val="000604DF"/>
    <w:rsid w:val="000653B5"/>
    <w:rsid w:val="00066360"/>
    <w:rsid w:val="000669D9"/>
    <w:rsid w:val="00066AF8"/>
    <w:rsid w:val="00066D3D"/>
    <w:rsid w:val="0006701E"/>
    <w:rsid w:val="00067485"/>
    <w:rsid w:val="00071248"/>
    <w:rsid w:val="000720B9"/>
    <w:rsid w:val="000720CB"/>
    <w:rsid w:val="00072505"/>
    <w:rsid w:val="000737F7"/>
    <w:rsid w:val="00073F5D"/>
    <w:rsid w:val="00075DF6"/>
    <w:rsid w:val="00076138"/>
    <w:rsid w:val="0007629A"/>
    <w:rsid w:val="0007672F"/>
    <w:rsid w:val="00076B54"/>
    <w:rsid w:val="000774F0"/>
    <w:rsid w:val="00080909"/>
    <w:rsid w:val="00080EC8"/>
    <w:rsid w:val="000812CA"/>
    <w:rsid w:val="00081E63"/>
    <w:rsid w:val="00082308"/>
    <w:rsid w:val="0008258D"/>
    <w:rsid w:val="00083E99"/>
    <w:rsid w:val="00084FA8"/>
    <w:rsid w:val="000856C5"/>
    <w:rsid w:val="00085C31"/>
    <w:rsid w:val="00087B7B"/>
    <w:rsid w:val="00087E07"/>
    <w:rsid w:val="000902D9"/>
    <w:rsid w:val="00090C7E"/>
    <w:rsid w:val="00092600"/>
    <w:rsid w:val="0009262B"/>
    <w:rsid w:val="00093310"/>
    <w:rsid w:val="00094255"/>
    <w:rsid w:val="0009445C"/>
    <w:rsid w:val="00095200"/>
    <w:rsid w:val="0009582B"/>
    <w:rsid w:val="00095ACD"/>
    <w:rsid w:val="00095FE5"/>
    <w:rsid w:val="00096284"/>
    <w:rsid w:val="00096C5C"/>
    <w:rsid w:val="00097173"/>
    <w:rsid w:val="000A0063"/>
    <w:rsid w:val="000A1BC0"/>
    <w:rsid w:val="000A3054"/>
    <w:rsid w:val="000A3279"/>
    <w:rsid w:val="000A3DE3"/>
    <w:rsid w:val="000A6039"/>
    <w:rsid w:val="000A7453"/>
    <w:rsid w:val="000A7761"/>
    <w:rsid w:val="000A789E"/>
    <w:rsid w:val="000A79CB"/>
    <w:rsid w:val="000A7D08"/>
    <w:rsid w:val="000A7F56"/>
    <w:rsid w:val="000B0121"/>
    <w:rsid w:val="000B056A"/>
    <w:rsid w:val="000B066F"/>
    <w:rsid w:val="000B0670"/>
    <w:rsid w:val="000B0E75"/>
    <w:rsid w:val="000B263D"/>
    <w:rsid w:val="000B26B9"/>
    <w:rsid w:val="000B2DCB"/>
    <w:rsid w:val="000B3600"/>
    <w:rsid w:val="000B5CE0"/>
    <w:rsid w:val="000B6CAC"/>
    <w:rsid w:val="000B72C6"/>
    <w:rsid w:val="000B7612"/>
    <w:rsid w:val="000B78AE"/>
    <w:rsid w:val="000C0161"/>
    <w:rsid w:val="000C0961"/>
    <w:rsid w:val="000C099E"/>
    <w:rsid w:val="000C3DF9"/>
    <w:rsid w:val="000C400A"/>
    <w:rsid w:val="000C6713"/>
    <w:rsid w:val="000D0820"/>
    <w:rsid w:val="000D15F0"/>
    <w:rsid w:val="000D1BFC"/>
    <w:rsid w:val="000D1D5D"/>
    <w:rsid w:val="000D281A"/>
    <w:rsid w:val="000D2848"/>
    <w:rsid w:val="000D326A"/>
    <w:rsid w:val="000D4A38"/>
    <w:rsid w:val="000D51FB"/>
    <w:rsid w:val="000D6952"/>
    <w:rsid w:val="000D73F8"/>
    <w:rsid w:val="000D7637"/>
    <w:rsid w:val="000E0640"/>
    <w:rsid w:val="000E135D"/>
    <w:rsid w:val="000E3712"/>
    <w:rsid w:val="000E574F"/>
    <w:rsid w:val="000E6461"/>
    <w:rsid w:val="000F00BA"/>
    <w:rsid w:val="000F0E78"/>
    <w:rsid w:val="000F316A"/>
    <w:rsid w:val="000F3C74"/>
    <w:rsid w:val="000F4BB8"/>
    <w:rsid w:val="000F4FA9"/>
    <w:rsid w:val="000F5238"/>
    <w:rsid w:val="000F53FB"/>
    <w:rsid w:val="000F54D1"/>
    <w:rsid w:val="000F5714"/>
    <w:rsid w:val="000F6A42"/>
    <w:rsid w:val="000F7127"/>
    <w:rsid w:val="000F7B54"/>
    <w:rsid w:val="00100F8A"/>
    <w:rsid w:val="0010155F"/>
    <w:rsid w:val="00103F84"/>
    <w:rsid w:val="0010452E"/>
    <w:rsid w:val="00105AE2"/>
    <w:rsid w:val="001060C6"/>
    <w:rsid w:val="00106B80"/>
    <w:rsid w:val="00106C93"/>
    <w:rsid w:val="0011032E"/>
    <w:rsid w:val="00110A9C"/>
    <w:rsid w:val="0011348B"/>
    <w:rsid w:val="00115869"/>
    <w:rsid w:val="00115982"/>
    <w:rsid w:val="00115C2F"/>
    <w:rsid w:val="001167A3"/>
    <w:rsid w:val="00116C53"/>
    <w:rsid w:val="00121089"/>
    <w:rsid w:val="001210A9"/>
    <w:rsid w:val="00121799"/>
    <w:rsid w:val="001222FC"/>
    <w:rsid w:val="001226E6"/>
    <w:rsid w:val="00122833"/>
    <w:rsid w:val="00122B36"/>
    <w:rsid w:val="00123902"/>
    <w:rsid w:val="00123D2D"/>
    <w:rsid w:val="00124A51"/>
    <w:rsid w:val="00125825"/>
    <w:rsid w:val="00126621"/>
    <w:rsid w:val="00126B1D"/>
    <w:rsid w:val="00126F61"/>
    <w:rsid w:val="001276F8"/>
    <w:rsid w:val="001301E9"/>
    <w:rsid w:val="00130D56"/>
    <w:rsid w:val="001318B3"/>
    <w:rsid w:val="00131D82"/>
    <w:rsid w:val="00132B22"/>
    <w:rsid w:val="00132FB3"/>
    <w:rsid w:val="00133ACB"/>
    <w:rsid w:val="00133D36"/>
    <w:rsid w:val="00133F9E"/>
    <w:rsid w:val="0013454B"/>
    <w:rsid w:val="00137645"/>
    <w:rsid w:val="00137EA0"/>
    <w:rsid w:val="0014004B"/>
    <w:rsid w:val="0014015A"/>
    <w:rsid w:val="00140650"/>
    <w:rsid w:val="00140E99"/>
    <w:rsid w:val="00141128"/>
    <w:rsid w:val="00143F67"/>
    <w:rsid w:val="00145540"/>
    <w:rsid w:val="001456B0"/>
    <w:rsid w:val="00145ED2"/>
    <w:rsid w:val="001515D3"/>
    <w:rsid w:val="00153E15"/>
    <w:rsid w:val="00154134"/>
    <w:rsid w:val="00154C66"/>
    <w:rsid w:val="00155E51"/>
    <w:rsid w:val="0015619C"/>
    <w:rsid w:val="00156A89"/>
    <w:rsid w:val="00156F8F"/>
    <w:rsid w:val="00157130"/>
    <w:rsid w:val="001576B1"/>
    <w:rsid w:val="0016047B"/>
    <w:rsid w:val="00160A4C"/>
    <w:rsid w:val="00162913"/>
    <w:rsid w:val="00163EBB"/>
    <w:rsid w:val="00163EFF"/>
    <w:rsid w:val="00163F66"/>
    <w:rsid w:val="0016432F"/>
    <w:rsid w:val="0016442F"/>
    <w:rsid w:val="00164805"/>
    <w:rsid w:val="001661FB"/>
    <w:rsid w:val="001671A0"/>
    <w:rsid w:val="0016767F"/>
    <w:rsid w:val="00167E71"/>
    <w:rsid w:val="00170385"/>
    <w:rsid w:val="001705E9"/>
    <w:rsid w:val="00170658"/>
    <w:rsid w:val="001719BC"/>
    <w:rsid w:val="0017307D"/>
    <w:rsid w:val="00173565"/>
    <w:rsid w:val="00173B07"/>
    <w:rsid w:val="001751FA"/>
    <w:rsid w:val="001769A6"/>
    <w:rsid w:val="00180233"/>
    <w:rsid w:val="001812B2"/>
    <w:rsid w:val="00181D9C"/>
    <w:rsid w:val="00182166"/>
    <w:rsid w:val="00184B0E"/>
    <w:rsid w:val="00185DF6"/>
    <w:rsid w:val="0018752F"/>
    <w:rsid w:val="00193838"/>
    <w:rsid w:val="00194AD8"/>
    <w:rsid w:val="00195222"/>
    <w:rsid w:val="00195278"/>
    <w:rsid w:val="00195E86"/>
    <w:rsid w:val="00196C80"/>
    <w:rsid w:val="001975D8"/>
    <w:rsid w:val="001A0CBA"/>
    <w:rsid w:val="001A178E"/>
    <w:rsid w:val="001A2798"/>
    <w:rsid w:val="001A283D"/>
    <w:rsid w:val="001A43FA"/>
    <w:rsid w:val="001A47C5"/>
    <w:rsid w:val="001A51F0"/>
    <w:rsid w:val="001A553C"/>
    <w:rsid w:val="001A59FB"/>
    <w:rsid w:val="001A5E9E"/>
    <w:rsid w:val="001A6354"/>
    <w:rsid w:val="001A6366"/>
    <w:rsid w:val="001A6DAD"/>
    <w:rsid w:val="001A6F06"/>
    <w:rsid w:val="001A7AE8"/>
    <w:rsid w:val="001B0DEF"/>
    <w:rsid w:val="001B12DD"/>
    <w:rsid w:val="001B204E"/>
    <w:rsid w:val="001B2372"/>
    <w:rsid w:val="001B274E"/>
    <w:rsid w:val="001B2A9E"/>
    <w:rsid w:val="001B3443"/>
    <w:rsid w:val="001B4D20"/>
    <w:rsid w:val="001B52B4"/>
    <w:rsid w:val="001B650A"/>
    <w:rsid w:val="001B78DF"/>
    <w:rsid w:val="001C13AF"/>
    <w:rsid w:val="001C2A9B"/>
    <w:rsid w:val="001C4299"/>
    <w:rsid w:val="001C4874"/>
    <w:rsid w:val="001C5F94"/>
    <w:rsid w:val="001C6E66"/>
    <w:rsid w:val="001C788E"/>
    <w:rsid w:val="001D0FCB"/>
    <w:rsid w:val="001D1100"/>
    <w:rsid w:val="001D112D"/>
    <w:rsid w:val="001D1391"/>
    <w:rsid w:val="001D25D7"/>
    <w:rsid w:val="001D34AD"/>
    <w:rsid w:val="001D50B2"/>
    <w:rsid w:val="001D6F81"/>
    <w:rsid w:val="001D7645"/>
    <w:rsid w:val="001E106A"/>
    <w:rsid w:val="001E1E86"/>
    <w:rsid w:val="001E238E"/>
    <w:rsid w:val="001E2483"/>
    <w:rsid w:val="001E2B1E"/>
    <w:rsid w:val="001E2CFF"/>
    <w:rsid w:val="001E2F24"/>
    <w:rsid w:val="001E30D4"/>
    <w:rsid w:val="001E34DF"/>
    <w:rsid w:val="001E4680"/>
    <w:rsid w:val="001E52EB"/>
    <w:rsid w:val="001E5C43"/>
    <w:rsid w:val="001E61D2"/>
    <w:rsid w:val="001E740C"/>
    <w:rsid w:val="001E78D2"/>
    <w:rsid w:val="001F0792"/>
    <w:rsid w:val="001F1235"/>
    <w:rsid w:val="001F1CB3"/>
    <w:rsid w:val="001F3113"/>
    <w:rsid w:val="001F385A"/>
    <w:rsid w:val="001F38B5"/>
    <w:rsid w:val="001F4081"/>
    <w:rsid w:val="001F5969"/>
    <w:rsid w:val="001F6CA5"/>
    <w:rsid w:val="001F7361"/>
    <w:rsid w:val="0020107E"/>
    <w:rsid w:val="002011B0"/>
    <w:rsid w:val="00201594"/>
    <w:rsid w:val="00201606"/>
    <w:rsid w:val="00201E5F"/>
    <w:rsid w:val="00203181"/>
    <w:rsid w:val="00203783"/>
    <w:rsid w:val="0020385F"/>
    <w:rsid w:val="002068A0"/>
    <w:rsid w:val="00207021"/>
    <w:rsid w:val="0020732F"/>
    <w:rsid w:val="002079AE"/>
    <w:rsid w:val="00207A35"/>
    <w:rsid w:val="00207D00"/>
    <w:rsid w:val="002105C1"/>
    <w:rsid w:val="00213CFB"/>
    <w:rsid w:val="00213EF5"/>
    <w:rsid w:val="002144BC"/>
    <w:rsid w:val="00216BF5"/>
    <w:rsid w:val="00220506"/>
    <w:rsid w:val="00223B49"/>
    <w:rsid w:val="00223D5A"/>
    <w:rsid w:val="00224CB3"/>
    <w:rsid w:val="00224DD4"/>
    <w:rsid w:val="002278A0"/>
    <w:rsid w:val="002305FE"/>
    <w:rsid w:val="002309CC"/>
    <w:rsid w:val="00230B20"/>
    <w:rsid w:val="00230FF8"/>
    <w:rsid w:val="0023209F"/>
    <w:rsid w:val="00232E9D"/>
    <w:rsid w:val="002334CE"/>
    <w:rsid w:val="00233C01"/>
    <w:rsid w:val="0023413C"/>
    <w:rsid w:val="002346F0"/>
    <w:rsid w:val="00235F78"/>
    <w:rsid w:val="0023629D"/>
    <w:rsid w:val="00237255"/>
    <w:rsid w:val="002424AF"/>
    <w:rsid w:val="002439DC"/>
    <w:rsid w:val="002441D2"/>
    <w:rsid w:val="00244DC8"/>
    <w:rsid w:val="002458BA"/>
    <w:rsid w:val="00245CE9"/>
    <w:rsid w:val="0024636C"/>
    <w:rsid w:val="002478F2"/>
    <w:rsid w:val="00247925"/>
    <w:rsid w:val="00250A79"/>
    <w:rsid w:val="00251006"/>
    <w:rsid w:val="002524D5"/>
    <w:rsid w:val="0025340D"/>
    <w:rsid w:val="00253A89"/>
    <w:rsid w:val="00253B1D"/>
    <w:rsid w:val="00253E62"/>
    <w:rsid w:val="00254DC3"/>
    <w:rsid w:val="00254DCF"/>
    <w:rsid w:val="002550F3"/>
    <w:rsid w:val="0025534B"/>
    <w:rsid w:val="00255BB7"/>
    <w:rsid w:val="00257541"/>
    <w:rsid w:val="00257A39"/>
    <w:rsid w:val="00257AC4"/>
    <w:rsid w:val="00261EEF"/>
    <w:rsid w:val="00262459"/>
    <w:rsid w:val="00262A1A"/>
    <w:rsid w:val="00262A87"/>
    <w:rsid w:val="00263695"/>
    <w:rsid w:val="00263E3C"/>
    <w:rsid w:val="00263E6E"/>
    <w:rsid w:val="00264D26"/>
    <w:rsid w:val="00265DFE"/>
    <w:rsid w:val="00266709"/>
    <w:rsid w:val="00267642"/>
    <w:rsid w:val="00267AEA"/>
    <w:rsid w:val="002700E6"/>
    <w:rsid w:val="00270387"/>
    <w:rsid w:val="00270601"/>
    <w:rsid w:val="00270BA8"/>
    <w:rsid w:val="002717D0"/>
    <w:rsid w:val="0027294B"/>
    <w:rsid w:val="00273EB4"/>
    <w:rsid w:val="00274682"/>
    <w:rsid w:val="00274944"/>
    <w:rsid w:val="00275C5A"/>
    <w:rsid w:val="002771FF"/>
    <w:rsid w:val="0028069A"/>
    <w:rsid w:val="00281014"/>
    <w:rsid w:val="00281BAA"/>
    <w:rsid w:val="00283D7F"/>
    <w:rsid w:val="002856BF"/>
    <w:rsid w:val="002858D9"/>
    <w:rsid w:val="00285B48"/>
    <w:rsid w:val="0028665D"/>
    <w:rsid w:val="00287ECD"/>
    <w:rsid w:val="00290221"/>
    <w:rsid w:val="0029034F"/>
    <w:rsid w:val="002914CF"/>
    <w:rsid w:val="00294B70"/>
    <w:rsid w:val="00294B8E"/>
    <w:rsid w:val="00295266"/>
    <w:rsid w:val="00295EC7"/>
    <w:rsid w:val="00297162"/>
    <w:rsid w:val="00297A80"/>
    <w:rsid w:val="00297F0C"/>
    <w:rsid w:val="002A00CF"/>
    <w:rsid w:val="002A062E"/>
    <w:rsid w:val="002A0D2B"/>
    <w:rsid w:val="002A14AB"/>
    <w:rsid w:val="002A2ADE"/>
    <w:rsid w:val="002A2F50"/>
    <w:rsid w:val="002A64E2"/>
    <w:rsid w:val="002A696C"/>
    <w:rsid w:val="002B05A1"/>
    <w:rsid w:val="002B09A4"/>
    <w:rsid w:val="002B1996"/>
    <w:rsid w:val="002B1C1F"/>
    <w:rsid w:val="002B2AEA"/>
    <w:rsid w:val="002B432F"/>
    <w:rsid w:val="002B4F31"/>
    <w:rsid w:val="002B62B3"/>
    <w:rsid w:val="002B6754"/>
    <w:rsid w:val="002B6CCE"/>
    <w:rsid w:val="002B7B4E"/>
    <w:rsid w:val="002C028C"/>
    <w:rsid w:val="002C19A7"/>
    <w:rsid w:val="002C2510"/>
    <w:rsid w:val="002C2775"/>
    <w:rsid w:val="002C27C1"/>
    <w:rsid w:val="002C43B9"/>
    <w:rsid w:val="002C5099"/>
    <w:rsid w:val="002C5889"/>
    <w:rsid w:val="002C6569"/>
    <w:rsid w:val="002C71CE"/>
    <w:rsid w:val="002C7B5A"/>
    <w:rsid w:val="002D08F8"/>
    <w:rsid w:val="002D0B3B"/>
    <w:rsid w:val="002D1482"/>
    <w:rsid w:val="002D2146"/>
    <w:rsid w:val="002D4090"/>
    <w:rsid w:val="002D577C"/>
    <w:rsid w:val="002E07E7"/>
    <w:rsid w:val="002E1071"/>
    <w:rsid w:val="002E15B9"/>
    <w:rsid w:val="002E18E7"/>
    <w:rsid w:val="002E1A09"/>
    <w:rsid w:val="002E1EBE"/>
    <w:rsid w:val="002E20D9"/>
    <w:rsid w:val="002E2158"/>
    <w:rsid w:val="002E2E64"/>
    <w:rsid w:val="002E4F02"/>
    <w:rsid w:val="002E7722"/>
    <w:rsid w:val="002E7978"/>
    <w:rsid w:val="002F002F"/>
    <w:rsid w:val="002F07BA"/>
    <w:rsid w:val="002F0DA9"/>
    <w:rsid w:val="002F1014"/>
    <w:rsid w:val="002F327D"/>
    <w:rsid w:val="002F4F13"/>
    <w:rsid w:val="002F5678"/>
    <w:rsid w:val="002F643C"/>
    <w:rsid w:val="002F71C0"/>
    <w:rsid w:val="002F74F1"/>
    <w:rsid w:val="002F7F26"/>
    <w:rsid w:val="00301017"/>
    <w:rsid w:val="0030155F"/>
    <w:rsid w:val="00302101"/>
    <w:rsid w:val="003028C8"/>
    <w:rsid w:val="00305416"/>
    <w:rsid w:val="0030587B"/>
    <w:rsid w:val="0030631B"/>
    <w:rsid w:val="00306D98"/>
    <w:rsid w:val="0030786C"/>
    <w:rsid w:val="0031031A"/>
    <w:rsid w:val="00310981"/>
    <w:rsid w:val="00311BC4"/>
    <w:rsid w:val="003124D9"/>
    <w:rsid w:val="00312594"/>
    <w:rsid w:val="00313210"/>
    <w:rsid w:val="00315498"/>
    <w:rsid w:val="00316474"/>
    <w:rsid w:val="00316D42"/>
    <w:rsid w:val="003200D0"/>
    <w:rsid w:val="003203D6"/>
    <w:rsid w:val="00320B3B"/>
    <w:rsid w:val="00322107"/>
    <w:rsid w:val="00322355"/>
    <w:rsid w:val="00322846"/>
    <w:rsid w:val="00326DA7"/>
    <w:rsid w:val="003270E4"/>
    <w:rsid w:val="00330DAA"/>
    <w:rsid w:val="00330F5C"/>
    <w:rsid w:val="0033170E"/>
    <w:rsid w:val="003350F4"/>
    <w:rsid w:val="00335545"/>
    <w:rsid w:val="003366C9"/>
    <w:rsid w:val="003371B0"/>
    <w:rsid w:val="00337D23"/>
    <w:rsid w:val="00340DF1"/>
    <w:rsid w:val="00345F0F"/>
    <w:rsid w:val="00346209"/>
    <w:rsid w:val="003517F9"/>
    <w:rsid w:val="00351914"/>
    <w:rsid w:val="00351BA9"/>
    <w:rsid w:val="00353978"/>
    <w:rsid w:val="00354629"/>
    <w:rsid w:val="00354F64"/>
    <w:rsid w:val="003550DC"/>
    <w:rsid w:val="003561DD"/>
    <w:rsid w:val="0035620E"/>
    <w:rsid w:val="00360345"/>
    <w:rsid w:val="00361A05"/>
    <w:rsid w:val="003624C4"/>
    <w:rsid w:val="0036387E"/>
    <w:rsid w:val="00363B00"/>
    <w:rsid w:val="00363F9C"/>
    <w:rsid w:val="003654AC"/>
    <w:rsid w:val="003663F3"/>
    <w:rsid w:val="00366959"/>
    <w:rsid w:val="00367249"/>
    <w:rsid w:val="00370CCA"/>
    <w:rsid w:val="003710CF"/>
    <w:rsid w:val="00372A0A"/>
    <w:rsid w:val="0037358A"/>
    <w:rsid w:val="00373909"/>
    <w:rsid w:val="00374A98"/>
    <w:rsid w:val="003750F6"/>
    <w:rsid w:val="003760FC"/>
    <w:rsid w:val="0037614C"/>
    <w:rsid w:val="003762F3"/>
    <w:rsid w:val="00377657"/>
    <w:rsid w:val="003825FD"/>
    <w:rsid w:val="0038365C"/>
    <w:rsid w:val="0038369B"/>
    <w:rsid w:val="00383B78"/>
    <w:rsid w:val="003842AE"/>
    <w:rsid w:val="00385A9D"/>
    <w:rsid w:val="00385CDF"/>
    <w:rsid w:val="00387596"/>
    <w:rsid w:val="00390008"/>
    <w:rsid w:val="003902B1"/>
    <w:rsid w:val="003906D1"/>
    <w:rsid w:val="0039179C"/>
    <w:rsid w:val="00391909"/>
    <w:rsid w:val="00392068"/>
    <w:rsid w:val="00393597"/>
    <w:rsid w:val="003941D3"/>
    <w:rsid w:val="0039434C"/>
    <w:rsid w:val="00396896"/>
    <w:rsid w:val="00396FD0"/>
    <w:rsid w:val="003A1027"/>
    <w:rsid w:val="003A1A7A"/>
    <w:rsid w:val="003A2392"/>
    <w:rsid w:val="003A2831"/>
    <w:rsid w:val="003A3CB6"/>
    <w:rsid w:val="003A3D0C"/>
    <w:rsid w:val="003A3ED1"/>
    <w:rsid w:val="003A44DB"/>
    <w:rsid w:val="003A5810"/>
    <w:rsid w:val="003B1ACB"/>
    <w:rsid w:val="003B1AE2"/>
    <w:rsid w:val="003B2906"/>
    <w:rsid w:val="003B3971"/>
    <w:rsid w:val="003B3F8B"/>
    <w:rsid w:val="003B40CE"/>
    <w:rsid w:val="003B55D1"/>
    <w:rsid w:val="003B5B61"/>
    <w:rsid w:val="003C1654"/>
    <w:rsid w:val="003C2623"/>
    <w:rsid w:val="003C5542"/>
    <w:rsid w:val="003C5592"/>
    <w:rsid w:val="003C5CA0"/>
    <w:rsid w:val="003C7086"/>
    <w:rsid w:val="003C7D19"/>
    <w:rsid w:val="003C7D2F"/>
    <w:rsid w:val="003D0F83"/>
    <w:rsid w:val="003D1828"/>
    <w:rsid w:val="003D1DE4"/>
    <w:rsid w:val="003D1E9A"/>
    <w:rsid w:val="003D2422"/>
    <w:rsid w:val="003D32EA"/>
    <w:rsid w:val="003D39A1"/>
    <w:rsid w:val="003D3FBF"/>
    <w:rsid w:val="003D4A30"/>
    <w:rsid w:val="003D7452"/>
    <w:rsid w:val="003D77E8"/>
    <w:rsid w:val="003D79BB"/>
    <w:rsid w:val="003D7C98"/>
    <w:rsid w:val="003D7D9D"/>
    <w:rsid w:val="003E0543"/>
    <w:rsid w:val="003E2845"/>
    <w:rsid w:val="003E32C7"/>
    <w:rsid w:val="003E464E"/>
    <w:rsid w:val="003E57FC"/>
    <w:rsid w:val="003E749E"/>
    <w:rsid w:val="003F0707"/>
    <w:rsid w:val="003F0FF0"/>
    <w:rsid w:val="003F1117"/>
    <w:rsid w:val="003F3E9C"/>
    <w:rsid w:val="003F3F4B"/>
    <w:rsid w:val="003F4156"/>
    <w:rsid w:val="003F41E4"/>
    <w:rsid w:val="003F539C"/>
    <w:rsid w:val="003F5ADF"/>
    <w:rsid w:val="003F76E5"/>
    <w:rsid w:val="00400B29"/>
    <w:rsid w:val="004020FB"/>
    <w:rsid w:val="0040504B"/>
    <w:rsid w:val="00405465"/>
    <w:rsid w:val="00405812"/>
    <w:rsid w:val="004059F4"/>
    <w:rsid w:val="00405E55"/>
    <w:rsid w:val="00406B73"/>
    <w:rsid w:val="00407FE5"/>
    <w:rsid w:val="004101B0"/>
    <w:rsid w:val="00410326"/>
    <w:rsid w:val="00410708"/>
    <w:rsid w:val="00410EC7"/>
    <w:rsid w:val="00411884"/>
    <w:rsid w:val="00411B39"/>
    <w:rsid w:val="00412423"/>
    <w:rsid w:val="004125DF"/>
    <w:rsid w:val="004127A7"/>
    <w:rsid w:val="004130A4"/>
    <w:rsid w:val="00413A1E"/>
    <w:rsid w:val="00414476"/>
    <w:rsid w:val="00414C2E"/>
    <w:rsid w:val="004151CF"/>
    <w:rsid w:val="0041580B"/>
    <w:rsid w:val="00416364"/>
    <w:rsid w:val="00416564"/>
    <w:rsid w:val="00416BB1"/>
    <w:rsid w:val="004200A2"/>
    <w:rsid w:val="0042047F"/>
    <w:rsid w:val="004206B0"/>
    <w:rsid w:val="00420AA6"/>
    <w:rsid w:val="00420B9F"/>
    <w:rsid w:val="0042192C"/>
    <w:rsid w:val="004221B4"/>
    <w:rsid w:val="00422260"/>
    <w:rsid w:val="00422EB9"/>
    <w:rsid w:val="0042413F"/>
    <w:rsid w:val="00427340"/>
    <w:rsid w:val="004319F8"/>
    <w:rsid w:val="00431D77"/>
    <w:rsid w:val="00431E55"/>
    <w:rsid w:val="004321F6"/>
    <w:rsid w:val="00433044"/>
    <w:rsid w:val="00434088"/>
    <w:rsid w:val="00434B12"/>
    <w:rsid w:val="004375B9"/>
    <w:rsid w:val="0043772E"/>
    <w:rsid w:val="004428D0"/>
    <w:rsid w:val="00443757"/>
    <w:rsid w:val="00443C06"/>
    <w:rsid w:val="00444185"/>
    <w:rsid w:val="004443A7"/>
    <w:rsid w:val="0044442C"/>
    <w:rsid w:val="00444DAC"/>
    <w:rsid w:val="004450FD"/>
    <w:rsid w:val="00445941"/>
    <w:rsid w:val="004464EB"/>
    <w:rsid w:val="0044729A"/>
    <w:rsid w:val="00447D26"/>
    <w:rsid w:val="00447DFC"/>
    <w:rsid w:val="0045017D"/>
    <w:rsid w:val="0045170B"/>
    <w:rsid w:val="00454871"/>
    <w:rsid w:val="0045490F"/>
    <w:rsid w:val="00455C54"/>
    <w:rsid w:val="00455D45"/>
    <w:rsid w:val="00455D88"/>
    <w:rsid w:val="004564B6"/>
    <w:rsid w:val="004569E1"/>
    <w:rsid w:val="00457011"/>
    <w:rsid w:val="00457929"/>
    <w:rsid w:val="00460281"/>
    <w:rsid w:val="00460653"/>
    <w:rsid w:val="00460AD6"/>
    <w:rsid w:val="00461708"/>
    <w:rsid w:val="00464595"/>
    <w:rsid w:val="00465087"/>
    <w:rsid w:val="004658B5"/>
    <w:rsid w:val="00467A54"/>
    <w:rsid w:val="00471EA5"/>
    <w:rsid w:val="00472A79"/>
    <w:rsid w:val="00473F19"/>
    <w:rsid w:val="0047502A"/>
    <w:rsid w:val="004755B2"/>
    <w:rsid w:val="00475E22"/>
    <w:rsid w:val="0048088E"/>
    <w:rsid w:val="00480F2B"/>
    <w:rsid w:val="00482720"/>
    <w:rsid w:val="004835E7"/>
    <w:rsid w:val="00483B09"/>
    <w:rsid w:val="004867E2"/>
    <w:rsid w:val="004872AC"/>
    <w:rsid w:val="00487393"/>
    <w:rsid w:val="00490B17"/>
    <w:rsid w:val="00491B3A"/>
    <w:rsid w:val="00492CFD"/>
    <w:rsid w:val="00494207"/>
    <w:rsid w:val="00494DD5"/>
    <w:rsid w:val="004962D2"/>
    <w:rsid w:val="004976CA"/>
    <w:rsid w:val="004A0DA1"/>
    <w:rsid w:val="004A1343"/>
    <w:rsid w:val="004A13D6"/>
    <w:rsid w:val="004A199F"/>
    <w:rsid w:val="004A2639"/>
    <w:rsid w:val="004A4B8A"/>
    <w:rsid w:val="004A52E9"/>
    <w:rsid w:val="004A5FAF"/>
    <w:rsid w:val="004A6040"/>
    <w:rsid w:val="004A605F"/>
    <w:rsid w:val="004A6597"/>
    <w:rsid w:val="004A65F9"/>
    <w:rsid w:val="004A6914"/>
    <w:rsid w:val="004A7848"/>
    <w:rsid w:val="004B1CB4"/>
    <w:rsid w:val="004B2D0E"/>
    <w:rsid w:val="004B2F18"/>
    <w:rsid w:val="004B3DDB"/>
    <w:rsid w:val="004B44FD"/>
    <w:rsid w:val="004B560D"/>
    <w:rsid w:val="004B5CFC"/>
    <w:rsid w:val="004B6802"/>
    <w:rsid w:val="004B6F79"/>
    <w:rsid w:val="004B774D"/>
    <w:rsid w:val="004C2681"/>
    <w:rsid w:val="004C4AED"/>
    <w:rsid w:val="004D2C2D"/>
    <w:rsid w:val="004D6250"/>
    <w:rsid w:val="004D69B5"/>
    <w:rsid w:val="004D7227"/>
    <w:rsid w:val="004D7F17"/>
    <w:rsid w:val="004E00DB"/>
    <w:rsid w:val="004E041C"/>
    <w:rsid w:val="004E09EB"/>
    <w:rsid w:val="004E0E7F"/>
    <w:rsid w:val="004E0EB8"/>
    <w:rsid w:val="004E11C2"/>
    <w:rsid w:val="004E18E9"/>
    <w:rsid w:val="004E2ADC"/>
    <w:rsid w:val="004E43B2"/>
    <w:rsid w:val="004E5D61"/>
    <w:rsid w:val="004E7674"/>
    <w:rsid w:val="004F0740"/>
    <w:rsid w:val="004F14D7"/>
    <w:rsid w:val="004F1D02"/>
    <w:rsid w:val="004F234C"/>
    <w:rsid w:val="004F2679"/>
    <w:rsid w:val="004F2F21"/>
    <w:rsid w:val="004F3D5A"/>
    <w:rsid w:val="004F3D6F"/>
    <w:rsid w:val="004F3DE5"/>
    <w:rsid w:val="004F6391"/>
    <w:rsid w:val="004F6913"/>
    <w:rsid w:val="004F6BF2"/>
    <w:rsid w:val="004F6D33"/>
    <w:rsid w:val="004F7865"/>
    <w:rsid w:val="00500D31"/>
    <w:rsid w:val="00501084"/>
    <w:rsid w:val="0050174E"/>
    <w:rsid w:val="00501854"/>
    <w:rsid w:val="0050219B"/>
    <w:rsid w:val="00503AAF"/>
    <w:rsid w:val="00503EC5"/>
    <w:rsid w:val="00503F17"/>
    <w:rsid w:val="005050E7"/>
    <w:rsid w:val="00506928"/>
    <w:rsid w:val="005076CE"/>
    <w:rsid w:val="005077EF"/>
    <w:rsid w:val="00511AD5"/>
    <w:rsid w:val="00511DC7"/>
    <w:rsid w:val="005128EE"/>
    <w:rsid w:val="005142C5"/>
    <w:rsid w:val="005145B4"/>
    <w:rsid w:val="00514C00"/>
    <w:rsid w:val="0051501B"/>
    <w:rsid w:val="005152B5"/>
    <w:rsid w:val="00517A35"/>
    <w:rsid w:val="0052123C"/>
    <w:rsid w:val="00521319"/>
    <w:rsid w:val="00522BC8"/>
    <w:rsid w:val="00522CBF"/>
    <w:rsid w:val="005235BF"/>
    <w:rsid w:val="00523C28"/>
    <w:rsid w:val="00524435"/>
    <w:rsid w:val="00524BF0"/>
    <w:rsid w:val="00524E91"/>
    <w:rsid w:val="00527DCB"/>
    <w:rsid w:val="0053152D"/>
    <w:rsid w:val="0053176B"/>
    <w:rsid w:val="00531840"/>
    <w:rsid w:val="005330AF"/>
    <w:rsid w:val="00533198"/>
    <w:rsid w:val="0053447B"/>
    <w:rsid w:val="00536A6A"/>
    <w:rsid w:val="00536F42"/>
    <w:rsid w:val="00537182"/>
    <w:rsid w:val="00541A12"/>
    <w:rsid w:val="00541EDD"/>
    <w:rsid w:val="00542743"/>
    <w:rsid w:val="00542C2D"/>
    <w:rsid w:val="0054338F"/>
    <w:rsid w:val="00544D40"/>
    <w:rsid w:val="0054543F"/>
    <w:rsid w:val="0054632D"/>
    <w:rsid w:val="005478BD"/>
    <w:rsid w:val="005479E3"/>
    <w:rsid w:val="00547D9A"/>
    <w:rsid w:val="00551985"/>
    <w:rsid w:val="00551F82"/>
    <w:rsid w:val="00552BD3"/>
    <w:rsid w:val="00553017"/>
    <w:rsid w:val="005532A0"/>
    <w:rsid w:val="005544A3"/>
    <w:rsid w:val="00555109"/>
    <w:rsid w:val="00556629"/>
    <w:rsid w:val="00556B35"/>
    <w:rsid w:val="0055741A"/>
    <w:rsid w:val="00557BC4"/>
    <w:rsid w:val="005611B7"/>
    <w:rsid w:val="005618D4"/>
    <w:rsid w:val="0056230F"/>
    <w:rsid w:val="005629D0"/>
    <w:rsid w:val="00562C49"/>
    <w:rsid w:val="005630E5"/>
    <w:rsid w:val="00565D21"/>
    <w:rsid w:val="00565DF0"/>
    <w:rsid w:val="0056696F"/>
    <w:rsid w:val="005670A5"/>
    <w:rsid w:val="005700B4"/>
    <w:rsid w:val="00572269"/>
    <w:rsid w:val="0057244A"/>
    <w:rsid w:val="00572F26"/>
    <w:rsid w:val="005735B6"/>
    <w:rsid w:val="005750C5"/>
    <w:rsid w:val="005752DE"/>
    <w:rsid w:val="005759CC"/>
    <w:rsid w:val="00575D8D"/>
    <w:rsid w:val="00576972"/>
    <w:rsid w:val="00580EA7"/>
    <w:rsid w:val="0058102D"/>
    <w:rsid w:val="005813C9"/>
    <w:rsid w:val="00583699"/>
    <w:rsid w:val="00585567"/>
    <w:rsid w:val="00585CDD"/>
    <w:rsid w:val="00587058"/>
    <w:rsid w:val="00591957"/>
    <w:rsid w:val="00596912"/>
    <w:rsid w:val="00597380"/>
    <w:rsid w:val="00597BF9"/>
    <w:rsid w:val="00597D9E"/>
    <w:rsid w:val="00597F17"/>
    <w:rsid w:val="005A20B4"/>
    <w:rsid w:val="005A2FD7"/>
    <w:rsid w:val="005A309A"/>
    <w:rsid w:val="005A373D"/>
    <w:rsid w:val="005A3AFA"/>
    <w:rsid w:val="005A45B7"/>
    <w:rsid w:val="005A4950"/>
    <w:rsid w:val="005A4C24"/>
    <w:rsid w:val="005A541F"/>
    <w:rsid w:val="005A6621"/>
    <w:rsid w:val="005B055F"/>
    <w:rsid w:val="005B0B58"/>
    <w:rsid w:val="005B0BAD"/>
    <w:rsid w:val="005B212B"/>
    <w:rsid w:val="005B4E53"/>
    <w:rsid w:val="005B5857"/>
    <w:rsid w:val="005C1B83"/>
    <w:rsid w:val="005C25FF"/>
    <w:rsid w:val="005C26C0"/>
    <w:rsid w:val="005C273D"/>
    <w:rsid w:val="005C2D55"/>
    <w:rsid w:val="005C346B"/>
    <w:rsid w:val="005C3C33"/>
    <w:rsid w:val="005C699F"/>
    <w:rsid w:val="005C727C"/>
    <w:rsid w:val="005D044D"/>
    <w:rsid w:val="005D0564"/>
    <w:rsid w:val="005D0ABD"/>
    <w:rsid w:val="005D18AD"/>
    <w:rsid w:val="005D26B4"/>
    <w:rsid w:val="005D36FE"/>
    <w:rsid w:val="005D63E1"/>
    <w:rsid w:val="005D7DBA"/>
    <w:rsid w:val="005E1A81"/>
    <w:rsid w:val="005E22A5"/>
    <w:rsid w:val="005E2853"/>
    <w:rsid w:val="005E6CBC"/>
    <w:rsid w:val="005E6DAC"/>
    <w:rsid w:val="005E6E7B"/>
    <w:rsid w:val="005E72FF"/>
    <w:rsid w:val="005E73C0"/>
    <w:rsid w:val="005F2706"/>
    <w:rsid w:val="005F30DE"/>
    <w:rsid w:val="005F6A8F"/>
    <w:rsid w:val="005F6BB7"/>
    <w:rsid w:val="005F7588"/>
    <w:rsid w:val="005F7908"/>
    <w:rsid w:val="00600E74"/>
    <w:rsid w:val="00601BF0"/>
    <w:rsid w:val="00602641"/>
    <w:rsid w:val="00603583"/>
    <w:rsid w:val="00603DB9"/>
    <w:rsid w:val="00606FBA"/>
    <w:rsid w:val="00607669"/>
    <w:rsid w:val="006076F4"/>
    <w:rsid w:val="00607AFD"/>
    <w:rsid w:val="00607E95"/>
    <w:rsid w:val="00610DC2"/>
    <w:rsid w:val="00612F97"/>
    <w:rsid w:val="0061345D"/>
    <w:rsid w:val="0061549B"/>
    <w:rsid w:val="00615D62"/>
    <w:rsid w:val="00616802"/>
    <w:rsid w:val="0061734D"/>
    <w:rsid w:val="00617589"/>
    <w:rsid w:val="00617E12"/>
    <w:rsid w:val="00620445"/>
    <w:rsid w:val="00620C25"/>
    <w:rsid w:val="00620DEF"/>
    <w:rsid w:val="00621477"/>
    <w:rsid w:val="0062151E"/>
    <w:rsid w:val="00621ADA"/>
    <w:rsid w:val="00622829"/>
    <w:rsid w:val="00622C2D"/>
    <w:rsid w:val="00622DEB"/>
    <w:rsid w:val="00623F7B"/>
    <w:rsid w:val="006259DE"/>
    <w:rsid w:val="00625CB2"/>
    <w:rsid w:val="00626E7F"/>
    <w:rsid w:val="00627141"/>
    <w:rsid w:val="00627243"/>
    <w:rsid w:val="00627A7F"/>
    <w:rsid w:val="006311B9"/>
    <w:rsid w:val="0063158F"/>
    <w:rsid w:val="00631D6B"/>
    <w:rsid w:val="00632183"/>
    <w:rsid w:val="006323C8"/>
    <w:rsid w:val="00632A57"/>
    <w:rsid w:val="00632D64"/>
    <w:rsid w:val="006330A1"/>
    <w:rsid w:val="006332AC"/>
    <w:rsid w:val="0063479F"/>
    <w:rsid w:val="006353F0"/>
    <w:rsid w:val="006357B5"/>
    <w:rsid w:val="006364A1"/>
    <w:rsid w:val="0063678E"/>
    <w:rsid w:val="00636FF0"/>
    <w:rsid w:val="006373D1"/>
    <w:rsid w:val="00637BFD"/>
    <w:rsid w:val="00641A1B"/>
    <w:rsid w:val="00641C4E"/>
    <w:rsid w:val="00641FB3"/>
    <w:rsid w:val="00642293"/>
    <w:rsid w:val="0064434C"/>
    <w:rsid w:val="006470F1"/>
    <w:rsid w:val="006471CC"/>
    <w:rsid w:val="00647A29"/>
    <w:rsid w:val="0065079F"/>
    <w:rsid w:val="00651471"/>
    <w:rsid w:val="0065157A"/>
    <w:rsid w:val="006522A6"/>
    <w:rsid w:val="006526D7"/>
    <w:rsid w:val="00652A28"/>
    <w:rsid w:val="0065344C"/>
    <w:rsid w:val="0065379F"/>
    <w:rsid w:val="00655226"/>
    <w:rsid w:val="00655FB4"/>
    <w:rsid w:val="00656188"/>
    <w:rsid w:val="0065715A"/>
    <w:rsid w:val="0065716D"/>
    <w:rsid w:val="00657EA4"/>
    <w:rsid w:val="00660EE8"/>
    <w:rsid w:val="006610F1"/>
    <w:rsid w:val="00661C6B"/>
    <w:rsid w:val="00664598"/>
    <w:rsid w:val="00664780"/>
    <w:rsid w:val="00665B74"/>
    <w:rsid w:val="00666B89"/>
    <w:rsid w:val="00666FC8"/>
    <w:rsid w:val="00670F8E"/>
    <w:rsid w:val="00671004"/>
    <w:rsid w:val="00671140"/>
    <w:rsid w:val="00671D07"/>
    <w:rsid w:val="00672646"/>
    <w:rsid w:val="0067357C"/>
    <w:rsid w:val="00674E42"/>
    <w:rsid w:val="00677EEF"/>
    <w:rsid w:val="0068004F"/>
    <w:rsid w:val="006813F8"/>
    <w:rsid w:val="00682112"/>
    <w:rsid w:val="00682350"/>
    <w:rsid w:val="00682BA6"/>
    <w:rsid w:val="00683B10"/>
    <w:rsid w:val="00685023"/>
    <w:rsid w:val="0068611C"/>
    <w:rsid w:val="00686957"/>
    <w:rsid w:val="006872BA"/>
    <w:rsid w:val="00690795"/>
    <w:rsid w:val="00691648"/>
    <w:rsid w:val="006917D7"/>
    <w:rsid w:val="00691D75"/>
    <w:rsid w:val="0069246C"/>
    <w:rsid w:val="006931AC"/>
    <w:rsid w:val="00693C5F"/>
    <w:rsid w:val="0069434C"/>
    <w:rsid w:val="00694F44"/>
    <w:rsid w:val="006952B7"/>
    <w:rsid w:val="0069591A"/>
    <w:rsid w:val="00696F51"/>
    <w:rsid w:val="006979A5"/>
    <w:rsid w:val="006A144D"/>
    <w:rsid w:val="006A1516"/>
    <w:rsid w:val="006A3B37"/>
    <w:rsid w:val="006A3FBF"/>
    <w:rsid w:val="006A42EE"/>
    <w:rsid w:val="006A6B99"/>
    <w:rsid w:val="006A7E5F"/>
    <w:rsid w:val="006B0813"/>
    <w:rsid w:val="006B09DB"/>
    <w:rsid w:val="006B0F4D"/>
    <w:rsid w:val="006B1600"/>
    <w:rsid w:val="006B261B"/>
    <w:rsid w:val="006B2C90"/>
    <w:rsid w:val="006B35E6"/>
    <w:rsid w:val="006B3B2D"/>
    <w:rsid w:val="006B465A"/>
    <w:rsid w:val="006B56D1"/>
    <w:rsid w:val="006B5773"/>
    <w:rsid w:val="006B6DD0"/>
    <w:rsid w:val="006B7A06"/>
    <w:rsid w:val="006C0399"/>
    <w:rsid w:val="006C1920"/>
    <w:rsid w:val="006C2A8E"/>
    <w:rsid w:val="006C2C83"/>
    <w:rsid w:val="006C3255"/>
    <w:rsid w:val="006C3683"/>
    <w:rsid w:val="006C3D8C"/>
    <w:rsid w:val="006C3F26"/>
    <w:rsid w:val="006C4136"/>
    <w:rsid w:val="006D0D17"/>
    <w:rsid w:val="006D3C7D"/>
    <w:rsid w:val="006D4659"/>
    <w:rsid w:val="006D5D5F"/>
    <w:rsid w:val="006D68FB"/>
    <w:rsid w:val="006D7B60"/>
    <w:rsid w:val="006D7C95"/>
    <w:rsid w:val="006E2868"/>
    <w:rsid w:val="006E55E1"/>
    <w:rsid w:val="006E58A4"/>
    <w:rsid w:val="006E5C4D"/>
    <w:rsid w:val="006E6334"/>
    <w:rsid w:val="006E7262"/>
    <w:rsid w:val="006F0799"/>
    <w:rsid w:val="006F197A"/>
    <w:rsid w:val="006F306C"/>
    <w:rsid w:val="006F397B"/>
    <w:rsid w:val="006F4A18"/>
    <w:rsid w:val="006F63A5"/>
    <w:rsid w:val="006F6474"/>
    <w:rsid w:val="0070142B"/>
    <w:rsid w:val="0070276E"/>
    <w:rsid w:val="00702834"/>
    <w:rsid w:val="00702F8F"/>
    <w:rsid w:val="007034EB"/>
    <w:rsid w:val="00703DD2"/>
    <w:rsid w:val="007047BD"/>
    <w:rsid w:val="007071EB"/>
    <w:rsid w:val="007079FC"/>
    <w:rsid w:val="007109CA"/>
    <w:rsid w:val="00711A36"/>
    <w:rsid w:val="00713AAF"/>
    <w:rsid w:val="00714C26"/>
    <w:rsid w:val="0071529C"/>
    <w:rsid w:val="007154D4"/>
    <w:rsid w:val="007157AB"/>
    <w:rsid w:val="007170DA"/>
    <w:rsid w:val="007172AD"/>
    <w:rsid w:val="00717F30"/>
    <w:rsid w:val="007205DC"/>
    <w:rsid w:val="00720801"/>
    <w:rsid w:val="00720881"/>
    <w:rsid w:val="00721F57"/>
    <w:rsid w:val="00722B1B"/>
    <w:rsid w:val="0072416F"/>
    <w:rsid w:val="00726A3E"/>
    <w:rsid w:val="00726CA2"/>
    <w:rsid w:val="00727C94"/>
    <w:rsid w:val="007306A9"/>
    <w:rsid w:val="00730909"/>
    <w:rsid w:val="007316BD"/>
    <w:rsid w:val="00731B0A"/>
    <w:rsid w:val="00731EAE"/>
    <w:rsid w:val="00733073"/>
    <w:rsid w:val="007333C4"/>
    <w:rsid w:val="00735033"/>
    <w:rsid w:val="00735328"/>
    <w:rsid w:val="0073685B"/>
    <w:rsid w:val="00736CEA"/>
    <w:rsid w:val="00737F44"/>
    <w:rsid w:val="00740D61"/>
    <w:rsid w:val="00740F06"/>
    <w:rsid w:val="0074128E"/>
    <w:rsid w:val="007437E0"/>
    <w:rsid w:val="007449BF"/>
    <w:rsid w:val="007452A1"/>
    <w:rsid w:val="00745F41"/>
    <w:rsid w:val="00746B21"/>
    <w:rsid w:val="00746BC0"/>
    <w:rsid w:val="007510B4"/>
    <w:rsid w:val="00752142"/>
    <w:rsid w:val="007523F9"/>
    <w:rsid w:val="0075357E"/>
    <w:rsid w:val="0075408E"/>
    <w:rsid w:val="007540F5"/>
    <w:rsid w:val="00755384"/>
    <w:rsid w:val="007561D9"/>
    <w:rsid w:val="007573E8"/>
    <w:rsid w:val="0075793C"/>
    <w:rsid w:val="00760C4E"/>
    <w:rsid w:val="00760C54"/>
    <w:rsid w:val="00760E73"/>
    <w:rsid w:val="00760F9E"/>
    <w:rsid w:val="00761AA9"/>
    <w:rsid w:val="007627BE"/>
    <w:rsid w:val="007639A4"/>
    <w:rsid w:val="00764F03"/>
    <w:rsid w:val="007659E3"/>
    <w:rsid w:val="00765B1A"/>
    <w:rsid w:val="00765C66"/>
    <w:rsid w:val="00767F18"/>
    <w:rsid w:val="007702AC"/>
    <w:rsid w:val="00770A8D"/>
    <w:rsid w:val="00771406"/>
    <w:rsid w:val="00773049"/>
    <w:rsid w:val="00773ED8"/>
    <w:rsid w:val="00774E24"/>
    <w:rsid w:val="00777335"/>
    <w:rsid w:val="007773DB"/>
    <w:rsid w:val="00780EE6"/>
    <w:rsid w:val="00782FC7"/>
    <w:rsid w:val="007843F2"/>
    <w:rsid w:val="00785A9F"/>
    <w:rsid w:val="00786005"/>
    <w:rsid w:val="00790EB7"/>
    <w:rsid w:val="00792017"/>
    <w:rsid w:val="007925DF"/>
    <w:rsid w:val="00797938"/>
    <w:rsid w:val="007A08AA"/>
    <w:rsid w:val="007A0A12"/>
    <w:rsid w:val="007A0DC8"/>
    <w:rsid w:val="007A132D"/>
    <w:rsid w:val="007A1345"/>
    <w:rsid w:val="007A1FB1"/>
    <w:rsid w:val="007A2DDB"/>
    <w:rsid w:val="007A44AB"/>
    <w:rsid w:val="007A6596"/>
    <w:rsid w:val="007A70BA"/>
    <w:rsid w:val="007A7522"/>
    <w:rsid w:val="007B003F"/>
    <w:rsid w:val="007B0D68"/>
    <w:rsid w:val="007B149B"/>
    <w:rsid w:val="007B251D"/>
    <w:rsid w:val="007B32E8"/>
    <w:rsid w:val="007B3A84"/>
    <w:rsid w:val="007B441A"/>
    <w:rsid w:val="007B4F58"/>
    <w:rsid w:val="007B528D"/>
    <w:rsid w:val="007B5549"/>
    <w:rsid w:val="007B5C60"/>
    <w:rsid w:val="007B63CA"/>
    <w:rsid w:val="007B6F87"/>
    <w:rsid w:val="007B74B8"/>
    <w:rsid w:val="007B77D1"/>
    <w:rsid w:val="007C07C7"/>
    <w:rsid w:val="007C1CD9"/>
    <w:rsid w:val="007C32EF"/>
    <w:rsid w:val="007C361D"/>
    <w:rsid w:val="007C431D"/>
    <w:rsid w:val="007C4798"/>
    <w:rsid w:val="007C4B84"/>
    <w:rsid w:val="007C70FF"/>
    <w:rsid w:val="007C72FD"/>
    <w:rsid w:val="007C7C25"/>
    <w:rsid w:val="007D004F"/>
    <w:rsid w:val="007D0472"/>
    <w:rsid w:val="007D0B38"/>
    <w:rsid w:val="007D13E2"/>
    <w:rsid w:val="007D26AE"/>
    <w:rsid w:val="007D416B"/>
    <w:rsid w:val="007D5440"/>
    <w:rsid w:val="007D69EB"/>
    <w:rsid w:val="007D7856"/>
    <w:rsid w:val="007D7E44"/>
    <w:rsid w:val="007E128F"/>
    <w:rsid w:val="007E259D"/>
    <w:rsid w:val="007E6FE0"/>
    <w:rsid w:val="007F057C"/>
    <w:rsid w:val="007F067D"/>
    <w:rsid w:val="007F1017"/>
    <w:rsid w:val="007F2543"/>
    <w:rsid w:val="007F4A3F"/>
    <w:rsid w:val="007F4A61"/>
    <w:rsid w:val="007F5255"/>
    <w:rsid w:val="007F56CC"/>
    <w:rsid w:val="007F61C2"/>
    <w:rsid w:val="008023B6"/>
    <w:rsid w:val="00804813"/>
    <w:rsid w:val="00804DE1"/>
    <w:rsid w:val="00805142"/>
    <w:rsid w:val="00805FCE"/>
    <w:rsid w:val="00807A8B"/>
    <w:rsid w:val="00811383"/>
    <w:rsid w:val="00812108"/>
    <w:rsid w:val="00812149"/>
    <w:rsid w:val="00812CAC"/>
    <w:rsid w:val="0081354C"/>
    <w:rsid w:val="0081623A"/>
    <w:rsid w:val="00816361"/>
    <w:rsid w:val="008166EF"/>
    <w:rsid w:val="00816FEF"/>
    <w:rsid w:val="008208E5"/>
    <w:rsid w:val="00820A8C"/>
    <w:rsid w:val="008215FB"/>
    <w:rsid w:val="00822E6F"/>
    <w:rsid w:val="00823174"/>
    <w:rsid w:val="00825751"/>
    <w:rsid w:val="008264EB"/>
    <w:rsid w:val="00833B05"/>
    <w:rsid w:val="00835E39"/>
    <w:rsid w:val="008362B4"/>
    <w:rsid w:val="00836892"/>
    <w:rsid w:val="00836E32"/>
    <w:rsid w:val="00837111"/>
    <w:rsid w:val="00837953"/>
    <w:rsid w:val="00840CA2"/>
    <w:rsid w:val="008418DA"/>
    <w:rsid w:val="0084190B"/>
    <w:rsid w:val="00841CBD"/>
    <w:rsid w:val="00841DD2"/>
    <w:rsid w:val="008433B1"/>
    <w:rsid w:val="0084374F"/>
    <w:rsid w:val="00843E50"/>
    <w:rsid w:val="008442D9"/>
    <w:rsid w:val="00844A22"/>
    <w:rsid w:val="00844A4F"/>
    <w:rsid w:val="00846514"/>
    <w:rsid w:val="00847703"/>
    <w:rsid w:val="00847DF5"/>
    <w:rsid w:val="0085130C"/>
    <w:rsid w:val="00851CD2"/>
    <w:rsid w:val="008527D6"/>
    <w:rsid w:val="0085309D"/>
    <w:rsid w:val="00853711"/>
    <w:rsid w:val="008553E0"/>
    <w:rsid w:val="0085593B"/>
    <w:rsid w:val="00856897"/>
    <w:rsid w:val="00856E9A"/>
    <w:rsid w:val="0086075D"/>
    <w:rsid w:val="00861132"/>
    <w:rsid w:val="0086242A"/>
    <w:rsid w:val="00862502"/>
    <w:rsid w:val="00862CC1"/>
    <w:rsid w:val="00863B7D"/>
    <w:rsid w:val="00864977"/>
    <w:rsid w:val="00865762"/>
    <w:rsid w:val="008660D4"/>
    <w:rsid w:val="00871B2B"/>
    <w:rsid w:val="00871FA9"/>
    <w:rsid w:val="008728E9"/>
    <w:rsid w:val="00873412"/>
    <w:rsid w:val="0087504D"/>
    <w:rsid w:val="008807AE"/>
    <w:rsid w:val="00881003"/>
    <w:rsid w:val="00881687"/>
    <w:rsid w:val="00882874"/>
    <w:rsid w:val="00882E3C"/>
    <w:rsid w:val="00883787"/>
    <w:rsid w:val="008844D5"/>
    <w:rsid w:val="00884AAE"/>
    <w:rsid w:val="00884C3A"/>
    <w:rsid w:val="008855E4"/>
    <w:rsid w:val="00886CD2"/>
    <w:rsid w:val="00887877"/>
    <w:rsid w:val="008900F0"/>
    <w:rsid w:val="008905D5"/>
    <w:rsid w:val="00890C68"/>
    <w:rsid w:val="00891908"/>
    <w:rsid w:val="00891E6F"/>
    <w:rsid w:val="0089275D"/>
    <w:rsid w:val="00892A36"/>
    <w:rsid w:val="00893239"/>
    <w:rsid w:val="00894489"/>
    <w:rsid w:val="00894F8E"/>
    <w:rsid w:val="008963A5"/>
    <w:rsid w:val="00896D5D"/>
    <w:rsid w:val="00897CB5"/>
    <w:rsid w:val="008A2A25"/>
    <w:rsid w:val="008A3363"/>
    <w:rsid w:val="008A3371"/>
    <w:rsid w:val="008A3C3E"/>
    <w:rsid w:val="008A43F8"/>
    <w:rsid w:val="008A79DE"/>
    <w:rsid w:val="008B0803"/>
    <w:rsid w:val="008B1757"/>
    <w:rsid w:val="008B2267"/>
    <w:rsid w:val="008B3BE8"/>
    <w:rsid w:val="008B51FC"/>
    <w:rsid w:val="008B64CB"/>
    <w:rsid w:val="008B64D6"/>
    <w:rsid w:val="008B7992"/>
    <w:rsid w:val="008B7D18"/>
    <w:rsid w:val="008B7D7E"/>
    <w:rsid w:val="008C0503"/>
    <w:rsid w:val="008C1072"/>
    <w:rsid w:val="008C1937"/>
    <w:rsid w:val="008C3AF0"/>
    <w:rsid w:val="008C5610"/>
    <w:rsid w:val="008C5739"/>
    <w:rsid w:val="008C6619"/>
    <w:rsid w:val="008C7ECB"/>
    <w:rsid w:val="008D2424"/>
    <w:rsid w:val="008D28B4"/>
    <w:rsid w:val="008D3733"/>
    <w:rsid w:val="008D3B86"/>
    <w:rsid w:val="008D4755"/>
    <w:rsid w:val="008D4C3D"/>
    <w:rsid w:val="008D743C"/>
    <w:rsid w:val="008D797E"/>
    <w:rsid w:val="008E0880"/>
    <w:rsid w:val="008E0D3C"/>
    <w:rsid w:val="008E1AAA"/>
    <w:rsid w:val="008E1B9E"/>
    <w:rsid w:val="008E347E"/>
    <w:rsid w:val="008E55AB"/>
    <w:rsid w:val="008E57ED"/>
    <w:rsid w:val="008E5B2E"/>
    <w:rsid w:val="008E5FEC"/>
    <w:rsid w:val="008E65D6"/>
    <w:rsid w:val="008E7E55"/>
    <w:rsid w:val="008F0677"/>
    <w:rsid w:val="008F120A"/>
    <w:rsid w:val="008F1E37"/>
    <w:rsid w:val="008F2729"/>
    <w:rsid w:val="008F27E0"/>
    <w:rsid w:val="008F2E18"/>
    <w:rsid w:val="008F3ABC"/>
    <w:rsid w:val="008F48EB"/>
    <w:rsid w:val="008F4F0B"/>
    <w:rsid w:val="009010E7"/>
    <w:rsid w:val="00901550"/>
    <w:rsid w:val="00901C94"/>
    <w:rsid w:val="00903A07"/>
    <w:rsid w:val="009046C4"/>
    <w:rsid w:val="009062A5"/>
    <w:rsid w:val="00910154"/>
    <w:rsid w:val="00910FA7"/>
    <w:rsid w:val="00911272"/>
    <w:rsid w:val="00911818"/>
    <w:rsid w:val="00911FDA"/>
    <w:rsid w:val="009135D6"/>
    <w:rsid w:val="00913626"/>
    <w:rsid w:val="00914C77"/>
    <w:rsid w:val="00917882"/>
    <w:rsid w:val="00917D71"/>
    <w:rsid w:val="00921ACB"/>
    <w:rsid w:val="0092204C"/>
    <w:rsid w:val="009228A4"/>
    <w:rsid w:val="0092369B"/>
    <w:rsid w:val="00923D0C"/>
    <w:rsid w:val="009241F0"/>
    <w:rsid w:val="00932818"/>
    <w:rsid w:val="00934988"/>
    <w:rsid w:val="009354DC"/>
    <w:rsid w:val="00936A80"/>
    <w:rsid w:val="00937089"/>
    <w:rsid w:val="00941A99"/>
    <w:rsid w:val="00944F8A"/>
    <w:rsid w:val="00945A75"/>
    <w:rsid w:val="0095095C"/>
    <w:rsid w:val="009510A2"/>
    <w:rsid w:val="00951932"/>
    <w:rsid w:val="009523B7"/>
    <w:rsid w:val="00953257"/>
    <w:rsid w:val="00954234"/>
    <w:rsid w:val="00954415"/>
    <w:rsid w:val="0095474C"/>
    <w:rsid w:val="00954979"/>
    <w:rsid w:val="009572F8"/>
    <w:rsid w:val="00961013"/>
    <w:rsid w:val="00962A0F"/>
    <w:rsid w:val="00962CB9"/>
    <w:rsid w:val="00963B71"/>
    <w:rsid w:val="00964312"/>
    <w:rsid w:val="00965348"/>
    <w:rsid w:val="00965AA1"/>
    <w:rsid w:val="00965B8A"/>
    <w:rsid w:val="00966937"/>
    <w:rsid w:val="0096782F"/>
    <w:rsid w:val="0097071F"/>
    <w:rsid w:val="009717AC"/>
    <w:rsid w:val="0097262B"/>
    <w:rsid w:val="00972786"/>
    <w:rsid w:val="009743DB"/>
    <w:rsid w:val="00974523"/>
    <w:rsid w:val="009751C1"/>
    <w:rsid w:val="00975A3A"/>
    <w:rsid w:val="009774AD"/>
    <w:rsid w:val="009811F1"/>
    <w:rsid w:val="00983BA9"/>
    <w:rsid w:val="00983E57"/>
    <w:rsid w:val="00984F60"/>
    <w:rsid w:val="00985366"/>
    <w:rsid w:val="00985DE2"/>
    <w:rsid w:val="0098675D"/>
    <w:rsid w:val="00987FD4"/>
    <w:rsid w:val="009923FD"/>
    <w:rsid w:val="009926E0"/>
    <w:rsid w:val="009936FD"/>
    <w:rsid w:val="0099451E"/>
    <w:rsid w:val="009948D3"/>
    <w:rsid w:val="00994FF7"/>
    <w:rsid w:val="00996B1A"/>
    <w:rsid w:val="00997FDD"/>
    <w:rsid w:val="009A1A14"/>
    <w:rsid w:val="009A2DCC"/>
    <w:rsid w:val="009A3050"/>
    <w:rsid w:val="009A3866"/>
    <w:rsid w:val="009A4D5F"/>
    <w:rsid w:val="009A571F"/>
    <w:rsid w:val="009A5A45"/>
    <w:rsid w:val="009A5ABC"/>
    <w:rsid w:val="009A5B95"/>
    <w:rsid w:val="009A5E42"/>
    <w:rsid w:val="009A69F4"/>
    <w:rsid w:val="009A7F10"/>
    <w:rsid w:val="009B2970"/>
    <w:rsid w:val="009B2C1D"/>
    <w:rsid w:val="009B3E26"/>
    <w:rsid w:val="009B4B2F"/>
    <w:rsid w:val="009C05AB"/>
    <w:rsid w:val="009C2BB0"/>
    <w:rsid w:val="009C3706"/>
    <w:rsid w:val="009C3A3A"/>
    <w:rsid w:val="009C3AFE"/>
    <w:rsid w:val="009C563E"/>
    <w:rsid w:val="009C5A45"/>
    <w:rsid w:val="009C6036"/>
    <w:rsid w:val="009C6CEA"/>
    <w:rsid w:val="009C73B9"/>
    <w:rsid w:val="009C7B85"/>
    <w:rsid w:val="009C7D8B"/>
    <w:rsid w:val="009D0254"/>
    <w:rsid w:val="009D1084"/>
    <w:rsid w:val="009D1A64"/>
    <w:rsid w:val="009D1E9F"/>
    <w:rsid w:val="009D2831"/>
    <w:rsid w:val="009D5B91"/>
    <w:rsid w:val="009D6494"/>
    <w:rsid w:val="009D792E"/>
    <w:rsid w:val="009D7AA2"/>
    <w:rsid w:val="009E0DFE"/>
    <w:rsid w:val="009E1043"/>
    <w:rsid w:val="009E1B9B"/>
    <w:rsid w:val="009E31F6"/>
    <w:rsid w:val="009E44BD"/>
    <w:rsid w:val="009E4C07"/>
    <w:rsid w:val="009F0D48"/>
    <w:rsid w:val="009F2C39"/>
    <w:rsid w:val="009F3A33"/>
    <w:rsid w:val="00A00EF9"/>
    <w:rsid w:val="00A01184"/>
    <w:rsid w:val="00A01C46"/>
    <w:rsid w:val="00A02D3E"/>
    <w:rsid w:val="00A037C2"/>
    <w:rsid w:val="00A03D43"/>
    <w:rsid w:val="00A04380"/>
    <w:rsid w:val="00A04F3F"/>
    <w:rsid w:val="00A05472"/>
    <w:rsid w:val="00A05C32"/>
    <w:rsid w:val="00A0653F"/>
    <w:rsid w:val="00A07139"/>
    <w:rsid w:val="00A077D8"/>
    <w:rsid w:val="00A078DA"/>
    <w:rsid w:val="00A10533"/>
    <w:rsid w:val="00A11CD0"/>
    <w:rsid w:val="00A11F88"/>
    <w:rsid w:val="00A13948"/>
    <w:rsid w:val="00A1555B"/>
    <w:rsid w:val="00A155C5"/>
    <w:rsid w:val="00A15FE2"/>
    <w:rsid w:val="00A16AD8"/>
    <w:rsid w:val="00A17EB8"/>
    <w:rsid w:val="00A17F21"/>
    <w:rsid w:val="00A2186D"/>
    <w:rsid w:val="00A21C95"/>
    <w:rsid w:val="00A21CF3"/>
    <w:rsid w:val="00A24813"/>
    <w:rsid w:val="00A27AEC"/>
    <w:rsid w:val="00A30BA2"/>
    <w:rsid w:val="00A31239"/>
    <w:rsid w:val="00A320DB"/>
    <w:rsid w:val="00A3312F"/>
    <w:rsid w:val="00A341FA"/>
    <w:rsid w:val="00A35BB6"/>
    <w:rsid w:val="00A35D16"/>
    <w:rsid w:val="00A372FA"/>
    <w:rsid w:val="00A37A51"/>
    <w:rsid w:val="00A37BCD"/>
    <w:rsid w:val="00A41553"/>
    <w:rsid w:val="00A41689"/>
    <w:rsid w:val="00A418F7"/>
    <w:rsid w:val="00A42396"/>
    <w:rsid w:val="00A42592"/>
    <w:rsid w:val="00A4352B"/>
    <w:rsid w:val="00A43C59"/>
    <w:rsid w:val="00A46BE4"/>
    <w:rsid w:val="00A507C6"/>
    <w:rsid w:val="00A50ECD"/>
    <w:rsid w:val="00A5106F"/>
    <w:rsid w:val="00A51617"/>
    <w:rsid w:val="00A518F3"/>
    <w:rsid w:val="00A51FBD"/>
    <w:rsid w:val="00A525C9"/>
    <w:rsid w:val="00A52729"/>
    <w:rsid w:val="00A53675"/>
    <w:rsid w:val="00A54464"/>
    <w:rsid w:val="00A5455C"/>
    <w:rsid w:val="00A564D7"/>
    <w:rsid w:val="00A56B6A"/>
    <w:rsid w:val="00A578DC"/>
    <w:rsid w:val="00A61F76"/>
    <w:rsid w:val="00A61FC4"/>
    <w:rsid w:val="00A6252F"/>
    <w:rsid w:val="00A640E2"/>
    <w:rsid w:val="00A64D65"/>
    <w:rsid w:val="00A6546E"/>
    <w:rsid w:val="00A66283"/>
    <w:rsid w:val="00A6725B"/>
    <w:rsid w:val="00A7056D"/>
    <w:rsid w:val="00A70605"/>
    <w:rsid w:val="00A725ED"/>
    <w:rsid w:val="00A72787"/>
    <w:rsid w:val="00A73134"/>
    <w:rsid w:val="00A740FD"/>
    <w:rsid w:val="00A7413F"/>
    <w:rsid w:val="00A74C01"/>
    <w:rsid w:val="00A76001"/>
    <w:rsid w:val="00A77021"/>
    <w:rsid w:val="00A777B2"/>
    <w:rsid w:val="00A77C9D"/>
    <w:rsid w:val="00A8015B"/>
    <w:rsid w:val="00A80535"/>
    <w:rsid w:val="00A80D0B"/>
    <w:rsid w:val="00A813B2"/>
    <w:rsid w:val="00A825D4"/>
    <w:rsid w:val="00A828F6"/>
    <w:rsid w:val="00A82B73"/>
    <w:rsid w:val="00A830D9"/>
    <w:rsid w:val="00A84756"/>
    <w:rsid w:val="00A84C9E"/>
    <w:rsid w:val="00A8637C"/>
    <w:rsid w:val="00A86E8B"/>
    <w:rsid w:val="00A87164"/>
    <w:rsid w:val="00A87FDC"/>
    <w:rsid w:val="00A9168B"/>
    <w:rsid w:val="00A93072"/>
    <w:rsid w:val="00A93721"/>
    <w:rsid w:val="00A938BD"/>
    <w:rsid w:val="00A93953"/>
    <w:rsid w:val="00A959D8"/>
    <w:rsid w:val="00A969DA"/>
    <w:rsid w:val="00AA113D"/>
    <w:rsid w:val="00AA599D"/>
    <w:rsid w:val="00AA6BD5"/>
    <w:rsid w:val="00AA6BD8"/>
    <w:rsid w:val="00AA6C7D"/>
    <w:rsid w:val="00AA7280"/>
    <w:rsid w:val="00AA7B28"/>
    <w:rsid w:val="00AA7FD6"/>
    <w:rsid w:val="00AB042A"/>
    <w:rsid w:val="00AB19EF"/>
    <w:rsid w:val="00AB2D34"/>
    <w:rsid w:val="00AB3430"/>
    <w:rsid w:val="00AB37B9"/>
    <w:rsid w:val="00AB3B2B"/>
    <w:rsid w:val="00AB4AD1"/>
    <w:rsid w:val="00AB4D6B"/>
    <w:rsid w:val="00AB4FEC"/>
    <w:rsid w:val="00AB5E07"/>
    <w:rsid w:val="00AB70A9"/>
    <w:rsid w:val="00AB722C"/>
    <w:rsid w:val="00AB7CFA"/>
    <w:rsid w:val="00AC1010"/>
    <w:rsid w:val="00AC35B4"/>
    <w:rsid w:val="00AC5B48"/>
    <w:rsid w:val="00AC77DE"/>
    <w:rsid w:val="00AD0B68"/>
    <w:rsid w:val="00AD1389"/>
    <w:rsid w:val="00AD1450"/>
    <w:rsid w:val="00AD6502"/>
    <w:rsid w:val="00AD6627"/>
    <w:rsid w:val="00AD7E53"/>
    <w:rsid w:val="00AE0695"/>
    <w:rsid w:val="00AE3E7E"/>
    <w:rsid w:val="00AE5767"/>
    <w:rsid w:val="00AE585D"/>
    <w:rsid w:val="00AF10B2"/>
    <w:rsid w:val="00AF1315"/>
    <w:rsid w:val="00AF16CF"/>
    <w:rsid w:val="00AF19BF"/>
    <w:rsid w:val="00AF26DD"/>
    <w:rsid w:val="00AF2DC3"/>
    <w:rsid w:val="00AF7B27"/>
    <w:rsid w:val="00B006BE"/>
    <w:rsid w:val="00B01C9E"/>
    <w:rsid w:val="00B033E5"/>
    <w:rsid w:val="00B03A63"/>
    <w:rsid w:val="00B04DEE"/>
    <w:rsid w:val="00B11D23"/>
    <w:rsid w:val="00B12C8B"/>
    <w:rsid w:val="00B13F21"/>
    <w:rsid w:val="00B16769"/>
    <w:rsid w:val="00B17281"/>
    <w:rsid w:val="00B201A4"/>
    <w:rsid w:val="00B201D1"/>
    <w:rsid w:val="00B20A46"/>
    <w:rsid w:val="00B20C71"/>
    <w:rsid w:val="00B213A6"/>
    <w:rsid w:val="00B2191F"/>
    <w:rsid w:val="00B21DA4"/>
    <w:rsid w:val="00B224BB"/>
    <w:rsid w:val="00B235B0"/>
    <w:rsid w:val="00B248C8"/>
    <w:rsid w:val="00B24DF6"/>
    <w:rsid w:val="00B269F9"/>
    <w:rsid w:val="00B275FE"/>
    <w:rsid w:val="00B301E8"/>
    <w:rsid w:val="00B32278"/>
    <w:rsid w:val="00B332B2"/>
    <w:rsid w:val="00B345C6"/>
    <w:rsid w:val="00B34FE2"/>
    <w:rsid w:val="00B35166"/>
    <w:rsid w:val="00B357D8"/>
    <w:rsid w:val="00B360F4"/>
    <w:rsid w:val="00B36519"/>
    <w:rsid w:val="00B36A00"/>
    <w:rsid w:val="00B37BFC"/>
    <w:rsid w:val="00B40358"/>
    <w:rsid w:val="00B41614"/>
    <w:rsid w:val="00B42851"/>
    <w:rsid w:val="00B42B01"/>
    <w:rsid w:val="00B42F80"/>
    <w:rsid w:val="00B435CB"/>
    <w:rsid w:val="00B43B2D"/>
    <w:rsid w:val="00B44C3E"/>
    <w:rsid w:val="00B45F23"/>
    <w:rsid w:val="00B47D33"/>
    <w:rsid w:val="00B505C8"/>
    <w:rsid w:val="00B50DB8"/>
    <w:rsid w:val="00B52282"/>
    <w:rsid w:val="00B52373"/>
    <w:rsid w:val="00B53654"/>
    <w:rsid w:val="00B53905"/>
    <w:rsid w:val="00B54B5B"/>
    <w:rsid w:val="00B5562E"/>
    <w:rsid w:val="00B55D65"/>
    <w:rsid w:val="00B57000"/>
    <w:rsid w:val="00B60939"/>
    <w:rsid w:val="00B60AFD"/>
    <w:rsid w:val="00B62715"/>
    <w:rsid w:val="00B65611"/>
    <w:rsid w:val="00B70E8E"/>
    <w:rsid w:val="00B72540"/>
    <w:rsid w:val="00B738CC"/>
    <w:rsid w:val="00B73990"/>
    <w:rsid w:val="00B76C92"/>
    <w:rsid w:val="00B80919"/>
    <w:rsid w:val="00B818A4"/>
    <w:rsid w:val="00B82D3D"/>
    <w:rsid w:val="00B836F4"/>
    <w:rsid w:val="00B84117"/>
    <w:rsid w:val="00B845AE"/>
    <w:rsid w:val="00B84D60"/>
    <w:rsid w:val="00B858F0"/>
    <w:rsid w:val="00B85AA2"/>
    <w:rsid w:val="00B8649C"/>
    <w:rsid w:val="00B8695D"/>
    <w:rsid w:val="00B8701F"/>
    <w:rsid w:val="00B87BFC"/>
    <w:rsid w:val="00B87F0A"/>
    <w:rsid w:val="00B919A4"/>
    <w:rsid w:val="00B92D0B"/>
    <w:rsid w:val="00B933C4"/>
    <w:rsid w:val="00B93506"/>
    <w:rsid w:val="00B935C4"/>
    <w:rsid w:val="00B94693"/>
    <w:rsid w:val="00B94945"/>
    <w:rsid w:val="00B94DD6"/>
    <w:rsid w:val="00B95A96"/>
    <w:rsid w:val="00B95FAE"/>
    <w:rsid w:val="00BA09D5"/>
    <w:rsid w:val="00BA322D"/>
    <w:rsid w:val="00BA421E"/>
    <w:rsid w:val="00BA55D7"/>
    <w:rsid w:val="00BA5F60"/>
    <w:rsid w:val="00BA63FA"/>
    <w:rsid w:val="00BA7638"/>
    <w:rsid w:val="00BA770A"/>
    <w:rsid w:val="00BB00B3"/>
    <w:rsid w:val="00BB06BE"/>
    <w:rsid w:val="00BB0BDD"/>
    <w:rsid w:val="00BB176C"/>
    <w:rsid w:val="00BB2A73"/>
    <w:rsid w:val="00BB3A45"/>
    <w:rsid w:val="00BB4ACC"/>
    <w:rsid w:val="00BB6896"/>
    <w:rsid w:val="00BB703E"/>
    <w:rsid w:val="00BB732D"/>
    <w:rsid w:val="00BB7405"/>
    <w:rsid w:val="00BB7BCB"/>
    <w:rsid w:val="00BB7E35"/>
    <w:rsid w:val="00BC3631"/>
    <w:rsid w:val="00BC47EC"/>
    <w:rsid w:val="00BC54E7"/>
    <w:rsid w:val="00BC591F"/>
    <w:rsid w:val="00BC5946"/>
    <w:rsid w:val="00BC6A5F"/>
    <w:rsid w:val="00BC6C7A"/>
    <w:rsid w:val="00BC7D6D"/>
    <w:rsid w:val="00BD2108"/>
    <w:rsid w:val="00BD24D6"/>
    <w:rsid w:val="00BD2A4E"/>
    <w:rsid w:val="00BD68A3"/>
    <w:rsid w:val="00BD6938"/>
    <w:rsid w:val="00BD6CF3"/>
    <w:rsid w:val="00BE0ECA"/>
    <w:rsid w:val="00BE20BD"/>
    <w:rsid w:val="00BE2180"/>
    <w:rsid w:val="00BE21E7"/>
    <w:rsid w:val="00BE21F2"/>
    <w:rsid w:val="00BE232F"/>
    <w:rsid w:val="00BE2790"/>
    <w:rsid w:val="00BE4275"/>
    <w:rsid w:val="00BE61AF"/>
    <w:rsid w:val="00BF055E"/>
    <w:rsid w:val="00BF06AE"/>
    <w:rsid w:val="00BF0D6B"/>
    <w:rsid w:val="00BF0F95"/>
    <w:rsid w:val="00BF2433"/>
    <w:rsid w:val="00BF3E67"/>
    <w:rsid w:val="00BF548C"/>
    <w:rsid w:val="00BF5B78"/>
    <w:rsid w:val="00BF5E78"/>
    <w:rsid w:val="00BF61C9"/>
    <w:rsid w:val="00BF660A"/>
    <w:rsid w:val="00BF6C94"/>
    <w:rsid w:val="00BF7C75"/>
    <w:rsid w:val="00C00424"/>
    <w:rsid w:val="00C02EC9"/>
    <w:rsid w:val="00C044EE"/>
    <w:rsid w:val="00C051A9"/>
    <w:rsid w:val="00C10247"/>
    <w:rsid w:val="00C10660"/>
    <w:rsid w:val="00C1179F"/>
    <w:rsid w:val="00C12C14"/>
    <w:rsid w:val="00C14692"/>
    <w:rsid w:val="00C15F04"/>
    <w:rsid w:val="00C16E8A"/>
    <w:rsid w:val="00C179B3"/>
    <w:rsid w:val="00C17E3F"/>
    <w:rsid w:val="00C200AA"/>
    <w:rsid w:val="00C21457"/>
    <w:rsid w:val="00C237ED"/>
    <w:rsid w:val="00C24632"/>
    <w:rsid w:val="00C25043"/>
    <w:rsid w:val="00C25418"/>
    <w:rsid w:val="00C25D9C"/>
    <w:rsid w:val="00C2778B"/>
    <w:rsid w:val="00C302F5"/>
    <w:rsid w:val="00C31649"/>
    <w:rsid w:val="00C3434C"/>
    <w:rsid w:val="00C34F93"/>
    <w:rsid w:val="00C40385"/>
    <w:rsid w:val="00C40500"/>
    <w:rsid w:val="00C41768"/>
    <w:rsid w:val="00C475AA"/>
    <w:rsid w:val="00C4772D"/>
    <w:rsid w:val="00C50AA2"/>
    <w:rsid w:val="00C50F02"/>
    <w:rsid w:val="00C516E6"/>
    <w:rsid w:val="00C517A8"/>
    <w:rsid w:val="00C52103"/>
    <w:rsid w:val="00C52DC1"/>
    <w:rsid w:val="00C53C98"/>
    <w:rsid w:val="00C56FCF"/>
    <w:rsid w:val="00C57B6C"/>
    <w:rsid w:val="00C61464"/>
    <w:rsid w:val="00C628A6"/>
    <w:rsid w:val="00C62F66"/>
    <w:rsid w:val="00C64344"/>
    <w:rsid w:val="00C65108"/>
    <w:rsid w:val="00C65576"/>
    <w:rsid w:val="00C65BF4"/>
    <w:rsid w:val="00C66165"/>
    <w:rsid w:val="00C67D8B"/>
    <w:rsid w:val="00C7060A"/>
    <w:rsid w:val="00C70697"/>
    <w:rsid w:val="00C7151A"/>
    <w:rsid w:val="00C717E3"/>
    <w:rsid w:val="00C71F60"/>
    <w:rsid w:val="00C72241"/>
    <w:rsid w:val="00C727F4"/>
    <w:rsid w:val="00C73EBC"/>
    <w:rsid w:val="00C74679"/>
    <w:rsid w:val="00C749A3"/>
    <w:rsid w:val="00C750C8"/>
    <w:rsid w:val="00C7560F"/>
    <w:rsid w:val="00C7779B"/>
    <w:rsid w:val="00C77B47"/>
    <w:rsid w:val="00C80A0E"/>
    <w:rsid w:val="00C80E57"/>
    <w:rsid w:val="00C8163F"/>
    <w:rsid w:val="00C8213F"/>
    <w:rsid w:val="00C8383B"/>
    <w:rsid w:val="00C83EE6"/>
    <w:rsid w:val="00C85154"/>
    <w:rsid w:val="00C85E49"/>
    <w:rsid w:val="00C86EBF"/>
    <w:rsid w:val="00C8797A"/>
    <w:rsid w:val="00C900B8"/>
    <w:rsid w:val="00C90678"/>
    <w:rsid w:val="00C90C71"/>
    <w:rsid w:val="00C91FD1"/>
    <w:rsid w:val="00C92F02"/>
    <w:rsid w:val="00C931CF"/>
    <w:rsid w:val="00C938CF"/>
    <w:rsid w:val="00C93E39"/>
    <w:rsid w:val="00C94053"/>
    <w:rsid w:val="00C95016"/>
    <w:rsid w:val="00C9624D"/>
    <w:rsid w:val="00C969DA"/>
    <w:rsid w:val="00C976B7"/>
    <w:rsid w:val="00CA2044"/>
    <w:rsid w:val="00CA2C77"/>
    <w:rsid w:val="00CA32A2"/>
    <w:rsid w:val="00CA3BC5"/>
    <w:rsid w:val="00CA444F"/>
    <w:rsid w:val="00CA4780"/>
    <w:rsid w:val="00CA5245"/>
    <w:rsid w:val="00CA5A18"/>
    <w:rsid w:val="00CA6A55"/>
    <w:rsid w:val="00CA71F4"/>
    <w:rsid w:val="00CA7B09"/>
    <w:rsid w:val="00CB0EC9"/>
    <w:rsid w:val="00CB12A5"/>
    <w:rsid w:val="00CB1AA9"/>
    <w:rsid w:val="00CB1CAC"/>
    <w:rsid w:val="00CB2F2A"/>
    <w:rsid w:val="00CB36D5"/>
    <w:rsid w:val="00CB5B1A"/>
    <w:rsid w:val="00CB6A0C"/>
    <w:rsid w:val="00CB6B22"/>
    <w:rsid w:val="00CB7F5F"/>
    <w:rsid w:val="00CC0155"/>
    <w:rsid w:val="00CC1B39"/>
    <w:rsid w:val="00CC2781"/>
    <w:rsid w:val="00CC35EA"/>
    <w:rsid w:val="00CC3848"/>
    <w:rsid w:val="00CC501F"/>
    <w:rsid w:val="00CC5759"/>
    <w:rsid w:val="00CC6381"/>
    <w:rsid w:val="00CC6757"/>
    <w:rsid w:val="00CC67E9"/>
    <w:rsid w:val="00CD3CCD"/>
    <w:rsid w:val="00CD3F77"/>
    <w:rsid w:val="00CD46A7"/>
    <w:rsid w:val="00CD6ADC"/>
    <w:rsid w:val="00CD7193"/>
    <w:rsid w:val="00CE0B04"/>
    <w:rsid w:val="00CE38C8"/>
    <w:rsid w:val="00CE41E9"/>
    <w:rsid w:val="00CE6274"/>
    <w:rsid w:val="00CE6ED5"/>
    <w:rsid w:val="00CE77B6"/>
    <w:rsid w:val="00CF2B8D"/>
    <w:rsid w:val="00CF37EB"/>
    <w:rsid w:val="00CF4307"/>
    <w:rsid w:val="00CF456B"/>
    <w:rsid w:val="00CF4A98"/>
    <w:rsid w:val="00CF4BA1"/>
    <w:rsid w:val="00CF4C24"/>
    <w:rsid w:val="00CF5A22"/>
    <w:rsid w:val="00CF6317"/>
    <w:rsid w:val="00CF6DDE"/>
    <w:rsid w:val="00D0005D"/>
    <w:rsid w:val="00D02285"/>
    <w:rsid w:val="00D0262E"/>
    <w:rsid w:val="00D0571D"/>
    <w:rsid w:val="00D05C78"/>
    <w:rsid w:val="00D05E3D"/>
    <w:rsid w:val="00D06139"/>
    <w:rsid w:val="00D0686C"/>
    <w:rsid w:val="00D06BC1"/>
    <w:rsid w:val="00D07FC5"/>
    <w:rsid w:val="00D110BD"/>
    <w:rsid w:val="00D113C2"/>
    <w:rsid w:val="00D1278A"/>
    <w:rsid w:val="00D13675"/>
    <w:rsid w:val="00D141E1"/>
    <w:rsid w:val="00D1486E"/>
    <w:rsid w:val="00D14F29"/>
    <w:rsid w:val="00D15314"/>
    <w:rsid w:val="00D15B22"/>
    <w:rsid w:val="00D17D6C"/>
    <w:rsid w:val="00D17FFE"/>
    <w:rsid w:val="00D2155B"/>
    <w:rsid w:val="00D22A14"/>
    <w:rsid w:val="00D23833"/>
    <w:rsid w:val="00D23D11"/>
    <w:rsid w:val="00D243B6"/>
    <w:rsid w:val="00D244B6"/>
    <w:rsid w:val="00D2592B"/>
    <w:rsid w:val="00D2754D"/>
    <w:rsid w:val="00D27B27"/>
    <w:rsid w:val="00D310FA"/>
    <w:rsid w:val="00D31EA5"/>
    <w:rsid w:val="00D320F1"/>
    <w:rsid w:val="00D33BE9"/>
    <w:rsid w:val="00D33F93"/>
    <w:rsid w:val="00D350B4"/>
    <w:rsid w:val="00D350F6"/>
    <w:rsid w:val="00D357FF"/>
    <w:rsid w:val="00D424C7"/>
    <w:rsid w:val="00D42B06"/>
    <w:rsid w:val="00D433A6"/>
    <w:rsid w:val="00D43861"/>
    <w:rsid w:val="00D43B2A"/>
    <w:rsid w:val="00D43D83"/>
    <w:rsid w:val="00D43F0E"/>
    <w:rsid w:val="00D45420"/>
    <w:rsid w:val="00D4556A"/>
    <w:rsid w:val="00D464F8"/>
    <w:rsid w:val="00D47095"/>
    <w:rsid w:val="00D47575"/>
    <w:rsid w:val="00D505E0"/>
    <w:rsid w:val="00D5190F"/>
    <w:rsid w:val="00D51D3C"/>
    <w:rsid w:val="00D5243B"/>
    <w:rsid w:val="00D52D21"/>
    <w:rsid w:val="00D533EC"/>
    <w:rsid w:val="00D54054"/>
    <w:rsid w:val="00D56A95"/>
    <w:rsid w:val="00D5703C"/>
    <w:rsid w:val="00D648E4"/>
    <w:rsid w:val="00D70F16"/>
    <w:rsid w:val="00D72F57"/>
    <w:rsid w:val="00D749D6"/>
    <w:rsid w:val="00D75CE2"/>
    <w:rsid w:val="00D76465"/>
    <w:rsid w:val="00D76A44"/>
    <w:rsid w:val="00D80416"/>
    <w:rsid w:val="00D80CEF"/>
    <w:rsid w:val="00D81265"/>
    <w:rsid w:val="00D814B9"/>
    <w:rsid w:val="00D815EF"/>
    <w:rsid w:val="00D81F26"/>
    <w:rsid w:val="00D822B0"/>
    <w:rsid w:val="00D82B8E"/>
    <w:rsid w:val="00D86231"/>
    <w:rsid w:val="00D87B94"/>
    <w:rsid w:val="00D91923"/>
    <w:rsid w:val="00D9239B"/>
    <w:rsid w:val="00D92B5A"/>
    <w:rsid w:val="00D93753"/>
    <w:rsid w:val="00D93A5A"/>
    <w:rsid w:val="00D97A74"/>
    <w:rsid w:val="00DA2643"/>
    <w:rsid w:val="00DA3167"/>
    <w:rsid w:val="00DA47CE"/>
    <w:rsid w:val="00DA4DC3"/>
    <w:rsid w:val="00DA6D7C"/>
    <w:rsid w:val="00DA77A5"/>
    <w:rsid w:val="00DB33EF"/>
    <w:rsid w:val="00DB3CC1"/>
    <w:rsid w:val="00DB3DBF"/>
    <w:rsid w:val="00DB3E5B"/>
    <w:rsid w:val="00DB43AC"/>
    <w:rsid w:val="00DB484F"/>
    <w:rsid w:val="00DC04F6"/>
    <w:rsid w:val="00DC0690"/>
    <w:rsid w:val="00DC0A0E"/>
    <w:rsid w:val="00DC0A9A"/>
    <w:rsid w:val="00DC1D65"/>
    <w:rsid w:val="00DC38C3"/>
    <w:rsid w:val="00DC3C57"/>
    <w:rsid w:val="00DC4309"/>
    <w:rsid w:val="00DC444D"/>
    <w:rsid w:val="00DC5501"/>
    <w:rsid w:val="00DC616F"/>
    <w:rsid w:val="00DC7154"/>
    <w:rsid w:val="00DC7D1C"/>
    <w:rsid w:val="00DC7E8A"/>
    <w:rsid w:val="00DD0F78"/>
    <w:rsid w:val="00DD273C"/>
    <w:rsid w:val="00DD35FD"/>
    <w:rsid w:val="00DD3F28"/>
    <w:rsid w:val="00DD4537"/>
    <w:rsid w:val="00DD4E15"/>
    <w:rsid w:val="00DD677C"/>
    <w:rsid w:val="00DE2304"/>
    <w:rsid w:val="00DE275D"/>
    <w:rsid w:val="00DE3138"/>
    <w:rsid w:val="00DE37F8"/>
    <w:rsid w:val="00DE4FCB"/>
    <w:rsid w:val="00DE59F4"/>
    <w:rsid w:val="00DE5D07"/>
    <w:rsid w:val="00DE632E"/>
    <w:rsid w:val="00DE6B4C"/>
    <w:rsid w:val="00DE72A7"/>
    <w:rsid w:val="00DE7832"/>
    <w:rsid w:val="00DE7DB2"/>
    <w:rsid w:val="00DF18FC"/>
    <w:rsid w:val="00DF522B"/>
    <w:rsid w:val="00DF5D2B"/>
    <w:rsid w:val="00DF7567"/>
    <w:rsid w:val="00E00E8E"/>
    <w:rsid w:val="00E028E4"/>
    <w:rsid w:val="00E05630"/>
    <w:rsid w:val="00E06DBB"/>
    <w:rsid w:val="00E10149"/>
    <w:rsid w:val="00E11340"/>
    <w:rsid w:val="00E1144F"/>
    <w:rsid w:val="00E120B3"/>
    <w:rsid w:val="00E122A1"/>
    <w:rsid w:val="00E16372"/>
    <w:rsid w:val="00E20440"/>
    <w:rsid w:val="00E20E4D"/>
    <w:rsid w:val="00E20ED6"/>
    <w:rsid w:val="00E210FA"/>
    <w:rsid w:val="00E21358"/>
    <w:rsid w:val="00E2249B"/>
    <w:rsid w:val="00E22A0D"/>
    <w:rsid w:val="00E22EA5"/>
    <w:rsid w:val="00E244F6"/>
    <w:rsid w:val="00E24BCE"/>
    <w:rsid w:val="00E252BD"/>
    <w:rsid w:val="00E26854"/>
    <w:rsid w:val="00E26C83"/>
    <w:rsid w:val="00E2771E"/>
    <w:rsid w:val="00E311EF"/>
    <w:rsid w:val="00E31DA2"/>
    <w:rsid w:val="00E32180"/>
    <w:rsid w:val="00E34120"/>
    <w:rsid w:val="00E342CD"/>
    <w:rsid w:val="00E3448F"/>
    <w:rsid w:val="00E34948"/>
    <w:rsid w:val="00E35093"/>
    <w:rsid w:val="00E355BD"/>
    <w:rsid w:val="00E3685F"/>
    <w:rsid w:val="00E37569"/>
    <w:rsid w:val="00E401B2"/>
    <w:rsid w:val="00E4160C"/>
    <w:rsid w:val="00E41BE3"/>
    <w:rsid w:val="00E41E30"/>
    <w:rsid w:val="00E428FC"/>
    <w:rsid w:val="00E42F73"/>
    <w:rsid w:val="00E43D70"/>
    <w:rsid w:val="00E466F3"/>
    <w:rsid w:val="00E479CB"/>
    <w:rsid w:val="00E47A6A"/>
    <w:rsid w:val="00E47B2C"/>
    <w:rsid w:val="00E51102"/>
    <w:rsid w:val="00E51560"/>
    <w:rsid w:val="00E53FC8"/>
    <w:rsid w:val="00E54347"/>
    <w:rsid w:val="00E545FC"/>
    <w:rsid w:val="00E54BC2"/>
    <w:rsid w:val="00E55424"/>
    <w:rsid w:val="00E55915"/>
    <w:rsid w:val="00E55BB5"/>
    <w:rsid w:val="00E57B54"/>
    <w:rsid w:val="00E606D7"/>
    <w:rsid w:val="00E60F67"/>
    <w:rsid w:val="00E65C6B"/>
    <w:rsid w:val="00E65E79"/>
    <w:rsid w:val="00E66BA2"/>
    <w:rsid w:val="00E67416"/>
    <w:rsid w:val="00E6793D"/>
    <w:rsid w:val="00E7029D"/>
    <w:rsid w:val="00E718B6"/>
    <w:rsid w:val="00E71EA0"/>
    <w:rsid w:val="00E71F65"/>
    <w:rsid w:val="00E723BA"/>
    <w:rsid w:val="00E73581"/>
    <w:rsid w:val="00E751AF"/>
    <w:rsid w:val="00E764F6"/>
    <w:rsid w:val="00E80980"/>
    <w:rsid w:val="00E82D17"/>
    <w:rsid w:val="00E833F7"/>
    <w:rsid w:val="00E83BDF"/>
    <w:rsid w:val="00E85BB2"/>
    <w:rsid w:val="00E85D52"/>
    <w:rsid w:val="00E87A1D"/>
    <w:rsid w:val="00E90204"/>
    <w:rsid w:val="00E9094A"/>
    <w:rsid w:val="00E91D35"/>
    <w:rsid w:val="00E926A5"/>
    <w:rsid w:val="00E95B6A"/>
    <w:rsid w:val="00E974F1"/>
    <w:rsid w:val="00EA17C3"/>
    <w:rsid w:val="00EA20CC"/>
    <w:rsid w:val="00EA2945"/>
    <w:rsid w:val="00EA2CAA"/>
    <w:rsid w:val="00EA33FB"/>
    <w:rsid w:val="00EA35CA"/>
    <w:rsid w:val="00EA3864"/>
    <w:rsid w:val="00EA479D"/>
    <w:rsid w:val="00EA4FFC"/>
    <w:rsid w:val="00EA7F1C"/>
    <w:rsid w:val="00EB15B6"/>
    <w:rsid w:val="00EB3D06"/>
    <w:rsid w:val="00EB4916"/>
    <w:rsid w:val="00EB5B6B"/>
    <w:rsid w:val="00EB6E3F"/>
    <w:rsid w:val="00EB7053"/>
    <w:rsid w:val="00EB7C2F"/>
    <w:rsid w:val="00EC00C9"/>
    <w:rsid w:val="00EC0DD9"/>
    <w:rsid w:val="00EC2649"/>
    <w:rsid w:val="00EC2754"/>
    <w:rsid w:val="00EC31ED"/>
    <w:rsid w:val="00EC37D5"/>
    <w:rsid w:val="00EC43CF"/>
    <w:rsid w:val="00EC5836"/>
    <w:rsid w:val="00EC688C"/>
    <w:rsid w:val="00ED00DE"/>
    <w:rsid w:val="00ED29A9"/>
    <w:rsid w:val="00ED4E09"/>
    <w:rsid w:val="00ED53D5"/>
    <w:rsid w:val="00ED5510"/>
    <w:rsid w:val="00ED57EA"/>
    <w:rsid w:val="00ED5BD4"/>
    <w:rsid w:val="00ED6F9C"/>
    <w:rsid w:val="00EE07D3"/>
    <w:rsid w:val="00EE1996"/>
    <w:rsid w:val="00EE1A65"/>
    <w:rsid w:val="00EE1C01"/>
    <w:rsid w:val="00EE22AF"/>
    <w:rsid w:val="00EE4B54"/>
    <w:rsid w:val="00EE606A"/>
    <w:rsid w:val="00EE61BB"/>
    <w:rsid w:val="00EF0171"/>
    <w:rsid w:val="00EF0274"/>
    <w:rsid w:val="00EF1B25"/>
    <w:rsid w:val="00EF1DA0"/>
    <w:rsid w:val="00EF4747"/>
    <w:rsid w:val="00EF4BF8"/>
    <w:rsid w:val="00EF51E7"/>
    <w:rsid w:val="00EF76B1"/>
    <w:rsid w:val="00F011C7"/>
    <w:rsid w:val="00F01483"/>
    <w:rsid w:val="00F017E2"/>
    <w:rsid w:val="00F02147"/>
    <w:rsid w:val="00F02253"/>
    <w:rsid w:val="00F02763"/>
    <w:rsid w:val="00F02C22"/>
    <w:rsid w:val="00F03C2E"/>
    <w:rsid w:val="00F04A66"/>
    <w:rsid w:val="00F04B4B"/>
    <w:rsid w:val="00F04C71"/>
    <w:rsid w:val="00F0516C"/>
    <w:rsid w:val="00F0582D"/>
    <w:rsid w:val="00F0589F"/>
    <w:rsid w:val="00F0592B"/>
    <w:rsid w:val="00F05BAF"/>
    <w:rsid w:val="00F067A2"/>
    <w:rsid w:val="00F06DCE"/>
    <w:rsid w:val="00F07B9E"/>
    <w:rsid w:val="00F1116F"/>
    <w:rsid w:val="00F1263A"/>
    <w:rsid w:val="00F14926"/>
    <w:rsid w:val="00F1549F"/>
    <w:rsid w:val="00F15B77"/>
    <w:rsid w:val="00F172BC"/>
    <w:rsid w:val="00F21736"/>
    <w:rsid w:val="00F22B36"/>
    <w:rsid w:val="00F24837"/>
    <w:rsid w:val="00F25292"/>
    <w:rsid w:val="00F2575F"/>
    <w:rsid w:val="00F27565"/>
    <w:rsid w:val="00F30C96"/>
    <w:rsid w:val="00F310D4"/>
    <w:rsid w:val="00F31963"/>
    <w:rsid w:val="00F31D5A"/>
    <w:rsid w:val="00F333E8"/>
    <w:rsid w:val="00F33975"/>
    <w:rsid w:val="00F33DE9"/>
    <w:rsid w:val="00F34F72"/>
    <w:rsid w:val="00F35582"/>
    <w:rsid w:val="00F35E6D"/>
    <w:rsid w:val="00F3619A"/>
    <w:rsid w:val="00F36289"/>
    <w:rsid w:val="00F40AAA"/>
    <w:rsid w:val="00F40ABD"/>
    <w:rsid w:val="00F40BA7"/>
    <w:rsid w:val="00F40F9D"/>
    <w:rsid w:val="00F41664"/>
    <w:rsid w:val="00F41976"/>
    <w:rsid w:val="00F41ACD"/>
    <w:rsid w:val="00F41BD1"/>
    <w:rsid w:val="00F43E3E"/>
    <w:rsid w:val="00F451A0"/>
    <w:rsid w:val="00F46CB6"/>
    <w:rsid w:val="00F46F6B"/>
    <w:rsid w:val="00F472D1"/>
    <w:rsid w:val="00F4756D"/>
    <w:rsid w:val="00F47DE8"/>
    <w:rsid w:val="00F50F5E"/>
    <w:rsid w:val="00F51306"/>
    <w:rsid w:val="00F51FD8"/>
    <w:rsid w:val="00F5209E"/>
    <w:rsid w:val="00F542C1"/>
    <w:rsid w:val="00F55B7F"/>
    <w:rsid w:val="00F55D56"/>
    <w:rsid w:val="00F55E73"/>
    <w:rsid w:val="00F55EDA"/>
    <w:rsid w:val="00F56C80"/>
    <w:rsid w:val="00F576B7"/>
    <w:rsid w:val="00F60092"/>
    <w:rsid w:val="00F616BB"/>
    <w:rsid w:val="00F618EE"/>
    <w:rsid w:val="00F61C18"/>
    <w:rsid w:val="00F6257B"/>
    <w:rsid w:val="00F659A3"/>
    <w:rsid w:val="00F65B70"/>
    <w:rsid w:val="00F65E45"/>
    <w:rsid w:val="00F65F4B"/>
    <w:rsid w:val="00F661E9"/>
    <w:rsid w:val="00F6621B"/>
    <w:rsid w:val="00F66870"/>
    <w:rsid w:val="00F67A69"/>
    <w:rsid w:val="00F7014A"/>
    <w:rsid w:val="00F70BFF"/>
    <w:rsid w:val="00F70C9D"/>
    <w:rsid w:val="00F72110"/>
    <w:rsid w:val="00F72ACD"/>
    <w:rsid w:val="00F72B3E"/>
    <w:rsid w:val="00F74CD9"/>
    <w:rsid w:val="00F76F2B"/>
    <w:rsid w:val="00F80A7B"/>
    <w:rsid w:val="00F80E5D"/>
    <w:rsid w:val="00F81E78"/>
    <w:rsid w:val="00F8220B"/>
    <w:rsid w:val="00F851CE"/>
    <w:rsid w:val="00F86214"/>
    <w:rsid w:val="00F86576"/>
    <w:rsid w:val="00F87DD4"/>
    <w:rsid w:val="00F91219"/>
    <w:rsid w:val="00F92444"/>
    <w:rsid w:val="00F9393E"/>
    <w:rsid w:val="00F94535"/>
    <w:rsid w:val="00F949CF"/>
    <w:rsid w:val="00F96FD0"/>
    <w:rsid w:val="00F97A78"/>
    <w:rsid w:val="00FA018B"/>
    <w:rsid w:val="00FA0B20"/>
    <w:rsid w:val="00FA1A1B"/>
    <w:rsid w:val="00FA24E7"/>
    <w:rsid w:val="00FA3086"/>
    <w:rsid w:val="00FA4B9E"/>
    <w:rsid w:val="00FA5EE6"/>
    <w:rsid w:val="00FA6449"/>
    <w:rsid w:val="00FA664A"/>
    <w:rsid w:val="00FA7956"/>
    <w:rsid w:val="00FA7FB4"/>
    <w:rsid w:val="00FB2869"/>
    <w:rsid w:val="00FB2FCB"/>
    <w:rsid w:val="00FB4B3E"/>
    <w:rsid w:val="00FB7C55"/>
    <w:rsid w:val="00FC1074"/>
    <w:rsid w:val="00FC1884"/>
    <w:rsid w:val="00FC2072"/>
    <w:rsid w:val="00FC2D9D"/>
    <w:rsid w:val="00FC371D"/>
    <w:rsid w:val="00FC5F0B"/>
    <w:rsid w:val="00FC6B2B"/>
    <w:rsid w:val="00FC7CBD"/>
    <w:rsid w:val="00FD071A"/>
    <w:rsid w:val="00FD0A46"/>
    <w:rsid w:val="00FD0B98"/>
    <w:rsid w:val="00FD181E"/>
    <w:rsid w:val="00FD1B07"/>
    <w:rsid w:val="00FD2100"/>
    <w:rsid w:val="00FD279F"/>
    <w:rsid w:val="00FD3104"/>
    <w:rsid w:val="00FD37F5"/>
    <w:rsid w:val="00FD436C"/>
    <w:rsid w:val="00FD446D"/>
    <w:rsid w:val="00FD4F2C"/>
    <w:rsid w:val="00FD5A23"/>
    <w:rsid w:val="00FD6394"/>
    <w:rsid w:val="00FD6B42"/>
    <w:rsid w:val="00FD7EBC"/>
    <w:rsid w:val="00FE0E6C"/>
    <w:rsid w:val="00FE1CDC"/>
    <w:rsid w:val="00FE70C3"/>
    <w:rsid w:val="00FE7FD9"/>
    <w:rsid w:val="00FF21AE"/>
    <w:rsid w:val="00FF262C"/>
    <w:rsid w:val="00FF2992"/>
    <w:rsid w:val="00FF2AD9"/>
    <w:rsid w:val="00FF2F64"/>
    <w:rsid w:val="00FF359F"/>
    <w:rsid w:val="00FF3DCF"/>
    <w:rsid w:val="00FF492C"/>
    <w:rsid w:val="00FF4A21"/>
    <w:rsid w:val="00FF53EC"/>
    <w:rsid w:val="00FF5AA3"/>
    <w:rsid w:val="00FF5AD8"/>
    <w:rsid w:val="00FF7343"/>
    <w:rsid w:val="00FF7893"/>
    <w:rsid w:val="00FF7FF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iPriority="2"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6A0C"/>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Table and Figure Name,Table and Figure name,Caption Char2 Char,Caption Char Char Char2,Caption Char1 Char Char Char1,Caption Char2 Char Char Char1 Char1,Caption Char Char1 Char Char Char1 Char1,Caption Char1 Char Char Char Char Char Char,c"/>
    <w:basedOn w:val="Normal"/>
    <w:next w:val="Normal"/>
    <w:link w:val="CaptionChar"/>
    <w:uiPriority w:val="2"/>
    <w:unhideWhenUsed/>
    <w:rsid w:val="00124A51"/>
    <w:pPr>
      <w:spacing w:after="200"/>
    </w:pPr>
    <w:rPr>
      <w:b/>
      <w:bCs/>
      <w:color w:val="4F81BD" w:themeColor="accent1"/>
      <w:sz w:val="18"/>
      <w:szCs w:val="18"/>
    </w:rPr>
  </w:style>
  <w:style w:type="character" w:customStyle="1" w:styleId="CaptionChar">
    <w:name w:val="Caption Char"/>
    <w:aliases w:val="Table and Figure Name Char,Table and Figure name Char,Caption Char2 Char Char,Caption Char Char Char2 Char,Caption Char1 Char Char Char1 Char,Caption Char2 Char Char Char1 Char1 Char,Caption Char Char1 Char Char Char1 Char1 Char,c Char"/>
    <w:link w:val="Caption"/>
    <w:uiPriority w:val="2"/>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PBAC ES Paragraph,Styl moj,Akapit z listą1,Akapit z listą11,ES Paragraph,PBAC normal points"/>
    <w:next w:val="ListBullet"/>
    <w:link w:val="ListParagraphChar"/>
    <w:uiPriority w:val="34"/>
    <w:qFormat/>
    <w:rsid w:val="00BB00B3"/>
    <w:pPr>
      <w:numPr>
        <w:numId w:val="3"/>
      </w:numPr>
      <w:spacing w:after="120"/>
      <w:jc w:val="both"/>
    </w:pPr>
    <w:rPr>
      <w:rFonts w:asciiTheme="minorHAnsi" w:hAnsiTheme="minorHAnsi" w:cs="Arial"/>
      <w:snapToGrid w:val="0"/>
      <w:sz w:val="24"/>
      <w:szCs w:val="24"/>
    </w:rPr>
  </w:style>
  <w:style w:type="paragraph" w:styleId="ListBullet">
    <w:name w:val="List Bullet"/>
    <w:basedOn w:val="Normal"/>
    <w:uiPriority w:val="4"/>
    <w:unhideWhenUsed/>
    <w:rsid w:val="00EE1996"/>
    <w:pPr>
      <w:numPr>
        <w:numId w:val="4"/>
      </w:numPr>
      <w:contextualSpacing/>
    </w:p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PBAC ES Paragraph Char,Styl moj Char"/>
    <w:basedOn w:val="DefaultParagraphFont"/>
    <w:link w:val="ListParagraph"/>
    <w:uiPriority w:val="34"/>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A51FBD"/>
    <w:pPr>
      <w:tabs>
        <w:tab w:val="left" w:pos="440"/>
        <w:tab w:val="right" w:leader="dot" w:pos="9016"/>
      </w:tabs>
      <w:spacing w:after="120"/>
      <w:ind w:left="426" w:hanging="426"/>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uiPriority w:val="9"/>
    <w:semiHidden/>
    <w:unhideWhenUsed/>
    <w:rsid w:val="00B34FE2"/>
    <w:rPr>
      <w:rFonts w:ascii="Tahoma" w:hAnsi="Tahoma" w:cs="Tahoma"/>
      <w:sz w:val="16"/>
      <w:szCs w:val="16"/>
    </w:rPr>
  </w:style>
  <w:style w:type="character" w:customStyle="1" w:styleId="BalloonTextChar">
    <w:name w:val="Balloon Text Char"/>
    <w:basedOn w:val="DefaultParagraphFont"/>
    <w:link w:val="BalloonText"/>
    <w:uiPriority w:val="9"/>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1"/>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4E18E9"/>
    <w:pPr>
      <w:numPr>
        <w:ilvl w:val="1"/>
        <w:numId w:val="1"/>
      </w:numPr>
    </w:pPr>
  </w:style>
  <w:style w:type="character" w:customStyle="1" w:styleId="3-BodyTextChar">
    <w:name w:val="3-Body Text Char"/>
    <w:basedOn w:val="ListParagraphChar"/>
    <w:link w:val="3-BodyText"/>
    <w:rsid w:val="004E18E9"/>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TableFigureFooter">
    <w:name w:val="Table/Figure Footer"/>
    <w:basedOn w:val="Normal"/>
    <w:link w:val="TableFigureFooterChar"/>
    <w:qFormat/>
    <w:rsid w:val="00EC5836"/>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table" w:customStyle="1" w:styleId="TableGrid1">
    <w:name w:val="Table Grid1"/>
    <w:basedOn w:val="TableNormal"/>
    <w:next w:val="TableGrid"/>
    <w:uiPriority w:val="59"/>
    <w:rsid w:val="00BC6A5F"/>
    <w:rPr>
      <w:rFonts w:asciiTheme="minorHAnsi" w:eastAsiaTheme="minorEastAsia" w:hAnsiTheme="minorHAnsi" w:cstheme="minorBidi"/>
      <w:sz w:val="22"/>
      <w:szCs w:val="22"/>
      <w:lang w:eastAsia="zh-C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PBACTableStyle">
    <w:name w:val="PBAC Table Style"/>
    <w:basedOn w:val="TableGrid10"/>
    <w:uiPriority w:val="99"/>
    <w:rsid w:val="00BC6A5F"/>
    <w:pPr>
      <w:widowControl w:val="0"/>
      <w:spacing w:before="120"/>
      <w:contextualSpacing/>
      <w:jc w:val="center"/>
    </w:pPr>
    <w:rPr>
      <w:rFonts w:ascii="Arial Narrow" w:eastAsia="Calibri" w:hAnsi="Arial Narrow" w:cs="Arial"/>
      <w:color w:val="00000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wordWrap/>
        <w:spacing w:beforeLines="0" w:before="0" w:beforeAutospacing="0" w:afterLines="0" w:after="0" w:afterAutospacing="0" w:line="240" w:lineRule="auto"/>
        <w:ind w:leftChars="0" w:left="0" w:rightChars="0" w:right="57" w:firstLineChars="0" w:firstLine="0"/>
        <w:jc w:val="center"/>
      </w:pPr>
      <w:rPr>
        <w:rFonts w:ascii="Bahnschrift" w:hAnsi="Bahnschrift"/>
        <w:b/>
        <w:sz w:val="20"/>
      </w:rPr>
    </w:tblStylePr>
    <w:tblStylePr w:type="lastRow">
      <w:rPr>
        <w:i/>
        <w:iCs/>
      </w:rPr>
      <w:tblPr/>
      <w:tcPr>
        <w:tcBorders>
          <w:tl2br w:val="none" w:sz="0" w:space="0" w:color="auto"/>
          <w:tr2bl w:val="none" w:sz="0" w:space="0" w:color="auto"/>
        </w:tcBorders>
      </w:tcPr>
    </w:tblStylePr>
    <w:tblStylePr w:type="firstCol">
      <w:pPr>
        <w:wordWrap/>
        <w:spacing w:beforeLines="0" w:before="0" w:beforeAutospacing="0" w:afterLines="0" w:after="0" w:afterAutospacing="0" w:line="240" w:lineRule="auto"/>
        <w:ind w:leftChars="0" w:left="0" w:rightChars="0" w:right="0"/>
        <w:contextualSpacing/>
        <w:jc w:val="left"/>
      </w:pPr>
      <w:rPr>
        <w:rFonts w:ascii="Bahnschrift" w:hAnsi="Bahnschrift"/>
        <w:sz w:val="20"/>
      </w:rPr>
    </w:tblStylePr>
    <w:tblStylePr w:type="lastCol">
      <w:pPr>
        <w:wordWrap/>
        <w:spacing w:beforeLines="0" w:before="0" w:beforeAutospacing="0" w:afterLines="0" w:after="0" w:afterAutospacing="0" w:line="240" w:lineRule="auto"/>
        <w:ind w:leftChars="0" w:left="0" w:rightChars="0" w:right="0" w:firstLineChars="0" w:firstLine="0"/>
      </w:pPr>
      <w:rPr>
        <w:rFonts w:ascii="Bahnschrift" w:hAnsi="Bahnschrift"/>
        <w:i/>
        <w:i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one" w:sz="0" w:space="0" w:color="auto"/>
          <w:tr2bl w:val="none" w:sz="0" w:space="0" w:color="auto"/>
        </w:tcBorders>
      </w:tcPr>
    </w:tblStylePr>
  </w:style>
  <w:style w:type="table" w:styleId="TableGrid10">
    <w:name w:val="Table Grid 1"/>
    <w:basedOn w:val="TableNormal"/>
    <w:semiHidden/>
    <w:unhideWhenUsed/>
    <w:rsid w:val="00BC6A5F"/>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PBACTableStyle1">
    <w:name w:val="PBAC Table Style1"/>
    <w:basedOn w:val="TableGrid10"/>
    <w:uiPriority w:val="99"/>
    <w:rsid w:val="00BC6A5F"/>
    <w:pPr>
      <w:widowControl w:val="0"/>
      <w:spacing w:before="120"/>
      <w:contextualSpacing/>
      <w:jc w:val="center"/>
    </w:pPr>
    <w:rPr>
      <w:rFonts w:ascii="Arial Narrow" w:eastAsia="Calibri" w:hAnsi="Arial Narrow" w:cs="Arial"/>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wordWrap/>
        <w:spacing w:beforeLines="0" w:before="0" w:beforeAutospacing="0" w:afterLines="0" w:after="0" w:afterAutospacing="0" w:line="240" w:lineRule="auto"/>
        <w:ind w:leftChars="0" w:left="0" w:rightChars="0" w:right="57" w:firstLineChars="0" w:firstLine="0"/>
        <w:jc w:val="center"/>
      </w:pPr>
      <w:rPr>
        <w:rFonts w:ascii="Bahnschrift" w:hAnsi="Bahnschrift"/>
        <w:b/>
        <w:sz w:val="20"/>
      </w:rPr>
    </w:tblStylePr>
    <w:tblStylePr w:type="lastRow">
      <w:rPr>
        <w:i/>
        <w:iCs/>
      </w:rPr>
      <w:tblPr/>
      <w:tcPr>
        <w:tcBorders>
          <w:tl2br w:val="none" w:sz="0" w:space="0" w:color="auto"/>
          <w:tr2bl w:val="none" w:sz="0" w:space="0" w:color="auto"/>
        </w:tcBorders>
      </w:tcPr>
    </w:tblStylePr>
    <w:tblStylePr w:type="firstCol">
      <w:pPr>
        <w:wordWrap/>
        <w:spacing w:beforeLines="0" w:before="0" w:beforeAutospacing="0" w:afterLines="0" w:after="0" w:afterAutospacing="0" w:line="240" w:lineRule="auto"/>
        <w:ind w:leftChars="0" w:left="0" w:rightChars="0" w:right="0"/>
        <w:contextualSpacing/>
        <w:jc w:val="left"/>
      </w:pPr>
      <w:rPr>
        <w:rFonts w:ascii="Bahnschrift" w:hAnsi="Bahnschrift"/>
        <w:sz w:val="20"/>
      </w:rPr>
    </w:tblStylePr>
    <w:tblStylePr w:type="lastCol">
      <w:pPr>
        <w:wordWrap/>
        <w:spacing w:beforeLines="0" w:before="0" w:beforeAutospacing="0" w:afterLines="0" w:after="0" w:afterAutospacing="0" w:line="240" w:lineRule="auto"/>
        <w:ind w:leftChars="0" w:left="0" w:rightChars="0" w:right="0" w:firstLineChars="0" w:firstLine="0"/>
      </w:pPr>
      <w:rPr>
        <w:rFonts w:ascii="Bahnschrift" w:hAnsi="Bahnschrift"/>
        <w:i/>
        <w:i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one" w:sz="0" w:space="0" w:color="auto"/>
          <w:tr2bl w:val="none" w:sz="0" w:space="0" w:color="auto"/>
        </w:tcBorders>
      </w:tcPr>
    </w:tblStylePr>
  </w:style>
  <w:style w:type="table" w:customStyle="1" w:styleId="PBACTableStyle2">
    <w:name w:val="PBAC Table Style2"/>
    <w:basedOn w:val="TableGrid10"/>
    <w:uiPriority w:val="99"/>
    <w:rsid w:val="00730909"/>
    <w:pPr>
      <w:widowControl w:val="0"/>
      <w:spacing w:before="120"/>
      <w:contextualSpacing/>
      <w:jc w:val="center"/>
    </w:pPr>
    <w:rPr>
      <w:rFonts w:ascii="Arial Narrow" w:eastAsia="Calibri" w:hAnsi="Arial Narrow" w:cs="Arial"/>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wordWrap/>
        <w:spacing w:beforeLines="0" w:before="0" w:beforeAutospacing="0" w:afterLines="0" w:after="0" w:afterAutospacing="0" w:line="240" w:lineRule="auto"/>
        <w:ind w:leftChars="0" w:left="0" w:rightChars="0" w:right="57" w:firstLineChars="0" w:firstLine="0"/>
        <w:jc w:val="center"/>
      </w:pPr>
      <w:rPr>
        <w:rFonts w:ascii="Bahnschrift" w:hAnsi="Bahnschrift"/>
        <w:b/>
        <w:sz w:val="20"/>
      </w:rPr>
    </w:tblStylePr>
    <w:tblStylePr w:type="lastRow">
      <w:rPr>
        <w:i/>
        <w:iCs/>
      </w:rPr>
      <w:tblPr/>
      <w:tcPr>
        <w:tcBorders>
          <w:tl2br w:val="none" w:sz="0" w:space="0" w:color="auto"/>
          <w:tr2bl w:val="none" w:sz="0" w:space="0" w:color="auto"/>
        </w:tcBorders>
      </w:tcPr>
    </w:tblStylePr>
    <w:tblStylePr w:type="firstCol">
      <w:pPr>
        <w:wordWrap/>
        <w:spacing w:beforeLines="0" w:before="0" w:beforeAutospacing="0" w:afterLines="0" w:after="0" w:afterAutospacing="0" w:line="240" w:lineRule="auto"/>
        <w:ind w:leftChars="0" w:left="0" w:rightChars="0" w:right="0"/>
        <w:contextualSpacing/>
        <w:jc w:val="left"/>
      </w:pPr>
      <w:rPr>
        <w:rFonts w:ascii="Bahnschrift" w:hAnsi="Bahnschrift"/>
        <w:sz w:val="20"/>
      </w:rPr>
    </w:tblStylePr>
    <w:tblStylePr w:type="lastCol">
      <w:pPr>
        <w:wordWrap/>
        <w:spacing w:beforeLines="0" w:before="0" w:beforeAutospacing="0" w:afterLines="0" w:after="0" w:afterAutospacing="0" w:line="240" w:lineRule="auto"/>
        <w:ind w:leftChars="0" w:left="0" w:rightChars="0" w:right="0" w:firstLineChars="0" w:firstLine="0"/>
      </w:pPr>
      <w:rPr>
        <w:rFonts w:ascii="Bahnschrift" w:hAnsi="Bahnschrift"/>
        <w:i/>
        <w:i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one" w:sz="0" w:space="0" w:color="auto"/>
          <w:tr2bl w:val="none" w:sz="0" w:space="0" w:color="auto"/>
        </w:tcBorders>
      </w:tcPr>
    </w:tblStylePr>
  </w:style>
  <w:style w:type="table" w:customStyle="1" w:styleId="PBACTableStyle3">
    <w:name w:val="PBAC Table Style3"/>
    <w:basedOn w:val="TableGrid10"/>
    <w:uiPriority w:val="99"/>
    <w:rsid w:val="005145B4"/>
    <w:pPr>
      <w:widowControl w:val="0"/>
      <w:spacing w:before="120"/>
      <w:contextualSpacing/>
      <w:jc w:val="center"/>
    </w:pPr>
    <w:rPr>
      <w:rFonts w:ascii="Arial Narrow" w:eastAsia="Calibri" w:hAnsi="Arial Narrow" w:cs="Arial"/>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wordWrap/>
        <w:spacing w:beforeLines="0" w:before="0" w:beforeAutospacing="0" w:afterLines="0" w:after="0" w:afterAutospacing="0" w:line="240" w:lineRule="auto"/>
        <w:ind w:leftChars="0" w:left="0" w:rightChars="0" w:right="57" w:firstLineChars="0" w:firstLine="0"/>
        <w:jc w:val="center"/>
      </w:pPr>
      <w:rPr>
        <w:rFonts w:ascii="Bahnschrift" w:hAnsi="Bahnschrift"/>
        <w:b/>
        <w:sz w:val="20"/>
      </w:rPr>
    </w:tblStylePr>
    <w:tblStylePr w:type="lastRow">
      <w:rPr>
        <w:i/>
        <w:iCs/>
      </w:rPr>
      <w:tblPr/>
      <w:tcPr>
        <w:tcBorders>
          <w:tl2br w:val="none" w:sz="0" w:space="0" w:color="auto"/>
          <w:tr2bl w:val="none" w:sz="0" w:space="0" w:color="auto"/>
        </w:tcBorders>
      </w:tcPr>
    </w:tblStylePr>
    <w:tblStylePr w:type="firstCol">
      <w:pPr>
        <w:wordWrap/>
        <w:spacing w:beforeLines="0" w:before="0" w:beforeAutospacing="0" w:afterLines="0" w:after="0" w:afterAutospacing="0" w:line="240" w:lineRule="auto"/>
        <w:ind w:leftChars="0" w:left="0" w:rightChars="0" w:right="0"/>
        <w:contextualSpacing/>
        <w:jc w:val="left"/>
      </w:pPr>
      <w:rPr>
        <w:rFonts w:ascii="Bahnschrift" w:hAnsi="Bahnschrift"/>
        <w:sz w:val="20"/>
      </w:rPr>
    </w:tblStylePr>
    <w:tblStylePr w:type="lastCol">
      <w:pPr>
        <w:wordWrap/>
        <w:spacing w:beforeLines="0" w:before="0" w:beforeAutospacing="0" w:afterLines="0" w:after="0" w:afterAutospacing="0" w:line="240" w:lineRule="auto"/>
        <w:ind w:leftChars="0" w:left="0" w:rightChars="0" w:right="0" w:firstLineChars="0" w:firstLine="0"/>
      </w:pPr>
      <w:rPr>
        <w:rFonts w:ascii="Bahnschrift" w:hAnsi="Bahnschrift"/>
        <w:i/>
        <w:i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one" w:sz="0" w:space="0" w:color="auto"/>
          <w:tr2bl w:val="none" w:sz="0" w:space="0" w:color="auto"/>
        </w:tcBorders>
      </w:tcPr>
    </w:tblStylePr>
  </w:style>
  <w:style w:type="table" w:customStyle="1" w:styleId="PBACTableStyle4">
    <w:name w:val="PBAC Table Style4"/>
    <w:basedOn w:val="TableGrid10"/>
    <w:uiPriority w:val="99"/>
    <w:rsid w:val="00911818"/>
    <w:pPr>
      <w:widowControl w:val="0"/>
      <w:spacing w:before="120"/>
      <w:contextualSpacing/>
      <w:jc w:val="center"/>
    </w:pPr>
    <w:rPr>
      <w:rFonts w:ascii="Arial Narrow" w:eastAsia="Calibri" w:hAnsi="Arial Narrow" w:cs="Arial"/>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wordWrap/>
        <w:spacing w:beforeLines="0" w:before="0" w:beforeAutospacing="0" w:afterLines="0" w:after="0" w:afterAutospacing="0" w:line="240" w:lineRule="auto"/>
        <w:ind w:leftChars="0" w:left="0" w:rightChars="0" w:right="57" w:firstLineChars="0" w:firstLine="0"/>
        <w:jc w:val="center"/>
      </w:pPr>
      <w:rPr>
        <w:rFonts w:ascii="Bahnschrift" w:hAnsi="Bahnschrift"/>
        <w:b/>
        <w:sz w:val="20"/>
      </w:rPr>
    </w:tblStylePr>
    <w:tblStylePr w:type="lastRow">
      <w:rPr>
        <w:i/>
        <w:iCs/>
      </w:rPr>
      <w:tblPr/>
      <w:tcPr>
        <w:tcBorders>
          <w:tl2br w:val="none" w:sz="0" w:space="0" w:color="auto"/>
          <w:tr2bl w:val="none" w:sz="0" w:space="0" w:color="auto"/>
        </w:tcBorders>
      </w:tcPr>
    </w:tblStylePr>
    <w:tblStylePr w:type="firstCol">
      <w:pPr>
        <w:wordWrap/>
        <w:spacing w:beforeLines="0" w:before="0" w:beforeAutospacing="0" w:afterLines="0" w:after="0" w:afterAutospacing="0" w:line="240" w:lineRule="auto"/>
        <w:ind w:leftChars="0" w:left="0" w:rightChars="0" w:right="0"/>
        <w:contextualSpacing/>
        <w:jc w:val="left"/>
      </w:pPr>
      <w:rPr>
        <w:rFonts w:ascii="Bahnschrift" w:hAnsi="Bahnschrift"/>
        <w:sz w:val="20"/>
      </w:rPr>
    </w:tblStylePr>
    <w:tblStylePr w:type="lastCol">
      <w:pPr>
        <w:wordWrap/>
        <w:spacing w:beforeLines="0" w:before="0" w:beforeAutospacing="0" w:afterLines="0" w:after="0" w:afterAutospacing="0" w:line="240" w:lineRule="auto"/>
        <w:ind w:leftChars="0" w:left="0" w:rightChars="0" w:right="0" w:firstLineChars="0" w:firstLine="0"/>
      </w:pPr>
      <w:rPr>
        <w:rFonts w:ascii="Bahnschrift" w:hAnsi="Bahnschrift"/>
        <w:i/>
        <w:i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one" w:sz="0" w:space="0" w:color="auto"/>
          <w:tr2bl w:val="none" w:sz="0" w:space="0" w:color="auto"/>
        </w:tcBorders>
      </w:tcPr>
    </w:tblStylePr>
  </w:style>
  <w:style w:type="paragraph" w:styleId="FootnoteText">
    <w:name w:val="footnote text"/>
    <w:basedOn w:val="Normal"/>
    <w:link w:val="FootnoteTextChar"/>
    <w:semiHidden/>
    <w:unhideWhenUsed/>
    <w:rsid w:val="001E106A"/>
    <w:rPr>
      <w:sz w:val="20"/>
      <w:szCs w:val="20"/>
    </w:rPr>
  </w:style>
  <w:style w:type="character" w:customStyle="1" w:styleId="FootnoteTextChar">
    <w:name w:val="Footnote Text Char"/>
    <w:basedOn w:val="DefaultParagraphFont"/>
    <w:link w:val="FootnoteText"/>
    <w:semiHidden/>
    <w:rsid w:val="001E106A"/>
    <w:rPr>
      <w:rFonts w:ascii="Calibri" w:hAnsi="Calibri" w:cs="Arial"/>
    </w:rPr>
  </w:style>
  <w:style w:type="character" w:styleId="FootnoteReference">
    <w:name w:val="footnote reference"/>
    <w:basedOn w:val="DefaultParagraphFont"/>
    <w:semiHidden/>
    <w:unhideWhenUsed/>
    <w:rsid w:val="001E106A"/>
    <w:rPr>
      <w:vertAlign w:val="superscript"/>
    </w:rPr>
  </w:style>
  <w:style w:type="table" w:customStyle="1" w:styleId="TableGrid2">
    <w:name w:val="Table Grid2"/>
    <w:basedOn w:val="TableNormal"/>
    <w:next w:val="TableGrid"/>
    <w:uiPriority w:val="59"/>
    <w:rsid w:val="000B3600"/>
    <w:rPr>
      <w:rFonts w:asciiTheme="minorHAnsi" w:eastAsiaTheme="minorEastAsia" w:hAnsiTheme="minorHAnsi" w:cstheme="minorBidi"/>
      <w:sz w:val="22"/>
      <w:szCs w:val="22"/>
      <w:lang w:eastAsia="zh-C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
    <w:name w:val="Table Grid3"/>
    <w:basedOn w:val="TableNormal"/>
    <w:next w:val="TableGrid"/>
    <w:uiPriority w:val="59"/>
    <w:rsid w:val="003550DC"/>
    <w:rPr>
      <w:rFonts w:asciiTheme="minorHAnsi" w:eastAsiaTheme="minorEastAsia" w:hAnsiTheme="minorHAnsi" w:cstheme="minorBidi"/>
      <w:sz w:val="22"/>
      <w:szCs w:val="22"/>
      <w:lang w:eastAsia="zh-C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
    <w:name w:val="Table Grid4"/>
    <w:basedOn w:val="TableNormal"/>
    <w:next w:val="TableGrid"/>
    <w:uiPriority w:val="59"/>
    <w:rsid w:val="009C05AB"/>
    <w:rPr>
      <w:rFonts w:asciiTheme="minorHAnsi" w:eastAsiaTheme="minorEastAsia" w:hAnsiTheme="minorHAnsi" w:cstheme="minorBidi"/>
      <w:sz w:val="22"/>
      <w:szCs w:val="22"/>
      <w:lang w:eastAsia="zh-C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
    <w:name w:val="Table Grid5"/>
    <w:basedOn w:val="TableNormal"/>
    <w:next w:val="TableGrid"/>
    <w:uiPriority w:val="59"/>
    <w:rsid w:val="00FD279F"/>
    <w:rPr>
      <w:rFonts w:asciiTheme="minorHAnsi" w:eastAsiaTheme="minorEastAsia" w:hAnsiTheme="minorHAnsi" w:cstheme="minorBidi"/>
      <w:sz w:val="22"/>
      <w:szCs w:val="22"/>
      <w:lang w:eastAsia="zh-C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6">
    <w:name w:val="Table Grid6"/>
    <w:basedOn w:val="TableNormal"/>
    <w:next w:val="TableGrid"/>
    <w:uiPriority w:val="59"/>
    <w:rsid w:val="0086242A"/>
    <w:rPr>
      <w:rFonts w:asciiTheme="minorHAnsi" w:eastAsiaTheme="minorEastAsia" w:hAnsiTheme="minorHAnsi" w:cstheme="minorBidi"/>
      <w:sz w:val="22"/>
      <w:szCs w:val="22"/>
      <w:lang w:eastAsia="zh-C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7">
    <w:name w:val="Table Grid7"/>
    <w:basedOn w:val="TableNormal"/>
    <w:next w:val="TableGrid"/>
    <w:uiPriority w:val="59"/>
    <w:rsid w:val="00C61464"/>
    <w:rPr>
      <w:rFonts w:asciiTheme="minorHAnsi" w:eastAsiaTheme="minorEastAsia" w:hAnsiTheme="minorHAnsi" w:cstheme="minorBidi"/>
      <w:sz w:val="22"/>
      <w:szCs w:val="22"/>
      <w:lang w:eastAsia="zh-C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8">
    <w:name w:val="Table Grid8"/>
    <w:basedOn w:val="TableNormal"/>
    <w:next w:val="TableGrid"/>
    <w:uiPriority w:val="59"/>
    <w:rsid w:val="00837111"/>
    <w:rPr>
      <w:rFonts w:asciiTheme="minorHAnsi" w:eastAsiaTheme="minorEastAsia" w:hAnsiTheme="minorHAnsi" w:cstheme="minorBidi"/>
      <w:sz w:val="22"/>
      <w:szCs w:val="22"/>
      <w:lang w:eastAsia="zh-C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9">
    <w:name w:val="Table Grid9"/>
    <w:basedOn w:val="TableNormal"/>
    <w:next w:val="TableGrid"/>
    <w:uiPriority w:val="59"/>
    <w:rsid w:val="00C976B7"/>
    <w:rPr>
      <w:rFonts w:asciiTheme="minorHAnsi" w:eastAsiaTheme="minorEastAsia" w:hAnsiTheme="minorHAnsi" w:cstheme="minorBidi"/>
      <w:sz w:val="22"/>
      <w:szCs w:val="22"/>
      <w:lang w:eastAsia="zh-C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00">
    <w:name w:val="Table Grid10"/>
    <w:basedOn w:val="TableNormal"/>
    <w:next w:val="TableGrid"/>
    <w:uiPriority w:val="59"/>
    <w:rsid w:val="00553017"/>
    <w:rPr>
      <w:rFonts w:asciiTheme="minorHAnsi" w:eastAsiaTheme="minorEastAsia" w:hAnsiTheme="minorHAnsi" w:cstheme="minorBidi"/>
      <w:sz w:val="22"/>
      <w:szCs w:val="22"/>
      <w:lang w:eastAsia="zh-C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
    <w:name w:val="Table Grid11"/>
    <w:basedOn w:val="TableNormal"/>
    <w:next w:val="TableGrid"/>
    <w:uiPriority w:val="59"/>
    <w:rsid w:val="00994FF7"/>
    <w:rPr>
      <w:rFonts w:asciiTheme="minorHAnsi" w:eastAsiaTheme="minorEastAsia" w:hAnsiTheme="minorHAnsi" w:cstheme="minorBidi"/>
      <w:sz w:val="22"/>
      <w:szCs w:val="22"/>
      <w:lang w:eastAsia="zh-C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next w:val="TableGrid"/>
    <w:uiPriority w:val="59"/>
    <w:rsid w:val="005E6E7B"/>
    <w:rPr>
      <w:rFonts w:asciiTheme="minorHAnsi" w:eastAsiaTheme="minorEastAsia" w:hAnsiTheme="minorHAnsi" w:cstheme="minorBidi"/>
      <w:sz w:val="22"/>
      <w:szCs w:val="22"/>
      <w:lang w:eastAsia="zh-C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PBACTableStyle21">
    <w:name w:val="PBAC Table Style21"/>
    <w:basedOn w:val="TableGrid10"/>
    <w:uiPriority w:val="99"/>
    <w:rsid w:val="0056230F"/>
    <w:pPr>
      <w:widowControl w:val="0"/>
      <w:spacing w:before="120"/>
      <w:contextualSpacing/>
      <w:jc w:val="center"/>
    </w:pPr>
    <w:rPr>
      <w:rFonts w:ascii="Arial Narrow" w:eastAsia="Calibri" w:hAnsi="Arial Narrow" w:cs="Arial"/>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wordWrap/>
        <w:spacing w:beforeLines="0" w:before="0" w:beforeAutospacing="0" w:afterLines="0" w:after="0" w:afterAutospacing="0" w:line="240" w:lineRule="auto"/>
        <w:ind w:leftChars="0" w:left="0" w:rightChars="0" w:right="57" w:firstLineChars="0" w:firstLine="0"/>
        <w:jc w:val="center"/>
      </w:pPr>
      <w:rPr>
        <w:rFonts w:ascii="Bahnschrift" w:hAnsi="Bahnschrift"/>
        <w:b/>
        <w:sz w:val="20"/>
      </w:rPr>
    </w:tblStylePr>
    <w:tblStylePr w:type="lastRow">
      <w:rPr>
        <w:i/>
        <w:iCs/>
      </w:rPr>
      <w:tblPr/>
      <w:tcPr>
        <w:tcBorders>
          <w:tl2br w:val="none" w:sz="0" w:space="0" w:color="auto"/>
          <w:tr2bl w:val="none" w:sz="0" w:space="0" w:color="auto"/>
        </w:tcBorders>
      </w:tcPr>
    </w:tblStylePr>
    <w:tblStylePr w:type="firstCol">
      <w:pPr>
        <w:wordWrap/>
        <w:spacing w:beforeLines="0" w:before="0" w:beforeAutospacing="0" w:afterLines="0" w:after="0" w:afterAutospacing="0" w:line="240" w:lineRule="auto"/>
        <w:ind w:leftChars="0" w:left="0" w:rightChars="0" w:right="0"/>
        <w:contextualSpacing/>
        <w:jc w:val="left"/>
      </w:pPr>
      <w:rPr>
        <w:rFonts w:ascii="Bahnschrift" w:hAnsi="Bahnschrift"/>
        <w:sz w:val="20"/>
      </w:rPr>
    </w:tblStylePr>
    <w:tblStylePr w:type="lastCol">
      <w:pPr>
        <w:wordWrap/>
        <w:spacing w:beforeLines="0" w:before="0" w:beforeAutospacing="0" w:afterLines="0" w:after="0" w:afterAutospacing="0" w:line="240" w:lineRule="auto"/>
        <w:ind w:leftChars="0" w:left="0" w:rightChars="0" w:right="0" w:firstLineChars="0" w:firstLine="0"/>
      </w:pPr>
      <w:rPr>
        <w:rFonts w:ascii="Bahnschrift" w:hAnsi="Bahnschrift"/>
        <w:i/>
        <w:i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one" w:sz="0" w:space="0" w:color="auto"/>
          <w:tr2bl w:val="none" w:sz="0" w:space="0" w:color="auto"/>
        </w:tcBorders>
      </w:tcPr>
    </w:tblStylePr>
  </w:style>
  <w:style w:type="paragraph" w:customStyle="1" w:styleId="TableText1">
    <w:name w:val="TableText"/>
    <w:basedOn w:val="Normal"/>
    <w:link w:val="TableTextChar1"/>
    <w:uiPriority w:val="3"/>
    <w:qFormat/>
    <w:rsid w:val="00EA35CA"/>
    <w:pPr>
      <w:spacing w:before="20" w:after="20"/>
      <w:jc w:val="left"/>
    </w:pPr>
    <w:rPr>
      <w:rFonts w:cs="Calibri"/>
      <w:bCs/>
      <w:sz w:val="20"/>
      <w:szCs w:val="20"/>
      <w:lang w:eastAsia="zh-CN"/>
    </w:rPr>
  </w:style>
  <w:style w:type="character" w:customStyle="1" w:styleId="TableTextChar1">
    <w:name w:val="TableText Char"/>
    <w:basedOn w:val="DefaultParagraphFont"/>
    <w:link w:val="TableText1"/>
    <w:uiPriority w:val="3"/>
    <w:rsid w:val="00EA35CA"/>
    <w:rPr>
      <w:rFonts w:ascii="Calibri" w:hAnsi="Calibri" w:cs="Calibri"/>
      <w:bCs/>
      <w:lang w:eastAsia="zh-CN"/>
    </w:rPr>
  </w:style>
  <w:style w:type="paragraph" w:customStyle="1" w:styleId="PBACESHeading1">
    <w:name w:val="PBAC ES Heading 1"/>
    <w:basedOn w:val="Heading1"/>
    <w:next w:val="ListParagraph"/>
    <w:uiPriority w:val="1"/>
    <w:qFormat/>
    <w:rsid w:val="00EA35CA"/>
    <w:pPr>
      <w:keepNext/>
      <w:keepLines/>
      <w:tabs>
        <w:tab w:val="left" w:pos="1077"/>
      </w:tabs>
      <w:spacing w:before="240" w:after="120"/>
      <w:jc w:val="left"/>
    </w:pPr>
    <w:rPr>
      <w:rFonts w:asciiTheme="minorHAnsi" w:hAnsiTheme="minorHAnsi"/>
      <w:caps w:val="0"/>
      <w:snapToGrid w:val="0"/>
      <w:szCs w:val="32"/>
      <w:lang w:eastAsia="en-US"/>
    </w:rPr>
  </w:style>
  <w:style w:type="paragraph" w:customStyle="1" w:styleId="PBACESHeading2">
    <w:name w:val="PBAC ES Heading 2"/>
    <w:basedOn w:val="Heading2"/>
    <w:uiPriority w:val="1"/>
    <w:qFormat/>
    <w:rsid w:val="00EA35CA"/>
    <w:pPr>
      <w:keepNext/>
      <w:keepLines/>
      <w:spacing w:before="360" w:after="120"/>
      <w:ind w:left="720" w:hanging="720"/>
      <w:jc w:val="left"/>
    </w:pPr>
    <w:rPr>
      <w:rFonts w:asciiTheme="majorHAnsi" w:eastAsiaTheme="majorEastAsia" w:hAnsiTheme="majorHAnsi" w:cstheme="majorBidi"/>
      <w:snapToGrid w:val="0"/>
      <w:color w:val="000000" w:themeColor="text1"/>
      <w:szCs w:val="28"/>
      <w:lang w:eastAsia="en-US"/>
    </w:rPr>
  </w:style>
  <w:style w:type="paragraph" w:customStyle="1" w:styleId="PBACESHeading3">
    <w:name w:val="PBAC ES Heading 3"/>
    <w:basedOn w:val="PBACESHeading2"/>
    <w:uiPriority w:val="1"/>
    <w:qFormat/>
    <w:rsid w:val="00EA35CA"/>
    <w:pPr>
      <w:ind w:left="1080" w:hanging="1080"/>
    </w:pPr>
    <w:rPr>
      <w:i w:val="0"/>
      <w:sz w:val="24"/>
    </w:rPr>
  </w:style>
  <w:style w:type="paragraph" w:customStyle="1" w:styleId="MSACHeading1">
    <w:name w:val="MSAC Heading 1"/>
    <w:basedOn w:val="Heading1"/>
    <w:next w:val="Normal"/>
    <w:uiPriority w:val="1"/>
    <w:qFormat/>
    <w:rsid w:val="00EA35CA"/>
    <w:pPr>
      <w:keepNext/>
      <w:keepLines/>
      <w:spacing w:before="160" w:after="240" w:line="259" w:lineRule="auto"/>
      <w:ind w:left="1288"/>
      <w:jc w:val="left"/>
    </w:pPr>
    <w:rPr>
      <w:rFonts w:ascii="Arial" w:eastAsiaTheme="majorEastAsia" w:hAnsi="Arial" w:cstheme="majorBidi"/>
      <w:caps w:val="0"/>
      <w:sz w:val="24"/>
      <w:szCs w:val="28"/>
      <w:lang w:eastAsia="en-US"/>
    </w:rPr>
  </w:style>
  <w:style w:type="paragraph" w:customStyle="1" w:styleId="MSACESHeading2">
    <w:name w:val="MSAC ES Heading 2"/>
    <w:basedOn w:val="Heading2"/>
    <w:next w:val="Normal"/>
    <w:uiPriority w:val="1"/>
    <w:qFormat/>
    <w:rsid w:val="00EA35CA"/>
    <w:pPr>
      <w:keepNext/>
      <w:keepLines/>
      <w:spacing w:before="360" w:after="120"/>
      <w:ind w:left="720" w:hanging="720"/>
      <w:jc w:val="left"/>
    </w:pPr>
    <w:rPr>
      <w:rFonts w:ascii="Cambria" w:eastAsiaTheme="majorEastAsia" w:hAnsi="Cambria" w:cstheme="majorBidi"/>
      <w:i w:val="0"/>
      <w:snapToGrid w:val="0"/>
      <w:color w:val="000000" w:themeColor="text1"/>
      <w:sz w:val="24"/>
      <w:szCs w:val="28"/>
      <w:lang w:eastAsia="en-US"/>
    </w:rPr>
  </w:style>
  <w:style w:type="paragraph" w:customStyle="1" w:styleId="InstructionalText">
    <w:name w:val="Instructional Text"/>
    <w:basedOn w:val="Normal"/>
    <w:link w:val="InstructionalTextChar"/>
    <w:uiPriority w:val="3"/>
    <w:rsid w:val="00EA35CA"/>
    <w:pPr>
      <w:spacing w:before="120" w:after="160"/>
    </w:pPr>
    <w:rPr>
      <w:rFonts w:asciiTheme="minorHAnsi" w:eastAsiaTheme="minorHAnsi" w:hAnsiTheme="minorHAnsi" w:cstheme="minorBidi"/>
      <w:color w:val="0070C0"/>
      <w:szCs w:val="22"/>
      <w:lang w:eastAsia="en-US"/>
    </w:rPr>
  </w:style>
  <w:style w:type="character" w:customStyle="1" w:styleId="InstructionalTextChar">
    <w:name w:val="Instructional Text Char"/>
    <w:basedOn w:val="DefaultParagraphFont"/>
    <w:link w:val="InstructionalText"/>
    <w:uiPriority w:val="3"/>
    <w:rsid w:val="00EA35CA"/>
    <w:rPr>
      <w:rFonts w:asciiTheme="minorHAnsi" w:eastAsiaTheme="minorHAnsi" w:hAnsiTheme="minorHAnsi" w:cstheme="minorBidi"/>
      <w:color w:val="0070C0"/>
      <w:sz w:val="24"/>
      <w:szCs w:val="22"/>
      <w:lang w:eastAsia="en-US"/>
    </w:rPr>
  </w:style>
  <w:style w:type="paragraph" w:customStyle="1" w:styleId="SourceNotes">
    <w:name w:val="SourceNotes"/>
    <w:basedOn w:val="Normal"/>
    <w:next w:val="Normal"/>
    <w:link w:val="SourceNotesChar"/>
    <w:uiPriority w:val="3"/>
    <w:qFormat/>
    <w:rsid w:val="00EA35CA"/>
    <w:pPr>
      <w:tabs>
        <w:tab w:val="left" w:pos="1100"/>
      </w:tabs>
      <w:ind w:left="1100" w:hanging="1100"/>
      <w:jc w:val="left"/>
    </w:pPr>
    <w:rPr>
      <w:rFonts w:eastAsiaTheme="minorEastAsia" w:cstheme="minorBidi"/>
      <w:sz w:val="18"/>
      <w:szCs w:val="18"/>
      <w:lang w:eastAsia="en-US"/>
    </w:rPr>
  </w:style>
  <w:style w:type="character" w:customStyle="1" w:styleId="SourceNotesChar">
    <w:name w:val="SourceNotes Char"/>
    <w:basedOn w:val="DefaultParagraphFont"/>
    <w:link w:val="SourceNotes"/>
    <w:uiPriority w:val="3"/>
    <w:rsid w:val="00EA35CA"/>
    <w:rPr>
      <w:rFonts w:ascii="Calibri" w:eastAsiaTheme="minorEastAsia" w:hAnsi="Calibri" w:cstheme="minorBidi"/>
      <w:sz w:val="18"/>
      <w:szCs w:val="18"/>
      <w:lang w:eastAsia="en-US"/>
    </w:rPr>
  </w:style>
  <w:style w:type="paragraph" w:customStyle="1" w:styleId="TableFigNoteLast">
    <w:name w:val="TableFigNote Last"/>
    <w:basedOn w:val="Normal"/>
    <w:qFormat/>
    <w:rsid w:val="00EA35CA"/>
    <w:pPr>
      <w:spacing w:after="360"/>
      <w:jc w:val="left"/>
    </w:pPr>
    <w:rPr>
      <w:rFonts w:asciiTheme="minorHAnsi" w:eastAsiaTheme="minorHAnsi" w:hAnsiTheme="minorHAnsi" w:cstheme="minorBidi"/>
      <w:sz w:val="18"/>
      <w:szCs w:val="22"/>
      <w:lang w:eastAsia="en-US"/>
    </w:rPr>
  </w:style>
  <w:style w:type="paragraph" w:customStyle="1" w:styleId="TableBullet">
    <w:name w:val="Table Bullet"/>
    <w:basedOn w:val="Normal"/>
    <w:qFormat/>
    <w:rsid w:val="00EA35CA"/>
    <w:pPr>
      <w:numPr>
        <w:numId w:val="12"/>
      </w:numPr>
      <w:spacing w:before="40" w:after="40"/>
      <w:ind w:left="357" w:hanging="357"/>
    </w:pPr>
    <w:rPr>
      <w:rFonts w:eastAsiaTheme="minorEastAsia" w:cstheme="minorHAnsi"/>
      <w:sz w:val="20"/>
      <w:szCs w:val="22"/>
      <w:lang w:eastAsia="zh-CN"/>
    </w:rPr>
  </w:style>
  <w:style w:type="paragraph" w:customStyle="1" w:styleId="PortraitFooter">
    <w:name w:val="Portrait Footer"/>
    <w:basedOn w:val="Normal"/>
    <w:link w:val="PortraitFooterChar"/>
    <w:uiPriority w:val="5"/>
    <w:qFormat/>
    <w:rsid w:val="00EA35CA"/>
    <w:pPr>
      <w:tabs>
        <w:tab w:val="center" w:pos="5103"/>
        <w:tab w:val="right" w:pos="9637"/>
      </w:tabs>
    </w:pPr>
    <w:rPr>
      <w:rFonts w:eastAsiaTheme="minorEastAsia" w:cstheme="minorBidi"/>
      <w:sz w:val="18"/>
      <w:szCs w:val="18"/>
      <w:lang w:eastAsia="zh-CN"/>
    </w:rPr>
  </w:style>
  <w:style w:type="character" w:customStyle="1" w:styleId="PortraitFooterChar">
    <w:name w:val="Portrait Footer Char"/>
    <w:basedOn w:val="DefaultParagraphFont"/>
    <w:link w:val="PortraitFooter"/>
    <w:uiPriority w:val="5"/>
    <w:rsid w:val="00EA35CA"/>
    <w:rPr>
      <w:rFonts w:ascii="Calibri" w:eastAsiaTheme="minorEastAsia" w:hAnsi="Calibri" w:cstheme="minorBidi"/>
      <w:sz w:val="18"/>
      <w:szCs w:val="18"/>
      <w:lang w:eastAsia="zh-CN"/>
    </w:rPr>
  </w:style>
  <w:style w:type="paragraph" w:customStyle="1" w:styleId="PortraitHeader">
    <w:name w:val="Portrait Header"/>
    <w:basedOn w:val="Normal"/>
    <w:link w:val="PortraitHeaderChar"/>
    <w:uiPriority w:val="5"/>
    <w:rsid w:val="00EA35CA"/>
    <w:pPr>
      <w:pBdr>
        <w:bottom w:val="single" w:sz="4" w:space="1" w:color="auto"/>
      </w:pBdr>
      <w:tabs>
        <w:tab w:val="right" w:pos="9921"/>
      </w:tabs>
    </w:pPr>
    <w:rPr>
      <w:rFonts w:eastAsiaTheme="minorEastAsia" w:cstheme="minorBidi"/>
      <w:sz w:val="18"/>
      <w:szCs w:val="18"/>
      <w:lang w:eastAsia="zh-CN"/>
    </w:rPr>
  </w:style>
  <w:style w:type="character" w:customStyle="1" w:styleId="PortraitHeaderChar">
    <w:name w:val="Portrait Header Char"/>
    <w:basedOn w:val="DefaultParagraphFont"/>
    <w:link w:val="PortraitHeader"/>
    <w:uiPriority w:val="5"/>
    <w:rsid w:val="00EA35CA"/>
    <w:rPr>
      <w:rFonts w:ascii="Calibri" w:eastAsiaTheme="minorEastAsia" w:hAnsi="Calibri" w:cstheme="minorBidi"/>
      <w:sz w:val="18"/>
      <w:szCs w:val="18"/>
      <w:lang w:eastAsia="zh-CN"/>
    </w:rPr>
  </w:style>
  <w:style w:type="paragraph" w:customStyle="1" w:styleId="TableNotes">
    <w:name w:val="TableNotes"/>
    <w:basedOn w:val="Normal"/>
    <w:next w:val="Normal"/>
    <w:link w:val="TableNotesChar"/>
    <w:uiPriority w:val="3"/>
    <w:rsid w:val="00EA35CA"/>
    <w:pPr>
      <w:tabs>
        <w:tab w:val="left" w:pos="1134"/>
      </w:tabs>
      <w:ind w:left="1134" w:hanging="1134"/>
    </w:pPr>
    <w:rPr>
      <w:rFonts w:eastAsiaTheme="minorEastAsia" w:cstheme="minorBidi"/>
      <w:sz w:val="18"/>
      <w:szCs w:val="18"/>
      <w:lang w:eastAsia="zh-CN"/>
    </w:rPr>
  </w:style>
  <w:style w:type="character" w:customStyle="1" w:styleId="TableNotesChar">
    <w:name w:val="TableNotes Char"/>
    <w:basedOn w:val="DefaultParagraphFont"/>
    <w:link w:val="TableNotes"/>
    <w:uiPriority w:val="3"/>
    <w:rsid w:val="00EA35CA"/>
    <w:rPr>
      <w:rFonts w:ascii="Calibri" w:eastAsiaTheme="minorEastAsia" w:hAnsi="Calibri" w:cstheme="minorBidi"/>
      <w:sz w:val="18"/>
      <w:szCs w:val="18"/>
      <w:lang w:eastAsia="zh-CN"/>
    </w:rPr>
  </w:style>
  <w:style w:type="paragraph" w:customStyle="1" w:styleId="EndNoteBibliography">
    <w:name w:val="EndNote Bibliography"/>
    <w:basedOn w:val="Normal"/>
    <w:link w:val="EndNoteBibliographyChar"/>
    <w:rsid w:val="00EA35CA"/>
    <w:pPr>
      <w:spacing w:after="200"/>
    </w:pPr>
    <w:rPr>
      <w:rFonts w:eastAsiaTheme="minorEastAsia" w:cs="Calibri"/>
      <w:noProof/>
      <w:szCs w:val="22"/>
      <w:lang w:eastAsia="zh-CN"/>
    </w:rPr>
  </w:style>
  <w:style w:type="character" w:customStyle="1" w:styleId="EndNoteBibliographyChar">
    <w:name w:val="EndNote Bibliography Char"/>
    <w:basedOn w:val="DefaultParagraphFont"/>
    <w:link w:val="EndNoteBibliography"/>
    <w:rsid w:val="00EA35CA"/>
    <w:rPr>
      <w:rFonts w:ascii="Calibri" w:eastAsiaTheme="minorEastAsia" w:hAnsi="Calibri" w:cs="Calibri"/>
      <w:noProof/>
      <w:sz w:val="24"/>
      <w:szCs w:val="22"/>
      <w:lang w:eastAsia="zh-CN"/>
    </w:rPr>
  </w:style>
  <w:style w:type="paragraph" w:customStyle="1" w:styleId="TableHeadingRow">
    <w:name w:val="TableHeadingRow"/>
    <w:basedOn w:val="Normal"/>
    <w:uiPriority w:val="3"/>
    <w:qFormat/>
    <w:rsid w:val="00EA35CA"/>
    <w:pPr>
      <w:keepNext/>
      <w:spacing w:before="20" w:after="20"/>
      <w:jc w:val="left"/>
    </w:pPr>
    <w:rPr>
      <w:rFonts w:cstheme="minorHAnsi"/>
      <w:b/>
      <w:sz w:val="20"/>
      <w:szCs w:val="20"/>
      <w:lang w:eastAsia="en-US"/>
    </w:rPr>
  </w:style>
  <w:style w:type="table" w:customStyle="1" w:styleId="ASDTable1">
    <w:name w:val="ASD Table1"/>
    <w:basedOn w:val="TableNormal"/>
    <w:next w:val="TableGrid"/>
    <w:uiPriority w:val="39"/>
    <w:rsid w:val="00EA35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385CDF"/>
    <w:pPr>
      <w:jc w:val="center"/>
    </w:pPr>
    <w:rPr>
      <w:rFonts w:cs="Calibri"/>
      <w:noProof/>
    </w:rPr>
  </w:style>
  <w:style w:type="character" w:customStyle="1" w:styleId="EndNoteBibliographyTitleChar">
    <w:name w:val="EndNote Bibliography Title Char"/>
    <w:basedOn w:val="DefaultParagraphFont"/>
    <w:link w:val="EndNoteBibliographyTitle"/>
    <w:rsid w:val="00385CDF"/>
    <w:rPr>
      <w:rFonts w:ascii="Calibri" w:hAnsi="Calibri" w:cs="Calibri"/>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396080">
      <w:bodyDiv w:val="1"/>
      <w:marLeft w:val="0"/>
      <w:marRight w:val="0"/>
      <w:marTop w:val="0"/>
      <w:marBottom w:val="0"/>
      <w:divBdr>
        <w:top w:val="none" w:sz="0" w:space="0" w:color="auto"/>
        <w:left w:val="none" w:sz="0" w:space="0" w:color="auto"/>
        <w:bottom w:val="none" w:sz="0" w:space="0" w:color="auto"/>
        <w:right w:val="none" w:sz="0" w:space="0" w:color="auto"/>
      </w:divBdr>
      <w:divsChild>
        <w:div w:id="1419129996">
          <w:marLeft w:val="446"/>
          <w:marRight w:val="0"/>
          <w:marTop w:val="0"/>
          <w:marBottom w:val="0"/>
          <w:divBdr>
            <w:top w:val="none" w:sz="0" w:space="0" w:color="auto"/>
            <w:left w:val="none" w:sz="0" w:space="0" w:color="auto"/>
            <w:bottom w:val="none" w:sz="0" w:space="0" w:color="auto"/>
            <w:right w:val="none" w:sz="0" w:space="0" w:color="auto"/>
          </w:divBdr>
        </w:div>
      </w:divsChild>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135807177">
      <w:bodyDiv w:val="1"/>
      <w:marLeft w:val="0"/>
      <w:marRight w:val="0"/>
      <w:marTop w:val="0"/>
      <w:marBottom w:val="0"/>
      <w:divBdr>
        <w:top w:val="none" w:sz="0" w:space="0" w:color="auto"/>
        <w:left w:val="none" w:sz="0" w:space="0" w:color="auto"/>
        <w:bottom w:val="none" w:sz="0" w:space="0" w:color="auto"/>
        <w:right w:val="none" w:sz="0" w:space="0" w:color="auto"/>
      </w:divBdr>
      <w:divsChild>
        <w:div w:id="2099209847">
          <w:marLeft w:val="446"/>
          <w:marRight w:val="0"/>
          <w:marTop w:val="0"/>
          <w:marBottom w:val="0"/>
          <w:divBdr>
            <w:top w:val="none" w:sz="0" w:space="0" w:color="auto"/>
            <w:left w:val="none" w:sz="0" w:space="0" w:color="auto"/>
            <w:bottom w:val="none" w:sz="0" w:space="0" w:color="auto"/>
            <w:right w:val="none" w:sz="0" w:space="0" w:color="auto"/>
          </w:divBdr>
        </w:div>
      </w:divsChild>
    </w:div>
    <w:div w:id="167064591">
      <w:bodyDiv w:val="1"/>
      <w:marLeft w:val="0"/>
      <w:marRight w:val="0"/>
      <w:marTop w:val="0"/>
      <w:marBottom w:val="0"/>
      <w:divBdr>
        <w:top w:val="none" w:sz="0" w:space="0" w:color="auto"/>
        <w:left w:val="none" w:sz="0" w:space="0" w:color="auto"/>
        <w:bottom w:val="none" w:sz="0" w:space="0" w:color="auto"/>
        <w:right w:val="none" w:sz="0" w:space="0" w:color="auto"/>
      </w:divBdr>
      <w:divsChild>
        <w:div w:id="993526541">
          <w:marLeft w:val="446"/>
          <w:marRight w:val="0"/>
          <w:marTop w:val="0"/>
          <w:marBottom w:val="0"/>
          <w:divBdr>
            <w:top w:val="none" w:sz="0" w:space="0" w:color="auto"/>
            <w:left w:val="none" w:sz="0" w:space="0" w:color="auto"/>
            <w:bottom w:val="none" w:sz="0" w:space="0" w:color="auto"/>
            <w:right w:val="none" w:sz="0" w:space="0" w:color="auto"/>
          </w:divBdr>
        </w:div>
      </w:divsChild>
    </w:div>
    <w:div w:id="210263495">
      <w:bodyDiv w:val="1"/>
      <w:marLeft w:val="0"/>
      <w:marRight w:val="0"/>
      <w:marTop w:val="0"/>
      <w:marBottom w:val="0"/>
      <w:divBdr>
        <w:top w:val="none" w:sz="0" w:space="0" w:color="auto"/>
        <w:left w:val="none" w:sz="0" w:space="0" w:color="auto"/>
        <w:bottom w:val="none" w:sz="0" w:space="0" w:color="auto"/>
        <w:right w:val="none" w:sz="0" w:space="0" w:color="auto"/>
      </w:divBdr>
    </w:div>
    <w:div w:id="234703455">
      <w:bodyDiv w:val="1"/>
      <w:marLeft w:val="0"/>
      <w:marRight w:val="0"/>
      <w:marTop w:val="0"/>
      <w:marBottom w:val="0"/>
      <w:divBdr>
        <w:top w:val="none" w:sz="0" w:space="0" w:color="auto"/>
        <w:left w:val="none" w:sz="0" w:space="0" w:color="auto"/>
        <w:bottom w:val="none" w:sz="0" w:space="0" w:color="auto"/>
        <w:right w:val="none" w:sz="0" w:space="0" w:color="auto"/>
      </w:divBdr>
    </w:div>
    <w:div w:id="242835515">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339041315">
      <w:bodyDiv w:val="1"/>
      <w:marLeft w:val="0"/>
      <w:marRight w:val="0"/>
      <w:marTop w:val="0"/>
      <w:marBottom w:val="0"/>
      <w:divBdr>
        <w:top w:val="none" w:sz="0" w:space="0" w:color="auto"/>
        <w:left w:val="none" w:sz="0" w:space="0" w:color="auto"/>
        <w:bottom w:val="none" w:sz="0" w:space="0" w:color="auto"/>
        <w:right w:val="none" w:sz="0" w:space="0" w:color="auto"/>
      </w:divBdr>
    </w:div>
    <w:div w:id="403070094">
      <w:bodyDiv w:val="1"/>
      <w:marLeft w:val="0"/>
      <w:marRight w:val="0"/>
      <w:marTop w:val="0"/>
      <w:marBottom w:val="0"/>
      <w:divBdr>
        <w:top w:val="none" w:sz="0" w:space="0" w:color="auto"/>
        <w:left w:val="none" w:sz="0" w:space="0" w:color="auto"/>
        <w:bottom w:val="none" w:sz="0" w:space="0" w:color="auto"/>
        <w:right w:val="none" w:sz="0" w:space="0" w:color="auto"/>
      </w:divBdr>
      <w:divsChild>
        <w:div w:id="55247452">
          <w:marLeft w:val="274"/>
          <w:marRight w:val="0"/>
          <w:marTop w:val="120"/>
          <w:marBottom w:val="120"/>
          <w:divBdr>
            <w:top w:val="none" w:sz="0" w:space="0" w:color="auto"/>
            <w:left w:val="none" w:sz="0" w:space="0" w:color="auto"/>
            <w:bottom w:val="none" w:sz="0" w:space="0" w:color="auto"/>
            <w:right w:val="none" w:sz="0" w:space="0" w:color="auto"/>
          </w:divBdr>
        </w:div>
      </w:divsChild>
    </w:div>
    <w:div w:id="521477672">
      <w:bodyDiv w:val="1"/>
      <w:marLeft w:val="0"/>
      <w:marRight w:val="0"/>
      <w:marTop w:val="0"/>
      <w:marBottom w:val="0"/>
      <w:divBdr>
        <w:top w:val="none" w:sz="0" w:space="0" w:color="auto"/>
        <w:left w:val="none" w:sz="0" w:space="0" w:color="auto"/>
        <w:bottom w:val="none" w:sz="0" w:space="0" w:color="auto"/>
        <w:right w:val="none" w:sz="0" w:space="0" w:color="auto"/>
      </w:divBdr>
      <w:divsChild>
        <w:div w:id="1697342719">
          <w:marLeft w:val="360"/>
          <w:marRight w:val="0"/>
          <w:marTop w:val="180"/>
          <w:marBottom w:val="0"/>
          <w:divBdr>
            <w:top w:val="none" w:sz="0" w:space="0" w:color="auto"/>
            <w:left w:val="none" w:sz="0" w:space="0" w:color="auto"/>
            <w:bottom w:val="none" w:sz="0" w:space="0" w:color="auto"/>
            <w:right w:val="none" w:sz="0" w:space="0" w:color="auto"/>
          </w:divBdr>
        </w:div>
      </w:divsChild>
    </w:div>
    <w:div w:id="573663822">
      <w:bodyDiv w:val="1"/>
      <w:marLeft w:val="0"/>
      <w:marRight w:val="0"/>
      <w:marTop w:val="0"/>
      <w:marBottom w:val="0"/>
      <w:divBdr>
        <w:top w:val="none" w:sz="0" w:space="0" w:color="auto"/>
        <w:left w:val="none" w:sz="0" w:space="0" w:color="auto"/>
        <w:bottom w:val="none" w:sz="0" w:space="0" w:color="auto"/>
        <w:right w:val="none" w:sz="0" w:space="0" w:color="auto"/>
      </w:divBdr>
    </w:div>
    <w:div w:id="632105593">
      <w:bodyDiv w:val="1"/>
      <w:marLeft w:val="0"/>
      <w:marRight w:val="0"/>
      <w:marTop w:val="0"/>
      <w:marBottom w:val="0"/>
      <w:divBdr>
        <w:top w:val="none" w:sz="0" w:space="0" w:color="auto"/>
        <w:left w:val="none" w:sz="0" w:space="0" w:color="auto"/>
        <w:bottom w:val="none" w:sz="0" w:space="0" w:color="auto"/>
        <w:right w:val="none" w:sz="0" w:space="0" w:color="auto"/>
      </w:divBdr>
    </w:div>
    <w:div w:id="640618288">
      <w:bodyDiv w:val="1"/>
      <w:marLeft w:val="0"/>
      <w:marRight w:val="0"/>
      <w:marTop w:val="0"/>
      <w:marBottom w:val="0"/>
      <w:divBdr>
        <w:top w:val="none" w:sz="0" w:space="0" w:color="auto"/>
        <w:left w:val="none" w:sz="0" w:space="0" w:color="auto"/>
        <w:bottom w:val="none" w:sz="0" w:space="0" w:color="auto"/>
        <w:right w:val="none" w:sz="0" w:space="0" w:color="auto"/>
      </w:divBdr>
    </w:div>
    <w:div w:id="665549109">
      <w:bodyDiv w:val="1"/>
      <w:marLeft w:val="0"/>
      <w:marRight w:val="0"/>
      <w:marTop w:val="0"/>
      <w:marBottom w:val="0"/>
      <w:divBdr>
        <w:top w:val="none" w:sz="0" w:space="0" w:color="auto"/>
        <w:left w:val="none" w:sz="0" w:space="0" w:color="auto"/>
        <w:bottom w:val="none" w:sz="0" w:space="0" w:color="auto"/>
        <w:right w:val="none" w:sz="0" w:space="0" w:color="auto"/>
      </w:divBdr>
      <w:divsChild>
        <w:div w:id="1611625194">
          <w:marLeft w:val="446"/>
          <w:marRight w:val="0"/>
          <w:marTop w:val="0"/>
          <w:marBottom w:val="0"/>
          <w:divBdr>
            <w:top w:val="none" w:sz="0" w:space="0" w:color="auto"/>
            <w:left w:val="none" w:sz="0" w:space="0" w:color="auto"/>
            <w:bottom w:val="none" w:sz="0" w:space="0" w:color="auto"/>
            <w:right w:val="none" w:sz="0" w:space="0" w:color="auto"/>
          </w:divBdr>
        </w:div>
      </w:divsChild>
    </w:div>
    <w:div w:id="801576635">
      <w:bodyDiv w:val="1"/>
      <w:marLeft w:val="0"/>
      <w:marRight w:val="0"/>
      <w:marTop w:val="0"/>
      <w:marBottom w:val="0"/>
      <w:divBdr>
        <w:top w:val="none" w:sz="0" w:space="0" w:color="auto"/>
        <w:left w:val="none" w:sz="0" w:space="0" w:color="auto"/>
        <w:bottom w:val="none" w:sz="0" w:space="0" w:color="auto"/>
        <w:right w:val="none" w:sz="0" w:space="0" w:color="auto"/>
      </w:divBdr>
      <w:divsChild>
        <w:div w:id="1357194407">
          <w:marLeft w:val="446"/>
          <w:marRight w:val="0"/>
          <w:marTop w:val="0"/>
          <w:marBottom w:val="0"/>
          <w:divBdr>
            <w:top w:val="none" w:sz="0" w:space="0" w:color="auto"/>
            <w:left w:val="none" w:sz="0" w:space="0" w:color="auto"/>
            <w:bottom w:val="none" w:sz="0" w:space="0" w:color="auto"/>
            <w:right w:val="none" w:sz="0" w:space="0" w:color="auto"/>
          </w:divBdr>
        </w:div>
      </w:divsChild>
    </w:div>
    <w:div w:id="889531551">
      <w:bodyDiv w:val="1"/>
      <w:marLeft w:val="0"/>
      <w:marRight w:val="0"/>
      <w:marTop w:val="0"/>
      <w:marBottom w:val="0"/>
      <w:divBdr>
        <w:top w:val="none" w:sz="0" w:space="0" w:color="auto"/>
        <w:left w:val="none" w:sz="0" w:space="0" w:color="auto"/>
        <w:bottom w:val="none" w:sz="0" w:space="0" w:color="auto"/>
        <w:right w:val="none" w:sz="0" w:space="0" w:color="auto"/>
      </w:divBdr>
    </w:div>
    <w:div w:id="990476171">
      <w:bodyDiv w:val="1"/>
      <w:marLeft w:val="0"/>
      <w:marRight w:val="0"/>
      <w:marTop w:val="0"/>
      <w:marBottom w:val="0"/>
      <w:divBdr>
        <w:top w:val="none" w:sz="0" w:space="0" w:color="auto"/>
        <w:left w:val="none" w:sz="0" w:space="0" w:color="auto"/>
        <w:bottom w:val="none" w:sz="0" w:space="0" w:color="auto"/>
        <w:right w:val="none" w:sz="0" w:space="0" w:color="auto"/>
      </w:divBdr>
      <w:divsChild>
        <w:div w:id="758478074">
          <w:marLeft w:val="562"/>
          <w:marRight w:val="0"/>
          <w:marTop w:val="0"/>
          <w:marBottom w:val="120"/>
          <w:divBdr>
            <w:top w:val="none" w:sz="0" w:space="0" w:color="auto"/>
            <w:left w:val="none" w:sz="0" w:space="0" w:color="auto"/>
            <w:bottom w:val="none" w:sz="0" w:space="0" w:color="auto"/>
            <w:right w:val="none" w:sz="0" w:space="0" w:color="auto"/>
          </w:divBdr>
        </w:div>
      </w:divsChild>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248413">
      <w:bodyDiv w:val="1"/>
      <w:marLeft w:val="0"/>
      <w:marRight w:val="0"/>
      <w:marTop w:val="0"/>
      <w:marBottom w:val="0"/>
      <w:divBdr>
        <w:top w:val="none" w:sz="0" w:space="0" w:color="auto"/>
        <w:left w:val="none" w:sz="0" w:space="0" w:color="auto"/>
        <w:bottom w:val="none" w:sz="0" w:space="0" w:color="auto"/>
        <w:right w:val="none" w:sz="0" w:space="0" w:color="auto"/>
      </w:divBdr>
    </w:div>
    <w:div w:id="1440494194">
      <w:bodyDiv w:val="1"/>
      <w:marLeft w:val="0"/>
      <w:marRight w:val="0"/>
      <w:marTop w:val="0"/>
      <w:marBottom w:val="0"/>
      <w:divBdr>
        <w:top w:val="none" w:sz="0" w:space="0" w:color="auto"/>
        <w:left w:val="none" w:sz="0" w:space="0" w:color="auto"/>
        <w:bottom w:val="none" w:sz="0" w:space="0" w:color="auto"/>
        <w:right w:val="none" w:sz="0" w:space="0" w:color="auto"/>
      </w:divBdr>
    </w:div>
    <w:div w:id="1485849393">
      <w:bodyDiv w:val="1"/>
      <w:marLeft w:val="0"/>
      <w:marRight w:val="0"/>
      <w:marTop w:val="0"/>
      <w:marBottom w:val="0"/>
      <w:divBdr>
        <w:top w:val="none" w:sz="0" w:space="0" w:color="auto"/>
        <w:left w:val="none" w:sz="0" w:space="0" w:color="auto"/>
        <w:bottom w:val="none" w:sz="0" w:space="0" w:color="auto"/>
        <w:right w:val="none" w:sz="0" w:space="0" w:color="auto"/>
      </w:divBdr>
      <w:divsChild>
        <w:div w:id="2061248750">
          <w:marLeft w:val="1080"/>
          <w:marRight w:val="0"/>
          <w:marTop w:val="100"/>
          <w:marBottom w:val="0"/>
          <w:divBdr>
            <w:top w:val="none" w:sz="0" w:space="0" w:color="auto"/>
            <w:left w:val="none" w:sz="0" w:space="0" w:color="auto"/>
            <w:bottom w:val="none" w:sz="0" w:space="0" w:color="auto"/>
            <w:right w:val="none" w:sz="0" w:space="0" w:color="auto"/>
          </w:divBdr>
        </w:div>
      </w:divsChild>
    </w:div>
    <w:div w:id="1693604448">
      <w:bodyDiv w:val="1"/>
      <w:marLeft w:val="0"/>
      <w:marRight w:val="0"/>
      <w:marTop w:val="0"/>
      <w:marBottom w:val="0"/>
      <w:divBdr>
        <w:top w:val="none" w:sz="0" w:space="0" w:color="auto"/>
        <w:left w:val="none" w:sz="0" w:space="0" w:color="auto"/>
        <w:bottom w:val="none" w:sz="0" w:space="0" w:color="auto"/>
        <w:right w:val="none" w:sz="0" w:space="0" w:color="auto"/>
      </w:divBdr>
      <w:divsChild>
        <w:div w:id="746222599">
          <w:marLeft w:val="360"/>
          <w:marRight w:val="0"/>
          <w:marTop w:val="180"/>
          <w:marBottom w:val="0"/>
          <w:divBdr>
            <w:top w:val="none" w:sz="0" w:space="0" w:color="auto"/>
            <w:left w:val="none" w:sz="0" w:space="0" w:color="auto"/>
            <w:bottom w:val="none" w:sz="0" w:space="0" w:color="auto"/>
            <w:right w:val="none" w:sz="0" w:space="0" w:color="auto"/>
          </w:divBdr>
        </w:div>
        <w:div w:id="1352605037">
          <w:marLeft w:val="360"/>
          <w:marRight w:val="0"/>
          <w:marTop w:val="180"/>
          <w:marBottom w:val="0"/>
          <w:divBdr>
            <w:top w:val="none" w:sz="0" w:space="0" w:color="auto"/>
            <w:left w:val="none" w:sz="0" w:space="0" w:color="auto"/>
            <w:bottom w:val="none" w:sz="0" w:space="0" w:color="auto"/>
            <w:right w:val="none" w:sz="0" w:space="0" w:color="auto"/>
          </w:divBdr>
        </w:div>
        <w:div w:id="471290925">
          <w:marLeft w:val="360"/>
          <w:marRight w:val="0"/>
          <w:marTop w:val="180"/>
          <w:marBottom w:val="0"/>
          <w:divBdr>
            <w:top w:val="none" w:sz="0" w:space="0" w:color="auto"/>
            <w:left w:val="none" w:sz="0" w:space="0" w:color="auto"/>
            <w:bottom w:val="none" w:sz="0" w:space="0" w:color="auto"/>
            <w:right w:val="none" w:sz="0" w:space="0" w:color="auto"/>
          </w:divBdr>
        </w:div>
      </w:divsChild>
    </w:div>
    <w:div w:id="1747725276">
      <w:bodyDiv w:val="1"/>
      <w:marLeft w:val="0"/>
      <w:marRight w:val="0"/>
      <w:marTop w:val="0"/>
      <w:marBottom w:val="0"/>
      <w:divBdr>
        <w:top w:val="none" w:sz="0" w:space="0" w:color="auto"/>
        <w:left w:val="none" w:sz="0" w:space="0" w:color="auto"/>
        <w:bottom w:val="none" w:sz="0" w:space="0" w:color="auto"/>
        <w:right w:val="none" w:sz="0" w:space="0" w:color="auto"/>
      </w:divBdr>
      <w:divsChild>
        <w:div w:id="1740786202">
          <w:marLeft w:val="446"/>
          <w:marRight w:val="0"/>
          <w:marTop w:val="0"/>
          <w:marBottom w:val="0"/>
          <w:divBdr>
            <w:top w:val="none" w:sz="0" w:space="0" w:color="auto"/>
            <w:left w:val="none" w:sz="0" w:space="0" w:color="auto"/>
            <w:bottom w:val="none" w:sz="0" w:space="0" w:color="auto"/>
            <w:right w:val="none" w:sz="0" w:space="0" w:color="auto"/>
          </w:divBdr>
        </w:div>
        <w:div w:id="941185106">
          <w:marLeft w:val="446"/>
          <w:marRight w:val="0"/>
          <w:marTop w:val="0"/>
          <w:marBottom w:val="0"/>
          <w:divBdr>
            <w:top w:val="none" w:sz="0" w:space="0" w:color="auto"/>
            <w:left w:val="none" w:sz="0" w:space="0" w:color="auto"/>
            <w:bottom w:val="none" w:sz="0" w:space="0" w:color="auto"/>
            <w:right w:val="none" w:sz="0" w:space="0" w:color="auto"/>
          </w:divBdr>
        </w:div>
      </w:divsChild>
    </w:div>
    <w:div w:id="1804883679">
      <w:bodyDiv w:val="1"/>
      <w:marLeft w:val="0"/>
      <w:marRight w:val="0"/>
      <w:marTop w:val="0"/>
      <w:marBottom w:val="0"/>
      <w:divBdr>
        <w:top w:val="none" w:sz="0" w:space="0" w:color="auto"/>
        <w:left w:val="none" w:sz="0" w:space="0" w:color="auto"/>
        <w:bottom w:val="none" w:sz="0" w:space="0" w:color="auto"/>
        <w:right w:val="none" w:sz="0" w:space="0" w:color="auto"/>
      </w:divBdr>
      <w:divsChild>
        <w:div w:id="797453781">
          <w:marLeft w:val="1080"/>
          <w:marRight w:val="0"/>
          <w:marTop w:val="100"/>
          <w:marBottom w:val="0"/>
          <w:divBdr>
            <w:top w:val="none" w:sz="0" w:space="0" w:color="auto"/>
            <w:left w:val="none" w:sz="0" w:space="0" w:color="auto"/>
            <w:bottom w:val="none" w:sz="0" w:space="0" w:color="auto"/>
            <w:right w:val="none" w:sz="0" w:space="0" w:color="auto"/>
          </w:divBdr>
        </w:div>
      </w:divsChild>
    </w:div>
    <w:div w:id="1910964301">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2068604674">
      <w:bodyDiv w:val="1"/>
      <w:marLeft w:val="0"/>
      <w:marRight w:val="0"/>
      <w:marTop w:val="0"/>
      <w:marBottom w:val="0"/>
      <w:divBdr>
        <w:top w:val="none" w:sz="0" w:space="0" w:color="auto"/>
        <w:left w:val="none" w:sz="0" w:space="0" w:color="auto"/>
        <w:bottom w:val="none" w:sz="0" w:space="0" w:color="auto"/>
        <w:right w:val="none" w:sz="0" w:space="0" w:color="auto"/>
      </w:divBdr>
      <w:divsChild>
        <w:div w:id="84807131">
          <w:marLeft w:val="547"/>
          <w:marRight w:val="0"/>
          <w:marTop w:val="120"/>
          <w:marBottom w:val="240"/>
          <w:divBdr>
            <w:top w:val="none" w:sz="0" w:space="0" w:color="auto"/>
            <w:left w:val="none" w:sz="0" w:space="0" w:color="auto"/>
            <w:bottom w:val="none" w:sz="0" w:space="0" w:color="auto"/>
            <w:right w:val="none" w:sz="0" w:space="0" w:color="auto"/>
          </w:divBdr>
        </w:div>
        <w:div w:id="1435399764">
          <w:marLeft w:val="547"/>
          <w:marRight w:val="0"/>
          <w:marTop w:val="200"/>
          <w:marBottom w:val="240"/>
          <w:divBdr>
            <w:top w:val="none" w:sz="0" w:space="0" w:color="auto"/>
            <w:left w:val="none" w:sz="0" w:space="0" w:color="auto"/>
            <w:bottom w:val="none" w:sz="0" w:space="0" w:color="auto"/>
            <w:right w:val="none" w:sz="0" w:space="0" w:color="auto"/>
          </w:divBdr>
        </w:div>
        <w:div w:id="1809012498">
          <w:marLeft w:val="547"/>
          <w:marRight w:val="0"/>
          <w:marTop w:val="200"/>
          <w:marBottom w:val="240"/>
          <w:divBdr>
            <w:top w:val="none" w:sz="0" w:space="0" w:color="auto"/>
            <w:left w:val="none" w:sz="0" w:space="0" w:color="auto"/>
            <w:bottom w:val="none" w:sz="0" w:space="0" w:color="auto"/>
            <w:right w:val="none" w:sz="0" w:space="0" w:color="auto"/>
          </w:divBdr>
        </w:div>
      </w:divsChild>
    </w:div>
    <w:div w:id="2120098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23" Type="http://schemas.microsoft.com/office/2016/09/relationships/commentsIds" Target="commentsIds.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1" Type="http://schemas.openxmlformats.org/officeDocument/2006/relationships/hyperlink" Target="https://www.ago-online.de/fileadmin/ago-online/downloads/_leitlinien/kommission_mamma/2020/Updated_Guidelines_202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CE42B2-3251-4117-A2FE-AEC94B328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16624</Words>
  <Characters>94383</Characters>
  <Application>Microsoft Office Word</Application>
  <DocSecurity>0</DocSecurity>
  <Lines>786</Lines>
  <Paragraphs>221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2021-07-01T00:28:00Z</dcterms:created>
  <dcterms:modified xsi:type="dcterms:W3CDTF">2021-07-01T00:31:00Z</dcterms:modified>
</cp:coreProperties>
</file>