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57A" w:rsidRPr="00D25438" w:rsidRDefault="007065C0" w:rsidP="0002657A">
      <w:pPr>
        <w:pStyle w:val="1MainTitle"/>
        <w:jc w:val="left"/>
        <w:outlineLvl w:val="9"/>
        <w:rPr>
          <w:rFonts w:eastAsia="Calibri"/>
          <w:lang w:eastAsia="en-US"/>
        </w:rPr>
      </w:pPr>
      <w:r w:rsidRPr="00D25438">
        <w:rPr>
          <w:rFonts w:eastAsia="Calibri"/>
          <w:lang w:eastAsia="en-US"/>
        </w:rPr>
        <w:t>3.01</w:t>
      </w:r>
      <w:r w:rsidR="00F11518" w:rsidRPr="00D25438">
        <w:t xml:space="preserve"> </w:t>
      </w:r>
      <w:r w:rsidR="0002657A" w:rsidRPr="00D25438">
        <w:rPr>
          <w:rFonts w:eastAsia="Calibri"/>
          <w:lang w:eastAsia="en-US"/>
        </w:rPr>
        <w:t>ABIRATERONE ACETATE,</w:t>
      </w:r>
    </w:p>
    <w:p w:rsidR="0002657A" w:rsidRPr="00D25438" w:rsidRDefault="0002657A" w:rsidP="0002657A">
      <w:pPr>
        <w:pStyle w:val="1MainTitle"/>
        <w:ind w:hanging="11"/>
        <w:jc w:val="left"/>
        <w:outlineLvl w:val="9"/>
        <w:rPr>
          <w:rFonts w:eastAsia="Calibri"/>
          <w:lang w:eastAsia="en-US"/>
        </w:rPr>
      </w:pPr>
      <w:r w:rsidRPr="00D25438">
        <w:rPr>
          <w:rFonts w:eastAsia="Calibri"/>
          <w:lang w:eastAsia="en-US"/>
        </w:rPr>
        <w:t>Tablet 250 mg, 500 mg</w:t>
      </w:r>
    </w:p>
    <w:p w:rsidR="0002657A" w:rsidRPr="00D25438" w:rsidRDefault="0002657A" w:rsidP="0002657A">
      <w:pPr>
        <w:pStyle w:val="1MainTitle"/>
        <w:ind w:hanging="11"/>
        <w:jc w:val="left"/>
        <w:outlineLvl w:val="9"/>
        <w:rPr>
          <w:rFonts w:eastAsia="Calibri"/>
          <w:lang w:eastAsia="en-US"/>
        </w:rPr>
      </w:pPr>
      <w:r w:rsidRPr="00D25438">
        <w:rPr>
          <w:rFonts w:eastAsia="Calibri"/>
          <w:lang w:eastAsia="en-US"/>
        </w:rPr>
        <w:t>Zytiga®,</w:t>
      </w:r>
    </w:p>
    <w:p w:rsidR="0002657A" w:rsidRPr="00D25438" w:rsidRDefault="0002657A" w:rsidP="0002657A">
      <w:pPr>
        <w:pStyle w:val="1MainTitle"/>
        <w:ind w:hanging="11"/>
        <w:jc w:val="left"/>
        <w:outlineLvl w:val="9"/>
        <w:rPr>
          <w:rFonts w:eastAsia="Calibri"/>
          <w:lang w:eastAsia="en-US"/>
        </w:rPr>
      </w:pPr>
      <w:r w:rsidRPr="00D25438">
        <w:rPr>
          <w:rFonts w:eastAsia="Calibri"/>
          <w:lang w:eastAsia="en-US"/>
        </w:rPr>
        <w:t>Janssen-Cilag Pty Ltd</w:t>
      </w:r>
    </w:p>
    <w:p w:rsidR="0002657A" w:rsidRPr="00D25438" w:rsidRDefault="0002657A" w:rsidP="0002657A">
      <w:pPr>
        <w:pStyle w:val="1MainTitle"/>
        <w:ind w:hanging="11"/>
        <w:jc w:val="left"/>
        <w:outlineLvl w:val="9"/>
        <w:rPr>
          <w:rFonts w:eastAsia="Calibri"/>
          <w:lang w:eastAsia="en-US"/>
        </w:rPr>
      </w:pPr>
    </w:p>
    <w:p w:rsidR="008462A5" w:rsidRPr="00D25438" w:rsidRDefault="00F11518" w:rsidP="0002657A">
      <w:pPr>
        <w:pStyle w:val="1MainTitle"/>
        <w:ind w:hanging="11"/>
        <w:jc w:val="left"/>
        <w:outlineLvl w:val="9"/>
        <w:rPr>
          <w:rFonts w:eastAsia="Calibri"/>
          <w:lang w:eastAsia="en-US"/>
        </w:rPr>
      </w:pPr>
      <w:r w:rsidRPr="00D25438">
        <w:rPr>
          <w:rFonts w:eastAsia="Calibri"/>
          <w:lang w:eastAsia="en-US"/>
        </w:rPr>
        <w:t xml:space="preserve">ENZALUTAMIDE </w:t>
      </w:r>
      <w:r w:rsidRPr="00D25438">
        <w:rPr>
          <w:rFonts w:eastAsia="Calibri"/>
          <w:lang w:eastAsia="en-US"/>
        </w:rPr>
        <w:br/>
        <w:t xml:space="preserve">Capsule, 40 mg </w:t>
      </w:r>
      <w:r w:rsidRPr="00D25438">
        <w:rPr>
          <w:rFonts w:eastAsia="Calibri"/>
          <w:lang w:eastAsia="en-US"/>
        </w:rPr>
        <w:br/>
        <w:t>Xtandi</w:t>
      </w:r>
      <w:r w:rsidRPr="00D25438">
        <w:rPr>
          <w:rFonts w:eastAsia="Calibri"/>
          <w:vertAlign w:val="superscript"/>
          <w:lang w:eastAsia="en-US"/>
        </w:rPr>
        <w:t>®</w:t>
      </w:r>
      <w:r w:rsidR="008462A5" w:rsidRPr="00D25438">
        <w:rPr>
          <w:rFonts w:eastAsia="Calibri"/>
          <w:lang w:eastAsia="en-US"/>
        </w:rPr>
        <w:t>,</w:t>
      </w:r>
      <w:r w:rsidRPr="00D25438">
        <w:rPr>
          <w:rFonts w:eastAsia="Calibri"/>
          <w:lang w:eastAsia="en-US"/>
        </w:rPr>
        <w:t xml:space="preserve"> </w:t>
      </w:r>
    </w:p>
    <w:p w:rsidR="00F11518" w:rsidRPr="00D25438" w:rsidRDefault="00F11518" w:rsidP="008462A5">
      <w:pPr>
        <w:pStyle w:val="1MainTitle"/>
        <w:ind w:hanging="11"/>
        <w:jc w:val="left"/>
        <w:outlineLvl w:val="9"/>
        <w:rPr>
          <w:rFonts w:eastAsia="Calibri"/>
          <w:lang w:eastAsia="en-US"/>
        </w:rPr>
      </w:pPr>
      <w:r w:rsidRPr="00D25438">
        <w:rPr>
          <w:rFonts w:eastAsia="Calibri"/>
          <w:lang w:eastAsia="en-US"/>
        </w:rPr>
        <w:t>Astellas Pharma Australia Pty Ltd</w:t>
      </w:r>
    </w:p>
    <w:p w:rsidR="008A50F1" w:rsidRPr="00D25438" w:rsidRDefault="00BF27A0" w:rsidP="00E316B4">
      <w:pPr>
        <w:pStyle w:val="1MainTitle"/>
        <w:spacing w:before="360"/>
        <w:contextualSpacing w:val="0"/>
        <w:jc w:val="left"/>
        <w:outlineLvl w:val="9"/>
      </w:pPr>
      <w:r w:rsidRPr="00D25438">
        <w:rPr>
          <w:rFonts w:eastAsia="Calibri"/>
          <w:lang w:eastAsia="en-US"/>
        </w:rPr>
        <w:tab/>
      </w:r>
      <w:r w:rsidR="00CE10C4" w:rsidRPr="00D25438">
        <w:t xml:space="preserve">Purpose of </w:t>
      </w:r>
      <w:r w:rsidR="00F11518" w:rsidRPr="00D25438">
        <w:t>Item</w:t>
      </w:r>
      <w:r w:rsidR="00034905" w:rsidRPr="00D25438">
        <w:t xml:space="preserve"> </w:t>
      </w:r>
    </w:p>
    <w:p w:rsidR="0093130C" w:rsidRPr="00D25438" w:rsidRDefault="00984D16" w:rsidP="00A717BA">
      <w:pPr>
        <w:pStyle w:val="3Bodytext"/>
        <w:jc w:val="both"/>
      </w:pPr>
      <w:r w:rsidRPr="00D25438">
        <w:t xml:space="preserve">The Secretariat sought </w:t>
      </w:r>
      <w:r w:rsidR="00EF44A0" w:rsidRPr="00D25438">
        <w:t>advice on</w:t>
      </w:r>
      <w:r w:rsidR="0069495F" w:rsidRPr="00E71444">
        <w:t xml:space="preserve"> </w:t>
      </w:r>
      <w:r w:rsidR="00445107" w:rsidRPr="00E71444">
        <w:t xml:space="preserve">amending the existing listings for </w:t>
      </w:r>
      <w:r w:rsidR="00AF6290" w:rsidRPr="00D25438">
        <w:t xml:space="preserve">abiraterone and </w:t>
      </w:r>
      <w:r w:rsidR="00445107" w:rsidRPr="00D25438">
        <w:t xml:space="preserve">enzalutamide </w:t>
      </w:r>
      <w:r w:rsidR="00CB2CAA" w:rsidRPr="00D25438">
        <w:t>for the treatment of metastatic castrat</w:t>
      </w:r>
      <w:r w:rsidR="007065C0" w:rsidRPr="00D25438">
        <w:t>ion</w:t>
      </w:r>
      <w:r w:rsidR="00CB2CAA" w:rsidRPr="00D25438">
        <w:t xml:space="preserve">-resistant prostate cancer (mCRPC) </w:t>
      </w:r>
      <w:r w:rsidR="00445107" w:rsidRPr="00D25438">
        <w:t xml:space="preserve">by </w:t>
      </w:r>
      <w:r w:rsidR="0069495F" w:rsidRPr="00D25438">
        <w:t xml:space="preserve">removing the requirement for patients to </w:t>
      </w:r>
      <w:r w:rsidR="00445107" w:rsidRPr="00D25438">
        <w:t xml:space="preserve">have failed prior docetaxel </w:t>
      </w:r>
      <w:r w:rsidR="0069495F" w:rsidRPr="00D25438">
        <w:t xml:space="preserve">or </w:t>
      </w:r>
      <w:r w:rsidR="00445107" w:rsidRPr="00D25438">
        <w:t xml:space="preserve">to </w:t>
      </w:r>
      <w:r w:rsidR="0069495F" w:rsidRPr="00D25438">
        <w:t>have a predicted intolerance to docetaxel</w:t>
      </w:r>
      <w:r w:rsidR="007065C0" w:rsidRPr="00D25438">
        <w:t xml:space="preserve"> (‘pre-docetaxel’)</w:t>
      </w:r>
      <w:r w:rsidR="0069495F" w:rsidRPr="00D25438">
        <w:t xml:space="preserve">. </w:t>
      </w:r>
    </w:p>
    <w:p w:rsidR="00623F3B" w:rsidRPr="00D25438" w:rsidRDefault="00DD7917" w:rsidP="00DD7917">
      <w:pPr>
        <w:pStyle w:val="3Bodytext"/>
        <w:jc w:val="both"/>
        <w:rPr>
          <w:rFonts w:cstheme="minorHAnsi"/>
          <w:szCs w:val="24"/>
        </w:rPr>
      </w:pPr>
      <w:r w:rsidRPr="00D25438">
        <w:t>A</w:t>
      </w:r>
      <w:r w:rsidR="00623F3B" w:rsidRPr="00D25438">
        <w:t xml:space="preserve">llowing use </w:t>
      </w:r>
      <w:r w:rsidR="00AC5A3F" w:rsidRPr="00D25438">
        <w:t xml:space="preserve">of </w:t>
      </w:r>
      <w:r w:rsidR="00AF6290" w:rsidRPr="00D25438">
        <w:t>abiraterone and enzalutamide</w:t>
      </w:r>
      <w:r w:rsidR="00AF6290" w:rsidRPr="00D25438" w:rsidDel="00AF6290">
        <w:t xml:space="preserve"> </w:t>
      </w:r>
      <w:r w:rsidR="00623F3B" w:rsidRPr="00D25438">
        <w:t>in the pre-docetaxel mCRPC setting would better align with the use of these drugs in clinical practice</w:t>
      </w:r>
      <w:r w:rsidR="00984D16" w:rsidRPr="00D25438">
        <w:t>.</w:t>
      </w:r>
      <w:r w:rsidRPr="00D25438">
        <w:t xml:space="preserve"> PBS data </w:t>
      </w:r>
      <w:r w:rsidR="00984D16" w:rsidRPr="00D25438">
        <w:t xml:space="preserve">considered in the context of the major November 2020 apalutamide submission (see </w:t>
      </w:r>
      <w:r w:rsidR="00977C6F">
        <w:t xml:space="preserve">Public Summary Document (PSD) </w:t>
      </w:r>
      <w:r w:rsidR="00984D16" w:rsidRPr="00D25438">
        <w:t xml:space="preserve">of the November 2020 PBAC meeting, item 7.01, paragraph 5.6) </w:t>
      </w:r>
      <w:r w:rsidRPr="00D25438">
        <w:t>indicate</w:t>
      </w:r>
      <w:r w:rsidR="00FA5354" w:rsidRPr="00D25438">
        <w:t>d</w:t>
      </w:r>
      <w:r w:rsidRPr="00D25438">
        <w:t xml:space="preserve"> that the majority of </w:t>
      </w:r>
      <w:r w:rsidR="008D0AC0" w:rsidRPr="00D25438">
        <w:t xml:space="preserve">use </w:t>
      </w:r>
      <w:r w:rsidRPr="00D25438">
        <w:t>is in patients who have not received prior treatment with docetaxel.</w:t>
      </w:r>
      <w:r w:rsidR="00623F3B" w:rsidRPr="00D25438">
        <w:t xml:space="preserve"> </w:t>
      </w:r>
      <w:r w:rsidR="00D25438">
        <w:t xml:space="preserve"> </w:t>
      </w:r>
      <w:r w:rsidR="003040CA" w:rsidRPr="00D25438">
        <w:t xml:space="preserve"> </w:t>
      </w:r>
    </w:p>
    <w:p w:rsidR="00A01432" w:rsidRPr="00E71444" w:rsidRDefault="00A01432" w:rsidP="006F0A71">
      <w:pPr>
        <w:pStyle w:val="2-SectionHeading"/>
      </w:pPr>
      <w:r w:rsidRPr="00E71444">
        <w:t xml:space="preserve">Background </w:t>
      </w:r>
    </w:p>
    <w:p w:rsidR="00A01432" w:rsidRPr="00D25438" w:rsidRDefault="00A01432" w:rsidP="00EB4416">
      <w:pPr>
        <w:pStyle w:val="4-SubsectionHeading"/>
      </w:pPr>
      <w:r w:rsidRPr="00D25438">
        <w:t>Registration status</w:t>
      </w:r>
    </w:p>
    <w:p w:rsidR="00EB4416" w:rsidRPr="00D25438" w:rsidRDefault="00EB4416" w:rsidP="00EB4416">
      <w:pPr>
        <w:pStyle w:val="3Bodytext"/>
        <w:spacing w:after="0"/>
        <w:jc w:val="both"/>
      </w:pPr>
      <w:r w:rsidRPr="00D25438">
        <w:t xml:space="preserve">Enzalutamide is registered for the treatment of patients with: </w:t>
      </w:r>
    </w:p>
    <w:p w:rsidR="00EB4416" w:rsidRPr="00D25438" w:rsidRDefault="007065C0" w:rsidP="00944230">
      <w:pPr>
        <w:pStyle w:val="3Bodytext"/>
        <w:numPr>
          <w:ilvl w:val="0"/>
          <w:numId w:val="13"/>
        </w:numPr>
        <w:spacing w:after="0"/>
        <w:jc w:val="both"/>
      </w:pPr>
      <w:r w:rsidRPr="00D25438">
        <w:t>non-metastatic castration-resistant prostate cancer (</w:t>
      </w:r>
      <w:r w:rsidR="00EB4416" w:rsidRPr="00D25438">
        <w:t>m0CRPC</w:t>
      </w:r>
      <w:r w:rsidRPr="00D25438">
        <w:t>)</w:t>
      </w:r>
      <w:r w:rsidR="00EB4416" w:rsidRPr="00D25438">
        <w:t>;</w:t>
      </w:r>
    </w:p>
    <w:p w:rsidR="00EB4416" w:rsidRPr="00D25438" w:rsidRDefault="00EB4416" w:rsidP="00944230">
      <w:pPr>
        <w:pStyle w:val="3Bodytext"/>
        <w:numPr>
          <w:ilvl w:val="0"/>
          <w:numId w:val="13"/>
        </w:numPr>
        <w:spacing w:after="0"/>
        <w:jc w:val="both"/>
      </w:pPr>
      <w:r w:rsidRPr="00D25438">
        <w:t>mCRPC following failure of androgen deprivation therapy (ADT) in whom chemotherapy is not yet indicated; and</w:t>
      </w:r>
    </w:p>
    <w:p w:rsidR="00EB4416" w:rsidRPr="00D25438" w:rsidRDefault="00EB4416" w:rsidP="00944230">
      <w:pPr>
        <w:pStyle w:val="3Bodytext"/>
        <w:numPr>
          <w:ilvl w:val="0"/>
          <w:numId w:val="13"/>
        </w:numPr>
        <w:ind w:left="1077" w:hanging="357"/>
        <w:jc w:val="both"/>
      </w:pPr>
      <w:r w:rsidRPr="00D25438">
        <w:t>mCRPC who have previously received docetaxel.</w:t>
      </w:r>
    </w:p>
    <w:p w:rsidR="00EB4416" w:rsidRPr="00D25438" w:rsidRDefault="00EB4416" w:rsidP="00944230">
      <w:pPr>
        <w:pStyle w:val="3Bodytext"/>
        <w:keepNext/>
        <w:keepLines/>
        <w:spacing w:after="0"/>
        <w:jc w:val="both"/>
      </w:pPr>
      <w:r w:rsidRPr="00D25438">
        <w:lastRenderedPageBreak/>
        <w:t>Abiraterone is registered for use in combination with prednisone or prednisolone for the treatment of patients with:</w:t>
      </w:r>
    </w:p>
    <w:p w:rsidR="00EB4416" w:rsidRPr="00D25438" w:rsidRDefault="00EB4416" w:rsidP="00944230">
      <w:pPr>
        <w:pStyle w:val="3Bodytext"/>
        <w:keepNext/>
        <w:keepLines/>
        <w:numPr>
          <w:ilvl w:val="0"/>
          <w:numId w:val="14"/>
        </w:numPr>
        <w:spacing w:after="0"/>
        <w:jc w:val="both"/>
      </w:pPr>
      <w:r w:rsidRPr="00D25438">
        <w:t xml:space="preserve">newly diagnosed high-risk metastatic hormone sensitive prostate </w:t>
      </w:r>
      <w:r w:rsidR="00AC3B09" w:rsidRPr="00D25438">
        <w:t>cancer</w:t>
      </w:r>
      <w:r w:rsidRPr="00D25438">
        <w:t xml:space="preserve"> in combination with ADT;</w:t>
      </w:r>
    </w:p>
    <w:p w:rsidR="00EB4416" w:rsidRPr="00D25438" w:rsidRDefault="00EB4416" w:rsidP="00944230">
      <w:pPr>
        <w:pStyle w:val="3Bodytext"/>
        <w:keepNext/>
        <w:keepLines/>
        <w:numPr>
          <w:ilvl w:val="0"/>
          <w:numId w:val="14"/>
        </w:numPr>
        <w:spacing w:after="0"/>
        <w:jc w:val="both"/>
      </w:pPr>
      <w:r w:rsidRPr="00D25438">
        <w:t>mCRPC who are asymptomatic or mildly symptomatic after failure of ADT; and</w:t>
      </w:r>
    </w:p>
    <w:p w:rsidR="00EB4416" w:rsidRPr="00D25438" w:rsidRDefault="00EB4416" w:rsidP="00944230">
      <w:pPr>
        <w:pStyle w:val="3Bodytext"/>
        <w:keepNext/>
        <w:keepLines/>
        <w:numPr>
          <w:ilvl w:val="0"/>
          <w:numId w:val="14"/>
        </w:numPr>
        <w:jc w:val="both"/>
      </w:pPr>
      <w:r w:rsidRPr="00D25438">
        <w:t>mCRPC who have received prior chemotherapy containing a taxane.</w:t>
      </w:r>
    </w:p>
    <w:p w:rsidR="0063353F" w:rsidRPr="00D25438" w:rsidRDefault="0063353F" w:rsidP="00B16273">
      <w:pPr>
        <w:pStyle w:val="4-SubsectionHeading"/>
      </w:pPr>
      <w:r w:rsidRPr="00D25438">
        <w:t>Current PBS listings</w:t>
      </w:r>
    </w:p>
    <w:p w:rsidR="0063353F" w:rsidRPr="00D25438" w:rsidRDefault="00AF6290" w:rsidP="003D1891">
      <w:pPr>
        <w:pStyle w:val="3Bodytext"/>
        <w:jc w:val="both"/>
        <w:rPr>
          <w:i/>
        </w:rPr>
      </w:pPr>
      <w:r w:rsidRPr="00D25438">
        <w:t xml:space="preserve">Abiraterone and enzalutamide </w:t>
      </w:r>
      <w:r w:rsidR="0063353F" w:rsidRPr="00D25438">
        <w:t>are listed on the PBS for the treatment of patients with mCRPC whose disease has progressed following treatment with docetaxel</w:t>
      </w:r>
      <w:r w:rsidR="003D1891" w:rsidRPr="00D25438">
        <w:t>, or who have a predicted intolerance to docetaxel</w:t>
      </w:r>
      <w:r w:rsidR="0063353F" w:rsidRPr="00D25438">
        <w:t>.</w:t>
      </w:r>
    </w:p>
    <w:p w:rsidR="0093130C" w:rsidRPr="00D25438" w:rsidRDefault="0093130C" w:rsidP="003D1891">
      <w:pPr>
        <w:pStyle w:val="3Bodytext"/>
        <w:jc w:val="both"/>
        <w:rPr>
          <w:i/>
        </w:rPr>
      </w:pPr>
      <w:r w:rsidRPr="00D25438">
        <w:t xml:space="preserve">At the July 2014 PBAC meeting enzalutamide was recommended for listing with the above indication on a cost-minimisation basis with abiraterone (paragraph 7.1, </w:t>
      </w:r>
      <w:r w:rsidR="00ED00DC" w:rsidRPr="00D25438">
        <w:t>e</w:t>
      </w:r>
      <w:r w:rsidRPr="00D25438">
        <w:t>nzalutamide PSD, July 2014).</w:t>
      </w:r>
    </w:p>
    <w:p w:rsidR="00A01432" w:rsidRPr="00D25438" w:rsidRDefault="00A01432" w:rsidP="00B16273">
      <w:pPr>
        <w:pStyle w:val="4-SubsectionHeading"/>
      </w:pPr>
      <w:r w:rsidRPr="00D25438">
        <w:t xml:space="preserve">Previous PBAC consideration </w:t>
      </w:r>
    </w:p>
    <w:p w:rsidR="0056614C" w:rsidRPr="00D25438" w:rsidRDefault="0056614C" w:rsidP="00944230">
      <w:pPr>
        <w:pStyle w:val="3Bodytext"/>
        <w:jc w:val="both"/>
        <w:rPr>
          <w:i/>
        </w:rPr>
      </w:pPr>
      <w:r w:rsidRPr="00D25438">
        <w:t xml:space="preserve">Abiraterone was previously considered for use pre-docetaxel at the July 2014 PBAC meeting. It was not recommended because the comparator was inappropriate, the sub-group analysis was not considered the most relevant patient group for PBS eligibility, the ICER was too high and the total PBS cost of treatment with abiraterone shifting from post-docetaxel to post-ADT was uncertain (paragraph 7.1, abiraterone, PSD, July 2014). </w:t>
      </w:r>
    </w:p>
    <w:p w:rsidR="00A01432" w:rsidRPr="00D25438" w:rsidRDefault="005E1055" w:rsidP="00944230">
      <w:pPr>
        <w:pStyle w:val="3Bodytext"/>
        <w:jc w:val="both"/>
        <w:rPr>
          <w:i/>
        </w:rPr>
      </w:pPr>
      <w:r w:rsidRPr="00D25438">
        <w:t xml:space="preserve">Enzalutamide </w:t>
      </w:r>
      <w:r w:rsidR="00A01432" w:rsidRPr="00D25438">
        <w:t xml:space="preserve">was previously considered </w:t>
      </w:r>
      <w:r w:rsidRPr="00D25438">
        <w:t xml:space="preserve">by the PBAC </w:t>
      </w:r>
      <w:r w:rsidR="00A01432" w:rsidRPr="00D25438">
        <w:t xml:space="preserve">for </w:t>
      </w:r>
      <w:r w:rsidR="007065C0" w:rsidRPr="00D25438">
        <w:t xml:space="preserve">the treatment of </w:t>
      </w:r>
      <w:r w:rsidR="00350212" w:rsidRPr="00D25438">
        <w:t xml:space="preserve">mCRPC in patients who have not </w:t>
      </w:r>
      <w:r w:rsidR="00944230" w:rsidRPr="00D25438">
        <w:t>received</w:t>
      </w:r>
      <w:r w:rsidR="00350212" w:rsidRPr="00D25438">
        <w:t xml:space="preserve"> prior docetaxel</w:t>
      </w:r>
      <w:r w:rsidR="00A01432" w:rsidRPr="00D25438">
        <w:t xml:space="preserve"> </w:t>
      </w:r>
      <w:r w:rsidR="006E32CA" w:rsidRPr="00D25438">
        <w:t>in</w:t>
      </w:r>
      <w:r w:rsidRPr="00D25438">
        <w:t xml:space="preserve"> </w:t>
      </w:r>
      <w:r w:rsidR="006E32CA" w:rsidRPr="00D25438">
        <w:t>November 2015 (not recommended),</w:t>
      </w:r>
      <w:r w:rsidRPr="00D25438">
        <w:t xml:space="preserve"> March 2017 </w:t>
      </w:r>
      <w:r w:rsidR="006E32CA" w:rsidRPr="00D25438">
        <w:t>(deferred) and July 2017 (deferred)</w:t>
      </w:r>
      <w:r w:rsidR="00A01432" w:rsidRPr="00D25438">
        <w:t>.</w:t>
      </w:r>
      <w:r w:rsidRPr="00D25438">
        <w:t xml:space="preserve"> </w:t>
      </w:r>
    </w:p>
    <w:p w:rsidR="0065310F" w:rsidRPr="00506EEB" w:rsidRDefault="00CB2CAA" w:rsidP="00506EEB">
      <w:pPr>
        <w:pStyle w:val="3Bodytext"/>
        <w:jc w:val="both"/>
        <w:rPr>
          <w:i/>
        </w:rPr>
      </w:pPr>
      <w:r w:rsidRPr="00D25438">
        <w:t>In July 2017, the PBAC</w:t>
      </w:r>
      <w:r w:rsidR="00D5547E" w:rsidRPr="00506EEB">
        <w:rPr>
          <w:rFonts w:cs="Arial"/>
          <w:bCs/>
          <w:snapToGrid w:val="0"/>
          <w:lang w:eastAsia="en-US"/>
        </w:rPr>
        <w:t xml:space="preserve"> deferred making a recommendation on the basis that the proposal to achieve a cost-effective listing was unacceptable. The PBAC</w:t>
      </w:r>
      <w:r w:rsidRPr="00D25438">
        <w:t xml:space="preserve"> advised that further negotiations between the sponsor and the Department </w:t>
      </w:r>
      <w:r w:rsidR="0063353F" w:rsidRPr="00D25438">
        <w:t xml:space="preserve">were required </w:t>
      </w:r>
      <w:r w:rsidRPr="00E71444">
        <w:t>regarding the proposed price of enzalutamide, the proposed financial caps, and the size of the patient population to ensure that the</w:t>
      </w:r>
      <w:r w:rsidR="00944230" w:rsidRPr="00E71444">
        <w:t xml:space="preserve"> incremental cost-effectiveness ratio (I</w:t>
      </w:r>
      <w:r w:rsidRPr="00D25438">
        <w:t>CER</w:t>
      </w:r>
      <w:r w:rsidR="00944230" w:rsidRPr="00D25438">
        <w:t>)</w:t>
      </w:r>
      <w:r w:rsidRPr="00D25438">
        <w:t xml:space="preserve"> </w:t>
      </w:r>
      <w:r w:rsidR="00AC5A3F" w:rsidRPr="00D25438">
        <w:t>was</w:t>
      </w:r>
      <w:r w:rsidRPr="00D25438">
        <w:t xml:space="preserve"> acceptable</w:t>
      </w:r>
      <w:r w:rsidR="00C30B4C" w:rsidRPr="00D25438">
        <w:t xml:space="preserve"> (paragraph 5.1, </w:t>
      </w:r>
      <w:r w:rsidR="00ED00DC" w:rsidRPr="00D25438">
        <w:t>e</w:t>
      </w:r>
      <w:r w:rsidR="00C30B4C" w:rsidRPr="00D25438">
        <w:t xml:space="preserve">nzalutamide, PSD, July 2017). </w:t>
      </w:r>
    </w:p>
    <w:p w:rsidR="00B17EE5" w:rsidRPr="00D25438" w:rsidRDefault="00323E3D" w:rsidP="00917D69">
      <w:pPr>
        <w:pStyle w:val="2-SectionHeading"/>
      </w:pPr>
      <w:r w:rsidRPr="00D25438">
        <w:t xml:space="preserve">Proposed </w:t>
      </w:r>
      <w:r w:rsidR="00B17EE5" w:rsidRPr="00D25438">
        <w:t>listing</w:t>
      </w:r>
    </w:p>
    <w:p w:rsidR="00B17EE5" w:rsidRPr="00D25438" w:rsidRDefault="00EB4416" w:rsidP="00EB4416">
      <w:pPr>
        <w:pStyle w:val="3Bodytext"/>
        <w:jc w:val="both"/>
      </w:pPr>
      <w:r w:rsidRPr="00E71444">
        <w:t xml:space="preserve">Noting that both </w:t>
      </w:r>
      <w:r w:rsidR="00AF6290" w:rsidRPr="00E71444">
        <w:t xml:space="preserve">apalutamide and enzalutamide </w:t>
      </w:r>
      <w:r w:rsidRPr="00E71444">
        <w:t>are TGA indicated for use in mCRPC patients who have failed ADT, revised PBS restriction</w:t>
      </w:r>
      <w:r w:rsidR="0069495F" w:rsidRPr="00D25438">
        <w:t>s</w:t>
      </w:r>
      <w:r w:rsidRPr="00D25438">
        <w:t xml:space="preserve"> which remove the requirement for prior docetaxel would be in line with both how these drugs are being used </w:t>
      </w:r>
      <w:r w:rsidR="00E45A56" w:rsidRPr="00D25438">
        <w:t xml:space="preserve">in clinical practice </w:t>
      </w:r>
      <w:r w:rsidRPr="00D25438">
        <w:t>and their TGA indications. The Secretariat propose</w:t>
      </w:r>
      <w:r w:rsidR="00ED00DC" w:rsidRPr="00D25438">
        <w:t>d</w:t>
      </w:r>
      <w:r w:rsidRPr="00D25438">
        <w:t xml:space="preserve"> the amendments to the existing restrictions as outlined below (suggested deletions are in strikethrough).</w:t>
      </w:r>
      <w:r w:rsidR="00B17EE5" w:rsidRPr="00D25438">
        <w:t xml:space="preserv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993"/>
        <w:gridCol w:w="1134"/>
        <w:gridCol w:w="993"/>
        <w:gridCol w:w="1301"/>
        <w:gridCol w:w="1250"/>
      </w:tblGrid>
      <w:tr w:rsidR="00731C9E" w:rsidRPr="00D25438" w:rsidTr="002223A4">
        <w:trPr>
          <w:cantSplit/>
          <w:trHeight w:val="471"/>
        </w:trPr>
        <w:tc>
          <w:tcPr>
            <w:tcW w:w="1823" w:type="pct"/>
          </w:tcPr>
          <w:p w:rsidR="00731C9E" w:rsidRPr="00D25438" w:rsidRDefault="00731C9E" w:rsidP="002223A4">
            <w:pPr>
              <w:keepNext/>
              <w:keepLines/>
              <w:ind w:left="-57"/>
              <w:rPr>
                <w:rFonts w:ascii="Arial Narrow" w:hAnsi="Arial Narrow" w:cs="Arial"/>
                <w:b/>
                <w:bCs/>
                <w:sz w:val="18"/>
                <w:szCs w:val="18"/>
              </w:rPr>
            </w:pPr>
            <w:r w:rsidRPr="00D25438">
              <w:rPr>
                <w:rFonts w:ascii="Arial Narrow" w:hAnsi="Arial Narrow" w:cs="Arial"/>
                <w:b/>
                <w:bCs/>
                <w:sz w:val="18"/>
                <w:szCs w:val="18"/>
              </w:rPr>
              <w:lastRenderedPageBreak/>
              <w:t>MEDICINAL PRODUCT</w:t>
            </w:r>
          </w:p>
          <w:p w:rsidR="00731C9E" w:rsidRPr="00D25438" w:rsidRDefault="002223A4" w:rsidP="002223A4">
            <w:pPr>
              <w:keepNext/>
              <w:keepLines/>
              <w:ind w:left="-57"/>
              <w:rPr>
                <w:rFonts w:ascii="Arial Narrow" w:hAnsi="Arial Narrow" w:cs="Arial"/>
                <w:b/>
                <w:sz w:val="18"/>
                <w:szCs w:val="18"/>
              </w:rPr>
            </w:pPr>
            <w:r w:rsidRPr="00D25438">
              <w:rPr>
                <w:rFonts w:ascii="Arial Narrow" w:hAnsi="Arial Narrow" w:cs="Arial"/>
                <w:b/>
                <w:bCs/>
                <w:sz w:val="18"/>
                <w:szCs w:val="18"/>
              </w:rPr>
              <w:t>medicinal p</w:t>
            </w:r>
            <w:r w:rsidR="00731C9E" w:rsidRPr="00D25438">
              <w:rPr>
                <w:rFonts w:ascii="Arial Narrow" w:hAnsi="Arial Narrow" w:cs="Arial"/>
                <w:b/>
                <w:bCs/>
                <w:sz w:val="18"/>
                <w:szCs w:val="18"/>
              </w:rPr>
              <w:t xml:space="preserve">roduct </w:t>
            </w:r>
            <w:r w:rsidRPr="00D25438">
              <w:rPr>
                <w:rFonts w:ascii="Arial Narrow" w:hAnsi="Arial Narrow" w:cs="Arial"/>
                <w:b/>
                <w:bCs/>
                <w:sz w:val="18"/>
                <w:szCs w:val="18"/>
              </w:rPr>
              <w:t>p</w:t>
            </w:r>
            <w:r w:rsidR="00731C9E" w:rsidRPr="00D25438">
              <w:rPr>
                <w:rFonts w:ascii="Arial Narrow" w:hAnsi="Arial Narrow" w:cs="Arial"/>
                <w:b/>
                <w:bCs/>
                <w:sz w:val="18"/>
                <w:szCs w:val="18"/>
              </w:rPr>
              <w:t>ack</w:t>
            </w:r>
          </w:p>
        </w:tc>
        <w:tc>
          <w:tcPr>
            <w:tcW w:w="556" w:type="pct"/>
          </w:tcPr>
          <w:p w:rsidR="00731C9E" w:rsidRPr="00D25438" w:rsidRDefault="00731C9E" w:rsidP="00944230">
            <w:pPr>
              <w:keepNext/>
              <w:keepLines/>
              <w:ind w:left="-108"/>
              <w:jc w:val="center"/>
              <w:rPr>
                <w:rFonts w:ascii="Arial Narrow" w:hAnsi="Arial Narrow" w:cs="Arial"/>
                <w:b/>
                <w:sz w:val="18"/>
                <w:szCs w:val="18"/>
              </w:rPr>
            </w:pPr>
            <w:r w:rsidRPr="00D25438">
              <w:rPr>
                <w:rFonts w:ascii="Arial Narrow" w:hAnsi="Arial Narrow" w:cs="Arial"/>
                <w:b/>
                <w:sz w:val="18"/>
                <w:szCs w:val="18"/>
              </w:rPr>
              <w:t>PBS item code</w:t>
            </w:r>
          </w:p>
        </w:tc>
        <w:tc>
          <w:tcPr>
            <w:tcW w:w="635" w:type="pct"/>
          </w:tcPr>
          <w:p w:rsidR="00731C9E" w:rsidRPr="00D25438" w:rsidRDefault="00731C9E" w:rsidP="00944230">
            <w:pPr>
              <w:keepNext/>
              <w:keepLines/>
              <w:ind w:left="-108"/>
              <w:jc w:val="center"/>
              <w:rPr>
                <w:rFonts w:ascii="Arial Narrow" w:hAnsi="Arial Narrow" w:cs="Arial"/>
                <w:b/>
                <w:sz w:val="18"/>
                <w:szCs w:val="18"/>
              </w:rPr>
            </w:pPr>
            <w:r w:rsidRPr="00D25438">
              <w:rPr>
                <w:rFonts w:ascii="Arial Narrow" w:hAnsi="Arial Narrow" w:cs="Arial"/>
                <w:b/>
                <w:sz w:val="18"/>
                <w:szCs w:val="18"/>
              </w:rPr>
              <w:t>Max. qty packs</w:t>
            </w:r>
          </w:p>
        </w:tc>
        <w:tc>
          <w:tcPr>
            <w:tcW w:w="556" w:type="pct"/>
          </w:tcPr>
          <w:p w:rsidR="00731C9E" w:rsidRPr="00D25438" w:rsidRDefault="00731C9E" w:rsidP="00944230">
            <w:pPr>
              <w:keepNext/>
              <w:keepLines/>
              <w:ind w:left="-108"/>
              <w:jc w:val="center"/>
              <w:rPr>
                <w:rFonts w:ascii="Arial Narrow" w:hAnsi="Arial Narrow" w:cs="Arial"/>
                <w:b/>
                <w:sz w:val="18"/>
                <w:szCs w:val="18"/>
              </w:rPr>
            </w:pPr>
            <w:r w:rsidRPr="00D25438">
              <w:rPr>
                <w:rFonts w:ascii="Arial Narrow" w:hAnsi="Arial Narrow" w:cs="Arial"/>
                <w:b/>
                <w:sz w:val="18"/>
                <w:szCs w:val="18"/>
              </w:rPr>
              <w:t>Max. qty units</w:t>
            </w:r>
          </w:p>
        </w:tc>
        <w:tc>
          <w:tcPr>
            <w:tcW w:w="729" w:type="pct"/>
          </w:tcPr>
          <w:p w:rsidR="00731C9E" w:rsidRPr="00D25438" w:rsidRDefault="00731C9E" w:rsidP="00731C9E">
            <w:pPr>
              <w:keepNext/>
              <w:keepLines/>
              <w:ind w:left="-108"/>
              <w:jc w:val="center"/>
              <w:rPr>
                <w:rFonts w:ascii="Arial Narrow" w:hAnsi="Arial Narrow" w:cs="Arial"/>
                <w:b/>
                <w:sz w:val="18"/>
                <w:szCs w:val="18"/>
              </w:rPr>
            </w:pPr>
            <w:r w:rsidRPr="00D25438">
              <w:rPr>
                <w:rFonts w:ascii="Arial Narrow" w:hAnsi="Arial Narrow" w:cs="Arial"/>
                <w:b/>
                <w:sz w:val="18"/>
                <w:szCs w:val="18"/>
              </w:rPr>
              <w:t>№.of</w:t>
            </w:r>
          </w:p>
          <w:p w:rsidR="00731C9E" w:rsidRPr="00D25438" w:rsidRDefault="00731C9E" w:rsidP="00731C9E">
            <w:pPr>
              <w:keepNext/>
              <w:keepLines/>
              <w:jc w:val="center"/>
              <w:rPr>
                <w:rFonts w:ascii="Arial Narrow" w:hAnsi="Arial Narrow" w:cs="Arial"/>
                <w:b/>
                <w:sz w:val="18"/>
                <w:szCs w:val="18"/>
              </w:rPr>
            </w:pPr>
            <w:r w:rsidRPr="00D25438">
              <w:rPr>
                <w:rFonts w:ascii="Arial Narrow" w:hAnsi="Arial Narrow" w:cs="Arial"/>
                <w:b/>
                <w:sz w:val="18"/>
                <w:szCs w:val="18"/>
              </w:rPr>
              <w:t>Rpts</w:t>
            </w:r>
          </w:p>
        </w:tc>
        <w:tc>
          <w:tcPr>
            <w:tcW w:w="700" w:type="pct"/>
          </w:tcPr>
          <w:p w:rsidR="00731C9E" w:rsidRPr="00BF5D3B" w:rsidRDefault="00731C9E" w:rsidP="00944230">
            <w:pPr>
              <w:keepNext/>
              <w:keepLines/>
              <w:rPr>
                <w:rFonts w:ascii="Arial Narrow" w:hAnsi="Arial Narrow" w:cs="Arial"/>
                <w:b/>
                <w:sz w:val="18"/>
                <w:szCs w:val="18"/>
              </w:rPr>
            </w:pPr>
            <w:r w:rsidRPr="00D25438">
              <w:rPr>
                <w:rFonts w:ascii="Arial Narrow" w:hAnsi="Arial Narrow" w:cs="Arial"/>
                <w:b/>
                <w:sz w:val="18"/>
                <w:szCs w:val="18"/>
              </w:rPr>
              <w:t>Available brands</w:t>
            </w:r>
          </w:p>
        </w:tc>
      </w:tr>
      <w:tr w:rsidR="002223A4" w:rsidRPr="00D25438" w:rsidTr="002223A4">
        <w:trPr>
          <w:cantSplit/>
          <w:trHeight w:val="313"/>
        </w:trPr>
        <w:tc>
          <w:tcPr>
            <w:tcW w:w="1" w:type="pct"/>
            <w:gridSpan w:val="6"/>
          </w:tcPr>
          <w:p w:rsidR="002223A4" w:rsidRPr="00D25438" w:rsidRDefault="002223A4" w:rsidP="002223A4">
            <w:pPr>
              <w:keepNext/>
              <w:keepLines/>
              <w:ind w:left="-57"/>
              <w:rPr>
                <w:rFonts w:ascii="Arial Narrow" w:hAnsi="Arial Narrow" w:cs="Arial"/>
                <w:b/>
                <w:sz w:val="18"/>
                <w:szCs w:val="18"/>
              </w:rPr>
            </w:pPr>
            <w:r w:rsidRPr="00D25438">
              <w:rPr>
                <w:rFonts w:ascii="Arial Narrow" w:hAnsi="Arial Narrow" w:cs="Arial"/>
                <w:bCs/>
                <w:sz w:val="18"/>
                <w:szCs w:val="18"/>
              </w:rPr>
              <w:t>ENZALUTAMIDE</w:t>
            </w:r>
          </w:p>
        </w:tc>
      </w:tr>
      <w:tr w:rsidR="00731C9E" w:rsidRPr="00D25438" w:rsidTr="002223A4">
        <w:trPr>
          <w:cantSplit/>
          <w:trHeight w:val="281"/>
        </w:trPr>
        <w:tc>
          <w:tcPr>
            <w:tcW w:w="1823" w:type="pct"/>
          </w:tcPr>
          <w:p w:rsidR="00731C9E" w:rsidRPr="00D25438" w:rsidRDefault="00731C9E" w:rsidP="002223A4">
            <w:pPr>
              <w:keepNext/>
              <w:keepLines/>
              <w:ind w:left="-57"/>
              <w:rPr>
                <w:rFonts w:ascii="Arial Narrow" w:hAnsi="Arial Narrow" w:cs="Arial"/>
                <w:sz w:val="18"/>
                <w:szCs w:val="18"/>
              </w:rPr>
            </w:pPr>
            <w:r w:rsidRPr="00D25438">
              <w:rPr>
                <w:rFonts w:ascii="Arial Narrow" w:hAnsi="Arial Narrow" w:cs="Arial"/>
                <w:sz w:val="18"/>
                <w:szCs w:val="18"/>
              </w:rPr>
              <w:t>enzalutamide 40 mg capsule, 112</w:t>
            </w:r>
          </w:p>
        </w:tc>
        <w:tc>
          <w:tcPr>
            <w:tcW w:w="556" w:type="pct"/>
          </w:tcPr>
          <w:p w:rsidR="00731C9E" w:rsidRPr="00D25438" w:rsidRDefault="00731C9E" w:rsidP="00944230">
            <w:pPr>
              <w:keepNext/>
              <w:keepLines/>
              <w:ind w:left="-108"/>
              <w:jc w:val="center"/>
              <w:rPr>
                <w:rFonts w:ascii="Arial Narrow" w:hAnsi="Arial Narrow" w:cs="Arial"/>
                <w:sz w:val="18"/>
                <w:szCs w:val="18"/>
              </w:rPr>
            </w:pPr>
            <w:r w:rsidRPr="00D25438">
              <w:rPr>
                <w:rFonts w:ascii="Arial Narrow" w:hAnsi="Arial Narrow" w:cs="Arial"/>
                <w:sz w:val="18"/>
                <w:szCs w:val="18"/>
              </w:rPr>
              <w:t>10174L</w:t>
            </w:r>
          </w:p>
        </w:tc>
        <w:tc>
          <w:tcPr>
            <w:tcW w:w="635" w:type="pct"/>
          </w:tcPr>
          <w:p w:rsidR="00731C9E" w:rsidRPr="00D25438" w:rsidRDefault="00731C9E" w:rsidP="00944230">
            <w:pPr>
              <w:keepNext/>
              <w:keepLines/>
              <w:jc w:val="center"/>
              <w:rPr>
                <w:rFonts w:ascii="Arial Narrow" w:hAnsi="Arial Narrow" w:cs="Arial"/>
                <w:sz w:val="18"/>
                <w:szCs w:val="18"/>
              </w:rPr>
            </w:pPr>
            <w:r w:rsidRPr="00D25438">
              <w:rPr>
                <w:rFonts w:ascii="Arial Narrow" w:hAnsi="Arial Narrow" w:cs="Arial"/>
                <w:sz w:val="18"/>
                <w:szCs w:val="18"/>
              </w:rPr>
              <w:t>1</w:t>
            </w:r>
          </w:p>
        </w:tc>
        <w:tc>
          <w:tcPr>
            <w:tcW w:w="556" w:type="pct"/>
          </w:tcPr>
          <w:p w:rsidR="00731C9E" w:rsidRPr="00D25438" w:rsidRDefault="00731C9E" w:rsidP="00944230">
            <w:pPr>
              <w:keepNext/>
              <w:keepLines/>
              <w:ind w:left="-108"/>
              <w:jc w:val="center"/>
              <w:rPr>
                <w:rFonts w:ascii="Arial Narrow" w:hAnsi="Arial Narrow" w:cs="Arial"/>
                <w:sz w:val="18"/>
                <w:szCs w:val="18"/>
              </w:rPr>
            </w:pPr>
            <w:r w:rsidRPr="00D25438">
              <w:rPr>
                <w:rFonts w:ascii="Arial Narrow" w:hAnsi="Arial Narrow" w:cs="Arial"/>
                <w:sz w:val="18"/>
                <w:szCs w:val="18"/>
              </w:rPr>
              <w:t>112</w:t>
            </w:r>
          </w:p>
        </w:tc>
        <w:tc>
          <w:tcPr>
            <w:tcW w:w="729" w:type="pct"/>
          </w:tcPr>
          <w:p w:rsidR="00731C9E" w:rsidRPr="00D25438" w:rsidRDefault="00731C9E" w:rsidP="00731C9E">
            <w:pPr>
              <w:keepNext/>
              <w:keepLines/>
              <w:jc w:val="center"/>
              <w:rPr>
                <w:rFonts w:ascii="Arial Narrow" w:hAnsi="Arial Narrow" w:cs="Arial"/>
                <w:sz w:val="18"/>
                <w:szCs w:val="18"/>
              </w:rPr>
            </w:pPr>
            <w:r w:rsidRPr="00D25438">
              <w:rPr>
                <w:rFonts w:ascii="Arial Narrow" w:hAnsi="Arial Narrow" w:cs="Arial"/>
                <w:sz w:val="18"/>
                <w:szCs w:val="18"/>
              </w:rPr>
              <w:t>2</w:t>
            </w:r>
          </w:p>
        </w:tc>
        <w:tc>
          <w:tcPr>
            <w:tcW w:w="700" w:type="pct"/>
          </w:tcPr>
          <w:p w:rsidR="00731C9E" w:rsidRPr="00D25438" w:rsidRDefault="00731C9E" w:rsidP="00944230">
            <w:pPr>
              <w:keepNext/>
              <w:keepLines/>
              <w:rPr>
                <w:rFonts w:ascii="Arial Narrow" w:hAnsi="Arial Narrow" w:cs="Arial"/>
                <w:sz w:val="18"/>
                <w:szCs w:val="18"/>
              </w:rPr>
            </w:pPr>
            <w:r w:rsidRPr="00D25438">
              <w:rPr>
                <w:rFonts w:ascii="Arial Narrow" w:hAnsi="Arial Narrow" w:cs="Arial"/>
                <w:sz w:val="18"/>
                <w:szCs w:val="18"/>
              </w:rPr>
              <w:t>Xtandi</w:t>
            </w:r>
          </w:p>
        </w:tc>
      </w:tr>
    </w:tbl>
    <w:tbl>
      <w:tblPr>
        <w:tblStyle w:val="TableGrid"/>
        <w:tblW w:w="0" w:type="auto"/>
        <w:tblLook w:val="04A0" w:firstRow="1" w:lastRow="0" w:firstColumn="1" w:lastColumn="0" w:noHBand="0" w:noVBand="1"/>
        <w:tblCaption w:val="Proposed listing"/>
      </w:tblPr>
      <w:tblGrid>
        <w:gridCol w:w="8926"/>
      </w:tblGrid>
      <w:tr w:rsidR="002223A4" w:rsidRPr="00D25438" w:rsidTr="009523AB">
        <w:trPr>
          <w:tblHeader/>
        </w:trPr>
        <w:tc>
          <w:tcPr>
            <w:tcW w:w="8926" w:type="dxa"/>
          </w:tcPr>
          <w:p w:rsidR="002223A4" w:rsidRPr="00D25438" w:rsidRDefault="002223A4" w:rsidP="00EB4416">
            <w:pPr>
              <w:jc w:val="left"/>
              <w:rPr>
                <w:rFonts w:ascii="Arial Narrow" w:hAnsi="Arial Narrow"/>
                <w:b/>
                <w:snapToGrid w:val="0"/>
                <w:sz w:val="20"/>
                <w:szCs w:val="20"/>
              </w:rPr>
            </w:pPr>
          </w:p>
        </w:tc>
      </w:tr>
      <w:tr w:rsidR="00EB4416" w:rsidRPr="00D25438" w:rsidTr="00CC5B04">
        <w:tc>
          <w:tcPr>
            <w:tcW w:w="8926" w:type="dxa"/>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Category/Program: </w:t>
            </w:r>
            <w:r w:rsidRPr="00D25438">
              <w:rPr>
                <w:rFonts w:ascii="Arial Narrow" w:hAnsi="Arial Narrow"/>
                <w:snapToGrid w:val="0"/>
                <w:sz w:val="20"/>
                <w:szCs w:val="20"/>
              </w:rPr>
              <w:t>GENERAL – General Schedule (GE)</w:t>
            </w:r>
          </w:p>
        </w:tc>
      </w:tr>
      <w:tr w:rsidR="00EB4416" w:rsidRPr="00D25438" w:rsidTr="00CC5B04">
        <w:trPr>
          <w:trHeight w:val="60"/>
        </w:trPr>
        <w:tc>
          <w:tcPr>
            <w:tcW w:w="8926" w:type="dxa"/>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Prescriber type: </w:t>
            </w:r>
            <w:r w:rsidRPr="00BF5D3B">
              <w:rPr>
                <w:rFonts w:ascii="Arial Narrow" w:hAnsi="Arial Narrow" w:cs="Arial"/>
                <w:snapToGrid w:val="0"/>
                <w:sz w:val="20"/>
                <w:szCs w:val="20"/>
              </w:rPr>
              <w:fldChar w:fldCharType="begin">
                <w:ffData>
                  <w:name w:val=""/>
                  <w:enabled/>
                  <w:calcOnExit w:val="0"/>
                  <w:checkBox>
                    <w:sizeAuto/>
                    <w:default w:val="1"/>
                  </w:checkBox>
                </w:ffData>
              </w:fldChar>
            </w:r>
            <w:r w:rsidRPr="00D25438">
              <w:rPr>
                <w:rFonts w:ascii="Arial Narrow" w:hAnsi="Arial Narrow" w:cs="Arial"/>
                <w:snapToGrid w:val="0"/>
                <w:sz w:val="20"/>
                <w:szCs w:val="20"/>
              </w:rPr>
              <w:instrText xml:space="preserve"> FORMCHECKBOX </w:instrText>
            </w:r>
            <w:r w:rsidR="00FB454F">
              <w:rPr>
                <w:rFonts w:ascii="Arial Narrow" w:hAnsi="Arial Narrow" w:cs="Arial"/>
                <w:snapToGrid w:val="0"/>
                <w:sz w:val="20"/>
                <w:szCs w:val="20"/>
              </w:rPr>
            </w:r>
            <w:r w:rsidR="00FB454F">
              <w:rPr>
                <w:rFonts w:ascii="Arial Narrow" w:hAnsi="Arial Narrow" w:cs="Arial"/>
                <w:snapToGrid w:val="0"/>
                <w:sz w:val="20"/>
                <w:szCs w:val="20"/>
              </w:rPr>
              <w:fldChar w:fldCharType="separate"/>
            </w:r>
            <w:r w:rsidRPr="00BF5D3B">
              <w:rPr>
                <w:rFonts w:ascii="Arial Narrow" w:hAnsi="Arial Narrow" w:cs="Arial"/>
                <w:snapToGrid w:val="0"/>
                <w:sz w:val="20"/>
                <w:szCs w:val="20"/>
              </w:rPr>
              <w:fldChar w:fldCharType="end"/>
            </w:r>
            <w:r w:rsidRPr="00D25438">
              <w:rPr>
                <w:rFonts w:ascii="Arial Narrow" w:hAnsi="Arial Narrow" w:cs="Arial"/>
                <w:snapToGrid w:val="0"/>
                <w:sz w:val="20"/>
                <w:szCs w:val="20"/>
              </w:rPr>
              <w:t xml:space="preserve">Medical Practitioners    </w:t>
            </w:r>
          </w:p>
        </w:tc>
      </w:tr>
      <w:tr w:rsidR="00EB4416" w:rsidRPr="00D25438" w:rsidTr="00CC5B04">
        <w:tc>
          <w:tcPr>
            <w:tcW w:w="8926" w:type="dxa"/>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 xml:space="preserve">Restriction type: </w:t>
            </w:r>
            <w:r w:rsidRPr="00BF5D3B">
              <w:rPr>
                <w:rFonts w:ascii="Arial Narrow" w:hAnsi="Arial Narrow"/>
                <w:snapToGrid w:val="0"/>
                <w:sz w:val="20"/>
                <w:szCs w:val="20"/>
              </w:rPr>
              <w:fldChar w:fldCharType="begin">
                <w:ffData>
                  <w:name w:val=""/>
                  <w:enabled/>
                  <w:calcOnExit w:val="0"/>
                  <w:checkBox>
                    <w:sizeAuto/>
                    <w:default w:val="1"/>
                  </w:checkBox>
                </w:ffData>
              </w:fldChar>
            </w:r>
            <w:r w:rsidRPr="00D25438">
              <w:rPr>
                <w:rFonts w:ascii="Arial Narrow" w:hAnsi="Arial Narrow"/>
                <w:snapToGrid w:val="0"/>
                <w:sz w:val="20"/>
                <w:szCs w:val="20"/>
              </w:rPr>
              <w:instrText xml:space="preserve"> FORMCHECKBOX </w:instrText>
            </w:r>
            <w:r w:rsidR="00FB454F">
              <w:rPr>
                <w:rFonts w:ascii="Arial Narrow" w:hAnsi="Arial Narrow"/>
                <w:snapToGrid w:val="0"/>
                <w:sz w:val="20"/>
                <w:szCs w:val="20"/>
              </w:rPr>
            </w:r>
            <w:r w:rsidR="00FB454F">
              <w:rPr>
                <w:rFonts w:ascii="Arial Narrow" w:hAnsi="Arial Narrow"/>
                <w:snapToGrid w:val="0"/>
                <w:sz w:val="20"/>
                <w:szCs w:val="20"/>
              </w:rPr>
              <w:fldChar w:fldCharType="separate"/>
            </w:r>
            <w:r w:rsidRPr="00BF5D3B">
              <w:rPr>
                <w:rFonts w:ascii="Arial Narrow" w:hAnsi="Arial Narrow"/>
                <w:snapToGrid w:val="0"/>
                <w:sz w:val="20"/>
                <w:szCs w:val="20"/>
              </w:rPr>
              <w:fldChar w:fldCharType="end"/>
            </w:r>
            <w:r w:rsidRPr="00D25438">
              <w:rPr>
                <w:rFonts w:ascii="Arial Narrow" w:hAnsi="Arial Narrow"/>
                <w:snapToGrid w:val="0"/>
                <w:sz w:val="20"/>
                <w:szCs w:val="20"/>
              </w:rPr>
              <w:t xml:space="preserve"> Authority Required </w:t>
            </w:r>
            <w:r w:rsidR="002223A4" w:rsidRPr="00D25438">
              <w:rPr>
                <w:rFonts w:ascii="Arial Narrow" w:hAnsi="Arial Narrow"/>
                <w:snapToGrid w:val="0"/>
                <w:sz w:val="20"/>
                <w:szCs w:val="20"/>
              </w:rPr>
              <w:t>(telephone/online)</w:t>
            </w:r>
          </w:p>
        </w:tc>
      </w:tr>
      <w:tr w:rsidR="00EB4416" w:rsidRPr="00D25438" w:rsidTr="002223A4">
        <w:tc>
          <w:tcPr>
            <w:tcW w:w="8926" w:type="dxa"/>
            <w:tcBorders>
              <w:bottom w:val="nil"/>
            </w:tcBorders>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PBS indication: </w:t>
            </w:r>
            <w:r w:rsidRPr="00D25438">
              <w:rPr>
                <w:rFonts w:ascii="Arial Narrow" w:hAnsi="Arial Narrow"/>
                <w:snapToGrid w:val="0"/>
                <w:sz w:val="20"/>
                <w:szCs w:val="20"/>
              </w:rPr>
              <w:t>Castration resistant metastatic carcinoma of the prostate</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The treatment must not be used in combination with chemotherapy</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AND</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trike/>
                <w:snapToGrid w:val="0"/>
                <w:sz w:val="20"/>
                <w:szCs w:val="20"/>
              </w:rPr>
            </w:pPr>
            <w:r w:rsidRPr="00D25438">
              <w:rPr>
                <w:rFonts w:ascii="Arial Narrow" w:hAnsi="Arial Narrow"/>
                <w:b/>
                <w:strike/>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trike/>
                <w:snapToGrid w:val="0"/>
                <w:sz w:val="20"/>
                <w:szCs w:val="20"/>
              </w:rPr>
            </w:pPr>
            <w:r w:rsidRPr="00D25438">
              <w:rPr>
                <w:rFonts w:ascii="Arial Narrow" w:hAnsi="Arial Narrow"/>
                <w:strike/>
                <w:snapToGrid w:val="0"/>
                <w:sz w:val="20"/>
                <w:szCs w:val="20"/>
              </w:rPr>
              <w:t>Patient must have failed treatment with docetaxel due to resistance or intolerance</w:t>
            </w:r>
            <w:r w:rsidR="002223A4" w:rsidRPr="00D25438">
              <w:rPr>
                <w:rFonts w:ascii="Arial Narrow" w:hAnsi="Arial Narrow"/>
                <w:strike/>
                <w:snapToGrid w:val="0"/>
                <w:sz w:val="20"/>
                <w:szCs w:val="20"/>
              </w:rPr>
              <w:t>; or</w:t>
            </w:r>
          </w:p>
        </w:tc>
      </w:tr>
      <w:tr w:rsidR="00EB4416" w:rsidRPr="00D25438" w:rsidTr="002223A4">
        <w:trPr>
          <w:trHeight w:val="167"/>
        </w:trPr>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trike/>
                <w:snapToGrid w:val="0"/>
                <w:sz w:val="20"/>
                <w:szCs w:val="20"/>
              </w:rPr>
            </w:pPr>
            <w:r w:rsidRPr="00D25438">
              <w:rPr>
                <w:rFonts w:ascii="Arial Narrow" w:hAnsi="Arial Narrow"/>
                <w:strike/>
                <w:snapToGrid w:val="0"/>
                <w:sz w:val="20"/>
                <w:szCs w:val="20"/>
              </w:rPr>
              <w:t>Patient must be unsuitable for docetaxel treatment of the basis of predicted intolerance to docetaxel</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trike/>
                <w:snapToGrid w:val="0"/>
                <w:sz w:val="20"/>
                <w:szCs w:val="20"/>
              </w:rPr>
            </w:pPr>
            <w:r w:rsidRPr="00D25438">
              <w:rPr>
                <w:rFonts w:ascii="Arial Narrow" w:hAnsi="Arial Narrow"/>
                <w:b/>
                <w:strike/>
                <w:snapToGrid w:val="0"/>
                <w:sz w:val="20"/>
                <w:szCs w:val="20"/>
              </w:rPr>
              <w:t>AND</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Patient must have a WHO performance status of 2 or less</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AND</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Patient must not receive PBS-subsidised treatment with this drug if progressive disease develops while on this drug</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AND</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trike/>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Patient must not have received prior treatment with abiraterone</w:t>
            </w:r>
            <w:r w:rsidR="002223A4" w:rsidRPr="00D25438">
              <w:rPr>
                <w:rFonts w:ascii="Arial Narrow" w:hAnsi="Arial Narrow"/>
                <w:snapToGrid w:val="0"/>
                <w:sz w:val="20"/>
                <w:szCs w:val="20"/>
              </w:rPr>
              <w:t>; or</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Patient must have developed intolerance to abiraterone of a severity necessitating permanent treatment withdrawal.</w:t>
            </w:r>
          </w:p>
        </w:tc>
      </w:tr>
      <w:tr w:rsidR="00EB4416" w:rsidRPr="00D25438" w:rsidTr="002223A4">
        <w:tc>
          <w:tcPr>
            <w:tcW w:w="8926" w:type="dxa"/>
            <w:tcBorders>
              <w:top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Administrative advice:</w:t>
            </w:r>
            <w:r w:rsidRPr="00D25438">
              <w:rPr>
                <w:rFonts w:ascii="Arial Narrow" w:hAnsi="Arial Narrow"/>
                <w:snapToGrid w:val="0"/>
                <w:sz w:val="20"/>
                <w:szCs w:val="20"/>
              </w:rPr>
              <w:t xml:space="preserve"> Special Pricing Arrangements apply</w:t>
            </w:r>
          </w:p>
        </w:tc>
      </w:tr>
      <w:tr w:rsidR="00EB4416" w:rsidRPr="00D25438" w:rsidTr="00CC5B04">
        <w:tc>
          <w:tcPr>
            <w:tcW w:w="8926" w:type="dxa"/>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Administrative advice: </w:t>
            </w:r>
            <w:r w:rsidRPr="00D25438">
              <w:rPr>
                <w:rFonts w:ascii="Arial Narrow" w:hAnsi="Arial Narrow"/>
                <w:snapToGrid w:val="0"/>
                <w:sz w:val="20"/>
                <w:szCs w:val="20"/>
              </w:rPr>
              <w:t>No increase in the maximum quantity or number of units may be authorised</w:t>
            </w:r>
          </w:p>
        </w:tc>
      </w:tr>
      <w:tr w:rsidR="00EB4416" w:rsidRPr="00D25438" w:rsidTr="002223A4">
        <w:trPr>
          <w:trHeight w:val="70"/>
        </w:trPr>
        <w:tc>
          <w:tcPr>
            <w:tcW w:w="8926" w:type="dxa"/>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Administrative advice: </w:t>
            </w:r>
            <w:r w:rsidRPr="00D25438">
              <w:rPr>
                <w:rFonts w:ascii="Arial Narrow" w:hAnsi="Arial Narrow"/>
                <w:snapToGrid w:val="0"/>
                <w:sz w:val="20"/>
                <w:szCs w:val="20"/>
              </w:rPr>
              <w:t>No increase in the maximum number of repeats may be authorised</w:t>
            </w:r>
          </w:p>
        </w:tc>
      </w:tr>
    </w:tbl>
    <w:p w:rsidR="00EB4416" w:rsidRDefault="00EB4416" w:rsidP="00DA1043">
      <w:pPr>
        <w:keepNext/>
        <w:keepLines/>
        <w:rPr>
          <w:rFonts w:eastAsia="Calibri" w:cs="Calibri"/>
          <w:lang w:eastAsia="en-US"/>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1007"/>
        <w:gridCol w:w="1119"/>
        <w:gridCol w:w="993"/>
        <w:gridCol w:w="1301"/>
        <w:gridCol w:w="1250"/>
      </w:tblGrid>
      <w:tr w:rsidR="00731C9E" w:rsidRPr="00D25438" w:rsidTr="00AF6290">
        <w:trPr>
          <w:cantSplit/>
          <w:trHeight w:val="471"/>
        </w:trPr>
        <w:tc>
          <w:tcPr>
            <w:tcW w:w="1824" w:type="pct"/>
          </w:tcPr>
          <w:p w:rsidR="00731C9E" w:rsidRPr="00D25438" w:rsidRDefault="00731C9E" w:rsidP="002223A4">
            <w:pPr>
              <w:keepNext/>
              <w:ind w:left="-57"/>
              <w:rPr>
                <w:rFonts w:ascii="Arial Narrow" w:hAnsi="Arial Narrow" w:cs="Arial"/>
                <w:b/>
                <w:bCs/>
                <w:sz w:val="18"/>
                <w:szCs w:val="18"/>
              </w:rPr>
            </w:pPr>
            <w:r w:rsidRPr="00D25438">
              <w:rPr>
                <w:rFonts w:ascii="Arial Narrow" w:hAnsi="Arial Narrow" w:cs="Arial"/>
                <w:b/>
                <w:bCs/>
                <w:sz w:val="18"/>
                <w:szCs w:val="18"/>
              </w:rPr>
              <w:t>MEDICINAL PRODUCT</w:t>
            </w:r>
          </w:p>
          <w:p w:rsidR="00731C9E" w:rsidRPr="00D25438" w:rsidRDefault="002223A4" w:rsidP="002223A4">
            <w:pPr>
              <w:keepNext/>
              <w:ind w:left="-57"/>
              <w:rPr>
                <w:rFonts w:ascii="Arial Narrow" w:hAnsi="Arial Narrow" w:cs="Arial"/>
                <w:b/>
                <w:sz w:val="18"/>
                <w:szCs w:val="18"/>
              </w:rPr>
            </w:pPr>
            <w:r w:rsidRPr="00D25438">
              <w:rPr>
                <w:rFonts w:ascii="Arial Narrow" w:hAnsi="Arial Narrow" w:cs="Arial"/>
                <w:b/>
                <w:bCs/>
                <w:sz w:val="18"/>
                <w:szCs w:val="18"/>
              </w:rPr>
              <w:t>medicinal p</w:t>
            </w:r>
            <w:r w:rsidR="00731C9E" w:rsidRPr="00D25438">
              <w:rPr>
                <w:rFonts w:ascii="Arial Narrow" w:hAnsi="Arial Narrow" w:cs="Arial"/>
                <w:b/>
                <w:bCs/>
                <w:sz w:val="18"/>
                <w:szCs w:val="18"/>
              </w:rPr>
              <w:t xml:space="preserve">roduct </w:t>
            </w:r>
            <w:r w:rsidRPr="00D25438">
              <w:rPr>
                <w:rFonts w:ascii="Arial Narrow" w:hAnsi="Arial Narrow" w:cs="Arial"/>
                <w:b/>
                <w:bCs/>
                <w:sz w:val="18"/>
                <w:szCs w:val="18"/>
              </w:rPr>
              <w:t>p</w:t>
            </w:r>
            <w:r w:rsidR="00731C9E" w:rsidRPr="00D25438">
              <w:rPr>
                <w:rFonts w:ascii="Arial Narrow" w:hAnsi="Arial Narrow" w:cs="Arial"/>
                <w:b/>
                <w:bCs/>
                <w:sz w:val="18"/>
                <w:szCs w:val="18"/>
              </w:rPr>
              <w:t>ack</w:t>
            </w:r>
          </w:p>
        </w:tc>
        <w:tc>
          <w:tcPr>
            <w:tcW w:w="564" w:type="pct"/>
          </w:tcPr>
          <w:p w:rsidR="00731C9E" w:rsidRPr="00D25438" w:rsidRDefault="00731C9E" w:rsidP="00CC5B04">
            <w:pPr>
              <w:keepNext/>
              <w:ind w:left="-108"/>
              <w:jc w:val="center"/>
              <w:rPr>
                <w:rFonts w:ascii="Arial Narrow" w:hAnsi="Arial Narrow" w:cs="Arial"/>
                <w:b/>
                <w:sz w:val="18"/>
                <w:szCs w:val="18"/>
              </w:rPr>
            </w:pPr>
            <w:r w:rsidRPr="00D25438">
              <w:rPr>
                <w:rFonts w:ascii="Arial Narrow" w:hAnsi="Arial Narrow" w:cs="Arial"/>
                <w:b/>
                <w:sz w:val="18"/>
                <w:szCs w:val="18"/>
              </w:rPr>
              <w:t>PBS item code</w:t>
            </w:r>
          </w:p>
        </w:tc>
        <w:tc>
          <w:tcPr>
            <w:tcW w:w="627" w:type="pct"/>
          </w:tcPr>
          <w:p w:rsidR="00731C9E" w:rsidRPr="00D25438" w:rsidRDefault="00731C9E" w:rsidP="00CC5B04">
            <w:pPr>
              <w:keepNext/>
              <w:ind w:left="-108"/>
              <w:jc w:val="center"/>
              <w:rPr>
                <w:rFonts w:ascii="Arial Narrow" w:hAnsi="Arial Narrow" w:cs="Arial"/>
                <w:b/>
                <w:sz w:val="18"/>
                <w:szCs w:val="18"/>
              </w:rPr>
            </w:pPr>
            <w:r w:rsidRPr="00D25438">
              <w:rPr>
                <w:rFonts w:ascii="Arial Narrow" w:hAnsi="Arial Narrow" w:cs="Arial"/>
                <w:b/>
                <w:sz w:val="18"/>
                <w:szCs w:val="18"/>
              </w:rPr>
              <w:t>Max. qty packs</w:t>
            </w:r>
          </w:p>
        </w:tc>
        <w:tc>
          <w:tcPr>
            <w:tcW w:w="556" w:type="pct"/>
          </w:tcPr>
          <w:p w:rsidR="00731C9E" w:rsidRPr="00D25438" w:rsidRDefault="00731C9E" w:rsidP="00CC5B04">
            <w:pPr>
              <w:keepNext/>
              <w:ind w:left="-108"/>
              <w:jc w:val="center"/>
              <w:rPr>
                <w:rFonts w:ascii="Arial Narrow" w:hAnsi="Arial Narrow" w:cs="Arial"/>
                <w:b/>
                <w:sz w:val="18"/>
                <w:szCs w:val="18"/>
              </w:rPr>
            </w:pPr>
            <w:r w:rsidRPr="00D25438">
              <w:rPr>
                <w:rFonts w:ascii="Arial Narrow" w:hAnsi="Arial Narrow" w:cs="Arial"/>
                <w:b/>
                <w:sz w:val="18"/>
                <w:szCs w:val="18"/>
              </w:rPr>
              <w:t>Max. qty units</w:t>
            </w:r>
          </w:p>
        </w:tc>
        <w:tc>
          <w:tcPr>
            <w:tcW w:w="729" w:type="pct"/>
          </w:tcPr>
          <w:p w:rsidR="00731C9E" w:rsidRPr="00D25438" w:rsidRDefault="00731C9E" w:rsidP="00731C9E">
            <w:pPr>
              <w:keepNext/>
              <w:ind w:left="-108"/>
              <w:jc w:val="center"/>
              <w:rPr>
                <w:rFonts w:ascii="Arial Narrow" w:hAnsi="Arial Narrow" w:cs="Arial"/>
                <w:b/>
                <w:sz w:val="18"/>
                <w:szCs w:val="18"/>
              </w:rPr>
            </w:pPr>
            <w:r w:rsidRPr="00D25438">
              <w:rPr>
                <w:rFonts w:ascii="Arial Narrow" w:hAnsi="Arial Narrow" w:cs="Arial"/>
                <w:b/>
                <w:sz w:val="18"/>
                <w:szCs w:val="18"/>
              </w:rPr>
              <w:t>№.of</w:t>
            </w:r>
          </w:p>
          <w:p w:rsidR="00731C9E" w:rsidRPr="00D25438" w:rsidRDefault="00731C9E" w:rsidP="00731C9E">
            <w:pPr>
              <w:keepNext/>
              <w:jc w:val="center"/>
              <w:rPr>
                <w:rFonts w:ascii="Arial Narrow" w:hAnsi="Arial Narrow" w:cs="Arial"/>
                <w:b/>
                <w:sz w:val="18"/>
                <w:szCs w:val="18"/>
              </w:rPr>
            </w:pPr>
            <w:r w:rsidRPr="00D25438">
              <w:rPr>
                <w:rFonts w:ascii="Arial Narrow" w:hAnsi="Arial Narrow" w:cs="Arial"/>
                <w:b/>
                <w:sz w:val="18"/>
                <w:szCs w:val="18"/>
              </w:rPr>
              <w:t>Rpts</w:t>
            </w:r>
          </w:p>
        </w:tc>
        <w:tc>
          <w:tcPr>
            <w:tcW w:w="700" w:type="pct"/>
          </w:tcPr>
          <w:p w:rsidR="00731C9E" w:rsidRPr="00BF5D3B" w:rsidRDefault="00731C9E" w:rsidP="00CC5B04">
            <w:pPr>
              <w:keepNext/>
              <w:rPr>
                <w:rFonts w:ascii="Arial Narrow" w:hAnsi="Arial Narrow" w:cs="Arial"/>
                <w:b/>
                <w:sz w:val="18"/>
                <w:szCs w:val="18"/>
              </w:rPr>
            </w:pPr>
            <w:r w:rsidRPr="00D25438">
              <w:rPr>
                <w:rFonts w:ascii="Arial Narrow" w:hAnsi="Arial Narrow" w:cs="Arial"/>
                <w:b/>
                <w:sz w:val="18"/>
                <w:szCs w:val="18"/>
              </w:rPr>
              <w:t>Available brands</w:t>
            </w:r>
          </w:p>
        </w:tc>
      </w:tr>
      <w:tr w:rsidR="002223A4" w:rsidRPr="00D25438" w:rsidTr="00E24280">
        <w:trPr>
          <w:cantSplit/>
          <w:trHeight w:val="281"/>
        </w:trPr>
        <w:tc>
          <w:tcPr>
            <w:tcW w:w="5000" w:type="pct"/>
            <w:gridSpan w:val="6"/>
          </w:tcPr>
          <w:p w:rsidR="002223A4" w:rsidRPr="00D25438" w:rsidRDefault="002223A4" w:rsidP="002223A4">
            <w:pPr>
              <w:keepNext/>
              <w:ind w:left="-57"/>
              <w:rPr>
                <w:rFonts w:ascii="Arial Narrow" w:hAnsi="Arial Narrow" w:cs="Arial"/>
                <w:sz w:val="18"/>
                <w:szCs w:val="18"/>
              </w:rPr>
            </w:pPr>
            <w:r w:rsidRPr="00D25438">
              <w:rPr>
                <w:rFonts w:ascii="Arial Narrow" w:hAnsi="Arial Narrow" w:cs="Arial"/>
                <w:sz w:val="18"/>
                <w:szCs w:val="18"/>
              </w:rPr>
              <w:t>ABIRATERONE</w:t>
            </w:r>
          </w:p>
        </w:tc>
      </w:tr>
      <w:tr w:rsidR="00731C9E" w:rsidRPr="00D25438" w:rsidTr="00AF6290">
        <w:trPr>
          <w:cantSplit/>
          <w:trHeight w:val="281"/>
        </w:trPr>
        <w:tc>
          <w:tcPr>
            <w:tcW w:w="1824" w:type="pct"/>
          </w:tcPr>
          <w:p w:rsidR="00731C9E" w:rsidRPr="00D25438" w:rsidRDefault="00731C9E" w:rsidP="002223A4">
            <w:pPr>
              <w:keepNext/>
              <w:ind w:left="-57"/>
              <w:rPr>
                <w:rFonts w:ascii="Arial Narrow" w:hAnsi="Arial Narrow" w:cs="Arial"/>
                <w:sz w:val="18"/>
                <w:szCs w:val="18"/>
              </w:rPr>
            </w:pPr>
            <w:r w:rsidRPr="00D25438">
              <w:rPr>
                <w:rFonts w:ascii="Arial Narrow" w:hAnsi="Arial Narrow" w:cs="Arial"/>
                <w:sz w:val="18"/>
                <w:szCs w:val="18"/>
              </w:rPr>
              <w:t>abiraterone acetate 500 mg tablet, 60</w:t>
            </w:r>
          </w:p>
        </w:tc>
        <w:tc>
          <w:tcPr>
            <w:tcW w:w="564" w:type="pct"/>
          </w:tcPr>
          <w:p w:rsidR="00731C9E" w:rsidRPr="00D25438" w:rsidRDefault="00731C9E" w:rsidP="0069495F">
            <w:pPr>
              <w:keepNext/>
              <w:ind w:left="-108"/>
              <w:jc w:val="center"/>
              <w:rPr>
                <w:rFonts w:ascii="Arial Narrow" w:hAnsi="Arial Narrow" w:cs="Arial"/>
                <w:sz w:val="18"/>
                <w:szCs w:val="18"/>
              </w:rPr>
            </w:pPr>
            <w:r w:rsidRPr="00D25438">
              <w:rPr>
                <w:rFonts w:ascii="Arial Narrow" w:hAnsi="Arial Narrow" w:cs="Arial"/>
                <w:sz w:val="18"/>
                <w:szCs w:val="18"/>
              </w:rPr>
              <w:t>11206T</w:t>
            </w:r>
          </w:p>
        </w:tc>
        <w:tc>
          <w:tcPr>
            <w:tcW w:w="627" w:type="pct"/>
          </w:tcPr>
          <w:p w:rsidR="00731C9E" w:rsidRPr="00D25438" w:rsidRDefault="00731C9E" w:rsidP="0069495F">
            <w:pPr>
              <w:keepNext/>
              <w:jc w:val="center"/>
              <w:rPr>
                <w:rFonts w:ascii="Arial Narrow" w:hAnsi="Arial Narrow" w:cs="Arial"/>
                <w:sz w:val="18"/>
                <w:szCs w:val="18"/>
              </w:rPr>
            </w:pPr>
            <w:r w:rsidRPr="00D25438">
              <w:rPr>
                <w:rFonts w:ascii="Arial Narrow" w:hAnsi="Arial Narrow" w:cs="Arial"/>
                <w:sz w:val="18"/>
                <w:szCs w:val="18"/>
              </w:rPr>
              <w:t>1</w:t>
            </w:r>
          </w:p>
        </w:tc>
        <w:tc>
          <w:tcPr>
            <w:tcW w:w="556" w:type="pct"/>
          </w:tcPr>
          <w:p w:rsidR="00731C9E" w:rsidRPr="00D25438" w:rsidRDefault="00731C9E" w:rsidP="0069495F">
            <w:pPr>
              <w:keepNext/>
              <w:ind w:left="-108"/>
              <w:jc w:val="center"/>
              <w:rPr>
                <w:rFonts w:ascii="Arial Narrow" w:hAnsi="Arial Narrow" w:cs="Arial"/>
                <w:sz w:val="18"/>
                <w:szCs w:val="18"/>
              </w:rPr>
            </w:pPr>
            <w:r w:rsidRPr="00D25438">
              <w:rPr>
                <w:rFonts w:ascii="Arial Narrow" w:hAnsi="Arial Narrow" w:cs="Arial"/>
                <w:sz w:val="18"/>
                <w:szCs w:val="18"/>
              </w:rPr>
              <w:t>60</w:t>
            </w:r>
          </w:p>
        </w:tc>
        <w:tc>
          <w:tcPr>
            <w:tcW w:w="729" w:type="pct"/>
          </w:tcPr>
          <w:p w:rsidR="00731C9E" w:rsidRPr="00D25438" w:rsidRDefault="00731C9E" w:rsidP="00731C9E">
            <w:pPr>
              <w:keepNext/>
              <w:jc w:val="center"/>
              <w:rPr>
                <w:rFonts w:ascii="Arial Narrow" w:hAnsi="Arial Narrow" w:cs="Arial"/>
                <w:sz w:val="18"/>
                <w:szCs w:val="18"/>
              </w:rPr>
            </w:pPr>
            <w:r w:rsidRPr="00D25438">
              <w:rPr>
                <w:rFonts w:ascii="Arial Narrow" w:hAnsi="Arial Narrow" w:cs="Arial"/>
                <w:sz w:val="18"/>
                <w:szCs w:val="18"/>
              </w:rPr>
              <w:t>2</w:t>
            </w:r>
          </w:p>
        </w:tc>
        <w:tc>
          <w:tcPr>
            <w:tcW w:w="700" w:type="pct"/>
          </w:tcPr>
          <w:p w:rsidR="00731C9E" w:rsidRPr="00D25438" w:rsidRDefault="00731C9E" w:rsidP="0069495F">
            <w:pPr>
              <w:keepNext/>
              <w:rPr>
                <w:rFonts w:ascii="Arial Narrow" w:hAnsi="Arial Narrow" w:cs="Arial"/>
                <w:sz w:val="18"/>
                <w:szCs w:val="18"/>
              </w:rPr>
            </w:pPr>
            <w:r w:rsidRPr="00D25438">
              <w:rPr>
                <w:rFonts w:ascii="Arial Narrow" w:hAnsi="Arial Narrow" w:cs="Arial"/>
                <w:sz w:val="18"/>
                <w:szCs w:val="18"/>
              </w:rPr>
              <w:t>Zytiga</w:t>
            </w:r>
          </w:p>
        </w:tc>
      </w:tr>
      <w:tr w:rsidR="00731C9E" w:rsidRPr="00D25438" w:rsidTr="00AF6290">
        <w:trPr>
          <w:cantSplit/>
          <w:trHeight w:val="281"/>
        </w:trPr>
        <w:tc>
          <w:tcPr>
            <w:tcW w:w="1824" w:type="pct"/>
          </w:tcPr>
          <w:p w:rsidR="00731C9E" w:rsidRPr="00D25438" w:rsidRDefault="00731C9E" w:rsidP="002223A4">
            <w:pPr>
              <w:keepNext/>
              <w:ind w:left="-57"/>
              <w:rPr>
                <w:rFonts w:ascii="Arial Narrow" w:hAnsi="Arial Narrow" w:cs="Arial"/>
                <w:sz w:val="18"/>
                <w:szCs w:val="18"/>
              </w:rPr>
            </w:pPr>
            <w:r w:rsidRPr="00D25438">
              <w:rPr>
                <w:rFonts w:ascii="Arial Narrow" w:hAnsi="Arial Narrow" w:cs="Arial"/>
                <w:sz w:val="18"/>
                <w:szCs w:val="18"/>
              </w:rPr>
              <w:t>abiraterone acetate 250 mg tablet, 120</w:t>
            </w:r>
          </w:p>
        </w:tc>
        <w:tc>
          <w:tcPr>
            <w:tcW w:w="564" w:type="pct"/>
          </w:tcPr>
          <w:p w:rsidR="00731C9E" w:rsidRPr="00D25438" w:rsidRDefault="00731C9E" w:rsidP="0069495F">
            <w:pPr>
              <w:keepNext/>
              <w:ind w:left="-108"/>
              <w:jc w:val="center"/>
              <w:rPr>
                <w:rFonts w:ascii="Arial Narrow" w:hAnsi="Arial Narrow" w:cs="Arial"/>
                <w:sz w:val="18"/>
                <w:szCs w:val="18"/>
              </w:rPr>
            </w:pPr>
            <w:r w:rsidRPr="00D25438">
              <w:rPr>
                <w:rFonts w:ascii="Arial Narrow" w:hAnsi="Arial Narrow" w:cs="Arial"/>
                <w:sz w:val="18"/>
                <w:szCs w:val="18"/>
              </w:rPr>
              <w:t>2698B</w:t>
            </w:r>
          </w:p>
        </w:tc>
        <w:tc>
          <w:tcPr>
            <w:tcW w:w="627" w:type="pct"/>
          </w:tcPr>
          <w:p w:rsidR="00731C9E" w:rsidRPr="00D25438" w:rsidRDefault="00731C9E" w:rsidP="0069495F">
            <w:pPr>
              <w:keepNext/>
              <w:jc w:val="center"/>
              <w:rPr>
                <w:rFonts w:ascii="Arial Narrow" w:hAnsi="Arial Narrow" w:cs="Arial"/>
                <w:sz w:val="18"/>
                <w:szCs w:val="18"/>
              </w:rPr>
            </w:pPr>
            <w:r w:rsidRPr="00D25438">
              <w:rPr>
                <w:rFonts w:ascii="Arial Narrow" w:hAnsi="Arial Narrow" w:cs="Arial"/>
                <w:sz w:val="18"/>
                <w:szCs w:val="18"/>
              </w:rPr>
              <w:t>1</w:t>
            </w:r>
          </w:p>
        </w:tc>
        <w:tc>
          <w:tcPr>
            <w:tcW w:w="556" w:type="pct"/>
          </w:tcPr>
          <w:p w:rsidR="00731C9E" w:rsidRPr="00D25438" w:rsidRDefault="00731C9E" w:rsidP="0069495F">
            <w:pPr>
              <w:keepNext/>
              <w:ind w:left="-108"/>
              <w:jc w:val="center"/>
              <w:rPr>
                <w:rFonts w:ascii="Arial Narrow" w:hAnsi="Arial Narrow" w:cs="Arial"/>
                <w:sz w:val="18"/>
                <w:szCs w:val="18"/>
              </w:rPr>
            </w:pPr>
            <w:r w:rsidRPr="00D25438">
              <w:rPr>
                <w:rFonts w:ascii="Arial Narrow" w:hAnsi="Arial Narrow" w:cs="Arial"/>
                <w:sz w:val="18"/>
                <w:szCs w:val="18"/>
              </w:rPr>
              <w:t>120</w:t>
            </w:r>
          </w:p>
        </w:tc>
        <w:tc>
          <w:tcPr>
            <w:tcW w:w="729" w:type="pct"/>
          </w:tcPr>
          <w:p w:rsidR="00731C9E" w:rsidRPr="00D25438" w:rsidRDefault="00731C9E" w:rsidP="00731C9E">
            <w:pPr>
              <w:keepNext/>
              <w:jc w:val="center"/>
              <w:rPr>
                <w:rFonts w:ascii="Arial Narrow" w:hAnsi="Arial Narrow" w:cs="Arial"/>
                <w:sz w:val="18"/>
                <w:szCs w:val="18"/>
              </w:rPr>
            </w:pPr>
            <w:r w:rsidRPr="00D25438">
              <w:rPr>
                <w:rFonts w:ascii="Arial Narrow" w:hAnsi="Arial Narrow" w:cs="Arial"/>
                <w:sz w:val="18"/>
                <w:szCs w:val="18"/>
              </w:rPr>
              <w:t>2</w:t>
            </w:r>
          </w:p>
        </w:tc>
        <w:tc>
          <w:tcPr>
            <w:tcW w:w="700" w:type="pct"/>
          </w:tcPr>
          <w:p w:rsidR="00731C9E" w:rsidRPr="00D25438" w:rsidRDefault="00731C9E" w:rsidP="0069495F">
            <w:pPr>
              <w:keepNext/>
              <w:rPr>
                <w:rFonts w:ascii="Arial Narrow" w:hAnsi="Arial Narrow" w:cs="Arial"/>
                <w:sz w:val="18"/>
                <w:szCs w:val="18"/>
              </w:rPr>
            </w:pPr>
            <w:r w:rsidRPr="00D25438">
              <w:rPr>
                <w:rFonts w:ascii="Arial Narrow" w:hAnsi="Arial Narrow" w:cs="Arial"/>
                <w:sz w:val="18"/>
                <w:szCs w:val="18"/>
              </w:rPr>
              <w:t>Zytiga</w:t>
            </w:r>
          </w:p>
        </w:tc>
      </w:tr>
    </w:tbl>
    <w:tbl>
      <w:tblPr>
        <w:tblStyle w:val="TableGrid"/>
        <w:tblW w:w="0" w:type="auto"/>
        <w:tblLook w:val="04A0" w:firstRow="1" w:lastRow="0" w:firstColumn="1" w:lastColumn="0" w:noHBand="0" w:noVBand="1"/>
        <w:tblCaption w:val="Proposed listing"/>
      </w:tblPr>
      <w:tblGrid>
        <w:gridCol w:w="8926"/>
      </w:tblGrid>
      <w:tr w:rsidR="002223A4" w:rsidRPr="00D25438" w:rsidTr="009523AB">
        <w:trPr>
          <w:tblHeader/>
        </w:trPr>
        <w:tc>
          <w:tcPr>
            <w:tcW w:w="8926" w:type="dxa"/>
          </w:tcPr>
          <w:p w:rsidR="002223A4" w:rsidRPr="00D25438" w:rsidRDefault="002223A4" w:rsidP="00EB4416">
            <w:pPr>
              <w:jc w:val="left"/>
              <w:rPr>
                <w:rFonts w:ascii="Arial Narrow" w:hAnsi="Arial Narrow"/>
                <w:b/>
                <w:snapToGrid w:val="0"/>
                <w:sz w:val="20"/>
                <w:szCs w:val="20"/>
              </w:rPr>
            </w:pPr>
          </w:p>
        </w:tc>
      </w:tr>
      <w:tr w:rsidR="00EB4416" w:rsidRPr="00D25438" w:rsidTr="00CC5B04">
        <w:tc>
          <w:tcPr>
            <w:tcW w:w="8926" w:type="dxa"/>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Category/Program: </w:t>
            </w:r>
            <w:r w:rsidRPr="00D25438">
              <w:rPr>
                <w:rFonts w:ascii="Arial Narrow" w:hAnsi="Arial Narrow"/>
                <w:snapToGrid w:val="0"/>
                <w:sz w:val="20"/>
                <w:szCs w:val="20"/>
              </w:rPr>
              <w:t>GENERAL – General Schedule (GE)</w:t>
            </w:r>
          </w:p>
        </w:tc>
      </w:tr>
      <w:tr w:rsidR="00EB4416" w:rsidRPr="00D25438" w:rsidTr="00CC5B04">
        <w:trPr>
          <w:trHeight w:val="60"/>
        </w:trPr>
        <w:tc>
          <w:tcPr>
            <w:tcW w:w="8926" w:type="dxa"/>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Prescriber type:</w:t>
            </w:r>
            <w:r w:rsidR="00DD1978" w:rsidRPr="00D25438">
              <w:rPr>
                <w:rFonts w:ascii="Arial Narrow" w:hAnsi="Arial Narrow"/>
                <w:b/>
                <w:snapToGrid w:val="0"/>
                <w:sz w:val="20"/>
                <w:szCs w:val="20"/>
              </w:rPr>
              <w:t xml:space="preserve"> </w:t>
            </w:r>
            <w:r w:rsidRPr="00BF5D3B">
              <w:rPr>
                <w:rFonts w:ascii="Arial Narrow" w:hAnsi="Arial Narrow" w:cs="Arial"/>
                <w:snapToGrid w:val="0"/>
                <w:sz w:val="20"/>
                <w:szCs w:val="20"/>
              </w:rPr>
              <w:fldChar w:fldCharType="begin">
                <w:ffData>
                  <w:name w:val=""/>
                  <w:enabled/>
                  <w:calcOnExit w:val="0"/>
                  <w:checkBox>
                    <w:sizeAuto/>
                    <w:default w:val="1"/>
                  </w:checkBox>
                </w:ffData>
              </w:fldChar>
            </w:r>
            <w:r w:rsidRPr="00D25438">
              <w:rPr>
                <w:rFonts w:ascii="Arial Narrow" w:hAnsi="Arial Narrow" w:cs="Arial"/>
                <w:snapToGrid w:val="0"/>
                <w:sz w:val="20"/>
                <w:szCs w:val="20"/>
              </w:rPr>
              <w:instrText xml:space="preserve"> FORMCHECKBOX </w:instrText>
            </w:r>
            <w:r w:rsidR="00FB454F">
              <w:rPr>
                <w:rFonts w:ascii="Arial Narrow" w:hAnsi="Arial Narrow" w:cs="Arial"/>
                <w:snapToGrid w:val="0"/>
                <w:sz w:val="20"/>
                <w:szCs w:val="20"/>
              </w:rPr>
            </w:r>
            <w:r w:rsidR="00FB454F">
              <w:rPr>
                <w:rFonts w:ascii="Arial Narrow" w:hAnsi="Arial Narrow" w:cs="Arial"/>
                <w:snapToGrid w:val="0"/>
                <w:sz w:val="20"/>
                <w:szCs w:val="20"/>
              </w:rPr>
              <w:fldChar w:fldCharType="separate"/>
            </w:r>
            <w:r w:rsidRPr="00BF5D3B">
              <w:rPr>
                <w:rFonts w:ascii="Arial Narrow" w:hAnsi="Arial Narrow" w:cs="Arial"/>
                <w:snapToGrid w:val="0"/>
                <w:sz w:val="20"/>
                <w:szCs w:val="20"/>
              </w:rPr>
              <w:fldChar w:fldCharType="end"/>
            </w:r>
            <w:r w:rsidRPr="00D25438">
              <w:rPr>
                <w:rFonts w:ascii="Arial Narrow" w:hAnsi="Arial Narrow" w:cs="Arial"/>
                <w:snapToGrid w:val="0"/>
                <w:sz w:val="20"/>
                <w:szCs w:val="20"/>
              </w:rPr>
              <w:t xml:space="preserve">Medical Practitioners    </w:t>
            </w:r>
          </w:p>
        </w:tc>
      </w:tr>
      <w:tr w:rsidR="00EB4416" w:rsidRPr="00D25438" w:rsidTr="00CC5B04">
        <w:tc>
          <w:tcPr>
            <w:tcW w:w="8926" w:type="dxa"/>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 xml:space="preserve">Restriction type: </w:t>
            </w:r>
            <w:r w:rsidRPr="00BF5D3B">
              <w:rPr>
                <w:rFonts w:ascii="Arial Narrow" w:hAnsi="Arial Narrow"/>
                <w:snapToGrid w:val="0"/>
                <w:sz w:val="20"/>
                <w:szCs w:val="20"/>
              </w:rPr>
              <w:fldChar w:fldCharType="begin">
                <w:ffData>
                  <w:name w:val=""/>
                  <w:enabled/>
                  <w:calcOnExit w:val="0"/>
                  <w:checkBox>
                    <w:sizeAuto/>
                    <w:default w:val="1"/>
                  </w:checkBox>
                </w:ffData>
              </w:fldChar>
            </w:r>
            <w:r w:rsidRPr="00D25438">
              <w:rPr>
                <w:rFonts w:ascii="Arial Narrow" w:hAnsi="Arial Narrow"/>
                <w:snapToGrid w:val="0"/>
                <w:sz w:val="20"/>
                <w:szCs w:val="20"/>
              </w:rPr>
              <w:instrText xml:space="preserve"> FORMCHECKBOX </w:instrText>
            </w:r>
            <w:r w:rsidR="00FB454F">
              <w:rPr>
                <w:rFonts w:ascii="Arial Narrow" w:hAnsi="Arial Narrow"/>
                <w:snapToGrid w:val="0"/>
                <w:sz w:val="20"/>
                <w:szCs w:val="20"/>
              </w:rPr>
            </w:r>
            <w:r w:rsidR="00FB454F">
              <w:rPr>
                <w:rFonts w:ascii="Arial Narrow" w:hAnsi="Arial Narrow"/>
                <w:snapToGrid w:val="0"/>
                <w:sz w:val="20"/>
                <w:szCs w:val="20"/>
              </w:rPr>
              <w:fldChar w:fldCharType="separate"/>
            </w:r>
            <w:r w:rsidRPr="00BF5D3B">
              <w:rPr>
                <w:rFonts w:ascii="Arial Narrow" w:hAnsi="Arial Narrow"/>
                <w:snapToGrid w:val="0"/>
                <w:sz w:val="20"/>
                <w:szCs w:val="20"/>
              </w:rPr>
              <w:fldChar w:fldCharType="end"/>
            </w:r>
            <w:r w:rsidRPr="00D25438">
              <w:rPr>
                <w:rFonts w:ascii="Arial Narrow" w:hAnsi="Arial Narrow"/>
                <w:snapToGrid w:val="0"/>
                <w:sz w:val="20"/>
                <w:szCs w:val="20"/>
              </w:rPr>
              <w:t xml:space="preserve"> Authority Required </w:t>
            </w:r>
          </w:p>
        </w:tc>
      </w:tr>
      <w:tr w:rsidR="00EB4416" w:rsidRPr="00D25438" w:rsidTr="002223A4">
        <w:tc>
          <w:tcPr>
            <w:tcW w:w="8926" w:type="dxa"/>
            <w:tcBorders>
              <w:bottom w:val="nil"/>
            </w:tcBorders>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PBS indication: </w:t>
            </w:r>
            <w:r w:rsidRPr="00D25438">
              <w:rPr>
                <w:rFonts w:ascii="Arial Narrow" w:hAnsi="Arial Narrow"/>
                <w:snapToGrid w:val="0"/>
                <w:sz w:val="20"/>
                <w:szCs w:val="20"/>
              </w:rPr>
              <w:t>Castration resistant metastatic carcinoma of the prostate</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The treatment must be used in combination with a corticosteroid</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AND</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The treatment must not be used in combination with chemotherapy</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AND</w:t>
            </w:r>
          </w:p>
        </w:tc>
      </w:tr>
      <w:tr w:rsidR="00EB4416" w:rsidRPr="00D25438" w:rsidTr="002223A4">
        <w:tc>
          <w:tcPr>
            <w:tcW w:w="8926" w:type="dxa"/>
            <w:tcBorders>
              <w:top w:val="nil"/>
              <w:bottom w:val="nil"/>
            </w:tcBorders>
          </w:tcPr>
          <w:p w:rsidR="00EB4416" w:rsidRPr="00D25438" w:rsidRDefault="00EB4416" w:rsidP="002223A4">
            <w:pPr>
              <w:ind w:left="-57"/>
              <w:jc w:val="left"/>
              <w:rPr>
                <w:rFonts w:ascii="Arial Narrow" w:hAnsi="Arial Narrow"/>
                <w:b/>
                <w:strike/>
                <w:snapToGrid w:val="0"/>
                <w:sz w:val="20"/>
                <w:szCs w:val="20"/>
              </w:rPr>
            </w:pPr>
            <w:r w:rsidRPr="00D25438">
              <w:rPr>
                <w:rFonts w:ascii="Arial Narrow" w:hAnsi="Arial Narrow"/>
                <w:b/>
                <w:strike/>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trike/>
                <w:snapToGrid w:val="0"/>
                <w:sz w:val="20"/>
                <w:szCs w:val="20"/>
              </w:rPr>
            </w:pPr>
            <w:r w:rsidRPr="00D25438">
              <w:rPr>
                <w:rFonts w:ascii="Arial Narrow" w:hAnsi="Arial Narrow"/>
                <w:strike/>
                <w:snapToGrid w:val="0"/>
                <w:sz w:val="20"/>
                <w:szCs w:val="20"/>
              </w:rPr>
              <w:t>Patient must have failed treatment with docetaxel due to resistance or intolerance</w:t>
            </w:r>
            <w:r w:rsidR="002223A4" w:rsidRPr="00D25438">
              <w:rPr>
                <w:rFonts w:ascii="Arial Narrow" w:hAnsi="Arial Narrow"/>
                <w:strike/>
                <w:snapToGrid w:val="0"/>
                <w:sz w:val="20"/>
                <w:szCs w:val="20"/>
              </w:rPr>
              <w:t>; or</w:t>
            </w:r>
          </w:p>
        </w:tc>
      </w:tr>
      <w:tr w:rsidR="00EB4416" w:rsidRPr="00D25438" w:rsidTr="002223A4">
        <w:trPr>
          <w:trHeight w:val="167"/>
        </w:trPr>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trike/>
                <w:snapToGrid w:val="0"/>
                <w:sz w:val="20"/>
                <w:szCs w:val="20"/>
              </w:rPr>
            </w:pPr>
            <w:r w:rsidRPr="00D25438">
              <w:rPr>
                <w:rFonts w:ascii="Arial Narrow" w:hAnsi="Arial Narrow"/>
                <w:strike/>
                <w:snapToGrid w:val="0"/>
                <w:sz w:val="20"/>
                <w:szCs w:val="20"/>
              </w:rPr>
              <w:t>Patient must be unsuitable for docetaxel treatment of the basis of predicted intolerance to docetaxel</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trike/>
                <w:snapToGrid w:val="0"/>
                <w:sz w:val="20"/>
                <w:szCs w:val="20"/>
              </w:rPr>
            </w:pPr>
            <w:r w:rsidRPr="00D25438">
              <w:rPr>
                <w:rFonts w:ascii="Arial Narrow" w:hAnsi="Arial Narrow"/>
                <w:b/>
                <w:strike/>
                <w:snapToGrid w:val="0"/>
                <w:sz w:val="20"/>
                <w:szCs w:val="20"/>
              </w:rPr>
              <w:t>AND</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Patient must have a WHO performance status of 2 or less</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AND</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lastRenderedPageBreak/>
              <w:t>Patient must not receive PBS-subsidised treatment abiraterone if progressive disease develops while on abiraterone</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napToGrid w:val="0"/>
                <w:sz w:val="20"/>
                <w:szCs w:val="20"/>
              </w:rPr>
            </w:pPr>
            <w:r w:rsidRPr="00D25438">
              <w:rPr>
                <w:rFonts w:ascii="Arial Narrow" w:hAnsi="Arial Narrow"/>
                <w:b/>
                <w:snapToGrid w:val="0"/>
                <w:sz w:val="20"/>
                <w:szCs w:val="20"/>
              </w:rPr>
              <w:t>AND</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b/>
                <w:strike/>
                <w:snapToGrid w:val="0"/>
                <w:sz w:val="20"/>
                <w:szCs w:val="20"/>
              </w:rPr>
            </w:pPr>
            <w:r w:rsidRPr="00D25438">
              <w:rPr>
                <w:rFonts w:ascii="Arial Narrow" w:hAnsi="Arial Narrow"/>
                <w:b/>
                <w:snapToGrid w:val="0"/>
                <w:sz w:val="20"/>
                <w:szCs w:val="20"/>
              </w:rPr>
              <w:t>Clinical criteria:</w:t>
            </w:r>
          </w:p>
        </w:tc>
      </w:tr>
      <w:tr w:rsidR="00EB4416" w:rsidRPr="00D25438" w:rsidTr="002223A4">
        <w:tc>
          <w:tcPr>
            <w:tcW w:w="8926" w:type="dxa"/>
            <w:tcBorders>
              <w:top w:val="nil"/>
              <w:bottom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Patient must not have received prior treatment with enzalutamide</w:t>
            </w:r>
            <w:r w:rsidR="002223A4" w:rsidRPr="00D25438">
              <w:rPr>
                <w:rFonts w:ascii="Arial Narrow" w:hAnsi="Arial Narrow"/>
                <w:snapToGrid w:val="0"/>
                <w:sz w:val="20"/>
                <w:szCs w:val="20"/>
              </w:rPr>
              <w:t>; or</w:t>
            </w:r>
          </w:p>
        </w:tc>
      </w:tr>
      <w:tr w:rsidR="00EB4416" w:rsidRPr="00D25438" w:rsidTr="002223A4">
        <w:tc>
          <w:tcPr>
            <w:tcW w:w="8926" w:type="dxa"/>
            <w:tcBorders>
              <w:top w:val="nil"/>
            </w:tcBorders>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snapToGrid w:val="0"/>
                <w:sz w:val="20"/>
                <w:szCs w:val="20"/>
              </w:rPr>
              <w:t>Patient must have developed intolerance to enzalutamide of a severity necessitating permanent treatment withdrawal.</w:t>
            </w:r>
          </w:p>
        </w:tc>
      </w:tr>
      <w:tr w:rsidR="00EB4416" w:rsidRPr="00D25438" w:rsidTr="00CC5B04">
        <w:tc>
          <w:tcPr>
            <w:tcW w:w="8926" w:type="dxa"/>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Administrative advice:</w:t>
            </w:r>
            <w:r w:rsidRPr="00D25438">
              <w:rPr>
                <w:rFonts w:ascii="Arial Narrow" w:hAnsi="Arial Narrow"/>
                <w:snapToGrid w:val="0"/>
                <w:sz w:val="20"/>
                <w:szCs w:val="20"/>
              </w:rPr>
              <w:t xml:space="preserve"> Special Pricing Arrangements apply</w:t>
            </w:r>
          </w:p>
        </w:tc>
      </w:tr>
      <w:tr w:rsidR="00EB4416" w:rsidRPr="00D25438" w:rsidTr="00CC5B04">
        <w:tc>
          <w:tcPr>
            <w:tcW w:w="8926" w:type="dxa"/>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Administrative advice: </w:t>
            </w:r>
            <w:r w:rsidRPr="00D25438">
              <w:rPr>
                <w:rFonts w:ascii="Arial Narrow" w:hAnsi="Arial Narrow"/>
                <w:snapToGrid w:val="0"/>
                <w:sz w:val="20"/>
                <w:szCs w:val="20"/>
              </w:rPr>
              <w:t>No increase in the maximum quantity or number of units may be authorised</w:t>
            </w:r>
          </w:p>
        </w:tc>
      </w:tr>
      <w:tr w:rsidR="00EB4416" w:rsidRPr="00D25438" w:rsidTr="00CC5B04">
        <w:tc>
          <w:tcPr>
            <w:tcW w:w="8926" w:type="dxa"/>
            <w:shd w:val="clear" w:color="auto" w:fill="auto"/>
          </w:tcPr>
          <w:p w:rsidR="00EB4416" w:rsidRPr="00D25438" w:rsidRDefault="00EB4416" w:rsidP="002223A4">
            <w:pPr>
              <w:ind w:left="-57"/>
              <w:jc w:val="left"/>
              <w:rPr>
                <w:rFonts w:ascii="Arial Narrow" w:hAnsi="Arial Narrow"/>
                <w:snapToGrid w:val="0"/>
                <w:sz w:val="20"/>
                <w:szCs w:val="20"/>
              </w:rPr>
            </w:pPr>
            <w:r w:rsidRPr="00D25438">
              <w:rPr>
                <w:rFonts w:ascii="Arial Narrow" w:hAnsi="Arial Narrow"/>
                <w:b/>
                <w:snapToGrid w:val="0"/>
                <w:sz w:val="20"/>
                <w:szCs w:val="20"/>
              </w:rPr>
              <w:t xml:space="preserve">Administrative advice: </w:t>
            </w:r>
            <w:r w:rsidRPr="00D25438">
              <w:rPr>
                <w:rFonts w:ascii="Arial Narrow" w:hAnsi="Arial Narrow"/>
                <w:snapToGrid w:val="0"/>
                <w:sz w:val="20"/>
                <w:szCs w:val="20"/>
              </w:rPr>
              <w:t>No increase in the maximum number of repeats may be authorised</w:t>
            </w:r>
          </w:p>
        </w:tc>
      </w:tr>
    </w:tbl>
    <w:p w:rsidR="003A512D" w:rsidRPr="00D25438" w:rsidRDefault="003A512D" w:rsidP="00EB4416">
      <w:pPr>
        <w:rPr>
          <w:rFonts w:asciiTheme="minorHAnsi" w:eastAsiaTheme="minorHAnsi" w:hAnsiTheme="minorHAnsi" w:cstheme="minorBidi"/>
          <w:b/>
          <w:i/>
          <w:color w:val="000000" w:themeColor="text1"/>
          <w:lang w:eastAsia="en-US"/>
        </w:rPr>
      </w:pPr>
    </w:p>
    <w:p w:rsidR="002C1564" w:rsidRPr="00D25438" w:rsidRDefault="00C6698F" w:rsidP="002C1564">
      <w:pPr>
        <w:pStyle w:val="3Bodytext"/>
        <w:jc w:val="both"/>
      </w:pPr>
      <w:r w:rsidRPr="00D25438">
        <w:t>The intent</w:t>
      </w:r>
      <w:r w:rsidR="00514EFE" w:rsidRPr="00D25438">
        <w:t>, which remains unchanged,</w:t>
      </w:r>
      <w:r w:rsidRPr="00D25438">
        <w:t xml:space="preserve"> is that a patient could only </w:t>
      </w:r>
      <w:r w:rsidR="00254F0F" w:rsidRPr="00D25438">
        <w:t>receive</w:t>
      </w:r>
      <w:r w:rsidR="00AF6290" w:rsidRPr="00D25438">
        <w:t xml:space="preserve"> </w:t>
      </w:r>
      <w:r w:rsidR="00514EFE" w:rsidRPr="00D25438">
        <w:t>either enzalutamide or abiraterone</w:t>
      </w:r>
      <w:r w:rsidRPr="00D25438">
        <w:t xml:space="preserve"> once per lifetime. </w:t>
      </w:r>
    </w:p>
    <w:p w:rsidR="0065310F" w:rsidRPr="00D25438" w:rsidRDefault="0065310F" w:rsidP="0065310F">
      <w:pPr>
        <w:pStyle w:val="3Bodytext"/>
        <w:numPr>
          <w:ilvl w:val="0"/>
          <w:numId w:val="0"/>
        </w:numPr>
        <w:ind w:left="720"/>
        <w:jc w:val="both"/>
        <w:rPr>
          <w:i/>
        </w:rPr>
      </w:pPr>
      <w:r w:rsidRPr="00D25438">
        <w:rPr>
          <w:i/>
        </w:rPr>
        <w:t>For more detail on PBAC’s view, see section 5 PBAC outcome.</w:t>
      </w:r>
    </w:p>
    <w:p w:rsidR="000B558D" w:rsidRPr="00D25438" w:rsidRDefault="008D7A41" w:rsidP="0002657A">
      <w:pPr>
        <w:pStyle w:val="Heading1"/>
        <w:keepNext/>
        <w:keepLines/>
        <w:numPr>
          <w:ilvl w:val="0"/>
          <w:numId w:val="3"/>
        </w:numPr>
        <w:spacing w:before="240"/>
        <w:ind w:left="709" w:hanging="709"/>
        <w:rPr>
          <w:sz w:val="32"/>
          <w:szCs w:val="32"/>
        </w:rPr>
      </w:pPr>
      <w:r w:rsidRPr="00D25438">
        <w:rPr>
          <w:sz w:val="32"/>
          <w:szCs w:val="32"/>
        </w:rPr>
        <w:t>C</w:t>
      </w:r>
      <w:r w:rsidR="00756846" w:rsidRPr="00D25438">
        <w:rPr>
          <w:sz w:val="32"/>
          <w:szCs w:val="32"/>
        </w:rPr>
        <w:t>urrent c</w:t>
      </w:r>
      <w:r w:rsidR="00D84934" w:rsidRPr="00D25438">
        <w:rPr>
          <w:sz w:val="32"/>
          <w:szCs w:val="32"/>
        </w:rPr>
        <w:t>onsideration</w:t>
      </w:r>
      <w:r w:rsidR="00756846" w:rsidRPr="00D25438">
        <w:rPr>
          <w:sz w:val="32"/>
          <w:szCs w:val="32"/>
        </w:rPr>
        <w:t>s</w:t>
      </w:r>
    </w:p>
    <w:p w:rsidR="00872ABA" w:rsidRPr="00D25438" w:rsidRDefault="00872ABA" w:rsidP="0002657A">
      <w:pPr>
        <w:pStyle w:val="4-SubsectionHeading"/>
        <w:rPr>
          <w:snapToGrid w:val="0"/>
        </w:rPr>
      </w:pPr>
      <w:r w:rsidRPr="00D25438">
        <w:rPr>
          <w:snapToGrid w:val="0"/>
        </w:rPr>
        <w:t>Estimated PBS usage</w:t>
      </w:r>
    </w:p>
    <w:p w:rsidR="0070464F" w:rsidRPr="00D25438" w:rsidRDefault="0070464F" w:rsidP="0002657A">
      <w:pPr>
        <w:pStyle w:val="3Bodytext"/>
        <w:keepNext/>
        <w:jc w:val="both"/>
        <w:rPr>
          <w:i/>
        </w:rPr>
      </w:pPr>
      <w:r w:rsidRPr="00E71444">
        <w:t>Data provided by the DUSC Secretariat</w:t>
      </w:r>
      <w:r w:rsidR="0002657A" w:rsidRPr="00E71444">
        <w:t>, (which was provided to the sponsors of abiraterone</w:t>
      </w:r>
      <w:r w:rsidR="004317DE" w:rsidRPr="00E71444">
        <w:t>, cabazitaxel</w:t>
      </w:r>
      <w:r w:rsidR="0002657A" w:rsidRPr="00D25438">
        <w:t xml:space="preserve"> and enzalutamide in September 2020 for the years 2013 to 2019),</w:t>
      </w:r>
      <w:r w:rsidRPr="00D25438">
        <w:t xml:space="preserve"> indicate</w:t>
      </w:r>
      <w:r w:rsidR="00514EFE" w:rsidRPr="00D25438">
        <w:t>d</w:t>
      </w:r>
      <w:r w:rsidRPr="00D25438">
        <w:t xml:space="preserve"> that the majority of use of abiraterone and enzalutamide </w:t>
      </w:r>
      <w:r w:rsidR="00514EFE" w:rsidRPr="00E71444">
        <w:t>wa</w:t>
      </w:r>
      <w:r w:rsidR="00DD7917" w:rsidRPr="00E71444">
        <w:t>s in patient</w:t>
      </w:r>
      <w:r w:rsidR="00DD7917" w:rsidRPr="00D25438">
        <w:t>s who ha</w:t>
      </w:r>
      <w:r w:rsidR="00514EFE" w:rsidRPr="00D25438">
        <w:t>d</w:t>
      </w:r>
      <w:r w:rsidR="00DD7917" w:rsidRPr="00D25438">
        <w:t xml:space="preserve"> not received prior treatment with docetaxel </w:t>
      </w:r>
      <w:r w:rsidRPr="00D25438">
        <w:t>(69%</w:t>
      </w:r>
      <w:r w:rsidR="004251C6" w:rsidRPr="00D25438">
        <w:t xml:space="preserve"> </w:t>
      </w:r>
      <w:r w:rsidRPr="00D25438">
        <w:t>of patients</w:t>
      </w:r>
      <w:r w:rsidR="00DD7917" w:rsidRPr="00D25438">
        <w:t xml:space="preserve"> in </w:t>
      </w:r>
      <w:r w:rsidR="00DD7917" w:rsidRPr="00D25438">
        <w:lastRenderedPageBreak/>
        <w:t>20</w:t>
      </w:r>
      <w:r w:rsidR="004251C6" w:rsidRPr="00D25438">
        <w:t>20</w:t>
      </w:r>
      <w:r w:rsidRPr="00D25438">
        <w:t>)</w:t>
      </w:r>
      <w:r w:rsidR="00DD7917" w:rsidRPr="00D25438">
        <w:t>.</w:t>
      </w:r>
      <w:r w:rsidRPr="00D25438">
        <w:t xml:space="preserve"> It should be noted that some of the use of docetaxel may have been in the castrate-sensitive setting</w:t>
      </w:r>
      <w:r w:rsidR="00DD7917" w:rsidRPr="00D25438">
        <w:t>.</w:t>
      </w:r>
    </w:p>
    <w:p w:rsidR="008F70B4" w:rsidRPr="00BF5D3B" w:rsidRDefault="008F70B4" w:rsidP="008F70B4">
      <w:pPr>
        <w:keepNext/>
        <w:keepLines/>
        <w:rPr>
          <w:rStyle w:val="CommentReference"/>
        </w:rPr>
      </w:pPr>
      <w:r w:rsidRPr="00D25438">
        <w:rPr>
          <w:rStyle w:val="CommentReference"/>
        </w:rPr>
        <w:t>Table 1: DUSC Secretariat analysis of abiraterone, enzalutamide and cabazitaxel use, 2014 to 20</w:t>
      </w:r>
      <w:r w:rsidR="00B03DEE" w:rsidRPr="00D25438">
        <w:rPr>
          <w:rStyle w:val="CommentReference"/>
        </w:rPr>
        <w:t>20</w:t>
      </w:r>
      <w:r w:rsidRPr="00D25438">
        <w:rPr>
          <w:rStyle w:val="CommentReference"/>
        </w:rPr>
        <w:t>*</w:t>
      </w:r>
    </w:p>
    <w:tbl>
      <w:tblPr>
        <w:tblStyle w:val="TableGrid"/>
        <w:tblW w:w="5000" w:type="pct"/>
        <w:tblLook w:val="04A0" w:firstRow="1" w:lastRow="0" w:firstColumn="1" w:lastColumn="0" w:noHBand="0" w:noVBand="1"/>
        <w:tblCaption w:val="Table 1: DUSC Secretariat analysis of abiraterone, enzalutamide and cabazitaxel use, 2014 to 2020*"/>
      </w:tblPr>
      <w:tblGrid>
        <w:gridCol w:w="2547"/>
        <w:gridCol w:w="924"/>
        <w:gridCol w:w="923"/>
        <w:gridCol w:w="923"/>
        <w:gridCol w:w="923"/>
        <w:gridCol w:w="923"/>
        <w:gridCol w:w="923"/>
        <w:gridCol w:w="930"/>
      </w:tblGrid>
      <w:tr w:rsidR="00A07A66" w:rsidRPr="00D25438" w:rsidTr="009523AB">
        <w:trPr>
          <w:trHeight w:val="178"/>
          <w:tblHeader/>
        </w:trPr>
        <w:tc>
          <w:tcPr>
            <w:tcW w:w="1412" w:type="pct"/>
            <w:tcMar>
              <w:left w:w="28" w:type="dxa"/>
              <w:right w:w="28" w:type="dxa"/>
            </w:tcMar>
          </w:tcPr>
          <w:p w:rsidR="00293262" w:rsidRPr="00D25438" w:rsidRDefault="00293262" w:rsidP="008F70B4">
            <w:pPr>
              <w:pStyle w:val="3-BodyText"/>
              <w:keepNext/>
              <w:keepLines/>
              <w:numPr>
                <w:ilvl w:val="0"/>
                <w:numId w:val="0"/>
              </w:numPr>
              <w:spacing w:after="0"/>
              <w:rPr>
                <w:rFonts w:ascii="Arial Narrow" w:hAnsi="Arial Narrow"/>
                <w:b/>
                <w:sz w:val="20"/>
                <w:szCs w:val="20"/>
              </w:rPr>
            </w:pPr>
          </w:p>
        </w:tc>
        <w:tc>
          <w:tcPr>
            <w:tcW w:w="512" w:type="pct"/>
            <w:tcMar>
              <w:left w:w="28" w:type="dxa"/>
              <w:right w:w="28" w:type="dxa"/>
            </w:tcMar>
          </w:tcPr>
          <w:p w:rsidR="00293262" w:rsidRPr="00D25438" w:rsidRDefault="00293262" w:rsidP="008F70B4">
            <w:pPr>
              <w:pStyle w:val="3-BodyText"/>
              <w:keepNext/>
              <w:keepLines/>
              <w:numPr>
                <w:ilvl w:val="0"/>
                <w:numId w:val="0"/>
              </w:numPr>
              <w:spacing w:after="0"/>
              <w:jc w:val="center"/>
              <w:rPr>
                <w:rFonts w:ascii="Arial Narrow" w:hAnsi="Arial Narrow"/>
                <w:b/>
                <w:sz w:val="20"/>
                <w:szCs w:val="20"/>
              </w:rPr>
            </w:pPr>
            <w:r w:rsidRPr="00D25438">
              <w:rPr>
                <w:rFonts w:ascii="Arial Narrow" w:hAnsi="Arial Narrow"/>
                <w:b/>
                <w:sz w:val="20"/>
                <w:szCs w:val="20"/>
              </w:rPr>
              <w:t>2014</w:t>
            </w:r>
          </w:p>
        </w:tc>
        <w:tc>
          <w:tcPr>
            <w:tcW w:w="512" w:type="pct"/>
            <w:tcMar>
              <w:left w:w="28" w:type="dxa"/>
              <w:right w:w="28" w:type="dxa"/>
            </w:tcMar>
          </w:tcPr>
          <w:p w:rsidR="00293262" w:rsidRPr="00D25438" w:rsidRDefault="00293262" w:rsidP="008F70B4">
            <w:pPr>
              <w:pStyle w:val="3-BodyText"/>
              <w:keepNext/>
              <w:keepLines/>
              <w:numPr>
                <w:ilvl w:val="0"/>
                <w:numId w:val="0"/>
              </w:numPr>
              <w:spacing w:after="0"/>
              <w:jc w:val="center"/>
              <w:rPr>
                <w:rFonts w:ascii="Arial Narrow" w:hAnsi="Arial Narrow"/>
                <w:b/>
                <w:sz w:val="20"/>
                <w:szCs w:val="20"/>
              </w:rPr>
            </w:pPr>
            <w:r w:rsidRPr="00D25438">
              <w:rPr>
                <w:rFonts w:ascii="Arial Narrow" w:hAnsi="Arial Narrow"/>
                <w:b/>
                <w:sz w:val="20"/>
                <w:szCs w:val="20"/>
              </w:rPr>
              <w:t>2015</w:t>
            </w:r>
          </w:p>
        </w:tc>
        <w:tc>
          <w:tcPr>
            <w:tcW w:w="512" w:type="pct"/>
            <w:tcMar>
              <w:left w:w="28" w:type="dxa"/>
              <w:right w:w="28" w:type="dxa"/>
            </w:tcMar>
          </w:tcPr>
          <w:p w:rsidR="00293262" w:rsidRPr="00D25438" w:rsidRDefault="00293262" w:rsidP="008F70B4">
            <w:pPr>
              <w:pStyle w:val="3-BodyText"/>
              <w:keepNext/>
              <w:keepLines/>
              <w:numPr>
                <w:ilvl w:val="0"/>
                <w:numId w:val="0"/>
              </w:numPr>
              <w:spacing w:after="0"/>
              <w:jc w:val="center"/>
              <w:rPr>
                <w:rFonts w:ascii="Arial Narrow" w:hAnsi="Arial Narrow"/>
                <w:b/>
                <w:sz w:val="20"/>
                <w:szCs w:val="20"/>
              </w:rPr>
            </w:pPr>
            <w:r w:rsidRPr="00D25438">
              <w:rPr>
                <w:rFonts w:ascii="Arial Narrow" w:hAnsi="Arial Narrow"/>
                <w:b/>
                <w:sz w:val="20"/>
                <w:szCs w:val="20"/>
              </w:rPr>
              <w:t>2016</w:t>
            </w:r>
          </w:p>
        </w:tc>
        <w:tc>
          <w:tcPr>
            <w:tcW w:w="512" w:type="pct"/>
            <w:tcMar>
              <w:left w:w="28" w:type="dxa"/>
              <w:right w:w="28" w:type="dxa"/>
            </w:tcMar>
          </w:tcPr>
          <w:p w:rsidR="00293262" w:rsidRPr="00D25438" w:rsidRDefault="00293262" w:rsidP="008F70B4">
            <w:pPr>
              <w:pStyle w:val="3-BodyText"/>
              <w:keepNext/>
              <w:keepLines/>
              <w:numPr>
                <w:ilvl w:val="0"/>
                <w:numId w:val="0"/>
              </w:numPr>
              <w:spacing w:after="0"/>
              <w:jc w:val="center"/>
              <w:rPr>
                <w:rFonts w:ascii="Arial Narrow" w:hAnsi="Arial Narrow"/>
                <w:b/>
                <w:sz w:val="20"/>
                <w:szCs w:val="20"/>
              </w:rPr>
            </w:pPr>
            <w:r w:rsidRPr="00D25438">
              <w:rPr>
                <w:rFonts w:ascii="Arial Narrow" w:hAnsi="Arial Narrow"/>
                <w:b/>
                <w:sz w:val="20"/>
                <w:szCs w:val="20"/>
              </w:rPr>
              <w:t>2017</w:t>
            </w:r>
          </w:p>
        </w:tc>
        <w:tc>
          <w:tcPr>
            <w:tcW w:w="512" w:type="pct"/>
            <w:tcMar>
              <w:left w:w="28" w:type="dxa"/>
              <w:right w:w="28" w:type="dxa"/>
            </w:tcMar>
          </w:tcPr>
          <w:p w:rsidR="00293262" w:rsidRPr="00D25438" w:rsidRDefault="00293262" w:rsidP="008F70B4">
            <w:pPr>
              <w:pStyle w:val="3-BodyText"/>
              <w:keepNext/>
              <w:keepLines/>
              <w:numPr>
                <w:ilvl w:val="0"/>
                <w:numId w:val="0"/>
              </w:numPr>
              <w:spacing w:after="0"/>
              <w:jc w:val="center"/>
              <w:rPr>
                <w:rFonts w:ascii="Arial Narrow" w:hAnsi="Arial Narrow"/>
                <w:b/>
                <w:sz w:val="20"/>
                <w:szCs w:val="20"/>
              </w:rPr>
            </w:pPr>
            <w:r w:rsidRPr="00D25438">
              <w:rPr>
                <w:rFonts w:ascii="Arial Narrow" w:hAnsi="Arial Narrow"/>
                <w:b/>
                <w:sz w:val="20"/>
                <w:szCs w:val="20"/>
              </w:rPr>
              <w:t>2018</w:t>
            </w:r>
          </w:p>
        </w:tc>
        <w:tc>
          <w:tcPr>
            <w:tcW w:w="512" w:type="pct"/>
            <w:tcMar>
              <w:left w:w="28" w:type="dxa"/>
              <w:right w:w="28" w:type="dxa"/>
            </w:tcMar>
          </w:tcPr>
          <w:p w:rsidR="00293262" w:rsidRPr="00D25438" w:rsidRDefault="00293262" w:rsidP="008F70B4">
            <w:pPr>
              <w:pStyle w:val="3-BodyText"/>
              <w:keepNext/>
              <w:keepLines/>
              <w:numPr>
                <w:ilvl w:val="0"/>
                <w:numId w:val="0"/>
              </w:numPr>
              <w:spacing w:after="0"/>
              <w:jc w:val="center"/>
              <w:rPr>
                <w:rFonts w:ascii="Arial Narrow" w:hAnsi="Arial Narrow"/>
                <w:b/>
                <w:sz w:val="20"/>
                <w:szCs w:val="20"/>
              </w:rPr>
            </w:pPr>
            <w:r w:rsidRPr="00D25438">
              <w:rPr>
                <w:rFonts w:ascii="Arial Narrow" w:hAnsi="Arial Narrow"/>
                <w:b/>
                <w:sz w:val="20"/>
                <w:szCs w:val="20"/>
              </w:rPr>
              <w:t>2019</w:t>
            </w:r>
          </w:p>
        </w:tc>
        <w:tc>
          <w:tcPr>
            <w:tcW w:w="516" w:type="pct"/>
          </w:tcPr>
          <w:p w:rsidR="00293262" w:rsidRPr="00D25438" w:rsidRDefault="00293262" w:rsidP="008F70B4">
            <w:pPr>
              <w:pStyle w:val="3-BodyText"/>
              <w:keepNext/>
              <w:keepLines/>
              <w:numPr>
                <w:ilvl w:val="0"/>
                <w:numId w:val="0"/>
              </w:numPr>
              <w:spacing w:after="0"/>
              <w:jc w:val="center"/>
              <w:rPr>
                <w:rFonts w:ascii="Arial Narrow" w:hAnsi="Arial Narrow"/>
                <w:b/>
                <w:sz w:val="20"/>
                <w:szCs w:val="20"/>
              </w:rPr>
            </w:pPr>
            <w:r w:rsidRPr="00D25438">
              <w:rPr>
                <w:rFonts w:ascii="Arial Narrow" w:hAnsi="Arial Narrow"/>
                <w:b/>
                <w:sz w:val="20"/>
                <w:szCs w:val="20"/>
              </w:rPr>
              <w:t>2020</w:t>
            </w:r>
          </w:p>
        </w:tc>
      </w:tr>
      <w:tr w:rsidR="00293262" w:rsidRPr="00D25438" w:rsidTr="00944230">
        <w:tc>
          <w:tcPr>
            <w:tcW w:w="5000" w:type="pct"/>
            <w:gridSpan w:val="8"/>
            <w:tcMar>
              <w:left w:w="28" w:type="dxa"/>
              <w:right w:w="28" w:type="dxa"/>
            </w:tcMar>
          </w:tcPr>
          <w:p w:rsidR="00293262" w:rsidRPr="00D25438" w:rsidRDefault="00293262" w:rsidP="00293262">
            <w:pPr>
              <w:pStyle w:val="3-BodyText"/>
              <w:keepNext/>
              <w:keepLines/>
              <w:numPr>
                <w:ilvl w:val="0"/>
                <w:numId w:val="0"/>
              </w:numPr>
              <w:spacing w:after="0"/>
              <w:jc w:val="left"/>
              <w:rPr>
                <w:rFonts w:ascii="Arial Narrow" w:hAnsi="Arial Narrow" w:cs="Calibri"/>
                <w:sz w:val="20"/>
                <w:szCs w:val="20"/>
              </w:rPr>
            </w:pPr>
            <w:r w:rsidRPr="00D25438">
              <w:rPr>
                <w:rFonts w:ascii="Arial Narrow" w:hAnsi="Arial Narrow"/>
                <w:b/>
                <w:sz w:val="20"/>
                <w:szCs w:val="20"/>
              </w:rPr>
              <w:t>Number of prevalent patients supplied with abiraterone and enzalutamide**</w:t>
            </w:r>
          </w:p>
        </w:tc>
      </w:tr>
      <w:tr w:rsidR="00A07A66" w:rsidRPr="00D25438" w:rsidTr="00307FF6">
        <w:tc>
          <w:tcPr>
            <w:tcW w:w="1412" w:type="pct"/>
            <w:tcMar>
              <w:left w:w="28" w:type="dxa"/>
              <w:right w:w="28" w:type="dxa"/>
            </w:tcMar>
          </w:tcPr>
          <w:p w:rsidR="00293262" w:rsidRPr="00D25438" w:rsidRDefault="00293262" w:rsidP="00293262">
            <w:pPr>
              <w:pStyle w:val="3-BodyText"/>
              <w:keepNext/>
              <w:keepLines/>
              <w:numPr>
                <w:ilvl w:val="0"/>
                <w:numId w:val="0"/>
              </w:numPr>
              <w:spacing w:after="0"/>
              <w:rPr>
                <w:rFonts w:ascii="Arial Narrow" w:hAnsi="Arial Narrow" w:cs="Calibri"/>
                <w:sz w:val="20"/>
                <w:szCs w:val="20"/>
              </w:rPr>
            </w:pPr>
            <w:r w:rsidRPr="00D25438">
              <w:rPr>
                <w:rFonts w:ascii="Arial Narrow" w:hAnsi="Arial Narrow"/>
                <w:sz w:val="20"/>
                <w:szCs w:val="20"/>
              </w:rPr>
              <w:t>Abiraterone</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2,196</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2,053</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1,842</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2,083</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2,236</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2,410</w:t>
            </w:r>
          </w:p>
        </w:tc>
        <w:tc>
          <w:tcPr>
            <w:tcW w:w="516" w:type="pct"/>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2,495</w:t>
            </w:r>
          </w:p>
        </w:tc>
      </w:tr>
      <w:tr w:rsidR="00A07A66" w:rsidRPr="00D25438" w:rsidTr="00307FF6">
        <w:tc>
          <w:tcPr>
            <w:tcW w:w="1412" w:type="pct"/>
            <w:tcMar>
              <w:left w:w="28" w:type="dxa"/>
              <w:right w:w="28" w:type="dxa"/>
            </w:tcMar>
          </w:tcPr>
          <w:p w:rsidR="00293262" w:rsidRPr="00D25438" w:rsidRDefault="00293262" w:rsidP="00293262">
            <w:pPr>
              <w:pStyle w:val="3-BodyText"/>
              <w:keepNext/>
              <w:keepLines/>
              <w:numPr>
                <w:ilvl w:val="0"/>
                <w:numId w:val="0"/>
              </w:numPr>
              <w:spacing w:after="0"/>
              <w:rPr>
                <w:rFonts w:ascii="Arial Narrow" w:hAnsi="Arial Narrow" w:cs="Calibri"/>
                <w:sz w:val="20"/>
                <w:szCs w:val="20"/>
              </w:rPr>
            </w:pPr>
            <w:r w:rsidRPr="00D25438">
              <w:rPr>
                <w:rFonts w:ascii="Arial Narrow" w:hAnsi="Arial Narrow"/>
                <w:sz w:val="20"/>
                <w:szCs w:val="20"/>
              </w:rPr>
              <w:t>Enzalutamide</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271</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2,272</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3,065</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3,563</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4,081</w:t>
            </w:r>
          </w:p>
        </w:tc>
        <w:tc>
          <w:tcPr>
            <w:tcW w:w="512" w:type="pct"/>
            <w:tcMar>
              <w:left w:w="28" w:type="dxa"/>
              <w:right w:w="28" w:type="dxa"/>
            </w:tcMar>
          </w:tcPr>
          <w:p w:rsidR="00293262" w:rsidRPr="00D25438" w:rsidRDefault="00293262"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4,295</w:t>
            </w:r>
          </w:p>
        </w:tc>
        <w:tc>
          <w:tcPr>
            <w:tcW w:w="516" w:type="pct"/>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4,445</w:t>
            </w:r>
          </w:p>
        </w:tc>
      </w:tr>
      <w:tr w:rsidR="00A07A66" w:rsidRPr="00D25438" w:rsidTr="00307FF6">
        <w:tc>
          <w:tcPr>
            <w:tcW w:w="1412" w:type="pct"/>
            <w:tcMar>
              <w:left w:w="28" w:type="dxa"/>
              <w:right w:w="28" w:type="dxa"/>
            </w:tcMar>
          </w:tcPr>
          <w:p w:rsidR="00293262" w:rsidRPr="00D25438" w:rsidRDefault="00293262" w:rsidP="00293262">
            <w:pPr>
              <w:pStyle w:val="3-BodyText"/>
              <w:keepNext/>
              <w:keepLines/>
              <w:numPr>
                <w:ilvl w:val="0"/>
                <w:numId w:val="0"/>
              </w:numPr>
              <w:spacing w:after="0"/>
              <w:rPr>
                <w:rFonts w:ascii="Arial Narrow" w:hAnsi="Arial Narrow"/>
                <w:sz w:val="20"/>
                <w:szCs w:val="20"/>
              </w:rPr>
            </w:pPr>
            <w:r w:rsidRPr="00D25438">
              <w:rPr>
                <w:rFonts w:ascii="Arial Narrow" w:hAnsi="Arial Narrow"/>
                <w:sz w:val="20"/>
                <w:szCs w:val="20"/>
              </w:rPr>
              <w:t>Cabazitaxel</w:t>
            </w:r>
          </w:p>
        </w:tc>
        <w:tc>
          <w:tcPr>
            <w:tcW w:w="51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495</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635</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762</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771</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835</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990</w:t>
            </w:r>
          </w:p>
        </w:tc>
        <w:tc>
          <w:tcPr>
            <w:tcW w:w="516" w:type="pct"/>
            <w:tcBorders>
              <w:top w:val="single" w:sz="4" w:space="0" w:color="auto"/>
              <w:left w:val="nil"/>
              <w:bottom w:val="single" w:sz="4" w:space="0" w:color="auto"/>
              <w:right w:val="single" w:sz="4" w:space="0" w:color="auto"/>
            </w:tcBorders>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1,010</w:t>
            </w:r>
          </w:p>
        </w:tc>
      </w:tr>
      <w:tr w:rsidR="00A07A66" w:rsidRPr="00D25438" w:rsidTr="00307FF6">
        <w:tc>
          <w:tcPr>
            <w:tcW w:w="1412" w:type="pct"/>
            <w:tcMar>
              <w:left w:w="28" w:type="dxa"/>
              <w:right w:w="28" w:type="dxa"/>
            </w:tcMar>
          </w:tcPr>
          <w:p w:rsidR="00293262" w:rsidRPr="00D25438" w:rsidRDefault="00293262" w:rsidP="00293262">
            <w:pPr>
              <w:pStyle w:val="3-BodyText"/>
              <w:keepNext/>
              <w:keepLines/>
              <w:numPr>
                <w:ilvl w:val="0"/>
                <w:numId w:val="0"/>
              </w:numPr>
              <w:spacing w:after="0"/>
              <w:rPr>
                <w:rFonts w:ascii="Arial Narrow" w:hAnsi="Arial Narrow" w:cs="Calibri"/>
                <w:sz w:val="20"/>
                <w:szCs w:val="20"/>
              </w:rPr>
            </w:pPr>
            <w:r w:rsidRPr="00D25438">
              <w:rPr>
                <w:rFonts w:ascii="Arial Narrow" w:hAnsi="Arial Narrow"/>
                <w:sz w:val="20"/>
                <w:szCs w:val="20"/>
              </w:rPr>
              <w:t>Total</w:t>
            </w:r>
          </w:p>
        </w:tc>
        <w:tc>
          <w:tcPr>
            <w:tcW w:w="51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2,528</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4,169</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4,890</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5,671</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6,360</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6,919</w:t>
            </w:r>
          </w:p>
        </w:tc>
        <w:tc>
          <w:tcPr>
            <w:tcW w:w="516" w:type="pct"/>
            <w:tcBorders>
              <w:top w:val="single" w:sz="4" w:space="0" w:color="auto"/>
              <w:left w:val="nil"/>
              <w:bottom w:val="single" w:sz="4" w:space="0" w:color="auto"/>
              <w:right w:val="single" w:sz="4" w:space="0" w:color="auto"/>
            </w:tcBorders>
          </w:tcPr>
          <w:p w:rsidR="00293262" w:rsidRPr="00D25438" w:rsidRDefault="00293262"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7,950</w:t>
            </w:r>
          </w:p>
        </w:tc>
      </w:tr>
      <w:tr w:rsidR="00944230" w:rsidRPr="00D25438" w:rsidTr="00944230">
        <w:tc>
          <w:tcPr>
            <w:tcW w:w="5000" w:type="pct"/>
            <w:gridSpan w:val="8"/>
            <w:tcMar>
              <w:left w:w="28" w:type="dxa"/>
              <w:right w:w="28" w:type="dxa"/>
            </w:tcMar>
          </w:tcPr>
          <w:p w:rsidR="00944230" w:rsidRPr="00D25438" w:rsidRDefault="00944230" w:rsidP="00293262">
            <w:pPr>
              <w:pStyle w:val="3-BodyText"/>
              <w:keepNext/>
              <w:keepLines/>
              <w:numPr>
                <w:ilvl w:val="0"/>
                <w:numId w:val="0"/>
              </w:numPr>
              <w:spacing w:after="0"/>
              <w:rPr>
                <w:rFonts w:ascii="Arial Narrow" w:hAnsi="Arial Narrow"/>
                <w:b/>
                <w:sz w:val="20"/>
                <w:szCs w:val="20"/>
              </w:rPr>
            </w:pPr>
            <w:r w:rsidRPr="00D25438">
              <w:rPr>
                <w:rFonts w:ascii="Arial Narrow" w:hAnsi="Arial Narrow"/>
                <w:b/>
                <w:sz w:val="20"/>
                <w:szCs w:val="20"/>
              </w:rPr>
              <w:t>Number of patients first initiating on abiraterone or enzalutamide***</w:t>
            </w:r>
          </w:p>
        </w:tc>
      </w:tr>
      <w:tr w:rsidR="00944230" w:rsidRPr="00D25438" w:rsidTr="00944230">
        <w:tc>
          <w:tcPr>
            <w:tcW w:w="5000" w:type="pct"/>
            <w:gridSpan w:val="8"/>
            <w:tcBorders>
              <w:right w:val="single" w:sz="4" w:space="0" w:color="auto"/>
            </w:tcBorders>
            <w:tcMar>
              <w:left w:w="28" w:type="dxa"/>
              <w:right w:w="28" w:type="dxa"/>
            </w:tcMar>
          </w:tcPr>
          <w:p w:rsidR="00944230" w:rsidRPr="00D25438" w:rsidRDefault="00944230" w:rsidP="00A2202B">
            <w:pPr>
              <w:pStyle w:val="3-BodyText"/>
              <w:keepNext/>
              <w:keepLines/>
              <w:numPr>
                <w:ilvl w:val="0"/>
                <w:numId w:val="0"/>
              </w:numPr>
              <w:spacing w:after="0"/>
              <w:jc w:val="left"/>
              <w:rPr>
                <w:rFonts w:ascii="Arial Narrow" w:hAnsi="Arial Narrow" w:cs="Calibri"/>
                <w:b/>
                <w:sz w:val="20"/>
                <w:szCs w:val="20"/>
              </w:rPr>
            </w:pPr>
            <w:r w:rsidRPr="00D25438">
              <w:rPr>
                <w:rFonts w:ascii="Arial Narrow" w:hAnsi="Arial Narrow"/>
                <w:b/>
                <w:sz w:val="20"/>
                <w:szCs w:val="20"/>
              </w:rPr>
              <w:t>Abiraterone</w:t>
            </w:r>
          </w:p>
        </w:tc>
      </w:tr>
      <w:tr w:rsidR="00944230" w:rsidRPr="00D25438" w:rsidTr="00307FF6">
        <w:tc>
          <w:tcPr>
            <w:tcW w:w="1412" w:type="pct"/>
            <w:tcMar>
              <w:left w:w="28" w:type="dxa"/>
              <w:right w:w="28" w:type="dxa"/>
            </w:tcMar>
          </w:tcPr>
          <w:p w:rsidR="00944230" w:rsidRPr="00D25438" w:rsidRDefault="00944230" w:rsidP="00293262">
            <w:pPr>
              <w:pStyle w:val="3-BodyText"/>
              <w:keepNext/>
              <w:keepLines/>
              <w:numPr>
                <w:ilvl w:val="0"/>
                <w:numId w:val="0"/>
              </w:numPr>
              <w:spacing w:after="0"/>
              <w:jc w:val="left"/>
              <w:rPr>
                <w:rFonts w:ascii="Arial Narrow" w:hAnsi="Arial Narrow"/>
                <w:sz w:val="20"/>
                <w:szCs w:val="20"/>
              </w:rPr>
            </w:pPr>
            <w:r w:rsidRPr="00D25438">
              <w:rPr>
                <w:rFonts w:ascii="Arial Narrow" w:hAnsi="Arial Narrow"/>
                <w:sz w:val="20"/>
                <w:szCs w:val="20"/>
              </w:rPr>
              <w:t>Without prior docetaxel use, n(%)</w:t>
            </w:r>
          </w:p>
        </w:tc>
        <w:tc>
          <w:tcPr>
            <w:tcW w:w="51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269 (20)</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661 (60)</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637 (65)</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782 (65)</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815 (70)</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876 (72)</w:t>
            </w:r>
          </w:p>
        </w:tc>
        <w:tc>
          <w:tcPr>
            <w:tcW w:w="516" w:type="pct"/>
            <w:tcBorders>
              <w:top w:val="single" w:sz="4" w:space="0" w:color="auto"/>
              <w:left w:val="nil"/>
              <w:bottom w:val="single" w:sz="4" w:space="0" w:color="auto"/>
              <w:right w:val="single" w:sz="4" w:space="0" w:color="auto"/>
            </w:tcBorders>
          </w:tcPr>
          <w:p w:rsidR="00944230" w:rsidRPr="00D25438" w:rsidRDefault="00944230" w:rsidP="00A2202B">
            <w:pPr>
              <w:pStyle w:val="3-BodyText"/>
              <w:keepNext/>
              <w:keepLines/>
              <w:numPr>
                <w:ilvl w:val="0"/>
                <w:numId w:val="0"/>
              </w:numPr>
              <w:spacing w:after="0"/>
              <w:jc w:val="left"/>
              <w:rPr>
                <w:rFonts w:ascii="Arial Narrow" w:hAnsi="Arial Narrow" w:cs="Calibri"/>
                <w:sz w:val="20"/>
                <w:szCs w:val="20"/>
              </w:rPr>
            </w:pPr>
            <w:r w:rsidRPr="00D25438">
              <w:rPr>
                <w:rFonts w:ascii="Arial Narrow" w:hAnsi="Arial Narrow" w:cs="Calibri"/>
                <w:sz w:val="20"/>
                <w:szCs w:val="20"/>
              </w:rPr>
              <w:t>824 (69)</w:t>
            </w:r>
          </w:p>
        </w:tc>
      </w:tr>
      <w:tr w:rsidR="00944230" w:rsidRPr="00D25438" w:rsidTr="00307FF6">
        <w:tc>
          <w:tcPr>
            <w:tcW w:w="1412" w:type="pct"/>
            <w:tcMar>
              <w:left w:w="28" w:type="dxa"/>
              <w:right w:w="28" w:type="dxa"/>
            </w:tcMar>
          </w:tcPr>
          <w:p w:rsidR="00944230" w:rsidRPr="00D25438" w:rsidRDefault="00944230" w:rsidP="00293262">
            <w:pPr>
              <w:pStyle w:val="3-BodyText"/>
              <w:keepNext/>
              <w:keepLines/>
              <w:numPr>
                <w:ilvl w:val="0"/>
                <w:numId w:val="0"/>
              </w:numPr>
              <w:spacing w:after="0"/>
              <w:jc w:val="left"/>
              <w:rPr>
                <w:rFonts w:ascii="Arial Narrow" w:hAnsi="Arial Narrow"/>
                <w:sz w:val="20"/>
                <w:szCs w:val="20"/>
              </w:rPr>
            </w:pPr>
            <w:r w:rsidRPr="00D25438">
              <w:rPr>
                <w:rFonts w:ascii="Arial Narrow" w:hAnsi="Arial Narrow"/>
                <w:sz w:val="20"/>
                <w:szCs w:val="20"/>
              </w:rPr>
              <w:t>With prior docetaxel use, n(%)</w:t>
            </w:r>
          </w:p>
        </w:tc>
        <w:tc>
          <w:tcPr>
            <w:tcW w:w="51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1,057 (80)</w:t>
            </w:r>
          </w:p>
        </w:tc>
        <w:tc>
          <w:tcPr>
            <w:tcW w:w="512" w:type="pct"/>
            <w:tcBorders>
              <w:top w:val="nil"/>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457 (40)</w:t>
            </w:r>
          </w:p>
        </w:tc>
        <w:tc>
          <w:tcPr>
            <w:tcW w:w="512" w:type="pct"/>
            <w:tcBorders>
              <w:top w:val="nil"/>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339 (35)</w:t>
            </w:r>
          </w:p>
        </w:tc>
        <w:tc>
          <w:tcPr>
            <w:tcW w:w="512" w:type="pct"/>
            <w:tcBorders>
              <w:top w:val="nil"/>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418 (35)</w:t>
            </w:r>
          </w:p>
        </w:tc>
        <w:tc>
          <w:tcPr>
            <w:tcW w:w="512" w:type="pct"/>
            <w:tcBorders>
              <w:top w:val="nil"/>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360 (30)</w:t>
            </w:r>
          </w:p>
        </w:tc>
        <w:tc>
          <w:tcPr>
            <w:tcW w:w="512" w:type="pct"/>
            <w:tcBorders>
              <w:top w:val="nil"/>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347 (28)</w:t>
            </w:r>
          </w:p>
        </w:tc>
        <w:tc>
          <w:tcPr>
            <w:tcW w:w="516" w:type="pct"/>
            <w:tcBorders>
              <w:top w:val="nil"/>
              <w:left w:val="nil"/>
              <w:bottom w:val="single" w:sz="4" w:space="0" w:color="auto"/>
              <w:right w:val="single" w:sz="4" w:space="0" w:color="auto"/>
            </w:tcBorders>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373 (31)</w:t>
            </w:r>
          </w:p>
        </w:tc>
      </w:tr>
      <w:tr w:rsidR="00944230" w:rsidRPr="00D25438" w:rsidTr="00307FF6">
        <w:tc>
          <w:tcPr>
            <w:tcW w:w="1412" w:type="pct"/>
            <w:tcMar>
              <w:left w:w="28" w:type="dxa"/>
              <w:right w:w="28" w:type="dxa"/>
            </w:tcMar>
          </w:tcPr>
          <w:p w:rsidR="00944230" w:rsidRPr="00D25438" w:rsidRDefault="00944230" w:rsidP="00293262">
            <w:pPr>
              <w:pStyle w:val="3-BodyText"/>
              <w:keepNext/>
              <w:keepLines/>
              <w:numPr>
                <w:ilvl w:val="0"/>
                <w:numId w:val="0"/>
              </w:numPr>
              <w:spacing w:after="0"/>
              <w:jc w:val="left"/>
              <w:rPr>
                <w:rFonts w:ascii="Arial Narrow" w:hAnsi="Arial Narrow"/>
                <w:sz w:val="20"/>
                <w:szCs w:val="20"/>
              </w:rPr>
            </w:pPr>
            <w:r w:rsidRPr="00D25438">
              <w:rPr>
                <w:rFonts w:ascii="Arial Narrow" w:hAnsi="Arial Narrow"/>
                <w:sz w:val="20"/>
                <w:szCs w:val="20"/>
              </w:rPr>
              <w:t>Total</w:t>
            </w:r>
          </w:p>
        </w:tc>
        <w:tc>
          <w:tcPr>
            <w:tcW w:w="51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1,326</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1,118</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976</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1,200</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1,175</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1,223</w:t>
            </w:r>
          </w:p>
        </w:tc>
        <w:tc>
          <w:tcPr>
            <w:tcW w:w="516" w:type="pct"/>
            <w:tcBorders>
              <w:top w:val="single" w:sz="4" w:space="0" w:color="auto"/>
              <w:left w:val="nil"/>
              <w:bottom w:val="single" w:sz="4" w:space="0" w:color="auto"/>
              <w:right w:val="single" w:sz="4" w:space="0" w:color="auto"/>
            </w:tcBorders>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1,197</w:t>
            </w:r>
          </w:p>
        </w:tc>
      </w:tr>
      <w:tr w:rsidR="00944230" w:rsidRPr="00D25438" w:rsidTr="00944230">
        <w:tc>
          <w:tcPr>
            <w:tcW w:w="5000" w:type="pct"/>
            <w:gridSpan w:val="8"/>
            <w:tcBorders>
              <w:right w:val="single" w:sz="4" w:space="0" w:color="auto"/>
            </w:tcBorders>
            <w:tcMar>
              <w:left w:w="28" w:type="dxa"/>
              <w:right w:w="28" w:type="dxa"/>
            </w:tcMar>
            <w:vAlign w:val="center"/>
          </w:tcPr>
          <w:p w:rsidR="00944230" w:rsidRPr="00D25438" w:rsidRDefault="00944230" w:rsidP="00944230">
            <w:pPr>
              <w:pStyle w:val="3-BodyText"/>
              <w:keepNext/>
              <w:keepLines/>
              <w:numPr>
                <w:ilvl w:val="0"/>
                <w:numId w:val="0"/>
              </w:numPr>
              <w:spacing w:after="0"/>
              <w:jc w:val="left"/>
              <w:rPr>
                <w:rFonts w:ascii="Arial Narrow" w:hAnsi="Arial Narrow" w:cs="Calibri"/>
                <w:b/>
                <w:sz w:val="20"/>
                <w:szCs w:val="20"/>
              </w:rPr>
            </w:pPr>
            <w:r w:rsidRPr="00D25438">
              <w:rPr>
                <w:rFonts w:ascii="Arial Narrow" w:hAnsi="Arial Narrow"/>
                <w:b/>
                <w:sz w:val="20"/>
                <w:szCs w:val="20"/>
              </w:rPr>
              <w:t>Enzalutamide</w:t>
            </w:r>
          </w:p>
        </w:tc>
      </w:tr>
      <w:tr w:rsidR="00944230" w:rsidRPr="00D25438" w:rsidTr="00307FF6">
        <w:tc>
          <w:tcPr>
            <w:tcW w:w="1412" w:type="pct"/>
            <w:tcMar>
              <w:left w:w="28" w:type="dxa"/>
              <w:right w:w="28" w:type="dxa"/>
            </w:tcMar>
          </w:tcPr>
          <w:p w:rsidR="00944230" w:rsidRPr="00D25438" w:rsidRDefault="00944230" w:rsidP="00293262">
            <w:pPr>
              <w:pStyle w:val="3-BodyText"/>
              <w:keepNext/>
              <w:keepLines/>
              <w:numPr>
                <w:ilvl w:val="0"/>
                <w:numId w:val="0"/>
              </w:numPr>
              <w:spacing w:after="0"/>
              <w:jc w:val="left"/>
              <w:rPr>
                <w:rFonts w:ascii="Arial Narrow" w:hAnsi="Arial Narrow"/>
                <w:sz w:val="20"/>
                <w:szCs w:val="20"/>
              </w:rPr>
            </w:pPr>
            <w:r w:rsidRPr="00D25438">
              <w:rPr>
                <w:rFonts w:ascii="Arial Narrow" w:hAnsi="Arial Narrow"/>
                <w:sz w:val="20"/>
                <w:szCs w:val="20"/>
              </w:rPr>
              <w:t>Without prior docetaxel use, n(%)</w:t>
            </w:r>
          </w:p>
        </w:tc>
        <w:tc>
          <w:tcPr>
            <w:tcW w:w="51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109 (62)</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1,110 (68)</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1,115 (68)</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1,238 (70)</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1,262 (68)</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1,237 (69)</w:t>
            </w:r>
          </w:p>
        </w:tc>
        <w:tc>
          <w:tcPr>
            <w:tcW w:w="516" w:type="pct"/>
            <w:tcBorders>
              <w:top w:val="single" w:sz="4" w:space="0" w:color="auto"/>
              <w:left w:val="nil"/>
              <w:bottom w:val="single" w:sz="4" w:space="0" w:color="auto"/>
              <w:right w:val="single" w:sz="4" w:space="0" w:color="auto"/>
            </w:tcBorders>
          </w:tcPr>
          <w:p w:rsidR="00944230" w:rsidRPr="00D25438" w:rsidRDefault="00944230" w:rsidP="00293262">
            <w:pPr>
              <w:pStyle w:val="3-BodyText"/>
              <w:keepNext/>
              <w:keepLines/>
              <w:numPr>
                <w:ilvl w:val="0"/>
                <w:numId w:val="0"/>
              </w:numPr>
              <w:spacing w:after="0"/>
              <w:jc w:val="center"/>
              <w:rPr>
                <w:rFonts w:ascii="Arial Narrow" w:hAnsi="Arial Narrow" w:cs="Calibri"/>
                <w:sz w:val="19"/>
                <w:szCs w:val="19"/>
              </w:rPr>
            </w:pPr>
            <w:r w:rsidRPr="00D25438">
              <w:rPr>
                <w:rFonts w:ascii="Arial Narrow" w:hAnsi="Arial Narrow" w:cs="Calibri"/>
                <w:sz w:val="19"/>
                <w:szCs w:val="19"/>
              </w:rPr>
              <w:t>1,325 (69)</w:t>
            </w:r>
          </w:p>
        </w:tc>
      </w:tr>
      <w:tr w:rsidR="00944230" w:rsidRPr="00D25438" w:rsidTr="00307FF6">
        <w:tc>
          <w:tcPr>
            <w:tcW w:w="1412" w:type="pct"/>
            <w:tcMar>
              <w:left w:w="28" w:type="dxa"/>
              <w:right w:w="28" w:type="dxa"/>
            </w:tcMar>
          </w:tcPr>
          <w:p w:rsidR="00944230" w:rsidRPr="00D25438" w:rsidRDefault="00944230" w:rsidP="00293262">
            <w:pPr>
              <w:pStyle w:val="3-BodyText"/>
              <w:keepNext/>
              <w:keepLines/>
              <w:numPr>
                <w:ilvl w:val="0"/>
                <w:numId w:val="0"/>
              </w:numPr>
              <w:spacing w:after="0"/>
              <w:jc w:val="left"/>
              <w:rPr>
                <w:rFonts w:ascii="Arial Narrow" w:hAnsi="Arial Narrow"/>
                <w:sz w:val="20"/>
                <w:szCs w:val="20"/>
              </w:rPr>
            </w:pPr>
            <w:r w:rsidRPr="00D25438">
              <w:rPr>
                <w:rFonts w:ascii="Arial Narrow" w:hAnsi="Arial Narrow"/>
                <w:sz w:val="20"/>
                <w:szCs w:val="20"/>
              </w:rPr>
              <w:t>With prior docetaxel use, n(%)</w:t>
            </w:r>
          </w:p>
        </w:tc>
        <w:tc>
          <w:tcPr>
            <w:tcW w:w="512" w:type="pct"/>
            <w:tcBorders>
              <w:top w:val="nil"/>
              <w:left w:val="single" w:sz="4" w:space="0" w:color="auto"/>
              <w:bottom w:val="nil"/>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68 (38)</w:t>
            </w:r>
          </w:p>
        </w:tc>
        <w:tc>
          <w:tcPr>
            <w:tcW w:w="512" w:type="pct"/>
            <w:tcBorders>
              <w:top w:val="nil"/>
              <w:left w:val="nil"/>
              <w:bottom w:val="nil"/>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515 (32)</w:t>
            </w:r>
          </w:p>
        </w:tc>
        <w:tc>
          <w:tcPr>
            <w:tcW w:w="512" w:type="pct"/>
            <w:tcBorders>
              <w:top w:val="nil"/>
              <w:left w:val="nil"/>
              <w:bottom w:val="nil"/>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521 (32)</w:t>
            </w:r>
          </w:p>
        </w:tc>
        <w:tc>
          <w:tcPr>
            <w:tcW w:w="512" w:type="pct"/>
            <w:tcBorders>
              <w:top w:val="nil"/>
              <w:left w:val="nil"/>
              <w:bottom w:val="nil"/>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534 (30)</w:t>
            </w:r>
          </w:p>
        </w:tc>
        <w:tc>
          <w:tcPr>
            <w:tcW w:w="512" w:type="pct"/>
            <w:tcBorders>
              <w:top w:val="nil"/>
              <w:left w:val="nil"/>
              <w:bottom w:val="nil"/>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580 (32)</w:t>
            </w:r>
          </w:p>
        </w:tc>
        <w:tc>
          <w:tcPr>
            <w:tcW w:w="512" w:type="pct"/>
            <w:tcBorders>
              <w:top w:val="nil"/>
              <w:left w:val="nil"/>
              <w:bottom w:val="nil"/>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sz w:val="20"/>
                <w:szCs w:val="20"/>
              </w:rPr>
            </w:pPr>
            <w:r w:rsidRPr="00D25438">
              <w:rPr>
                <w:rFonts w:ascii="Arial Narrow" w:hAnsi="Arial Narrow" w:cs="Calibri"/>
                <w:sz w:val="20"/>
                <w:szCs w:val="20"/>
              </w:rPr>
              <w:t>547 (31)</w:t>
            </w:r>
          </w:p>
        </w:tc>
        <w:tc>
          <w:tcPr>
            <w:tcW w:w="516" w:type="pct"/>
            <w:tcBorders>
              <w:top w:val="nil"/>
              <w:left w:val="nil"/>
              <w:bottom w:val="nil"/>
              <w:right w:val="single" w:sz="4" w:space="0" w:color="auto"/>
            </w:tcBorders>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596 (31)</w:t>
            </w:r>
          </w:p>
        </w:tc>
      </w:tr>
      <w:tr w:rsidR="00944230" w:rsidRPr="00D25438" w:rsidTr="00307FF6">
        <w:tc>
          <w:tcPr>
            <w:tcW w:w="1412" w:type="pct"/>
            <w:tcMar>
              <w:left w:w="28" w:type="dxa"/>
              <w:right w:w="28" w:type="dxa"/>
            </w:tcMar>
          </w:tcPr>
          <w:p w:rsidR="00944230" w:rsidRPr="00D25438" w:rsidRDefault="00944230" w:rsidP="00293262">
            <w:pPr>
              <w:pStyle w:val="3-BodyText"/>
              <w:keepNext/>
              <w:keepLines/>
              <w:numPr>
                <w:ilvl w:val="0"/>
                <w:numId w:val="0"/>
              </w:numPr>
              <w:spacing w:after="0"/>
              <w:jc w:val="left"/>
              <w:rPr>
                <w:rFonts w:ascii="Arial Narrow" w:hAnsi="Arial Narrow"/>
                <w:sz w:val="20"/>
                <w:szCs w:val="20"/>
              </w:rPr>
            </w:pPr>
            <w:r w:rsidRPr="00D25438">
              <w:rPr>
                <w:rFonts w:ascii="Arial Narrow" w:hAnsi="Arial Narrow"/>
                <w:sz w:val="20"/>
                <w:szCs w:val="20"/>
              </w:rPr>
              <w:t>Total</w:t>
            </w:r>
          </w:p>
        </w:tc>
        <w:tc>
          <w:tcPr>
            <w:tcW w:w="51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177</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1,625</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1,636</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1,772</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1,842</w:t>
            </w:r>
          </w:p>
        </w:tc>
        <w:tc>
          <w:tcPr>
            <w:tcW w:w="512"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1,784</w:t>
            </w:r>
          </w:p>
        </w:tc>
        <w:tc>
          <w:tcPr>
            <w:tcW w:w="516" w:type="pct"/>
            <w:tcBorders>
              <w:top w:val="single" w:sz="4" w:space="0" w:color="auto"/>
              <w:left w:val="nil"/>
              <w:bottom w:val="single" w:sz="4" w:space="0" w:color="auto"/>
              <w:right w:val="single" w:sz="4" w:space="0" w:color="auto"/>
            </w:tcBorders>
          </w:tcPr>
          <w:p w:rsidR="00944230" w:rsidRPr="00D25438" w:rsidRDefault="00944230" w:rsidP="00293262">
            <w:pPr>
              <w:pStyle w:val="3-BodyText"/>
              <w:keepNext/>
              <w:keepLines/>
              <w:numPr>
                <w:ilvl w:val="0"/>
                <w:numId w:val="0"/>
              </w:numPr>
              <w:spacing w:after="0"/>
              <w:jc w:val="center"/>
              <w:rPr>
                <w:rFonts w:ascii="Arial Narrow" w:hAnsi="Arial Narrow" w:cs="Calibri"/>
                <w:sz w:val="20"/>
                <w:szCs w:val="20"/>
              </w:rPr>
            </w:pPr>
            <w:r w:rsidRPr="00D25438">
              <w:rPr>
                <w:rFonts w:ascii="Arial Narrow" w:hAnsi="Arial Narrow" w:cs="Calibri"/>
                <w:sz w:val="20"/>
                <w:szCs w:val="20"/>
              </w:rPr>
              <w:t>1,921</w:t>
            </w:r>
          </w:p>
        </w:tc>
      </w:tr>
    </w:tbl>
    <w:p w:rsidR="008F70B4" w:rsidRPr="00D25438" w:rsidRDefault="008F70B4" w:rsidP="008F70B4">
      <w:pPr>
        <w:pStyle w:val="3-BodyText"/>
        <w:keepNext/>
        <w:keepLines/>
        <w:numPr>
          <w:ilvl w:val="0"/>
          <w:numId w:val="0"/>
        </w:numPr>
        <w:spacing w:after="0"/>
        <w:rPr>
          <w:rFonts w:ascii="Arial Narrow" w:hAnsi="Arial Narrow"/>
          <w:sz w:val="18"/>
        </w:rPr>
      </w:pPr>
      <w:r w:rsidRPr="00D25438">
        <w:rPr>
          <w:rFonts w:ascii="Arial Narrow" w:hAnsi="Arial Narrow"/>
          <w:sz w:val="18"/>
        </w:rPr>
        <w:t>* PBS data was extracted from the Services Australia Prescription database for the period 1 January 2000 to 31 December 20</w:t>
      </w:r>
      <w:r w:rsidR="00B03DEE" w:rsidRPr="00D25438">
        <w:rPr>
          <w:rFonts w:ascii="Arial Narrow" w:hAnsi="Arial Narrow"/>
          <w:sz w:val="18"/>
        </w:rPr>
        <w:t>20</w:t>
      </w:r>
      <w:r w:rsidRPr="00D25438">
        <w:rPr>
          <w:rFonts w:ascii="Arial Narrow" w:hAnsi="Arial Narrow"/>
          <w:sz w:val="18"/>
        </w:rPr>
        <w:t xml:space="preserve"> based on the date of supply. Patients were classified as having been supplied abiraterone, cabazitaxel or enzalutamide after a prior supply of docetaxel or supplied a mCRPC drug without a prior PBS supply of docetaxel (based on previous 5 years).</w:t>
      </w:r>
    </w:p>
    <w:p w:rsidR="008F70B4" w:rsidRPr="00D25438" w:rsidRDefault="008F70B4" w:rsidP="008F70B4">
      <w:pPr>
        <w:pStyle w:val="3-BodyText"/>
        <w:keepNext/>
        <w:keepLines/>
        <w:numPr>
          <w:ilvl w:val="0"/>
          <w:numId w:val="0"/>
        </w:numPr>
        <w:spacing w:after="0"/>
        <w:rPr>
          <w:rFonts w:ascii="Arial Narrow" w:hAnsi="Arial Narrow"/>
          <w:sz w:val="18"/>
        </w:rPr>
      </w:pPr>
      <w:r w:rsidRPr="00D25438">
        <w:rPr>
          <w:rFonts w:ascii="Arial Narrow" w:hAnsi="Arial Narrow"/>
          <w:sz w:val="18"/>
        </w:rPr>
        <w:t>** As patient may use more than one drug, sum of prevalent including all drugs is more than the unique count for any drug.</w:t>
      </w:r>
    </w:p>
    <w:p w:rsidR="008F70B4" w:rsidRPr="00D25438" w:rsidRDefault="008F70B4" w:rsidP="008F70B4">
      <w:pPr>
        <w:pStyle w:val="3-BodyText"/>
        <w:keepNext/>
        <w:keepLines/>
        <w:numPr>
          <w:ilvl w:val="0"/>
          <w:numId w:val="0"/>
        </w:numPr>
        <w:spacing w:after="0"/>
        <w:rPr>
          <w:rFonts w:ascii="Arial Narrow" w:hAnsi="Arial Narrow"/>
          <w:sz w:val="18"/>
        </w:rPr>
      </w:pPr>
      <w:r w:rsidRPr="00D25438">
        <w:rPr>
          <w:rFonts w:ascii="Arial Narrow" w:hAnsi="Arial Narrow"/>
          <w:sz w:val="18"/>
        </w:rPr>
        <w:t>*** Figures are for first ever initiation on either abiraterone or enzalutamide. That is, this analysis identifies dispensing of first ever PBS treatment after docetaxel, or first ever drug supplied after no prior record of supply of docetaxel.</w:t>
      </w:r>
    </w:p>
    <w:p w:rsidR="008F70B4" w:rsidRPr="00D25438" w:rsidRDefault="008F70B4" w:rsidP="008F70B4">
      <w:pPr>
        <w:pStyle w:val="3-BodyText"/>
        <w:keepNext/>
        <w:keepLines/>
        <w:numPr>
          <w:ilvl w:val="0"/>
          <w:numId w:val="0"/>
        </w:numPr>
        <w:spacing w:after="0"/>
        <w:rPr>
          <w:rFonts w:ascii="Arial Narrow" w:hAnsi="Arial Narrow"/>
          <w:sz w:val="18"/>
        </w:rPr>
      </w:pPr>
      <w:r w:rsidRPr="00D25438">
        <w:rPr>
          <w:rFonts w:ascii="Arial Narrow" w:hAnsi="Arial Narrow"/>
          <w:sz w:val="18"/>
        </w:rPr>
        <w:t>Source: DUSC Secretariat</w:t>
      </w:r>
    </w:p>
    <w:p w:rsidR="008F70B4" w:rsidRPr="00D25438" w:rsidRDefault="008F70B4" w:rsidP="00DD7917">
      <w:pPr>
        <w:keepNext/>
        <w:keepLines/>
        <w:spacing w:after="240"/>
      </w:pPr>
      <w:r w:rsidRPr="00D25438">
        <w:rPr>
          <w:rFonts w:ascii="Arial Narrow" w:hAnsi="Arial Narrow"/>
          <w:sz w:val="18"/>
        </w:rPr>
        <w:t>DUSC =</w:t>
      </w:r>
      <w:r w:rsidR="00307FF6">
        <w:rPr>
          <w:rFonts w:ascii="Arial Narrow" w:hAnsi="Arial Narrow"/>
          <w:sz w:val="18"/>
        </w:rPr>
        <w:t xml:space="preserve"> Drug Utilisation Sub-Committee</w:t>
      </w:r>
    </w:p>
    <w:p w:rsidR="00A80220" w:rsidRPr="00D25438" w:rsidRDefault="00DD7917" w:rsidP="00A80220">
      <w:pPr>
        <w:pStyle w:val="3Bodytext"/>
        <w:jc w:val="both"/>
      </w:pPr>
      <w:r w:rsidRPr="00D25438">
        <w:t>As shown in Table 1, t</w:t>
      </w:r>
      <w:r w:rsidR="00A80220" w:rsidRPr="00D25438">
        <w:t xml:space="preserve">he number of patients </w:t>
      </w:r>
      <w:r w:rsidR="00E03B6E" w:rsidRPr="00D25438">
        <w:t xml:space="preserve">first </w:t>
      </w:r>
      <w:r w:rsidR="00A80220" w:rsidRPr="00D25438">
        <w:t xml:space="preserve">initiating </w:t>
      </w:r>
      <w:r w:rsidR="00E03B6E" w:rsidRPr="00D25438">
        <w:t xml:space="preserve">on </w:t>
      </w:r>
      <w:r w:rsidR="00A80220" w:rsidRPr="00D25438">
        <w:t xml:space="preserve">abiraterone or enzalutamide has been </w:t>
      </w:r>
      <w:r w:rsidR="00514EFE" w:rsidRPr="00D25438">
        <w:t xml:space="preserve">relatively </w:t>
      </w:r>
      <w:r w:rsidR="00A80220" w:rsidRPr="00D25438">
        <w:t>stable since 2017</w:t>
      </w:r>
      <w:r w:rsidR="00514EFE" w:rsidRPr="00D25438">
        <w:t>, whereas</w:t>
      </w:r>
      <w:r w:rsidR="00AC5DA2" w:rsidRPr="00D25438">
        <w:t xml:space="preserve"> the</w:t>
      </w:r>
      <w:r w:rsidR="00A80220" w:rsidRPr="00D25438">
        <w:t xml:space="preserve"> number of prevalent patients </w:t>
      </w:r>
      <w:r w:rsidR="00514EFE" w:rsidRPr="00D25438">
        <w:t xml:space="preserve">has </w:t>
      </w:r>
      <w:r w:rsidR="00A80220" w:rsidRPr="00D25438">
        <w:t>increas</w:t>
      </w:r>
      <w:r w:rsidR="00514EFE" w:rsidRPr="00D25438">
        <w:t>ed.</w:t>
      </w:r>
      <w:r w:rsidR="00AC5DA2" w:rsidRPr="00D25438">
        <w:t xml:space="preserve"> </w:t>
      </w:r>
      <w:r w:rsidR="00514EFE" w:rsidRPr="00D25438">
        <w:t>T</w:t>
      </w:r>
      <w:r w:rsidR="00AC5DA2" w:rsidRPr="00D25438">
        <w:t>his may re</w:t>
      </w:r>
      <w:r w:rsidR="00A80220" w:rsidRPr="00D25438">
        <w:t xml:space="preserve">flect </w:t>
      </w:r>
      <w:r w:rsidR="00AC5DA2" w:rsidRPr="00D25438">
        <w:t xml:space="preserve">increasing durations of therapy. </w:t>
      </w:r>
    </w:p>
    <w:p w:rsidR="002025DB" w:rsidRPr="00D25438" w:rsidRDefault="00F41A64" w:rsidP="002025DB">
      <w:pPr>
        <w:pStyle w:val="3Bodytext"/>
        <w:jc w:val="both"/>
      </w:pPr>
      <w:r w:rsidRPr="00D25438">
        <w:t>The</w:t>
      </w:r>
      <w:r w:rsidR="003A1083" w:rsidRPr="00D25438">
        <w:t xml:space="preserve"> treatment algorithm </w:t>
      </w:r>
      <w:r w:rsidRPr="00D25438">
        <w:t xml:space="preserve">for CRPC is evolving </w:t>
      </w:r>
      <w:r w:rsidR="003A1083" w:rsidRPr="00D25438">
        <w:t>due to the availability of more sensitive screening (</w:t>
      </w:r>
      <w:r w:rsidR="00D229D2" w:rsidRPr="00D25438">
        <w:t>prostate-specific membrane antigen (PSMA) PET scanning</w:t>
      </w:r>
      <w:r w:rsidR="003A1083" w:rsidRPr="00D25438">
        <w:t>) that can detect micro</w:t>
      </w:r>
      <w:r w:rsidR="008426E7" w:rsidRPr="00D25438">
        <w:t xml:space="preserve"> </w:t>
      </w:r>
      <w:r w:rsidR="003A1083" w:rsidRPr="00D25438">
        <w:t>metastas</w:t>
      </w:r>
      <w:r w:rsidR="00514EFE" w:rsidRPr="00D25438">
        <w:t>e</w:t>
      </w:r>
      <w:r w:rsidR="003A1083" w:rsidRPr="00D25438">
        <w:t xml:space="preserve">s that </w:t>
      </w:r>
      <w:r w:rsidR="00514EFE" w:rsidRPr="00D25438">
        <w:t>are</w:t>
      </w:r>
      <w:r w:rsidR="003A1083" w:rsidRPr="00D25438">
        <w:t xml:space="preserve"> not seen with conventional imaging</w:t>
      </w:r>
      <w:r w:rsidR="002025DB" w:rsidRPr="00D25438">
        <w:t xml:space="preserve">. </w:t>
      </w:r>
    </w:p>
    <w:p w:rsidR="0012464E" w:rsidRPr="00D25438" w:rsidRDefault="00A80220" w:rsidP="0012464E">
      <w:pPr>
        <w:pStyle w:val="3Bodytext"/>
        <w:jc w:val="both"/>
      </w:pPr>
      <w:r w:rsidRPr="00D25438">
        <w:t xml:space="preserve">There </w:t>
      </w:r>
      <w:r w:rsidR="00637BB0" w:rsidRPr="00D25438">
        <w:t>i</w:t>
      </w:r>
      <w:r w:rsidRPr="00D25438">
        <w:t xml:space="preserve">s clinical data to support the earlier use of </w:t>
      </w:r>
      <w:r w:rsidR="000C7AA6" w:rsidRPr="00D25438">
        <w:t xml:space="preserve">enzalutamide, including </w:t>
      </w:r>
      <w:r w:rsidRPr="00D25438">
        <w:t xml:space="preserve">in patients with </w:t>
      </w:r>
      <w:r w:rsidR="000C7AA6" w:rsidRPr="00D25438">
        <w:t>micro</w:t>
      </w:r>
      <w:r w:rsidR="008426E7" w:rsidRPr="00D25438">
        <w:t xml:space="preserve"> </w:t>
      </w:r>
      <w:r w:rsidR="000C7AA6" w:rsidRPr="00D25438">
        <w:t>metastas</w:t>
      </w:r>
      <w:r w:rsidR="00514EFE" w:rsidRPr="00D25438">
        <w:t>e</w:t>
      </w:r>
      <w:r w:rsidR="000C7AA6" w:rsidRPr="00D25438">
        <w:t>s. The PROSPER trial (N = 1,401) compared enzalutamide with placebo (both in combinat</w:t>
      </w:r>
      <w:r w:rsidR="006D628F" w:rsidRPr="00D25438">
        <w:t>ion with ADT) in patients with m0CRPC.</w:t>
      </w:r>
      <w:r w:rsidR="00DB463A" w:rsidRPr="00D25438">
        <w:t xml:space="preserve"> </w:t>
      </w:r>
      <w:r w:rsidR="001F7ED3" w:rsidRPr="00D25438">
        <w:t>In the overall population enrolled in PROSPER, enzalutamide was associated with a statistically significant increase in overall survival (OS) compared with placebo. The hazard ratio was 0.73 (95% confidence interval (CI): 0.61, 0.89) at the third interim analysis,</w:t>
      </w:r>
      <w:r w:rsidR="001F7ED3" w:rsidRPr="00D25438">
        <w:rPr>
          <w:rStyle w:val="FootnoteReference"/>
        </w:rPr>
        <w:footnoteReference w:id="1"/>
      </w:r>
      <w:r w:rsidR="001F7ED3" w:rsidRPr="00D25438">
        <w:t xml:space="preserve"> with 42% (196/465) of patients from the placebo arm having received subsequent enzalutamide.</w:t>
      </w:r>
      <w:r w:rsidR="001F7ED3" w:rsidRPr="00D25438">
        <w:rPr>
          <w:rStyle w:val="FootnoteReference"/>
        </w:rPr>
        <w:footnoteReference w:id="2"/>
      </w:r>
      <w:r w:rsidR="001F7ED3" w:rsidRPr="00D25438">
        <w:t xml:space="preserve"> </w:t>
      </w:r>
      <w:r w:rsidR="000C7AA6" w:rsidRPr="00D25438">
        <w:t xml:space="preserve">While patients in this study </w:t>
      </w:r>
      <w:r w:rsidR="0012464E" w:rsidRPr="00D25438">
        <w:t>were non-metastatic by conventional imaging</w:t>
      </w:r>
      <w:r w:rsidR="000C7AA6" w:rsidRPr="00E71444">
        <w:t>,</w:t>
      </w:r>
      <w:r w:rsidR="00DD7917" w:rsidRPr="00E71444">
        <w:t xml:space="preserve"> it is likely that a substantial proportion </w:t>
      </w:r>
      <w:r w:rsidR="00AB4358" w:rsidRPr="00E71444">
        <w:t xml:space="preserve">would have </w:t>
      </w:r>
      <w:r w:rsidR="000C7AA6" w:rsidRPr="00E71444">
        <w:t>had micro</w:t>
      </w:r>
      <w:r w:rsidR="008426E7" w:rsidRPr="00E71444">
        <w:t xml:space="preserve"> </w:t>
      </w:r>
      <w:r w:rsidR="000C7AA6" w:rsidRPr="00E71444">
        <w:t>metastas</w:t>
      </w:r>
      <w:r w:rsidR="00514EFE" w:rsidRPr="00E71444">
        <w:t>e</w:t>
      </w:r>
      <w:r w:rsidR="000C7AA6" w:rsidRPr="00E71444">
        <w:t xml:space="preserve">s on </w:t>
      </w:r>
      <w:r w:rsidR="000C7AA6" w:rsidRPr="00E71444">
        <w:lastRenderedPageBreak/>
        <w:t xml:space="preserve">PSMA-PET. </w:t>
      </w:r>
      <w:r w:rsidR="00DD7917" w:rsidRPr="00D25438">
        <w:t>A</w:t>
      </w:r>
      <w:r w:rsidR="000C7AA6" w:rsidRPr="00D25438">
        <w:t xml:space="preserve"> study by Fendler et al 2019 retrospectively assessed the extent of disease detected by PSMA-PET in a cohort (N = 200) of high-risk patients with CRPC</w:t>
      </w:r>
      <w:r w:rsidR="0012464E" w:rsidRPr="00D25438">
        <w:t xml:space="preserve"> who were selected to be similar to those included in PROSPER</w:t>
      </w:r>
      <w:r w:rsidR="000C7AA6" w:rsidRPr="00D25438">
        <w:t>. 55% of the study population had distant metastatic disease despite having no signs of distant me</w:t>
      </w:r>
      <w:r w:rsidR="006D628F" w:rsidRPr="00D25438">
        <w:t>tastases on conventional imaging.</w:t>
      </w:r>
      <w:r w:rsidR="006D628F" w:rsidRPr="00D25438">
        <w:rPr>
          <w:rStyle w:val="FootnoteReference"/>
          <w:lang w:eastAsia="en-US"/>
        </w:rPr>
        <w:t xml:space="preserve"> </w:t>
      </w:r>
      <w:r w:rsidR="006D628F" w:rsidRPr="00D25438">
        <w:rPr>
          <w:rStyle w:val="FootnoteReference"/>
          <w:lang w:eastAsia="en-US"/>
        </w:rPr>
        <w:footnoteReference w:id="3"/>
      </w:r>
    </w:p>
    <w:p w:rsidR="006B59B5" w:rsidRPr="00D25438" w:rsidRDefault="006B59B5" w:rsidP="00D229D2">
      <w:pPr>
        <w:pStyle w:val="3Bodytext"/>
        <w:jc w:val="both"/>
      </w:pPr>
      <w:r w:rsidRPr="00D25438">
        <w:t>In their pre-PBAC response, the sponsor for abiraterone noted that the COU-302 trial provided clinical evidence supporting earlier use of abiraterone prior to docetaxel.</w:t>
      </w:r>
      <w:r w:rsidRPr="00D25438">
        <w:rPr>
          <w:rStyle w:val="FootnoteReference"/>
        </w:rPr>
        <w:footnoteReference w:id="4"/>
      </w:r>
    </w:p>
    <w:p w:rsidR="00D229D2" w:rsidRPr="00D25438" w:rsidRDefault="00D229D2" w:rsidP="00D229D2">
      <w:pPr>
        <w:pStyle w:val="3Bodytext"/>
        <w:jc w:val="both"/>
      </w:pPr>
      <w:r w:rsidRPr="00D25438">
        <w:t xml:space="preserve">The price of abiraterone and enzalutamide have reduced substantially </w:t>
      </w:r>
      <w:r w:rsidR="00446A30" w:rsidRPr="00D25438">
        <w:t xml:space="preserve">due to negotiated administrative price reductions </w:t>
      </w:r>
      <w:r w:rsidRPr="00D25438">
        <w:t xml:space="preserve">since the previous considerations </w:t>
      </w:r>
      <w:r w:rsidR="00CB7444" w:rsidRPr="00D25438">
        <w:t>for a revised</w:t>
      </w:r>
      <w:r w:rsidRPr="00D25438">
        <w:t xml:space="preserve"> listing. </w:t>
      </w:r>
    </w:p>
    <w:p w:rsidR="00756846" w:rsidRPr="00D25438" w:rsidRDefault="00BF5D3B" w:rsidP="008F70B4">
      <w:pPr>
        <w:pStyle w:val="3Bodytext"/>
        <w:jc w:val="both"/>
      </w:pPr>
      <w:r>
        <w:t xml:space="preserve">There is expected to be no </w:t>
      </w:r>
      <w:r w:rsidR="00A80220" w:rsidRPr="00D25438">
        <w:t xml:space="preserve">financial </w:t>
      </w:r>
      <w:r>
        <w:t>impact as amending the restrictions will align them with current clinical practice. T</w:t>
      </w:r>
      <w:r w:rsidR="00A80220" w:rsidRPr="00D25438">
        <w:t xml:space="preserve">he majority of patients </w:t>
      </w:r>
      <w:r w:rsidR="00A54843" w:rsidRPr="00E71444">
        <w:t xml:space="preserve">are </w:t>
      </w:r>
      <w:r w:rsidR="008F70B4" w:rsidRPr="00E71444">
        <w:t xml:space="preserve">currently </w:t>
      </w:r>
      <w:r w:rsidR="00A54843" w:rsidRPr="00E71444">
        <w:t xml:space="preserve">supplied </w:t>
      </w:r>
      <w:r w:rsidR="008F70B4" w:rsidRPr="00E71444">
        <w:t xml:space="preserve">abiraterone or enzalutamide </w:t>
      </w:r>
      <w:r w:rsidR="00A54843" w:rsidRPr="00D25438">
        <w:t xml:space="preserve">without a PBS claim record of a </w:t>
      </w:r>
      <w:r w:rsidR="00A80220" w:rsidRPr="00D25438">
        <w:t xml:space="preserve">prior </w:t>
      </w:r>
      <w:r w:rsidR="00A54843" w:rsidRPr="00D25438">
        <w:t xml:space="preserve">supply of </w:t>
      </w:r>
      <w:r w:rsidR="00A80220" w:rsidRPr="00D25438">
        <w:t>doc</w:t>
      </w:r>
      <w:r w:rsidR="008F70B4" w:rsidRPr="00D25438">
        <w:t xml:space="preserve">etaxel. For the </w:t>
      </w:r>
      <w:r w:rsidR="00A80220" w:rsidRPr="00D25438">
        <w:t>remaining patients</w:t>
      </w:r>
      <w:r w:rsidR="0035069F" w:rsidRPr="00E71444">
        <w:t>,</w:t>
      </w:r>
      <w:r w:rsidR="00A80220" w:rsidRPr="00E71444">
        <w:t xml:space="preserve"> the use of </w:t>
      </w:r>
      <w:r w:rsidR="008F70B4" w:rsidRPr="00E71444">
        <w:t xml:space="preserve">abiraterone or enzalutamide </w:t>
      </w:r>
      <w:r w:rsidR="00A80220" w:rsidRPr="00E71444">
        <w:t>prior to doc</w:t>
      </w:r>
      <w:r w:rsidR="008F70B4" w:rsidRPr="00E71444">
        <w:t>etaxel</w:t>
      </w:r>
      <w:r w:rsidR="00A80220" w:rsidRPr="00E71444">
        <w:t xml:space="preserve"> </w:t>
      </w:r>
      <w:r w:rsidR="00637BB0" w:rsidRPr="00E71444">
        <w:t>i</w:t>
      </w:r>
      <w:r w:rsidR="00A80220" w:rsidRPr="00E71444">
        <w:t xml:space="preserve">s expected to replace the use of </w:t>
      </w:r>
      <w:r w:rsidR="008F70B4" w:rsidRPr="00D25438">
        <w:t>these agents post-docetaxel</w:t>
      </w:r>
      <w:r w:rsidR="00AC3B09" w:rsidRPr="00D25438">
        <w:t xml:space="preserve"> (noting patients would only be eligible to </w:t>
      </w:r>
      <w:r w:rsidR="0035069F" w:rsidRPr="00D25438">
        <w:t>receive</w:t>
      </w:r>
      <w:r w:rsidR="00AC3B09" w:rsidRPr="00D25438">
        <w:t xml:space="preserve"> one of </w:t>
      </w:r>
      <w:r w:rsidR="0035069F" w:rsidRPr="00D25438">
        <w:t xml:space="preserve">enzalutamide or abiraterone </w:t>
      </w:r>
      <w:r w:rsidR="00AC3B09" w:rsidRPr="00D25438">
        <w:t>once per lifetime)</w:t>
      </w:r>
      <w:r w:rsidR="008F70B4" w:rsidRPr="00D25438">
        <w:t>.</w:t>
      </w:r>
      <w:r w:rsidR="002E1CC5" w:rsidRPr="00D25438">
        <w:t xml:space="preserve"> Given the high use of abiraterone or enzalutamide prior to docetaxel in current practice, amending the restriction </w:t>
      </w:r>
      <w:r w:rsidR="0035069F" w:rsidRPr="00D25438">
        <w:t>wa</w:t>
      </w:r>
      <w:r w:rsidR="002E1CC5" w:rsidRPr="00D25438">
        <w:t xml:space="preserve">s </w:t>
      </w:r>
      <w:r w:rsidR="00637BB0" w:rsidRPr="00D25438">
        <w:t xml:space="preserve">considered </w:t>
      </w:r>
      <w:r w:rsidR="002E1CC5" w:rsidRPr="00D25438">
        <w:t>also likely to have minimal impact on the use of docetaxel or the duration of treatment with abiraterone or enzalutamide.</w:t>
      </w:r>
    </w:p>
    <w:p w:rsidR="00F900B4" w:rsidRPr="00D25438" w:rsidRDefault="0065310F" w:rsidP="0065310F">
      <w:pPr>
        <w:pStyle w:val="3Bodytext"/>
        <w:numPr>
          <w:ilvl w:val="0"/>
          <w:numId w:val="0"/>
        </w:numPr>
        <w:ind w:left="720"/>
        <w:jc w:val="both"/>
        <w:rPr>
          <w:rStyle w:val="CommentReference"/>
          <w:rFonts w:asciiTheme="minorHAnsi" w:hAnsiTheme="minorHAnsi"/>
          <w:b w:val="0"/>
          <w:i/>
          <w:sz w:val="24"/>
          <w:szCs w:val="22"/>
        </w:rPr>
      </w:pPr>
      <w:r w:rsidRPr="00BF5D3B">
        <w:rPr>
          <w:i/>
        </w:rPr>
        <w:t>For more detail on PBAC’s view, see section 5 PBAC outcome.</w:t>
      </w:r>
    </w:p>
    <w:p w:rsidR="0065310F" w:rsidRPr="00D25438" w:rsidRDefault="0065310F" w:rsidP="0065310F">
      <w:pPr>
        <w:pStyle w:val="2-SectionHeading"/>
      </w:pPr>
      <w:r w:rsidRPr="00D25438">
        <w:t>PBAC Outcome</w:t>
      </w:r>
    </w:p>
    <w:p w:rsidR="0065310F" w:rsidRPr="00BF5D3B" w:rsidRDefault="0065310F" w:rsidP="0065310F">
      <w:pPr>
        <w:widowControl w:val="0"/>
        <w:numPr>
          <w:ilvl w:val="1"/>
          <w:numId w:val="1"/>
        </w:numPr>
        <w:spacing w:after="120"/>
        <w:rPr>
          <w:rFonts w:asciiTheme="minorHAnsi" w:hAnsiTheme="minorHAnsi" w:cs="Arial"/>
          <w:bCs/>
          <w:snapToGrid w:val="0"/>
        </w:rPr>
      </w:pPr>
      <w:r w:rsidRPr="00BF5D3B">
        <w:rPr>
          <w:rFonts w:asciiTheme="minorHAnsi" w:hAnsiTheme="minorHAnsi" w:cs="Arial"/>
          <w:bCs/>
          <w:snapToGrid w:val="0"/>
        </w:rPr>
        <w:t xml:space="preserve">The PBAC recommended </w:t>
      </w:r>
      <w:r w:rsidR="0035069F" w:rsidRPr="00BF5D3B">
        <w:rPr>
          <w:rFonts w:asciiTheme="minorHAnsi" w:hAnsiTheme="minorHAnsi" w:cs="Arial"/>
          <w:bCs/>
          <w:snapToGrid w:val="0"/>
        </w:rPr>
        <w:t xml:space="preserve">amending </w:t>
      </w:r>
      <w:r w:rsidRPr="00BF5D3B">
        <w:rPr>
          <w:rFonts w:asciiTheme="minorHAnsi" w:hAnsiTheme="minorHAnsi" w:cs="Arial"/>
          <w:bCs/>
          <w:snapToGrid w:val="0"/>
        </w:rPr>
        <w:t>the listing</w:t>
      </w:r>
      <w:r w:rsidR="0035069F" w:rsidRPr="00BF5D3B">
        <w:rPr>
          <w:rFonts w:asciiTheme="minorHAnsi" w:hAnsiTheme="minorHAnsi" w:cs="Arial"/>
          <w:bCs/>
          <w:snapToGrid w:val="0"/>
        </w:rPr>
        <w:t>s</w:t>
      </w:r>
      <w:r w:rsidRPr="00BF5D3B">
        <w:rPr>
          <w:rFonts w:asciiTheme="minorHAnsi" w:hAnsiTheme="minorHAnsi" w:cs="Arial"/>
          <w:bCs/>
          <w:snapToGrid w:val="0"/>
        </w:rPr>
        <w:t xml:space="preserve"> of </w:t>
      </w:r>
      <w:r w:rsidR="00254F0F" w:rsidRPr="00BF5D3B">
        <w:rPr>
          <w:rFonts w:asciiTheme="minorHAnsi" w:hAnsiTheme="minorHAnsi" w:cs="Arial"/>
          <w:bCs/>
          <w:snapToGrid w:val="0"/>
        </w:rPr>
        <w:t xml:space="preserve">abiraterone and </w:t>
      </w:r>
      <w:r w:rsidR="0035069F" w:rsidRPr="00BF5D3B">
        <w:rPr>
          <w:rFonts w:asciiTheme="minorHAnsi" w:hAnsiTheme="minorHAnsi" w:cs="Arial"/>
          <w:bCs/>
          <w:snapToGrid w:val="0"/>
        </w:rPr>
        <w:t>enzalutamide to allow their use in patients with metastatic castration-resistant prostate cancer (mCRPC) prior to receiving docetaxel</w:t>
      </w:r>
      <w:r w:rsidR="00D25438">
        <w:rPr>
          <w:rFonts w:asciiTheme="minorHAnsi" w:hAnsiTheme="minorHAnsi" w:cs="Arial"/>
          <w:bCs/>
          <w:snapToGrid w:val="0"/>
        </w:rPr>
        <w:t xml:space="preserve">. </w:t>
      </w:r>
      <w:r w:rsidR="0035069F" w:rsidRPr="00BF5D3B">
        <w:rPr>
          <w:rFonts w:asciiTheme="minorHAnsi" w:hAnsiTheme="minorHAnsi" w:cs="Arial"/>
          <w:bCs/>
          <w:snapToGrid w:val="0"/>
        </w:rPr>
        <w:t xml:space="preserve">The PBAC considered </w:t>
      </w:r>
      <w:r w:rsidR="00C80079" w:rsidRPr="00BF5D3B">
        <w:rPr>
          <w:rFonts w:asciiTheme="minorHAnsi" w:hAnsiTheme="minorHAnsi" w:cs="Arial"/>
          <w:bCs/>
          <w:snapToGrid w:val="0"/>
        </w:rPr>
        <w:t>that remov</w:t>
      </w:r>
      <w:r w:rsidR="00731C9E" w:rsidRPr="00BF5D3B">
        <w:rPr>
          <w:rFonts w:asciiTheme="minorHAnsi" w:hAnsiTheme="minorHAnsi" w:cs="Arial"/>
          <w:bCs/>
          <w:snapToGrid w:val="0"/>
        </w:rPr>
        <w:t xml:space="preserve">al of </w:t>
      </w:r>
      <w:r w:rsidR="00C80079" w:rsidRPr="00BF5D3B">
        <w:rPr>
          <w:rFonts w:asciiTheme="minorHAnsi" w:hAnsiTheme="minorHAnsi" w:cs="Arial"/>
          <w:bCs/>
          <w:snapToGrid w:val="0"/>
        </w:rPr>
        <w:t xml:space="preserve">the requirement for </w:t>
      </w:r>
      <w:r w:rsidR="00731C9E" w:rsidRPr="00BF5D3B">
        <w:rPr>
          <w:rFonts w:asciiTheme="minorHAnsi" w:hAnsiTheme="minorHAnsi" w:cs="Arial"/>
          <w:bCs/>
          <w:snapToGrid w:val="0"/>
        </w:rPr>
        <w:t xml:space="preserve">patients to have either received prior docetaxel or to have a predicted intolerance to docetaxel </w:t>
      </w:r>
      <w:r w:rsidR="00C80079" w:rsidRPr="00BF5D3B">
        <w:rPr>
          <w:rFonts w:asciiTheme="minorHAnsi" w:hAnsiTheme="minorHAnsi" w:cs="Arial"/>
          <w:bCs/>
          <w:snapToGrid w:val="0"/>
        </w:rPr>
        <w:t xml:space="preserve">would better align the restrictions for </w:t>
      </w:r>
      <w:r w:rsidR="00254F0F" w:rsidRPr="00BF5D3B">
        <w:rPr>
          <w:rFonts w:asciiTheme="minorHAnsi" w:hAnsiTheme="minorHAnsi" w:cs="Arial"/>
          <w:bCs/>
          <w:snapToGrid w:val="0"/>
        </w:rPr>
        <w:t>abiraterone and enzalutamide</w:t>
      </w:r>
      <w:r w:rsidR="00C80079" w:rsidRPr="00BF5D3B">
        <w:rPr>
          <w:rFonts w:asciiTheme="minorHAnsi" w:hAnsiTheme="minorHAnsi" w:cs="Arial"/>
          <w:bCs/>
          <w:snapToGrid w:val="0"/>
        </w:rPr>
        <w:t xml:space="preserve"> with how the</w:t>
      </w:r>
      <w:r w:rsidR="00DD1978" w:rsidRPr="00BF5D3B">
        <w:rPr>
          <w:rFonts w:asciiTheme="minorHAnsi" w:hAnsiTheme="minorHAnsi" w:cs="Arial"/>
          <w:bCs/>
          <w:snapToGrid w:val="0"/>
        </w:rPr>
        <w:t>s</w:t>
      </w:r>
      <w:r w:rsidR="00C80079" w:rsidRPr="00BF5D3B">
        <w:rPr>
          <w:rFonts w:asciiTheme="minorHAnsi" w:hAnsiTheme="minorHAnsi" w:cs="Arial"/>
          <w:bCs/>
          <w:snapToGrid w:val="0"/>
        </w:rPr>
        <w:t>e drugs are being used in clinical practice and with their TGA indications.</w:t>
      </w:r>
    </w:p>
    <w:p w:rsidR="00CB1501" w:rsidRPr="00BF5D3B" w:rsidRDefault="00CB1501" w:rsidP="0065310F">
      <w:pPr>
        <w:widowControl w:val="0"/>
        <w:numPr>
          <w:ilvl w:val="1"/>
          <w:numId w:val="1"/>
        </w:numPr>
        <w:spacing w:after="120"/>
        <w:rPr>
          <w:rFonts w:asciiTheme="minorHAnsi" w:hAnsiTheme="minorHAnsi" w:cs="Arial"/>
          <w:bCs/>
          <w:snapToGrid w:val="0"/>
        </w:rPr>
      </w:pPr>
      <w:r w:rsidRPr="00BF5D3B">
        <w:rPr>
          <w:rFonts w:asciiTheme="minorHAnsi" w:hAnsiTheme="minorHAnsi" w:cs="Arial"/>
          <w:bCs/>
          <w:snapToGrid w:val="0"/>
        </w:rPr>
        <w:t xml:space="preserve">The PBAC noted that data provided by the DUSC Secretariat indicated that in 2020 69% of use of </w:t>
      </w:r>
      <w:r w:rsidR="00254F0F" w:rsidRPr="00BF5D3B">
        <w:rPr>
          <w:rFonts w:asciiTheme="minorHAnsi" w:hAnsiTheme="minorHAnsi" w:cs="Arial"/>
          <w:bCs/>
          <w:snapToGrid w:val="0"/>
        </w:rPr>
        <w:t xml:space="preserve">abiraterone and enzalutamide </w:t>
      </w:r>
      <w:r w:rsidRPr="00BF5D3B">
        <w:rPr>
          <w:rFonts w:asciiTheme="minorHAnsi" w:hAnsiTheme="minorHAnsi" w:cs="Arial"/>
          <w:bCs/>
          <w:snapToGrid w:val="0"/>
        </w:rPr>
        <w:t xml:space="preserve">was in patients who had not received </w:t>
      </w:r>
      <w:r w:rsidR="00173EAE" w:rsidRPr="00BF5D3B">
        <w:rPr>
          <w:rFonts w:asciiTheme="minorHAnsi" w:hAnsiTheme="minorHAnsi" w:cs="Arial"/>
          <w:bCs/>
          <w:snapToGrid w:val="0"/>
        </w:rPr>
        <w:t xml:space="preserve">a </w:t>
      </w:r>
      <w:r w:rsidRPr="00BF5D3B">
        <w:rPr>
          <w:rFonts w:asciiTheme="minorHAnsi" w:hAnsiTheme="minorHAnsi" w:cs="Arial"/>
          <w:bCs/>
          <w:snapToGrid w:val="0"/>
        </w:rPr>
        <w:t xml:space="preserve">prior </w:t>
      </w:r>
      <w:r w:rsidR="00173EAE" w:rsidRPr="00BF5D3B">
        <w:rPr>
          <w:rFonts w:asciiTheme="minorHAnsi" w:hAnsiTheme="minorHAnsi" w:cs="Arial"/>
          <w:bCs/>
          <w:snapToGrid w:val="0"/>
        </w:rPr>
        <w:t xml:space="preserve">supply of </w:t>
      </w:r>
      <w:r w:rsidRPr="00BF5D3B">
        <w:rPr>
          <w:rFonts w:asciiTheme="minorHAnsi" w:hAnsiTheme="minorHAnsi" w:cs="Arial"/>
          <w:bCs/>
          <w:snapToGrid w:val="0"/>
        </w:rPr>
        <w:t>docetaxel.</w:t>
      </w:r>
      <w:r w:rsidR="00667087" w:rsidRPr="00BF5D3B">
        <w:rPr>
          <w:rFonts w:asciiTheme="minorHAnsi" w:hAnsiTheme="minorHAnsi" w:cs="Arial"/>
          <w:bCs/>
          <w:snapToGrid w:val="0"/>
        </w:rPr>
        <w:t xml:space="preserve"> </w:t>
      </w:r>
    </w:p>
    <w:p w:rsidR="00C703E1" w:rsidRPr="00BF5D3B" w:rsidRDefault="006D7191" w:rsidP="0065310F">
      <w:pPr>
        <w:widowControl w:val="0"/>
        <w:numPr>
          <w:ilvl w:val="1"/>
          <w:numId w:val="1"/>
        </w:numPr>
        <w:spacing w:after="120"/>
        <w:rPr>
          <w:rFonts w:asciiTheme="minorHAnsi" w:hAnsiTheme="minorHAnsi" w:cs="Arial"/>
          <w:bCs/>
          <w:snapToGrid w:val="0"/>
        </w:rPr>
      </w:pPr>
      <w:r w:rsidRPr="00BF5D3B">
        <w:rPr>
          <w:rFonts w:asciiTheme="minorHAnsi" w:hAnsiTheme="minorHAnsi" w:cs="Arial"/>
          <w:bCs/>
          <w:snapToGrid w:val="0"/>
        </w:rPr>
        <w:t xml:space="preserve">The PBAC recalled that it had previously considered both </w:t>
      </w:r>
      <w:r w:rsidR="00254F0F" w:rsidRPr="00BF5D3B">
        <w:rPr>
          <w:rFonts w:asciiTheme="minorHAnsi" w:hAnsiTheme="minorHAnsi" w:cs="Arial"/>
          <w:bCs/>
          <w:snapToGrid w:val="0"/>
        </w:rPr>
        <w:t xml:space="preserve">abiraterone (in July 2014) and </w:t>
      </w:r>
      <w:r w:rsidRPr="00BF5D3B">
        <w:rPr>
          <w:rFonts w:asciiTheme="minorHAnsi" w:hAnsiTheme="minorHAnsi" w:cs="Arial"/>
          <w:bCs/>
          <w:snapToGrid w:val="0"/>
        </w:rPr>
        <w:t>enzalutamide (in November 2015, March 2017 and July 2017</w:t>
      </w:r>
      <w:r w:rsidR="00883032" w:rsidRPr="00BF5D3B">
        <w:rPr>
          <w:rFonts w:asciiTheme="minorHAnsi" w:hAnsiTheme="minorHAnsi" w:cs="Arial"/>
          <w:bCs/>
          <w:snapToGrid w:val="0"/>
        </w:rPr>
        <w:t xml:space="preserve">, with the March 2017 submission remaining deferred </w:t>
      </w:r>
      <w:r w:rsidR="00307FF6">
        <w:rPr>
          <w:rFonts w:asciiTheme="minorHAnsi" w:hAnsiTheme="minorHAnsi" w:cs="Arial"/>
          <w:bCs/>
          <w:snapToGrid w:val="0"/>
        </w:rPr>
        <w:t>this meeting</w:t>
      </w:r>
      <w:r w:rsidRPr="00BF5D3B">
        <w:rPr>
          <w:rFonts w:asciiTheme="minorHAnsi" w:hAnsiTheme="minorHAnsi" w:cs="Arial"/>
          <w:bCs/>
          <w:snapToGrid w:val="0"/>
        </w:rPr>
        <w:t xml:space="preserve">) for use </w:t>
      </w:r>
      <w:r w:rsidR="00CB1501" w:rsidRPr="00BF5D3B">
        <w:rPr>
          <w:rFonts w:asciiTheme="minorHAnsi" w:hAnsiTheme="minorHAnsi" w:cs="Arial"/>
          <w:bCs/>
          <w:snapToGrid w:val="0"/>
        </w:rPr>
        <w:t xml:space="preserve">in patients </w:t>
      </w:r>
      <w:r w:rsidRPr="00BF5D3B">
        <w:rPr>
          <w:rFonts w:asciiTheme="minorHAnsi" w:hAnsiTheme="minorHAnsi" w:cs="Arial"/>
          <w:bCs/>
          <w:snapToGrid w:val="0"/>
        </w:rPr>
        <w:t xml:space="preserve">prior to </w:t>
      </w:r>
      <w:r w:rsidRPr="00BF5D3B">
        <w:rPr>
          <w:rFonts w:asciiTheme="minorHAnsi" w:hAnsiTheme="minorHAnsi" w:cs="Arial"/>
          <w:bCs/>
          <w:snapToGrid w:val="0"/>
        </w:rPr>
        <w:lastRenderedPageBreak/>
        <w:t xml:space="preserve">docetaxel. </w:t>
      </w:r>
      <w:r w:rsidR="00C703E1" w:rsidRPr="00BF5D3B">
        <w:rPr>
          <w:rFonts w:asciiTheme="minorHAnsi" w:hAnsiTheme="minorHAnsi" w:cs="Arial"/>
          <w:bCs/>
          <w:snapToGrid w:val="0"/>
        </w:rPr>
        <w:t xml:space="preserve">The PBAC also noted the results from the PROSPER trial and the Fendler et al 2019 study. </w:t>
      </w:r>
      <w:r w:rsidRPr="00BF5D3B">
        <w:rPr>
          <w:rFonts w:asciiTheme="minorHAnsi" w:hAnsiTheme="minorHAnsi" w:cs="Arial"/>
          <w:bCs/>
          <w:snapToGrid w:val="0"/>
        </w:rPr>
        <w:t xml:space="preserve">The PBAC considered that the clinical benefit of </w:t>
      </w:r>
      <w:r w:rsidR="00254F0F" w:rsidRPr="00BF5D3B">
        <w:rPr>
          <w:rFonts w:asciiTheme="minorHAnsi" w:hAnsiTheme="minorHAnsi" w:cs="Arial"/>
          <w:bCs/>
          <w:snapToGrid w:val="0"/>
        </w:rPr>
        <w:t>abiraterone and enzalutamide</w:t>
      </w:r>
      <w:r w:rsidRPr="00BF5D3B">
        <w:rPr>
          <w:rFonts w:asciiTheme="minorHAnsi" w:hAnsiTheme="minorHAnsi" w:cs="Arial"/>
          <w:bCs/>
          <w:snapToGrid w:val="0"/>
        </w:rPr>
        <w:t xml:space="preserve"> prior to docetaxel </w:t>
      </w:r>
      <w:r w:rsidR="00C703E1" w:rsidRPr="00BF5D3B">
        <w:rPr>
          <w:rFonts w:asciiTheme="minorHAnsi" w:hAnsiTheme="minorHAnsi" w:cs="Arial"/>
          <w:bCs/>
          <w:snapToGrid w:val="0"/>
        </w:rPr>
        <w:t>had been established.</w:t>
      </w:r>
    </w:p>
    <w:p w:rsidR="00307FF6" w:rsidRDefault="00C703E1" w:rsidP="0065310F">
      <w:pPr>
        <w:widowControl w:val="0"/>
        <w:numPr>
          <w:ilvl w:val="1"/>
          <w:numId w:val="1"/>
        </w:numPr>
        <w:spacing w:after="120"/>
        <w:rPr>
          <w:rFonts w:asciiTheme="minorHAnsi" w:hAnsiTheme="minorHAnsi" w:cs="Arial"/>
          <w:bCs/>
          <w:snapToGrid w:val="0"/>
        </w:rPr>
      </w:pPr>
      <w:r w:rsidRPr="00BF5D3B">
        <w:rPr>
          <w:rFonts w:asciiTheme="minorHAnsi" w:hAnsiTheme="minorHAnsi" w:cs="Arial"/>
          <w:bCs/>
          <w:snapToGrid w:val="0"/>
        </w:rPr>
        <w:t xml:space="preserve">The PBAC noted that the prices of </w:t>
      </w:r>
      <w:r w:rsidR="00254F0F" w:rsidRPr="00BF5D3B">
        <w:rPr>
          <w:rFonts w:asciiTheme="minorHAnsi" w:hAnsiTheme="minorHAnsi" w:cs="Arial"/>
          <w:bCs/>
          <w:snapToGrid w:val="0"/>
        </w:rPr>
        <w:t xml:space="preserve">abiraterone and enzalutamide </w:t>
      </w:r>
      <w:r w:rsidRPr="00BF5D3B">
        <w:rPr>
          <w:rFonts w:asciiTheme="minorHAnsi" w:hAnsiTheme="minorHAnsi" w:cs="Arial"/>
          <w:bCs/>
          <w:snapToGrid w:val="0"/>
        </w:rPr>
        <w:t xml:space="preserve">had reduced significantly since their previous considerations for this indication due to negotiated administrative priced reductions. The PBAC considered that both drugs would now </w:t>
      </w:r>
      <w:r w:rsidR="00CB1501" w:rsidRPr="00BF5D3B">
        <w:rPr>
          <w:rFonts w:asciiTheme="minorHAnsi" w:hAnsiTheme="minorHAnsi" w:cs="Arial"/>
          <w:bCs/>
          <w:snapToGrid w:val="0"/>
        </w:rPr>
        <w:t xml:space="preserve">likely </w:t>
      </w:r>
      <w:r w:rsidRPr="00BF5D3B">
        <w:rPr>
          <w:rFonts w:asciiTheme="minorHAnsi" w:hAnsiTheme="minorHAnsi" w:cs="Arial"/>
          <w:bCs/>
          <w:snapToGrid w:val="0"/>
        </w:rPr>
        <w:t xml:space="preserve">be cost effective </w:t>
      </w:r>
      <w:r w:rsidR="00173EAE" w:rsidRPr="00BF5D3B">
        <w:rPr>
          <w:rFonts w:asciiTheme="minorHAnsi" w:hAnsiTheme="minorHAnsi" w:cs="Arial"/>
          <w:bCs/>
          <w:snapToGrid w:val="0"/>
        </w:rPr>
        <w:t>without</w:t>
      </w:r>
      <w:r w:rsidR="00AF6290" w:rsidRPr="00BF5D3B">
        <w:rPr>
          <w:rFonts w:asciiTheme="minorHAnsi" w:hAnsiTheme="minorHAnsi" w:cs="Arial"/>
          <w:bCs/>
          <w:snapToGrid w:val="0"/>
        </w:rPr>
        <w:t xml:space="preserve"> </w:t>
      </w:r>
      <w:r w:rsidRPr="00BF5D3B">
        <w:rPr>
          <w:rFonts w:asciiTheme="minorHAnsi" w:hAnsiTheme="minorHAnsi" w:cs="Arial"/>
          <w:bCs/>
          <w:snapToGrid w:val="0"/>
        </w:rPr>
        <w:t xml:space="preserve">prior </w:t>
      </w:r>
      <w:r w:rsidR="00173EAE" w:rsidRPr="00BF5D3B">
        <w:rPr>
          <w:rFonts w:asciiTheme="minorHAnsi" w:hAnsiTheme="minorHAnsi" w:cs="Arial"/>
          <w:bCs/>
          <w:snapToGrid w:val="0"/>
        </w:rPr>
        <w:t xml:space="preserve">use of </w:t>
      </w:r>
      <w:r w:rsidRPr="00BF5D3B">
        <w:rPr>
          <w:rFonts w:asciiTheme="minorHAnsi" w:hAnsiTheme="minorHAnsi" w:cs="Arial"/>
          <w:bCs/>
          <w:snapToGrid w:val="0"/>
        </w:rPr>
        <w:t>docetaxel.</w:t>
      </w:r>
      <w:r w:rsidR="00883032" w:rsidRPr="00BF5D3B">
        <w:rPr>
          <w:rFonts w:asciiTheme="minorHAnsi" w:hAnsiTheme="minorHAnsi" w:cs="Arial"/>
          <w:bCs/>
          <w:snapToGrid w:val="0"/>
        </w:rPr>
        <w:t xml:space="preserve"> </w:t>
      </w:r>
    </w:p>
    <w:p w:rsidR="00C703E1" w:rsidRPr="004532DB" w:rsidRDefault="004532DB" w:rsidP="004532DB">
      <w:pPr>
        <w:widowControl w:val="0"/>
        <w:spacing w:after="120"/>
        <w:ind w:left="720" w:hanging="720"/>
        <w:rPr>
          <w:rFonts w:asciiTheme="minorHAnsi" w:hAnsiTheme="minorHAnsi" w:cs="Arial"/>
          <w:bCs/>
          <w:snapToGrid w:val="0"/>
          <w:highlight w:val="black"/>
        </w:rPr>
      </w:pPr>
      <w:r>
        <w:rPr>
          <w:rFonts w:asciiTheme="minorHAnsi" w:hAnsiTheme="minorHAnsi" w:cs="Arial"/>
          <w:bCs/>
          <w:noProof/>
          <w:snapToGrid w:val="0"/>
          <w:color w:val="000000"/>
          <w:highlight w:val="black"/>
        </w:rPr>
        <w:t>''''''''''''' ''''''''''''''' '''' ''''''' ''''''''''''''''''''''''' '''''''''''''''''''''' ''''''''''''''' ''''''''''''''''''''' '''''''' '''''''''''''''' '''' ''''''''''' ''''''''' '''''''' '''''''''' '''''''''''''''' '''''''''' '''' '''''''' '''''''''' ''' '''''''' '''' ''''''''''''''''''''''' '''''' '''''''''''''' '''' ''''''''''' '''''''''''''''' '''''''''''''' '''' '''''' '''''''''''''' '''''''''' ''' '''''''' '''''''''''' '''''''' ''''''' ''''''''''''''''''''''''' '''''''''''''''' ''''''' '''''''''''''''' ''' '''''''''' '''''' '''''''''' '''''''''' ''''' ''''''''''''''' '''''' ''''''''''''''''''''''' '''' ''''''' '''''''''''''''''''''''''' ''''''''''''' '''' ''''' ''''''''''''''''' ''''''''''''''''''' ''''''' ''''''' ''''''''''''''''''''''' '''' '''' ''''''' '''''''''' ''''''''''''''''''' '''''''' '''' ''''''''''''''''''''''''' ''''''''''''''''''''''''''''''''' '''''''''' ''''''''''''''''' ''''''' ''''''''''' '''''''' ''' ''' '''''''''' '''' '''''' ''''''''''''''' ''''' ''''''''''''' '''''''''''''' '''''''''''''''''''''''' '''' '''''''''''''''' '' ''''''''''''' '''' '''''' '''''''''''' '''' '''''''''''''''''''''''' '''' '''''''' '''''''''' '''''''' '''''''' ''''' '''''''' '''''''''''''''''''''''' ''''''' '''''''''' '''''''''''''''' ''''''''' ''''''''''' '''''''' ''''''''' '''''''''''' '''''''''' '''''''' ''''''''''' '''''''''''' ''' ''''''''' ''' ''''''''' ''''''''''''''''''''''''''''''' '''' '''''''''''''' '''''' '''''''''''''''''''''''''' ''''' '''''''''' '''''''''''''''''' '''''' ''''''''''''' ''''''''''''''' ''''''''' ''''''''''''''''''''' ''''' '''''' '''''''''''''' ''''''''''' '''''''' ''''''''''''' '''''''' '''''''' ''''' ''''''''''''' ''''''''' '''''' '''''''''''''''' '''''''''''''''''''' ''''''' ''''''' '''''''''''''' ''''''' ''''' '''''''''' '''' '''''''''''' '''''' '''''''''''''''''''''''' '''' ''''' ''''''''''''''' '''' ''''''' '''''''''''''''' ''''''''''''''''''''''''</w:t>
      </w:r>
    </w:p>
    <w:p w:rsidR="006D7191" w:rsidRPr="004532DB" w:rsidRDefault="005B186A" w:rsidP="004532DB">
      <w:pPr>
        <w:pStyle w:val="3Bodytext"/>
        <w:widowControl w:val="0"/>
        <w:numPr>
          <w:ilvl w:val="1"/>
          <w:numId w:val="42"/>
        </w:numPr>
        <w:rPr>
          <w:rFonts w:cs="Arial"/>
          <w:bCs/>
          <w:snapToGrid w:val="0"/>
        </w:rPr>
      </w:pPr>
      <w:r w:rsidRPr="004532DB">
        <w:rPr>
          <w:rFonts w:cs="Arial"/>
          <w:bCs/>
          <w:snapToGrid w:val="0"/>
        </w:rPr>
        <w:t xml:space="preserve">Given the high use of </w:t>
      </w:r>
      <w:r w:rsidR="00254F0F" w:rsidRPr="004532DB">
        <w:rPr>
          <w:rFonts w:cs="Arial"/>
          <w:bCs/>
          <w:snapToGrid w:val="0"/>
        </w:rPr>
        <w:t xml:space="preserve">abiraterone and enzalutamide </w:t>
      </w:r>
      <w:r w:rsidR="007B2886" w:rsidRPr="004532DB">
        <w:rPr>
          <w:rFonts w:cs="Arial"/>
          <w:bCs/>
          <w:snapToGrid w:val="0"/>
        </w:rPr>
        <w:t xml:space="preserve">without a </w:t>
      </w:r>
      <w:r w:rsidRPr="004532DB">
        <w:rPr>
          <w:rFonts w:cs="Arial"/>
          <w:bCs/>
          <w:snapToGrid w:val="0"/>
        </w:rPr>
        <w:t xml:space="preserve">prior </w:t>
      </w:r>
      <w:r w:rsidR="007B2886" w:rsidRPr="004532DB">
        <w:rPr>
          <w:rFonts w:cs="Arial"/>
          <w:bCs/>
          <w:snapToGrid w:val="0"/>
        </w:rPr>
        <w:t xml:space="preserve">supply of </w:t>
      </w:r>
      <w:r w:rsidRPr="004532DB">
        <w:rPr>
          <w:rFonts w:cs="Arial"/>
          <w:bCs/>
          <w:snapToGrid w:val="0"/>
        </w:rPr>
        <w:t>docetaxel, the PBAC considered that the</w:t>
      </w:r>
      <w:r w:rsidR="00307FF6" w:rsidRPr="004532DB">
        <w:rPr>
          <w:rFonts w:cs="Arial"/>
          <w:bCs/>
          <w:snapToGrid w:val="0"/>
        </w:rPr>
        <w:t>re would be no</w:t>
      </w:r>
      <w:r w:rsidRPr="004532DB">
        <w:rPr>
          <w:rFonts w:cs="Arial"/>
          <w:bCs/>
          <w:snapToGrid w:val="0"/>
        </w:rPr>
        <w:t xml:space="preserve"> financial implications of the restriction change. The PBAC considered that any additional use of </w:t>
      </w:r>
      <w:r w:rsidR="00254F0F" w:rsidRPr="004532DB">
        <w:rPr>
          <w:rFonts w:cs="Arial"/>
          <w:bCs/>
          <w:snapToGrid w:val="0"/>
        </w:rPr>
        <w:t xml:space="preserve">abiraterone and enzalutamide </w:t>
      </w:r>
      <w:r w:rsidRPr="004532DB">
        <w:rPr>
          <w:rFonts w:cs="Arial"/>
          <w:bCs/>
          <w:snapToGrid w:val="0"/>
        </w:rPr>
        <w:t>prior to docetaxel would</w:t>
      </w:r>
      <w:r w:rsidR="0056614C" w:rsidRPr="004532DB">
        <w:rPr>
          <w:rFonts w:cs="Arial"/>
          <w:bCs/>
          <w:snapToGrid w:val="0"/>
        </w:rPr>
        <w:t>,</w:t>
      </w:r>
      <w:r w:rsidRPr="004532DB">
        <w:rPr>
          <w:rFonts w:cs="Arial"/>
          <w:bCs/>
          <w:snapToGrid w:val="0"/>
        </w:rPr>
        <w:t xml:space="preserve"> </w:t>
      </w:r>
      <w:r w:rsidR="00463A67" w:rsidRPr="004532DB">
        <w:rPr>
          <w:rFonts w:cs="Arial"/>
          <w:bCs/>
          <w:snapToGrid w:val="0"/>
        </w:rPr>
        <w:t>in the majority of cases</w:t>
      </w:r>
      <w:r w:rsidR="0056614C" w:rsidRPr="004532DB">
        <w:rPr>
          <w:rFonts w:cs="Arial"/>
          <w:bCs/>
          <w:snapToGrid w:val="0"/>
        </w:rPr>
        <w:t>,</w:t>
      </w:r>
      <w:r w:rsidRPr="004532DB">
        <w:rPr>
          <w:rFonts w:cs="Arial"/>
          <w:bCs/>
          <w:snapToGrid w:val="0"/>
        </w:rPr>
        <w:t xml:space="preserve"> replace use post docetaxel, as patients </w:t>
      </w:r>
      <w:r w:rsidR="00CB1501" w:rsidRPr="004532DB">
        <w:rPr>
          <w:rFonts w:cs="Arial"/>
          <w:bCs/>
          <w:snapToGrid w:val="0"/>
        </w:rPr>
        <w:t>are</w:t>
      </w:r>
      <w:r w:rsidRPr="004532DB">
        <w:rPr>
          <w:rFonts w:cs="Arial"/>
          <w:bCs/>
          <w:snapToGrid w:val="0"/>
        </w:rPr>
        <w:t xml:space="preserve"> only eligible to receive </w:t>
      </w:r>
      <w:r w:rsidR="00254F0F" w:rsidRPr="004532DB">
        <w:rPr>
          <w:rFonts w:cs="Arial"/>
          <w:bCs/>
          <w:snapToGrid w:val="0"/>
        </w:rPr>
        <w:t xml:space="preserve">abiraterone </w:t>
      </w:r>
      <w:r w:rsidR="00AF6290" w:rsidRPr="004532DB">
        <w:rPr>
          <w:rFonts w:cs="Arial"/>
          <w:bCs/>
          <w:snapToGrid w:val="0"/>
        </w:rPr>
        <w:t>or</w:t>
      </w:r>
      <w:r w:rsidR="00254F0F" w:rsidRPr="004532DB">
        <w:rPr>
          <w:rFonts w:cs="Arial"/>
          <w:bCs/>
          <w:snapToGrid w:val="0"/>
        </w:rPr>
        <w:t xml:space="preserve"> enzalutamide </w:t>
      </w:r>
      <w:r w:rsidRPr="004532DB">
        <w:rPr>
          <w:rFonts w:cs="Arial"/>
          <w:bCs/>
          <w:snapToGrid w:val="0"/>
        </w:rPr>
        <w:t>once per lifetime.</w:t>
      </w:r>
      <w:r w:rsidR="006D7191" w:rsidRPr="004532DB">
        <w:rPr>
          <w:rFonts w:cs="Arial"/>
          <w:bCs/>
          <w:snapToGrid w:val="0"/>
        </w:rPr>
        <w:t xml:space="preserve"> </w:t>
      </w:r>
      <w:r w:rsidR="00CB1501" w:rsidRPr="004532DB">
        <w:rPr>
          <w:rFonts w:cs="Arial"/>
          <w:bCs/>
          <w:snapToGrid w:val="0"/>
        </w:rPr>
        <w:t xml:space="preserve">The PBAC considered that the amendments to the </w:t>
      </w:r>
      <w:r w:rsidR="00254F0F" w:rsidRPr="004532DB">
        <w:rPr>
          <w:rFonts w:cs="Arial"/>
          <w:bCs/>
          <w:snapToGrid w:val="0"/>
        </w:rPr>
        <w:t xml:space="preserve">abiraterone and enzalutamide </w:t>
      </w:r>
      <w:r w:rsidR="00CB1501" w:rsidRPr="004532DB">
        <w:rPr>
          <w:rFonts w:cs="Arial"/>
          <w:bCs/>
          <w:snapToGrid w:val="0"/>
        </w:rPr>
        <w:t xml:space="preserve">restrictions would also have minimal impact on the use of docetaxel and the duration of treatment with </w:t>
      </w:r>
      <w:r w:rsidR="00254F0F" w:rsidRPr="004532DB">
        <w:rPr>
          <w:rFonts w:cs="Arial"/>
          <w:bCs/>
          <w:snapToGrid w:val="0"/>
        </w:rPr>
        <w:t>abiraterone and enzalutamide</w:t>
      </w:r>
      <w:r w:rsidR="00CB1501" w:rsidRPr="004532DB">
        <w:rPr>
          <w:rFonts w:cs="Arial"/>
          <w:bCs/>
          <w:snapToGrid w:val="0"/>
        </w:rPr>
        <w:t>.</w:t>
      </w:r>
    </w:p>
    <w:p w:rsidR="0002657A" w:rsidRPr="00BF5D3B" w:rsidRDefault="00731C9E" w:rsidP="0065310F">
      <w:pPr>
        <w:widowControl w:val="0"/>
        <w:numPr>
          <w:ilvl w:val="1"/>
          <w:numId w:val="1"/>
        </w:numPr>
        <w:spacing w:after="120"/>
        <w:rPr>
          <w:rFonts w:asciiTheme="minorHAnsi" w:hAnsiTheme="minorHAnsi" w:cs="Arial"/>
          <w:bCs/>
          <w:snapToGrid w:val="0"/>
        </w:rPr>
      </w:pPr>
      <w:r w:rsidRPr="00BF5D3B">
        <w:rPr>
          <w:rFonts w:asciiTheme="minorHAnsi" w:hAnsiTheme="minorHAnsi" w:cs="Arial"/>
          <w:bCs/>
          <w:snapToGrid w:val="0"/>
        </w:rPr>
        <w:t xml:space="preserve">The PBAC considered that the proposed changes to the existing clinical criteria of the </w:t>
      </w:r>
      <w:r w:rsidR="00254F0F" w:rsidRPr="00BF5D3B">
        <w:rPr>
          <w:rFonts w:asciiTheme="minorHAnsi" w:hAnsiTheme="minorHAnsi" w:cs="Arial"/>
          <w:bCs/>
          <w:snapToGrid w:val="0"/>
        </w:rPr>
        <w:t xml:space="preserve">abiraterone and enzalutamide </w:t>
      </w:r>
      <w:r w:rsidRPr="00BF5D3B">
        <w:rPr>
          <w:rFonts w:asciiTheme="minorHAnsi" w:hAnsiTheme="minorHAnsi" w:cs="Arial"/>
          <w:bCs/>
          <w:snapToGrid w:val="0"/>
        </w:rPr>
        <w:t xml:space="preserve">restrictions, to allow use </w:t>
      </w:r>
      <w:r w:rsidR="00540CC3" w:rsidRPr="00BF5D3B">
        <w:rPr>
          <w:rFonts w:asciiTheme="minorHAnsi" w:hAnsiTheme="minorHAnsi" w:cs="Arial"/>
          <w:bCs/>
          <w:snapToGrid w:val="0"/>
        </w:rPr>
        <w:t>without prior</w:t>
      </w:r>
      <w:r w:rsidRPr="00BF5D3B">
        <w:rPr>
          <w:rFonts w:asciiTheme="minorHAnsi" w:hAnsiTheme="minorHAnsi" w:cs="Arial"/>
          <w:bCs/>
          <w:snapToGrid w:val="0"/>
        </w:rPr>
        <w:t xml:space="preserve"> docetaxel were appropriate. </w:t>
      </w:r>
    </w:p>
    <w:p w:rsidR="0056614C" w:rsidRPr="00BF5D3B" w:rsidRDefault="0056614C" w:rsidP="0065310F">
      <w:pPr>
        <w:widowControl w:val="0"/>
        <w:numPr>
          <w:ilvl w:val="1"/>
          <w:numId w:val="1"/>
        </w:numPr>
        <w:spacing w:after="120"/>
        <w:rPr>
          <w:rFonts w:asciiTheme="minorHAnsi" w:hAnsiTheme="minorHAnsi" w:cs="Arial"/>
          <w:bCs/>
          <w:snapToGrid w:val="0"/>
        </w:rPr>
      </w:pPr>
      <w:r w:rsidRPr="00BF5D3B">
        <w:rPr>
          <w:rFonts w:asciiTheme="minorHAnsi" w:hAnsiTheme="minorHAnsi" w:cs="Arial"/>
          <w:bCs/>
          <w:snapToGrid w:val="0"/>
        </w:rPr>
        <w:t xml:space="preserve">The PBAC noted </w:t>
      </w:r>
      <w:r w:rsidR="0002657A" w:rsidRPr="00BF5D3B">
        <w:rPr>
          <w:rFonts w:asciiTheme="minorHAnsi" w:hAnsiTheme="minorHAnsi" w:cs="Arial"/>
          <w:bCs/>
          <w:snapToGrid w:val="0"/>
        </w:rPr>
        <w:t xml:space="preserve">that </w:t>
      </w:r>
      <w:r w:rsidRPr="00BF5D3B">
        <w:rPr>
          <w:rFonts w:asciiTheme="minorHAnsi" w:hAnsiTheme="minorHAnsi" w:cs="Arial"/>
          <w:bCs/>
          <w:snapToGrid w:val="0"/>
        </w:rPr>
        <w:t>the availability of more sensitive screening, such as prostate-specific membrane antigen (PSMA) PET scans, has resulted in patients previously classified as having non-metastatic castration resistant prostate cancer (m0CRPC) on conventional imaging being classified as having metastatic disease</w:t>
      </w:r>
      <w:r w:rsidR="0002657A" w:rsidRPr="00BF5D3B">
        <w:rPr>
          <w:rFonts w:asciiTheme="minorHAnsi" w:hAnsiTheme="minorHAnsi" w:cs="Arial"/>
          <w:bCs/>
          <w:snapToGrid w:val="0"/>
        </w:rPr>
        <w:t>. H</w:t>
      </w:r>
      <w:r w:rsidRPr="00BF5D3B">
        <w:rPr>
          <w:rFonts w:asciiTheme="minorHAnsi" w:hAnsiTheme="minorHAnsi" w:cs="Arial"/>
          <w:bCs/>
          <w:snapToGrid w:val="0"/>
        </w:rPr>
        <w:t>ence</w:t>
      </w:r>
      <w:r w:rsidR="0002657A" w:rsidRPr="00BF5D3B">
        <w:rPr>
          <w:rFonts w:asciiTheme="minorHAnsi" w:hAnsiTheme="minorHAnsi" w:cs="Arial"/>
          <w:bCs/>
          <w:snapToGrid w:val="0"/>
        </w:rPr>
        <w:t xml:space="preserve">, these patients are </w:t>
      </w:r>
      <w:r w:rsidRPr="00BF5D3B">
        <w:rPr>
          <w:rFonts w:asciiTheme="minorHAnsi" w:hAnsiTheme="minorHAnsi" w:cs="Arial"/>
          <w:bCs/>
          <w:snapToGrid w:val="0"/>
        </w:rPr>
        <w:t xml:space="preserve">eligible </w:t>
      </w:r>
      <w:r w:rsidR="0002657A" w:rsidRPr="00BF5D3B">
        <w:rPr>
          <w:rFonts w:asciiTheme="minorHAnsi" w:hAnsiTheme="minorHAnsi" w:cs="Arial"/>
          <w:bCs/>
          <w:snapToGrid w:val="0"/>
        </w:rPr>
        <w:t>to receive</w:t>
      </w:r>
      <w:r w:rsidRPr="00BF5D3B">
        <w:rPr>
          <w:rFonts w:asciiTheme="minorHAnsi" w:hAnsiTheme="minorHAnsi" w:cs="Arial"/>
          <w:bCs/>
          <w:snapToGrid w:val="0"/>
        </w:rPr>
        <w:t xml:space="preserve"> abiraterone </w:t>
      </w:r>
      <w:r w:rsidR="0002657A" w:rsidRPr="00BF5D3B">
        <w:rPr>
          <w:rFonts w:asciiTheme="minorHAnsi" w:hAnsiTheme="minorHAnsi" w:cs="Arial"/>
          <w:bCs/>
          <w:snapToGrid w:val="0"/>
        </w:rPr>
        <w:t>or</w:t>
      </w:r>
      <w:r w:rsidRPr="00BF5D3B">
        <w:rPr>
          <w:rFonts w:asciiTheme="minorHAnsi" w:hAnsiTheme="minorHAnsi" w:cs="Arial"/>
          <w:bCs/>
          <w:snapToGrid w:val="0"/>
        </w:rPr>
        <w:t xml:space="preserve"> enzalutamide through the PBS. The PBAC further considered that if sensitive screening tests are used, the majority of patients with a rapidly rising PSA are likely to </w:t>
      </w:r>
      <w:r w:rsidR="0002657A" w:rsidRPr="00BF5D3B">
        <w:rPr>
          <w:rFonts w:asciiTheme="minorHAnsi" w:hAnsiTheme="minorHAnsi" w:cs="Arial"/>
          <w:bCs/>
          <w:snapToGrid w:val="0"/>
        </w:rPr>
        <w:t>be diagnosed with,</w:t>
      </w:r>
      <w:r w:rsidRPr="00BF5D3B">
        <w:rPr>
          <w:rFonts w:asciiTheme="minorHAnsi" w:hAnsiTheme="minorHAnsi" w:cs="Arial"/>
          <w:bCs/>
          <w:snapToGrid w:val="0"/>
        </w:rPr>
        <w:t xml:space="preserve"> or will soon progress to</w:t>
      </w:r>
      <w:r w:rsidR="0002657A" w:rsidRPr="00BF5D3B">
        <w:rPr>
          <w:rFonts w:asciiTheme="minorHAnsi" w:hAnsiTheme="minorHAnsi" w:cs="Arial"/>
          <w:bCs/>
          <w:snapToGrid w:val="0"/>
        </w:rPr>
        <w:t>,</w:t>
      </w:r>
      <w:r w:rsidRPr="00BF5D3B">
        <w:rPr>
          <w:rFonts w:asciiTheme="minorHAnsi" w:hAnsiTheme="minorHAnsi" w:cs="Arial"/>
          <w:bCs/>
          <w:snapToGrid w:val="0"/>
        </w:rPr>
        <w:t xml:space="preserve"> </w:t>
      </w:r>
      <w:r w:rsidR="0002657A" w:rsidRPr="00BF5D3B">
        <w:rPr>
          <w:rFonts w:asciiTheme="minorHAnsi" w:hAnsiTheme="minorHAnsi" w:cs="Arial"/>
          <w:bCs/>
          <w:snapToGrid w:val="0"/>
        </w:rPr>
        <w:t>mCRPC</w:t>
      </w:r>
      <w:r w:rsidRPr="00BF5D3B">
        <w:rPr>
          <w:rFonts w:asciiTheme="minorHAnsi" w:hAnsiTheme="minorHAnsi" w:cs="Arial"/>
          <w:bCs/>
          <w:snapToGrid w:val="0"/>
        </w:rPr>
        <w:t xml:space="preserve">. Given this, the PBAC foreshadowed that it would like to consider revising the abiraterone and enzalutamide listings further, such that the requirement for the disease to be classified as metastatic is removed. The PBAC considered the once per </w:t>
      </w:r>
      <w:r w:rsidRPr="00BF5D3B">
        <w:rPr>
          <w:rFonts w:asciiTheme="minorHAnsi" w:hAnsiTheme="minorHAnsi" w:cs="Arial"/>
          <w:bCs/>
          <w:snapToGrid w:val="0"/>
        </w:rPr>
        <w:lastRenderedPageBreak/>
        <w:t>lifetime requirement should remain</w:t>
      </w:r>
      <w:r w:rsidR="0002657A" w:rsidRPr="00BF5D3B">
        <w:rPr>
          <w:rFonts w:asciiTheme="minorHAnsi" w:hAnsiTheme="minorHAnsi" w:cs="Arial"/>
          <w:bCs/>
          <w:snapToGrid w:val="0"/>
        </w:rPr>
        <w:t xml:space="preserve">. The PBAC noted </w:t>
      </w:r>
      <w:r w:rsidRPr="00BF5D3B">
        <w:rPr>
          <w:rFonts w:asciiTheme="minorHAnsi" w:hAnsiTheme="minorHAnsi" w:cs="Arial"/>
          <w:bCs/>
          <w:snapToGrid w:val="0"/>
        </w:rPr>
        <w:t xml:space="preserve">that this </w:t>
      </w:r>
      <w:r w:rsidR="0002657A" w:rsidRPr="00BF5D3B">
        <w:rPr>
          <w:rFonts w:asciiTheme="minorHAnsi" w:hAnsiTheme="minorHAnsi" w:cs="Arial"/>
          <w:bCs/>
          <w:snapToGrid w:val="0"/>
        </w:rPr>
        <w:t>change to the listing wa</w:t>
      </w:r>
      <w:r w:rsidRPr="00BF5D3B">
        <w:rPr>
          <w:rFonts w:asciiTheme="minorHAnsi" w:hAnsiTheme="minorHAnsi" w:cs="Arial"/>
          <w:bCs/>
          <w:snapToGrid w:val="0"/>
        </w:rPr>
        <w:t>s likely to result in patients being treated earlier</w:t>
      </w:r>
      <w:r w:rsidR="0002657A" w:rsidRPr="00BF5D3B">
        <w:rPr>
          <w:rFonts w:asciiTheme="minorHAnsi" w:hAnsiTheme="minorHAnsi" w:cs="Arial"/>
          <w:bCs/>
          <w:snapToGrid w:val="0"/>
        </w:rPr>
        <w:t>,</w:t>
      </w:r>
      <w:r w:rsidRPr="00BF5D3B">
        <w:rPr>
          <w:rFonts w:asciiTheme="minorHAnsi" w:hAnsiTheme="minorHAnsi" w:cs="Arial"/>
          <w:bCs/>
          <w:snapToGrid w:val="0"/>
        </w:rPr>
        <w:t xml:space="preserve"> as well as increase the number of patients treated. The PBAC requested that the Department seek </w:t>
      </w:r>
      <w:r w:rsidR="009F018B" w:rsidRPr="00BF5D3B">
        <w:rPr>
          <w:rFonts w:asciiTheme="minorHAnsi" w:hAnsiTheme="minorHAnsi" w:cs="Arial"/>
          <w:bCs/>
          <w:snapToGrid w:val="0"/>
        </w:rPr>
        <w:t xml:space="preserve">comment </w:t>
      </w:r>
      <w:r w:rsidRPr="00BF5D3B">
        <w:rPr>
          <w:rFonts w:asciiTheme="minorHAnsi" w:hAnsiTheme="minorHAnsi" w:cs="Arial"/>
          <w:bCs/>
          <w:snapToGrid w:val="0"/>
        </w:rPr>
        <w:t>f</w:t>
      </w:r>
      <w:r w:rsidR="0002657A" w:rsidRPr="00BF5D3B">
        <w:rPr>
          <w:rFonts w:asciiTheme="minorHAnsi" w:hAnsiTheme="minorHAnsi" w:cs="Arial"/>
          <w:bCs/>
          <w:snapToGrid w:val="0"/>
        </w:rPr>
        <w:t>rom</w:t>
      </w:r>
      <w:r w:rsidRPr="00BF5D3B">
        <w:rPr>
          <w:rFonts w:asciiTheme="minorHAnsi" w:hAnsiTheme="minorHAnsi" w:cs="Arial"/>
          <w:bCs/>
          <w:snapToGrid w:val="0"/>
        </w:rPr>
        <w:t xml:space="preserve"> the sponsor</w:t>
      </w:r>
      <w:r w:rsidR="006708A0" w:rsidRPr="00BF5D3B">
        <w:rPr>
          <w:rFonts w:asciiTheme="minorHAnsi" w:hAnsiTheme="minorHAnsi" w:cs="Arial"/>
          <w:bCs/>
          <w:snapToGrid w:val="0"/>
        </w:rPr>
        <w:t>s</w:t>
      </w:r>
      <w:r w:rsidRPr="00BF5D3B">
        <w:rPr>
          <w:rFonts w:asciiTheme="minorHAnsi" w:hAnsiTheme="minorHAnsi" w:cs="Arial"/>
          <w:bCs/>
          <w:snapToGrid w:val="0"/>
        </w:rPr>
        <w:t xml:space="preserve"> regarding this proposed list</w:t>
      </w:r>
      <w:r w:rsidR="0002657A" w:rsidRPr="00BF5D3B">
        <w:rPr>
          <w:rFonts w:asciiTheme="minorHAnsi" w:hAnsiTheme="minorHAnsi" w:cs="Arial"/>
          <w:bCs/>
          <w:snapToGrid w:val="0"/>
        </w:rPr>
        <w:t>i</w:t>
      </w:r>
      <w:r w:rsidRPr="00BF5D3B">
        <w:rPr>
          <w:rFonts w:asciiTheme="minorHAnsi" w:hAnsiTheme="minorHAnsi" w:cs="Arial"/>
          <w:bCs/>
          <w:snapToGrid w:val="0"/>
        </w:rPr>
        <w:t>ng change</w:t>
      </w:r>
      <w:r w:rsidR="009F018B" w:rsidRPr="00BF5D3B">
        <w:rPr>
          <w:rFonts w:asciiTheme="minorHAnsi" w:hAnsiTheme="minorHAnsi" w:cs="Arial"/>
          <w:bCs/>
          <w:snapToGrid w:val="0"/>
        </w:rPr>
        <w:t xml:space="preserve"> (the removal of the word ‘metastatic’ from the PBS indication)</w:t>
      </w:r>
      <w:r w:rsidRPr="00BF5D3B">
        <w:rPr>
          <w:rFonts w:asciiTheme="minorHAnsi" w:hAnsiTheme="minorHAnsi" w:cs="Arial"/>
          <w:bCs/>
          <w:snapToGrid w:val="0"/>
        </w:rPr>
        <w:t xml:space="preserve"> and the associated financial impact for consideration at the July 2021 </w:t>
      </w:r>
      <w:r w:rsidR="006708A0" w:rsidRPr="00BF5D3B">
        <w:rPr>
          <w:rFonts w:asciiTheme="minorHAnsi" w:hAnsiTheme="minorHAnsi" w:cs="Arial"/>
          <w:bCs/>
          <w:snapToGrid w:val="0"/>
        </w:rPr>
        <w:t xml:space="preserve">PBAC </w:t>
      </w:r>
      <w:r w:rsidRPr="00BF5D3B">
        <w:rPr>
          <w:rFonts w:asciiTheme="minorHAnsi" w:hAnsiTheme="minorHAnsi" w:cs="Arial"/>
          <w:bCs/>
          <w:snapToGrid w:val="0"/>
        </w:rPr>
        <w:t>meeting.</w:t>
      </w:r>
    </w:p>
    <w:p w:rsidR="0065310F" w:rsidRPr="00BF5D3B" w:rsidRDefault="0065310F" w:rsidP="0065310F">
      <w:pPr>
        <w:spacing w:before="240"/>
        <w:rPr>
          <w:rFonts w:asciiTheme="minorHAnsi" w:hAnsiTheme="minorHAnsi" w:cs="Arial"/>
          <w:b/>
          <w:bCs/>
          <w:snapToGrid w:val="0"/>
        </w:rPr>
      </w:pPr>
      <w:r w:rsidRPr="00BF5D3B">
        <w:rPr>
          <w:rFonts w:asciiTheme="minorHAnsi" w:hAnsiTheme="minorHAnsi" w:cs="Arial"/>
          <w:b/>
          <w:bCs/>
          <w:snapToGrid w:val="0"/>
        </w:rPr>
        <w:t>Outcome:</w:t>
      </w:r>
    </w:p>
    <w:p w:rsidR="0065310F" w:rsidRPr="00BF5D3B" w:rsidRDefault="0065310F" w:rsidP="0065310F">
      <w:pPr>
        <w:rPr>
          <w:rFonts w:asciiTheme="minorHAnsi" w:hAnsiTheme="minorHAnsi" w:cs="Arial"/>
          <w:bCs/>
          <w:snapToGrid w:val="0"/>
        </w:rPr>
      </w:pPr>
      <w:r w:rsidRPr="00BF5D3B">
        <w:rPr>
          <w:rFonts w:asciiTheme="minorHAnsi" w:hAnsiTheme="minorHAnsi" w:cs="Arial"/>
          <w:bCs/>
          <w:snapToGrid w:val="0"/>
        </w:rPr>
        <w:t xml:space="preserve">Recommended </w:t>
      </w:r>
    </w:p>
    <w:p w:rsidR="0065310F" w:rsidRPr="00BF5D3B" w:rsidRDefault="0065310F" w:rsidP="0065310F">
      <w:pPr>
        <w:pStyle w:val="2-SectionHeading"/>
        <w:rPr>
          <w:i/>
        </w:rPr>
      </w:pPr>
      <w:r w:rsidRPr="00BF5D3B">
        <w:t>Recommended listing</w:t>
      </w:r>
    </w:p>
    <w:p w:rsidR="00FB07BB" w:rsidRPr="00BF5D3B" w:rsidRDefault="00FB07BB" w:rsidP="00BF5D3B">
      <w:pPr>
        <w:pStyle w:val="3Bodytext"/>
        <w:rPr>
          <w:snapToGrid w:val="0"/>
        </w:rPr>
      </w:pPr>
      <w:r w:rsidRPr="00BF5D3B">
        <w:rPr>
          <w:rFonts w:cstheme="minorHAnsi"/>
          <w:i/>
        </w:rPr>
        <w:t>Amend the existing enzalutamide listing, without any price change to the existing price, and subject to sponsor agreement, as follows:</w:t>
      </w:r>
    </w:p>
    <w:p w:rsidR="00FB07BB" w:rsidRPr="00D25438" w:rsidRDefault="00FB07BB" w:rsidP="003A7AFA">
      <w:pPr>
        <w:keepNext/>
        <w:keepLines/>
        <w:rPr>
          <w:rFont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1293"/>
        <w:gridCol w:w="1259"/>
        <w:gridCol w:w="1417"/>
        <w:gridCol w:w="994"/>
        <w:gridCol w:w="1082"/>
      </w:tblGrid>
      <w:tr w:rsidR="00FB07BB" w:rsidRPr="00D25438" w:rsidTr="00CB7444">
        <w:trPr>
          <w:cantSplit/>
          <w:trHeight w:val="471"/>
        </w:trPr>
        <w:tc>
          <w:tcPr>
            <w:tcW w:w="1648" w:type="pct"/>
          </w:tcPr>
          <w:p w:rsidR="00FB07BB" w:rsidRPr="00D25438" w:rsidRDefault="00FB07BB" w:rsidP="00CB7444">
            <w:pPr>
              <w:keepNext/>
              <w:keepLines/>
              <w:ind w:left="-57"/>
              <w:rPr>
                <w:rFonts w:ascii="Arial Narrow" w:hAnsi="Arial Narrow" w:cs="Arial"/>
                <w:b/>
                <w:bCs/>
                <w:sz w:val="18"/>
                <w:szCs w:val="18"/>
              </w:rPr>
            </w:pPr>
            <w:r w:rsidRPr="00D25438">
              <w:rPr>
                <w:rFonts w:ascii="Arial Narrow" w:hAnsi="Arial Narrow" w:cs="Arial"/>
                <w:b/>
                <w:bCs/>
                <w:sz w:val="18"/>
                <w:szCs w:val="18"/>
              </w:rPr>
              <w:t>MEDICINAL PRODUCT</w:t>
            </w:r>
          </w:p>
          <w:p w:rsidR="00FB07BB" w:rsidRPr="00D25438" w:rsidRDefault="00FB07BB" w:rsidP="00CB7444">
            <w:pPr>
              <w:keepNext/>
              <w:keepLines/>
              <w:ind w:left="-57"/>
              <w:rPr>
                <w:rFonts w:ascii="Arial Narrow" w:hAnsi="Arial Narrow" w:cs="Arial"/>
                <w:b/>
                <w:sz w:val="18"/>
                <w:szCs w:val="18"/>
              </w:rPr>
            </w:pPr>
            <w:r w:rsidRPr="00D25438">
              <w:rPr>
                <w:rFonts w:ascii="Arial Narrow" w:hAnsi="Arial Narrow" w:cs="Arial"/>
                <w:b/>
                <w:bCs/>
                <w:sz w:val="18"/>
                <w:szCs w:val="18"/>
              </w:rPr>
              <w:t>medicinal product pack</w:t>
            </w:r>
          </w:p>
        </w:tc>
        <w:tc>
          <w:tcPr>
            <w:tcW w:w="717" w:type="pct"/>
          </w:tcPr>
          <w:p w:rsidR="00FB07BB" w:rsidRPr="00D25438" w:rsidRDefault="00FB07BB" w:rsidP="00CB7444">
            <w:pPr>
              <w:keepNext/>
              <w:keepLines/>
              <w:ind w:left="-108"/>
              <w:jc w:val="center"/>
              <w:rPr>
                <w:rFonts w:ascii="Arial Narrow" w:hAnsi="Arial Narrow" w:cs="Arial"/>
                <w:b/>
                <w:sz w:val="18"/>
                <w:szCs w:val="18"/>
              </w:rPr>
            </w:pPr>
            <w:r w:rsidRPr="00D25438">
              <w:rPr>
                <w:rFonts w:ascii="Arial Narrow" w:hAnsi="Arial Narrow" w:cs="Arial"/>
                <w:b/>
                <w:sz w:val="18"/>
                <w:szCs w:val="18"/>
              </w:rPr>
              <w:t>PBS item code</w:t>
            </w:r>
          </w:p>
        </w:tc>
        <w:tc>
          <w:tcPr>
            <w:tcW w:w="698" w:type="pct"/>
          </w:tcPr>
          <w:p w:rsidR="00FB07BB" w:rsidRPr="00D25438" w:rsidRDefault="00FB07BB" w:rsidP="00CB7444">
            <w:pPr>
              <w:keepNext/>
              <w:keepLines/>
              <w:ind w:left="-108"/>
              <w:jc w:val="center"/>
              <w:rPr>
                <w:rFonts w:ascii="Arial Narrow" w:hAnsi="Arial Narrow" w:cs="Arial"/>
                <w:b/>
                <w:sz w:val="18"/>
                <w:szCs w:val="18"/>
              </w:rPr>
            </w:pPr>
            <w:r w:rsidRPr="00D25438">
              <w:rPr>
                <w:rFonts w:ascii="Arial Narrow" w:hAnsi="Arial Narrow" w:cs="Arial"/>
                <w:b/>
                <w:sz w:val="18"/>
                <w:szCs w:val="18"/>
              </w:rPr>
              <w:t>Max. qty packs</w:t>
            </w:r>
          </w:p>
        </w:tc>
        <w:tc>
          <w:tcPr>
            <w:tcW w:w="786" w:type="pct"/>
          </w:tcPr>
          <w:p w:rsidR="00FB07BB" w:rsidRPr="00D25438" w:rsidRDefault="00FB07BB" w:rsidP="00CB7444">
            <w:pPr>
              <w:keepNext/>
              <w:keepLines/>
              <w:ind w:left="-108"/>
              <w:jc w:val="center"/>
              <w:rPr>
                <w:rFonts w:ascii="Arial Narrow" w:hAnsi="Arial Narrow" w:cs="Arial"/>
                <w:b/>
                <w:sz w:val="18"/>
                <w:szCs w:val="18"/>
              </w:rPr>
            </w:pPr>
            <w:r w:rsidRPr="00D25438">
              <w:rPr>
                <w:rFonts w:ascii="Arial Narrow" w:hAnsi="Arial Narrow" w:cs="Arial"/>
                <w:b/>
                <w:sz w:val="18"/>
                <w:szCs w:val="18"/>
              </w:rPr>
              <w:t>Max. qty units</w:t>
            </w:r>
          </w:p>
        </w:tc>
        <w:tc>
          <w:tcPr>
            <w:tcW w:w="551" w:type="pct"/>
          </w:tcPr>
          <w:p w:rsidR="00FB07BB" w:rsidRPr="00D25438" w:rsidRDefault="00FB07BB" w:rsidP="00CB7444">
            <w:pPr>
              <w:keepNext/>
              <w:keepLines/>
              <w:ind w:left="-108"/>
              <w:jc w:val="center"/>
              <w:rPr>
                <w:rFonts w:ascii="Arial Narrow" w:hAnsi="Arial Narrow" w:cs="Arial"/>
                <w:b/>
                <w:sz w:val="18"/>
                <w:szCs w:val="18"/>
              </w:rPr>
            </w:pPr>
            <w:r w:rsidRPr="00D25438">
              <w:rPr>
                <w:rFonts w:ascii="Arial Narrow" w:hAnsi="Arial Narrow" w:cs="Arial"/>
                <w:b/>
                <w:sz w:val="18"/>
                <w:szCs w:val="18"/>
              </w:rPr>
              <w:t>№.of</w:t>
            </w:r>
          </w:p>
          <w:p w:rsidR="00FB07BB" w:rsidRPr="00D25438" w:rsidRDefault="00FB07BB" w:rsidP="00CB7444">
            <w:pPr>
              <w:keepNext/>
              <w:keepLines/>
              <w:ind w:left="-108"/>
              <w:jc w:val="center"/>
              <w:rPr>
                <w:rFonts w:ascii="Arial Narrow" w:hAnsi="Arial Narrow" w:cs="Arial"/>
                <w:b/>
                <w:sz w:val="18"/>
                <w:szCs w:val="18"/>
              </w:rPr>
            </w:pPr>
            <w:r w:rsidRPr="00D25438">
              <w:rPr>
                <w:rFonts w:ascii="Arial Narrow" w:hAnsi="Arial Narrow" w:cs="Arial"/>
                <w:b/>
                <w:sz w:val="18"/>
                <w:szCs w:val="18"/>
              </w:rPr>
              <w:t>Rpts</w:t>
            </w:r>
          </w:p>
        </w:tc>
        <w:tc>
          <w:tcPr>
            <w:tcW w:w="600" w:type="pct"/>
          </w:tcPr>
          <w:p w:rsidR="00FB07BB" w:rsidRPr="00BF5D3B" w:rsidRDefault="00FB07BB" w:rsidP="00CB7444">
            <w:pPr>
              <w:keepNext/>
              <w:keepLines/>
              <w:rPr>
                <w:rFonts w:ascii="Arial Narrow" w:hAnsi="Arial Narrow" w:cs="Arial"/>
                <w:b/>
                <w:sz w:val="18"/>
                <w:szCs w:val="18"/>
              </w:rPr>
            </w:pPr>
            <w:r w:rsidRPr="00D25438">
              <w:rPr>
                <w:rFonts w:ascii="Arial Narrow" w:hAnsi="Arial Narrow" w:cs="Arial"/>
                <w:b/>
                <w:sz w:val="18"/>
                <w:szCs w:val="18"/>
              </w:rPr>
              <w:t>Available brands</w:t>
            </w:r>
          </w:p>
        </w:tc>
      </w:tr>
      <w:tr w:rsidR="00FB07BB" w:rsidRPr="00D25438" w:rsidTr="00CB7444">
        <w:trPr>
          <w:cantSplit/>
          <w:trHeight w:val="271"/>
        </w:trPr>
        <w:tc>
          <w:tcPr>
            <w:tcW w:w="5000" w:type="pct"/>
            <w:gridSpan w:val="6"/>
          </w:tcPr>
          <w:p w:rsidR="00FB07BB" w:rsidRPr="00D25438" w:rsidRDefault="00FB07BB" w:rsidP="00CB7444">
            <w:pPr>
              <w:keepNext/>
              <w:keepLines/>
              <w:ind w:left="-57"/>
              <w:rPr>
                <w:rFonts w:ascii="Arial Narrow" w:hAnsi="Arial Narrow" w:cs="Arial"/>
                <w:sz w:val="18"/>
                <w:szCs w:val="18"/>
              </w:rPr>
            </w:pPr>
            <w:r w:rsidRPr="00D25438">
              <w:rPr>
                <w:rFonts w:ascii="Arial Narrow" w:hAnsi="Arial Narrow" w:cs="Arial"/>
                <w:sz w:val="18"/>
                <w:szCs w:val="18"/>
              </w:rPr>
              <w:t>ENZALUTAMIDE</w:t>
            </w:r>
          </w:p>
        </w:tc>
      </w:tr>
      <w:tr w:rsidR="00FB07BB" w:rsidRPr="00D25438" w:rsidTr="00CB7444">
        <w:trPr>
          <w:cantSplit/>
          <w:trHeight w:val="281"/>
        </w:trPr>
        <w:tc>
          <w:tcPr>
            <w:tcW w:w="1648" w:type="pct"/>
          </w:tcPr>
          <w:p w:rsidR="00FB07BB" w:rsidRPr="00D25438" w:rsidRDefault="00FB07BB" w:rsidP="00CB7444">
            <w:pPr>
              <w:keepNext/>
              <w:keepLines/>
              <w:ind w:left="-57"/>
              <w:rPr>
                <w:rFonts w:ascii="Arial Narrow" w:hAnsi="Arial Narrow" w:cs="Arial"/>
                <w:sz w:val="18"/>
                <w:szCs w:val="18"/>
              </w:rPr>
            </w:pPr>
            <w:r w:rsidRPr="00D25438">
              <w:rPr>
                <w:rFonts w:ascii="Arial Narrow" w:hAnsi="Arial Narrow" w:cs="Arial"/>
                <w:sz w:val="18"/>
                <w:szCs w:val="18"/>
              </w:rPr>
              <w:t>enzalutamide 40 mg capsule, 112</w:t>
            </w:r>
          </w:p>
        </w:tc>
        <w:tc>
          <w:tcPr>
            <w:tcW w:w="717" w:type="pct"/>
          </w:tcPr>
          <w:p w:rsidR="00FB07BB" w:rsidRPr="00D25438" w:rsidRDefault="00FB07BB" w:rsidP="00CB7444">
            <w:pPr>
              <w:keepNext/>
              <w:keepLines/>
              <w:ind w:left="-108"/>
              <w:jc w:val="center"/>
              <w:rPr>
                <w:rFonts w:ascii="Arial Narrow" w:hAnsi="Arial Narrow" w:cs="Arial"/>
                <w:sz w:val="18"/>
                <w:szCs w:val="18"/>
              </w:rPr>
            </w:pPr>
            <w:r w:rsidRPr="00D25438">
              <w:rPr>
                <w:rFonts w:ascii="Arial Narrow" w:hAnsi="Arial Narrow" w:cs="Arial"/>
                <w:sz w:val="18"/>
                <w:szCs w:val="18"/>
              </w:rPr>
              <w:t>10174L</w:t>
            </w:r>
          </w:p>
        </w:tc>
        <w:tc>
          <w:tcPr>
            <w:tcW w:w="698" w:type="pct"/>
          </w:tcPr>
          <w:p w:rsidR="00FB07BB" w:rsidRPr="00D25438" w:rsidRDefault="00FB07BB" w:rsidP="00CB7444">
            <w:pPr>
              <w:keepNext/>
              <w:keepLines/>
              <w:jc w:val="center"/>
              <w:rPr>
                <w:rFonts w:ascii="Arial Narrow" w:hAnsi="Arial Narrow" w:cs="Arial"/>
                <w:sz w:val="18"/>
                <w:szCs w:val="18"/>
              </w:rPr>
            </w:pPr>
            <w:r w:rsidRPr="00D25438">
              <w:rPr>
                <w:rFonts w:ascii="Arial Narrow" w:hAnsi="Arial Narrow" w:cs="Arial"/>
                <w:sz w:val="18"/>
                <w:szCs w:val="18"/>
              </w:rPr>
              <w:t>1</w:t>
            </w:r>
          </w:p>
        </w:tc>
        <w:tc>
          <w:tcPr>
            <w:tcW w:w="786" w:type="pct"/>
          </w:tcPr>
          <w:p w:rsidR="00FB07BB" w:rsidRPr="00D25438" w:rsidRDefault="00FB07BB" w:rsidP="00CB7444">
            <w:pPr>
              <w:keepNext/>
              <w:keepLines/>
              <w:ind w:left="-108"/>
              <w:jc w:val="center"/>
              <w:rPr>
                <w:rFonts w:ascii="Arial Narrow" w:hAnsi="Arial Narrow" w:cs="Arial"/>
                <w:sz w:val="18"/>
                <w:szCs w:val="18"/>
              </w:rPr>
            </w:pPr>
            <w:r w:rsidRPr="00D25438">
              <w:rPr>
                <w:rFonts w:ascii="Arial Narrow" w:hAnsi="Arial Narrow" w:cs="Arial"/>
                <w:sz w:val="18"/>
                <w:szCs w:val="18"/>
              </w:rPr>
              <w:t>112</w:t>
            </w:r>
          </w:p>
        </w:tc>
        <w:tc>
          <w:tcPr>
            <w:tcW w:w="551" w:type="pct"/>
          </w:tcPr>
          <w:p w:rsidR="00FB07BB" w:rsidRPr="00D25438" w:rsidRDefault="00FB07BB" w:rsidP="00CB7444">
            <w:pPr>
              <w:keepNext/>
              <w:keepLines/>
              <w:ind w:left="-108"/>
              <w:jc w:val="center"/>
              <w:rPr>
                <w:rFonts w:ascii="Arial Narrow" w:hAnsi="Arial Narrow" w:cs="Arial"/>
                <w:sz w:val="18"/>
                <w:szCs w:val="18"/>
              </w:rPr>
            </w:pPr>
            <w:r w:rsidRPr="00D25438">
              <w:rPr>
                <w:rFonts w:ascii="Arial Narrow" w:hAnsi="Arial Narrow" w:cs="Arial"/>
                <w:sz w:val="18"/>
                <w:szCs w:val="18"/>
              </w:rPr>
              <w:t>2</w:t>
            </w:r>
          </w:p>
        </w:tc>
        <w:tc>
          <w:tcPr>
            <w:tcW w:w="600" w:type="pct"/>
          </w:tcPr>
          <w:p w:rsidR="00FB07BB" w:rsidRPr="00D25438" w:rsidRDefault="00FB07BB" w:rsidP="00CB7444">
            <w:pPr>
              <w:keepNext/>
              <w:keepLines/>
              <w:rPr>
                <w:rFonts w:ascii="Arial Narrow" w:hAnsi="Arial Narrow" w:cs="Arial"/>
                <w:sz w:val="18"/>
                <w:szCs w:val="18"/>
              </w:rPr>
            </w:pPr>
            <w:r w:rsidRPr="00D25438">
              <w:rPr>
                <w:rFonts w:ascii="Arial Narrow" w:hAnsi="Arial Narrow" w:cs="Arial"/>
                <w:sz w:val="18"/>
                <w:szCs w:val="18"/>
              </w:rPr>
              <w:t>Xtandi</w:t>
            </w:r>
          </w:p>
        </w:tc>
      </w:tr>
    </w:tbl>
    <w:tbl>
      <w:tblPr>
        <w:tblStyle w:val="TableGrid"/>
        <w:tblW w:w="0" w:type="auto"/>
        <w:tblLook w:val="04A0" w:firstRow="1" w:lastRow="0" w:firstColumn="1" w:lastColumn="0" w:noHBand="0" w:noVBand="1"/>
        <w:tblCaption w:val="Proposed listing"/>
      </w:tblPr>
      <w:tblGrid>
        <w:gridCol w:w="279"/>
        <w:gridCol w:w="8737"/>
      </w:tblGrid>
      <w:tr w:rsidR="00FB07BB" w:rsidRPr="00D25438" w:rsidTr="009523AB">
        <w:trPr>
          <w:tblHeader/>
        </w:trPr>
        <w:tc>
          <w:tcPr>
            <w:tcW w:w="9016" w:type="dxa"/>
            <w:gridSpan w:val="2"/>
          </w:tcPr>
          <w:p w:rsidR="00FB07BB" w:rsidRPr="00D25438" w:rsidRDefault="00FB07BB" w:rsidP="00CB7444">
            <w:pPr>
              <w:jc w:val="left"/>
              <w:rPr>
                <w:rFonts w:ascii="Arial Narrow" w:hAnsi="Arial Narrow"/>
                <w:b/>
                <w:snapToGrid w:val="0"/>
                <w:sz w:val="18"/>
                <w:szCs w:val="18"/>
              </w:rPr>
            </w:pPr>
          </w:p>
        </w:tc>
      </w:tr>
      <w:tr w:rsidR="00FB07BB" w:rsidRPr="00D25438" w:rsidTr="00CB7444">
        <w:tc>
          <w:tcPr>
            <w:tcW w:w="9016" w:type="dxa"/>
            <w:gridSpan w:val="2"/>
          </w:tcPr>
          <w:p w:rsidR="00FB07BB" w:rsidRPr="00D25438" w:rsidRDefault="00FB07BB" w:rsidP="00CB7444">
            <w:pPr>
              <w:ind w:left="-57"/>
              <w:jc w:val="left"/>
              <w:rPr>
                <w:rFonts w:ascii="Arial Narrow" w:hAnsi="Arial Narrow"/>
                <w:b/>
                <w:snapToGrid w:val="0"/>
                <w:sz w:val="18"/>
                <w:szCs w:val="18"/>
              </w:rPr>
            </w:pPr>
            <w:r w:rsidRPr="00BF5D3B">
              <w:rPr>
                <w:rFonts w:ascii="Arial Narrow" w:hAnsi="Arial Narrow"/>
                <w:b/>
                <w:snapToGrid w:val="0"/>
                <w:sz w:val="18"/>
                <w:szCs w:val="18"/>
              </w:rPr>
              <w:t xml:space="preserve">Amend Restriction Summary 4670 / ToC: 4670: Authority Required </w:t>
            </w:r>
            <w:r w:rsidRPr="00BF5D3B">
              <w:rPr>
                <w:rFonts w:ascii="Arial Narrow" w:hAnsi="Arial Narrow"/>
                <w:snapToGrid w:val="0"/>
                <w:sz w:val="18"/>
                <w:szCs w:val="18"/>
              </w:rPr>
              <w:t>(as of 1 March 2021)</w:t>
            </w:r>
          </w:p>
        </w:tc>
      </w:tr>
      <w:tr w:rsidR="00FB07BB" w:rsidRPr="00D25438" w:rsidTr="009140B9">
        <w:tc>
          <w:tcPr>
            <w:tcW w:w="279" w:type="dxa"/>
            <w:vMerge w:val="restart"/>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Category/Program: </w:t>
            </w:r>
            <w:r w:rsidRPr="00D25438">
              <w:rPr>
                <w:rFonts w:ascii="Arial Narrow" w:hAnsi="Arial Narrow"/>
                <w:snapToGrid w:val="0"/>
                <w:sz w:val="18"/>
                <w:szCs w:val="18"/>
              </w:rPr>
              <w:t>GENERAL – General Schedule (GE)</w:t>
            </w:r>
          </w:p>
        </w:tc>
      </w:tr>
      <w:tr w:rsidR="00FB07BB" w:rsidRPr="00D25438" w:rsidTr="009140B9">
        <w:trPr>
          <w:trHeight w:val="60"/>
        </w:trPr>
        <w:tc>
          <w:tcPr>
            <w:tcW w:w="279" w:type="dxa"/>
            <w:vMerge/>
          </w:tcPr>
          <w:p w:rsidR="00FB07BB" w:rsidRPr="00D25438" w:rsidRDefault="00FB07BB" w:rsidP="00CB7444">
            <w:pPr>
              <w:jc w:val="left"/>
              <w:rPr>
                <w:rFonts w:ascii="Arial Narrow" w:hAnsi="Arial Narrow"/>
                <w:b/>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Prescriber type: </w:t>
            </w:r>
            <w:r w:rsidRPr="00D25438">
              <w:rPr>
                <w:rFonts w:ascii="Arial Narrow" w:hAnsi="Arial Narrow" w:cs="Arial"/>
                <w:b/>
                <w:snapToGrid w:val="0"/>
                <w:sz w:val="18"/>
                <w:szCs w:val="18"/>
              </w:rPr>
              <w:t xml:space="preserve">   </w:t>
            </w:r>
            <w:r w:rsidRPr="00BF5D3B">
              <w:rPr>
                <w:rFonts w:ascii="Arial Narrow" w:hAnsi="Arial Narrow" w:cs="Arial"/>
                <w:snapToGrid w:val="0"/>
                <w:sz w:val="18"/>
                <w:szCs w:val="18"/>
              </w:rPr>
              <w:fldChar w:fldCharType="begin">
                <w:ffData>
                  <w:name w:val=""/>
                  <w:enabled/>
                  <w:calcOnExit w:val="0"/>
                  <w:checkBox>
                    <w:sizeAuto/>
                    <w:default w:val="1"/>
                  </w:checkBox>
                </w:ffData>
              </w:fldChar>
            </w:r>
            <w:r w:rsidRPr="00D25438">
              <w:rPr>
                <w:rFonts w:ascii="Arial Narrow" w:hAnsi="Arial Narrow" w:cs="Arial"/>
                <w:snapToGrid w:val="0"/>
                <w:sz w:val="18"/>
                <w:szCs w:val="18"/>
              </w:rPr>
              <w:instrText xml:space="preserve"> FORMCHECKBOX </w:instrText>
            </w:r>
            <w:r w:rsidR="00FB454F">
              <w:rPr>
                <w:rFonts w:ascii="Arial Narrow" w:hAnsi="Arial Narrow" w:cs="Arial"/>
                <w:snapToGrid w:val="0"/>
                <w:sz w:val="18"/>
                <w:szCs w:val="18"/>
              </w:rPr>
            </w:r>
            <w:r w:rsidR="00FB454F">
              <w:rPr>
                <w:rFonts w:ascii="Arial Narrow" w:hAnsi="Arial Narrow" w:cs="Arial"/>
                <w:snapToGrid w:val="0"/>
                <w:sz w:val="18"/>
                <w:szCs w:val="18"/>
              </w:rPr>
              <w:fldChar w:fldCharType="separate"/>
            </w:r>
            <w:r w:rsidRPr="00BF5D3B">
              <w:rPr>
                <w:rFonts w:ascii="Arial Narrow" w:hAnsi="Arial Narrow" w:cs="Arial"/>
                <w:snapToGrid w:val="0"/>
                <w:sz w:val="18"/>
                <w:szCs w:val="18"/>
              </w:rPr>
              <w:fldChar w:fldCharType="end"/>
            </w:r>
            <w:r w:rsidRPr="00D25438">
              <w:rPr>
                <w:rFonts w:ascii="Arial Narrow" w:hAnsi="Arial Narrow" w:cs="Arial"/>
                <w:snapToGrid w:val="0"/>
                <w:sz w:val="18"/>
                <w:szCs w:val="18"/>
              </w:rPr>
              <w:t xml:space="preserve"> Medical Practitioners    </w:t>
            </w:r>
          </w:p>
        </w:tc>
      </w:tr>
      <w:tr w:rsidR="00FB07BB" w:rsidRPr="00D25438" w:rsidTr="009140B9">
        <w:tc>
          <w:tcPr>
            <w:tcW w:w="279" w:type="dxa"/>
            <w:vMerge/>
          </w:tcPr>
          <w:p w:rsidR="00FB07BB" w:rsidRPr="00D25438" w:rsidRDefault="00FB07BB" w:rsidP="00CB7444">
            <w:pPr>
              <w:jc w:val="left"/>
              <w:rPr>
                <w:rFonts w:ascii="Arial Narrow" w:hAnsi="Arial Narrow"/>
                <w:b/>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 xml:space="preserve">Restriction type: </w:t>
            </w:r>
            <w:r w:rsidRPr="00BF5D3B">
              <w:rPr>
                <w:rFonts w:ascii="Arial Narrow" w:hAnsi="Arial Narrow"/>
                <w:snapToGrid w:val="0"/>
                <w:sz w:val="18"/>
                <w:szCs w:val="18"/>
              </w:rPr>
              <w:fldChar w:fldCharType="begin">
                <w:ffData>
                  <w:name w:val=""/>
                  <w:enabled/>
                  <w:calcOnExit w:val="0"/>
                  <w:checkBox>
                    <w:sizeAuto/>
                    <w:default w:val="1"/>
                  </w:checkBox>
                </w:ffData>
              </w:fldChar>
            </w:r>
            <w:r w:rsidRPr="00D25438">
              <w:rPr>
                <w:rFonts w:ascii="Arial Narrow" w:hAnsi="Arial Narrow"/>
                <w:snapToGrid w:val="0"/>
                <w:sz w:val="18"/>
                <w:szCs w:val="18"/>
              </w:rPr>
              <w:instrText xml:space="preserve"> FORMCHECKBOX </w:instrText>
            </w:r>
            <w:r w:rsidR="00FB454F">
              <w:rPr>
                <w:rFonts w:ascii="Arial Narrow" w:hAnsi="Arial Narrow"/>
                <w:snapToGrid w:val="0"/>
                <w:sz w:val="18"/>
                <w:szCs w:val="18"/>
              </w:rPr>
            </w:r>
            <w:r w:rsidR="00FB454F">
              <w:rPr>
                <w:rFonts w:ascii="Arial Narrow" w:hAnsi="Arial Narrow"/>
                <w:snapToGrid w:val="0"/>
                <w:sz w:val="18"/>
                <w:szCs w:val="18"/>
              </w:rPr>
              <w:fldChar w:fldCharType="separate"/>
            </w:r>
            <w:r w:rsidRPr="00BF5D3B">
              <w:rPr>
                <w:rFonts w:ascii="Arial Narrow" w:hAnsi="Arial Narrow"/>
                <w:snapToGrid w:val="0"/>
                <w:sz w:val="18"/>
                <w:szCs w:val="18"/>
              </w:rPr>
              <w:fldChar w:fldCharType="end"/>
            </w:r>
            <w:r w:rsidRPr="00D25438">
              <w:rPr>
                <w:rFonts w:ascii="Arial Narrow" w:hAnsi="Arial Narrow"/>
                <w:snapToGrid w:val="0"/>
                <w:sz w:val="18"/>
                <w:szCs w:val="18"/>
              </w:rPr>
              <w:t xml:space="preserve"> Authority Required – immediate/real-time assessment by Services Australia</w:t>
            </w:r>
          </w:p>
        </w:tc>
      </w:tr>
      <w:tr w:rsidR="00FB07BB" w:rsidRPr="00D25438" w:rsidTr="009140B9">
        <w:tc>
          <w:tcPr>
            <w:tcW w:w="279" w:type="dxa"/>
          </w:tcPr>
          <w:p w:rsidR="00FB07BB" w:rsidRPr="00D25438" w:rsidRDefault="00FB07BB" w:rsidP="00CB7444">
            <w:pPr>
              <w:jc w:val="left"/>
              <w:rPr>
                <w:rFonts w:ascii="Arial Narrow" w:hAnsi="Arial Narrow"/>
                <w:b/>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Severity:</w:t>
            </w:r>
            <w:r w:rsidRPr="00D25438">
              <w:rPr>
                <w:rFonts w:ascii="Arial Narrow" w:hAnsi="Arial Narrow"/>
                <w:snapToGrid w:val="0"/>
                <w:sz w:val="18"/>
                <w:szCs w:val="18"/>
              </w:rPr>
              <w:t xml:space="preserve"> Castration resistant metastatic</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Condition: </w:t>
            </w:r>
            <w:r w:rsidRPr="00D25438">
              <w:rPr>
                <w:rFonts w:ascii="Arial Narrow" w:hAnsi="Arial Narrow"/>
                <w:snapToGrid w:val="0"/>
                <w:sz w:val="18"/>
                <w:szCs w:val="18"/>
              </w:rPr>
              <w:t>Carcinoma of the prostate</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PBS indication: </w:t>
            </w:r>
            <w:r w:rsidRPr="00D25438">
              <w:rPr>
                <w:rFonts w:ascii="Arial Narrow" w:hAnsi="Arial Narrow"/>
                <w:snapToGrid w:val="0"/>
                <w:sz w:val="18"/>
                <w:szCs w:val="18"/>
              </w:rPr>
              <w:t>Castration resistant metastatic carcinoma of the prostate</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The treatment must not be used in combination with chemotherapy</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trike/>
                <w:snapToGrid w:val="0"/>
                <w:sz w:val="18"/>
                <w:szCs w:val="18"/>
              </w:rPr>
            </w:pPr>
            <w:r w:rsidRPr="00D25438">
              <w:rPr>
                <w:rFonts w:ascii="Arial Narrow" w:hAnsi="Arial Narrow"/>
                <w:b/>
                <w:strike/>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trike/>
                <w:snapToGrid w:val="0"/>
                <w:sz w:val="18"/>
                <w:szCs w:val="18"/>
              </w:rPr>
            </w:pPr>
            <w:r w:rsidRPr="00D25438">
              <w:rPr>
                <w:rFonts w:ascii="Arial Narrow" w:hAnsi="Arial Narrow"/>
                <w:strike/>
                <w:snapToGrid w:val="0"/>
                <w:sz w:val="18"/>
                <w:szCs w:val="18"/>
              </w:rPr>
              <w:t>Patient must have failed treatment with docetaxel due to resistance or intolerance; or</w:t>
            </w:r>
          </w:p>
        </w:tc>
      </w:tr>
      <w:tr w:rsidR="00FB07BB" w:rsidRPr="00D25438" w:rsidTr="009140B9">
        <w:trPr>
          <w:trHeight w:val="167"/>
        </w:trPr>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trike/>
                <w:snapToGrid w:val="0"/>
                <w:sz w:val="18"/>
                <w:szCs w:val="18"/>
              </w:rPr>
            </w:pPr>
            <w:r w:rsidRPr="00D25438">
              <w:rPr>
                <w:rFonts w:ascii="Arial Narrow" w:hAnsi="Arial Narrow"/>
                <w:strike/>
                <w:snapToGrid w:val="0"/>
                <w:sz w:val="18"/>
                <w:szCs w:val="18"/>
              </w:rPr>
              <w:t>Patient must be unsuitable for docetaxel treatment of the basis of predicted intolerance to docetaxel</w:t>
            </w:r>
          </w:p>
        </w:tc>
      </w:tr>
      <w:tr w:rsidR="00FB07BB" w:rsidRPr="00D25438" w:rsidTr="009140B9">
        <w:tc>
          <w:tcPr>
            <w:tcW w:w="279" w:type="dxa"/>
          </w:tcPr>
          <w:p w:rsidR="00FB07BB" w:rsidRPr="00D25438" w:rsidRDefault="00FB07BB" w:rsidP="00CB7444">
            <w:pPr>
              <w:jc w:val="center"/>
              <w:rPr>
                <w:rFonts w:ascii="Arial Narrow" w:hAnsi="Arial Narrow"/>
                <w:strike/>
                <w:snapToGrid w:val="0"/>
                <w:sz w:val="18"/>
                <w:szCs w:val="18"/>
              </w:rPr>
            </w:pPr>
          </w:p>
        </w:tc>
        <w:tc>
          <w:tcPr>
            <w:tcW w:w="8737" w:type="dxa"/>
            <w:shd w:val="clear" w:color="auto" w:fill="auto"/>
          </w:tcPr>
          <w:p w:rsidR="00FB07BB" w:rsidRPr="00D25438" w:rsidRDefault="00FB07BB" w:rsidP="00CB7444">
            <w:pPr>
              <w:jc w:val="left"/>
              <w:rPr>
                <w:rFonts w:ascii="Arial Narrow" w:hAnsi="Arial Narrow"/>
                <w:b/>
                <w:strike/>
                <w:snapToGrid w:val="0"/>
                <w:sz w:val="18"/>
                <w:szCs w:val="18"/>
              </w:rPr>
            </w:pPr>
            <w:r w:rsidRPr="00D25438">
              <w:rPr>
                <w:rFonts w:ascii="Arial Narrow" w:hAnsi="Arial Narrow"/>
                <w:b/>
                <w:strike/>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have a WHO performance status of 2 or less</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not receive PBS-subsidised treatment with this drug if progressive disease develops while on this drug</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trike/>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not have received prior treatment with abiraterone; or</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have developed intolerance to abiraterone of a severity necessitating permanent treatment withdrawal.</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Administrative advice:</w:t>
            </w:r>
            <w:r w:rsidRPr="00D25438">
              <w:rPr>
                <w:rFonts w:ascii="Arial Narrow" w:hAnsi="Arial Narrow"/>
                <w:snapToGrid w:val="0"/>
                <w:sz w:val="18"/>
                <w:szCs w:val="18"/>
              </w:rPr>
              <w:t xml:space="preserve"> Special Pricing Arrangements apply</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Administrative advice: </w:t>
            </w:r>
            <w:r w:rsidRPr="00D25438">
              <w:rPr>
                <w:rFonts w:ascii="Arial Narrow" w:hAnsi="Arial Narrow"/>
                <w:snapToGrid w:val="0"/>
                <w:sz w:val="18"/>
                <w:szCs w:val="18"/>
              </w:rPr>
              <w:t>No increase in the maximum quantity or number of units may be authorised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Administrative advice: </w:t>
            </w:r>
            <w:r w:rsidRPr="00D25438">
              <w:rPr>
                <w:rFonts w:ascii="Arial Narrow" w:hAnsi="Arial Narrow"/>
                <w:snapToGrid w:val="0"/>
                <w:sz w:val="18"/>
                <w:szCs w:val="18"/>
              </w:rPr>
              <w:t>No increase in the maximum number of repeats may be authorised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Administrative advice:</w:t>
            </w:r>
          </w:p>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bl>
    <w:p w:rsidR="00FB07BB" w:rsidRPr="00D25438" w:rsidRDefault="00FB07BB" w:rsidP="00BF5D3B">
      <w:pPr>
        <w:pStyle w:val="3Bodytext"/>
        <w:numPr>
          <w:ilvl w:val="0"/>
          <w:numId w:val="0"/>
        </w:numPr>
        <w:rPr>
          <w:snapToGrid w:val="0"/>
        </w:rPr>
      </w:pPr>
    </w:p>
    <w:p w:rsidR="00FB07BB" w:rsidRPr="00BF5D3B" w:rsidRDefault="00FB07BB" w:rsidP="00BF5D3B">
      <w:pPr>
        <w:pStyle w:val="3Bodytext"/>
        <w:rPr>
          <w:rFonts w:eastAsia="Calibri" w:cs="Calibri"/>
          <w:i/>
          <w:lang w:eastAsia="en-US"/>
        </w:rPr>
      </w:pPr>
      <w:r w:rsidRPr="00BF5D3B">
        <w:rPr>
          <w:rFonts w:eastAsia="Calibri" w:cs="Calibri"/>
          <w:i/>
          <w:lang w:eastAsia="en-US"/>
        </w:rPr>
        <w:lastRenderedPageBreak/>
        <w:t>Amend the existing abiraterone listings, without any price change to the existing price and subject to sponsor agreement, as follows:</w:t>
      </w:r>
    </w:p>
    <w:p w:rsidR="00FB07BB" w:rsidRPr="00D25438" w:rsidRDefault="00FB07BB" w:rsidP="003A7AFA">
      <w:pPr>
        <w:keepNext/>
        <w:keepLines/>
        <w:rPr>
          <w:rFonts w:eastAsia="Calibri" w:cs="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8"/>
        <w:gridCol w:w="1434"/>
        <w:gridCol w:w="1401"/>
        <w:gridCol w:w="1275"/>
        <w:gridCol w:w="994"/>
        <w:gridCol w:w="1084"/>
      </w:tblGrid>
      <w:tr w:rsidR="00FB07BB" w:rsidRPr="00D25438" w:rsidTr="00CB7444">
        <w:trPr>
          <w:cantSplit/>
          <w:trHeight w:val="471"/>
        </w:trPr>
        <w:tc>
          <w:tcPr>
            <w:tcW w:w="1569" w:type="pct"/>
          </w:tcPr>
          <w:p w:rsidR="00FB07BB" w:rsidRPr="00D25438" w:rsidRDefault="00FB07BB" w:rsidP="00CB7444">
            <w:pPr>
              <w:keepNext/>
              <w:ind w:left="-57"/>
              <w:rPr>
                <w:rFonts w:ascii="Arial Narrow" w:hAnsi="Arial Narrow" w:cs="Arial"/>
                <w:b/>
                <w:bCs/>
                <w:sz w:val="18"/>
                <w:szCs w:val="18"/>
              </w:rPr>
            </w:pPr>
            <w:r w:rsidRPr="00D25438">
              <w:rPr>
                <w:rFonts w:ascii="Arial Narrow" w:hAnsi="Arial Narrow" w:cs="Arial"/>
                <w:b/>
                <w:bCs/>
                <w:sz w:val="18"/>
                <w:szCs w:val="18"/>
              </w:rPr>
              <w:t>MEDICINAL PRODUCT</w:t>
            </w:r>
          </w:p>
          <w:p w:rsidR="00FB07BB" w:rsidRPr="00D25438" w:rsidRDefault="00FB07BB" w:rsidP="00CB7444">
            <w:pPr>
              <w:keepNext/>
              <w:ind w:left="-57"/>
              <w:rPr>
                <w:rFonts w:ascii="Arial Narrow" w:hAnsi="Arial Narrow" w:cs="Arial"/>
                <w:b/>
                <w:sz w:val="18"/>
                <w:szCs w:val="18"/>
              </w:rPr>
            </w:pPr>
            <w:r w:rsidRPr="00D25438">
              <w:rPr>
                <w:rFonts w:ascii="Arial Narrow" w:hAnsi="Arial Narrow" w:cs="Arial"/>
                <w:b/>
                <w:bCs/>
                <w:sz w:val="18"/>
                <w:szCs w:val="18"/>
              </w:rPr>
              <w:t>medicinal product pack</w:t>
            </w:r>
          </w:p>
        </w:tc>
        <w:tc>
          <w:tcPr>
            <w:tcW w:w="795" w:type="pct"/>
          </w:tcPr>
          <w:p w:rsidR="00FB07BB" w:rsidRPr="00D25438" w:rsidRDefault="00FB07BB" w:rsidP="00CB7444">
            <w:pPr>
              <w:keepNext/>
              <w:ind w:left="-108"/>
              <w:jc w:val="center"/>
              <w:rPr>
                <w:rFonts w:ascii="Arial Narrow" w:hAnsi="Arial Narrow" w:cs="Arial"/>
                <w:b/>
                <w:sz w:val="18"/>
                <w:szCs w:val="18"/>
              </w:rPr>
            </w:pPr>
            <w:r w:rsidRPr="00D25438">
              <w:rPr>
                <w:rFonts w:ascii="Arial Narrow" w:hAnsi="Arial Narrow" w:cs="Arial"/>
                <w:b/>
                <w:sz w:val="18"/>
                <w:szCs w:val="18"/>
              </w:rPr>
              <w:t>PBS item code</w:t>
            </w:r>
          </w:p>
        </w:tc>
        <w:tc>
          <w:tcPr>
            <w:tcW w:w="777" w:type="pct"/>
          </w:tcPr>
          <w:p w:rsidR="00FB07BB" w:rsidRPr="00D25438" w:rsidRDefault="00FB07BB" w:rsidP="00CB7444">
            <w:pPr>
              <w:keepNext/>
              <w:ind w:left="-108"/>
              <w:jc w:val="center"/>
              <w:rPr>
                <w:rFonts w:ascii="Arial Narrow" w:hAnsi="Arial Narrow" w:cs="Arial"/>
                <w:b/>
                <w:sz w:val="18"/>
                <w:szCs w:val="18"/>
              </w:rPr>
            </w:pPr>
            <w:r w:rsidRPr="00D25438">
              <w:rPr>
                <w:rFonts w:ascii="Arial Narrow" w:hAnsi="Arial Narrow" w:cs="Arial"/>
                <w:b/>
                <w:sz w:val="18"/>
                <w:szCs w:val="18"/>
              </w:rPr>
              <w:t>Max. qty packs</w:t>
            </w:r>
          </w:p>
        </w:tc>
        <w:tc>
          <w:tcPr>
            <w:tcW w:w="707" w:type="pct"/>
          </w:tcPr>
          <w:p w:rsidR="00FB07BB" w:rsidRPr="00D25438" w:rsidRDefault="00FB07BB" w:rsidP="00CB7444">
            <w:pPr>
              <w:keepNext/>
              <w:ind w:left="-108"/>
              <w:jc w:val="center"/>
              <w:rPr>
                <w:rFonts w:ascii="Arial Narrow" w:hAnsi="Arial Narrow" w:cs="Arial"/>
                <w:b/>
                <w:sz w:val="18"/>
                <w:szCs w:val="18"/>
              </w:rPr>
            </w:pPr>
            <w:r w:rsidRPr="00D25438">
              <w:rPr>
                <w:rFonts w:ascii="Arial Narrow" w:hAnsi="Arial Narrow" w:cs="Arial"/>
                <w:b/>
                <w:sz w:val="18"/>
                <w:szCs w:val="18"/>
              </w:rPr>
              <w:t>Max. qty units</w:t>
            </w:r>
          </w:p>
        </w:tc>
        <w:tc>
          <w:tcPr>
            <w:tcW w:w="551" w:type="pct"/>
          </w:tcPr>
          <w:p w:rsidR="00FB07BB" w:rsidRPr="00D25438" w:rsidRDefault="00FB07BB" w:rsidP="00CB7444">
            <w:pPr>
              <w:keepNext/>
              <w:ind w:left="-108"/>
              <w:jc w:val="center"/>
              <w:rPr>
                <w:rFonts w:ascii="Arial Narrow" w:hAnsi="Arial Narrow" w:cs="Arial"/>
                <w:b/>
                <w:sz w:val="18"/>
                <w:szCs w:val="18"/>
              </w:rPr>
            </w:pPr>
            <w:r w:rsidRPr="00D25438">
              <w:rPr>
                <w:rFonts w:ascii="Arial Narrow" w:hAnsi="Arial Narrow" w:cs="Arial"/>
                <w:b/>
                <w:sz w:val="18"/>
                <w:szCs w:val="18"/>
              </w:rPr>
              <w:t>№.of</w:t>
            </w:r>
          </w:p>
          <w:p w:rsidR="00FB07BB" w:rsidRPr="00D25438" w:rsidRDefault="00FB07BB" w:rsidP="00CB7444">
            <w:pPr>
              <w:keepNext/>
              <w:ind w:left="-108"/>
              <w:jc w:val="center"/>
              <w:rPr>
                <w:rFonts w:ascii="Arial Narrow" w:hAnsi="Arial Narrow" w:cs="Arial"/>
                <w:b/>
                <w:sz w:val="18"/>
                <w:szCs w:val="18"/>
              </w:rPr>
            </w:pPr>
            <w:r w:rsidRPr="00D25438">
              <w:rPr>
                <w:rFonts w:ascii="Arial Narrow" w:hAnsi="Arial Narrow" w:cs="Arial"/>
                <w:b/>
                <w:sz w:val="18"/>
                <w:szCs w:val="18"/>
              </w:rPr>
              <w:t>Rpts</w:t>
            </w:r>
          </w:p>
        </w:tc>
        <w:tc>
          <w:tcPr>
            <w:tcW w:w="600" w:type="pct"/>
          </w:tcPr>
          <w:p w:rsidR="00FB07BB" w:rsidRPr="00BF5D3B" w:rsidRDefault="00FB07BB" w:rsidP="00CB7444">
            <w:pPr>
              <w:keepNext/>
              <w:rPr>
                <w:rFonts w:ascii="Arial Narrow" w:hAnsi="Arial Narrow" w:cs="Arial"/>
                <w:b/>
                <w:sz w:val="18"/>
                <w:szCs w:val="18"/>
              </w:rPr>
            </w:pPr>
            <w:r w:rsidRPr="00D25438">
              <w:rPr>
                <w:rFonts w:ascii="Arial Narrow" w:hAnsi="Arial Narrow" w:cs="Arial"/>
                <w:b/>
                <w:sz w:val="18"/>
                <w:szCs w:val="18"/>
              </w:rPr>
              <w:t>Available brands</w:t>
            </w:r>
          </w:p>
        </w:tc>
        <w:bookmarkStart w:id="0" w:name="_GoBack"/>
        <w:bookmarkEnd w:id="0"/>
      </w:tr>
      <w:tr w:rsidR="00FB07BB" w:rsidRPr="00D25438" w:rsidTr="00CB7444">
        <w:trPr>
          <w:cantSplit/>
          <w:trHeight w:val="242"/>
        </w:trPr>
        <w:tc>
          <w:tcPr>
            <w:tcW w:w="5000" w:type="pct"/>
            <w:gridSpan w:val="6"/>
          </w:tcPr>
          <w:p w:rsidR="00FB07BB" w:rsidRPr="00D25438" w:rsidRDefault="00FB07BB" w:rsidP="00CB7444">
            <w:pPr>
              <w:keepNext/>
              <w:ind w:left="-57"/>
              <w:rPr>
                <w:rFonts w:ascii="Arial Narrow" w:hAnsi="Arial Narrow" w:cs="Arial"/>
                <w:sz w:val="18"/>
                <w:szCs w:val="18"/>
              </w:rPr>
            </w:pPr>
            <w:r w:rsidRPr="00D25438">
              <w:rPr>
                <w:rFonts w:ascii="Arial Narrow" w:hAnsi="Arial Narrow" w:cs="Arial"/>
                <w:sz w:val="18"/>
                <w:szCs w:val="18"/>
              </w:rPr>
              <w:t>ABIRATERONE</w:t>
            </w:r>
          </w:p>
        </w:tc>
      </w:tr>
      <w:tr w:rsidR="00FB07BB" w:rsidRPr="00D25438" w:rsidTr="00CB7444">
        <w:trPr>
          <w:cantSplit/>
          <w:trHeight w:val="281"/>
        </w:trPr>
        <w:tc>
          <w:tcPr>
            <w:tcW w:w="1569" w:type="pct"/>
          </w:tcPr>
          <w:p w:rsidR="00FB07BB" w:rsidRPr="00D25438" w:rsidRDefault="00FB07BB" w:rsidP="00CB7444">
            <w:pPr>
              <w:keepNext/>
              <w:ind w:left="-57"/>
              <w:rPr>
                <w:rFonts w:ascii="Arial Narrow" w:hAnsi="Arial Narrow" w:cs="Arial"/>
                <w:sz w:val="18"/>
                <w:szCs w:val="18"/>
              </w:rPr>
            </w:pPr>
            <w:r w:rsidRPr="00D25438">
              <w:rPr>
                <w:rFonts w:ascii="Arial Narrow" w:hAnsi="Arial Narrow" w:cs="Arial"/>
                <w:sz w:val="18"/>
                <w:szCs w:val="18"/>
              </w:rPr>
              <w:t>abiraterone acetate 500 mg tablet, 60</w:t>
            </w:r>
          </w:p>
        </w:tc>
        <w:tc>
          <w:tcPr>
            <w:tcW w:w="795" w:type="pct"/>
          </w:tcPr>
          <w:p w:rsidR="00FB07BB" w:rsidRPr="00D25438" w:rsidRDefault="00FB07BB" w:rsidP="00CB7444">
            <w:pPr>
              <w:keepNext/>
              <w:ind w:left="-108"/>
              <w:jc w:val="center"/>
              <w:rPr>
                <w:rFonts w:ascii="Arial Narrow" w:hAnsi="Arial Narrow" w:cs="Arial"/>
                <w:sz w:val="18"/>
                <w:szCs w:val="18"/>
              </w:rPr>
            </w:pPr>
            <w:r w:rsidRPr="00D25438">
              <w:rPr>
                <w:rFonts w:ascii="Arial Narrow" w:hAnsi="Arial Narrow" w:cs="Arial"/>
                <w:sz w:val="18"/>
                <w:szCs w:val="18"/>
              </w:rPr>
              <w:t>11206T</w:t>
            </w:r>
          </w:p>
        </w:tc>
        <w:tc>
          <w:tcPr>
            <w:tcW w:w="777" w:type="pct"/>
          </w:tcPr>
          <w:p w:rsidR="00FB07BB" w:rsidRPr="00D25438" w:rsidRDefault="00FB07BB" w:rsidP="00CB7444">
            <w:pPr>
              <w:keepNext/>
              <w:jc w:val="center"/>
              <w:rPr>
                <w:rFonts w:ascii="Arial Narrow" w:hAnsi="Arial Narrow" w:cs="Arial"/>
                <w:sz w:val="18"/>
                <w:szCs w:val="18"/>
              </w:rPr>
            </w:pPr>
            <w:r w:rsidRPr="00D25438">
              <w:rPr>
                <w:rFonts w:ascii="Arial Narrow" w:hAnsi="Arial Narrow" w:cs="Arial"/>
                <w:sz w:val="18"/>
                <w:szCs w:val="18"/>
              </w:rPr>
              <w:t>1</w:t>
            </w:r>
          </w:p>
        </w:tc>
        <w:tc>
          <w:tcPr>
            <w:tcW w:w="707" w:type="pct"/>
          </w:tcPr>
          <w:p w:rsidR="00FB07BB" w:rsidRPr="00D25438" w:rsidRDefault="00FB07BB" w:rsidP="00CB7444">
            <w:pPr>
              <w:keepNext/>
              <w:ind w:left="-108"/>
              <w:jc w:val="center"/>
              <w:rPr>
                <w:rFonts w:ascii="Arial Narrow" w:hAnsi="Arial Narrow" w:cs="Arial"/>
                <w:sz w:val="18"/>
                <w:szCs w:val="18"/>
              </w:rPr>
            </w:pPr>
            <w:r w:rsidRPr="00D25438">
              <w:rPr>
                <w:rFonts w:ascii="Arial Narrow" w:hAnsi="Arial Narrow" w:cs="Arial"/>
                <w:sz w:val="18"/>
                <w:szCs w:val="18"/>
              </w:rPr>
              <w:t>60</w:t>
            </w:r>
          </w:p>
        </w:tc>
        <w:tc>
          <w:tcPr>
            <w:tcW w:w="551" w:type="pct"/>
          </w:tcPr>
          <w:p w:rsidR="00FB07BB" w:rsidRPr="00D25438" w:rsidRDefault="00FB07BB" w:rsidP="00CB7444">
            <w:pPr>
              <w:keepNext/>
              <w:ind w:left="-108"/>
              <w:jc w:val="center"/>
              <w:rPr>
                <w:rFonts w:ascii="Arial Narrow" w:hAnsi="Arial Narrow" w:cs="Arial"/>
                <w:sz w:val="18"/>
                <w:szCs w:val="18"/>
              </w:rPr>
            </w:pPr>
            <w:r w:rsidRPr="00D25438">
              <w:rPr>
                <w:rFonts w:ascii="Arial Narrow" w:hAnsi="Arial Narrow" w:cs="Arial"/>
                <w:sz w:val="18"/>
                <w:szCs w:val="18"/>
              </w:rPr>
              <w:t>2</w:t>
            </w:r>
          </w:p>
        </w:tc>
        <w:tc>
          <w:tcPr>
            <w:tcW w:w="600" w:type="pct"/>
          </w:tcPr>
          <w:p w:rsidR="00FB07BB" w:rsidRPr="00D25438" w:rsidRDefault="00FB07BB" w:rsidP="00CB7444">
            <w:pPr>
              <w:keepNext/>
              <w:rPr>
                <w:rFonts w:ascii="Arial Narrow" w:hAnsi="Arial Narrow" w:cs="Arial"/>
                <w:sz w:val="18"/>
                <w:szCs w:val="18"/>
              </w:rPr>
            </w:pPr>
            <w:r w:rsidRPr="00D25438">
              <w:rPr>
                <w:rFonts w:ascii="Arial Narrow" w:hAnsi="Arial Narrow" w:cs="Arial"/>
                <w:sz w:val="18"/>
                <w:szCs w:val="18"/>
              </w:rPr>
              <w:t>Zytiga</w:t>
            </w:r>
          </w:p>
        </w:tc>
      </w:tr>
      <w:tr w:rsidR="00FB07BB" w:rsidRPr="00D25438" w:rsidTr="00CB7444">
        <w:trPr>
          <w:cantSplit/>
          <w:trHeight w:val="281"/>
        </w:trPr>
        <w:tc>
          <w:tcPr>
            <w:tcW w:w="1569" w:type="pct"/>
          </w:tcPr>
          <w:p w:rsidR="00FB07BB" w:rsidRPr="00D25438" w:rsidRDefault="00FB07BB" w:rsidP="00CB7444">
            <w:pPr>
              <w:keepNext/>
              <w:ind w:left="-57"/>
              <w:rPr>
                <w:rFonts w:ascii="Arial Narrow" w:hAnsi="Arial Narrow" w:cs="Arial"/>
                <w:sz w:val="18"/>
                <w:szCs w:val="18"/>
              </w:rPr>
            </w:pPr>
            <w:r w:rsidRPr="00D25438">
              <w:rPr>
                <w:rFonts w:ascii="Arial Narrow" w:hAnsi="Arial Narrow" w:cs="Arial"/>
                <w:sz w:val="18"/>
                <w:szCs w:val="18"/>
              </w:rPr>
              <w:t>abiraterone acetate 250 mg tablet, 120</w:t>
            </w:r>
          </w:p>
        </w:tc>
        <w:tc>
          <w:tcPr>
            <w:tcW w:w="795" w:type="pct"/>
          </w:tcPr>
          <w:p w:rsidR="00FB07BB" w:rsidRPr="00D25438" w:rsidRDefault="00FB07BB" w:rsidP="00CB7444">
            <w:pPr>
              <w:keepNext/>
              <w:ind w:left="-108"/>
              <w:jc w:val="center"/>
              <w:rPr>
                <w:rFonts w:ascii="Arial Narrow" w:hAnsi="Arial Narrow" w:cs="Arial"/>
                <w:sz w:val="18"/>
                <w:szCs w:val="18"/>
              </w:rPr>
            </w:pPr>
            <w:r w:rsidRPr="00D25438">
              <w:rPr>
                <w:rFonts w:ascii="Arial Narrow" w:hAnsi="Arial Narrow" w:cs="Arial"/>
                <w:sz w:val="18"/>
                <w:szCs w:val="18"/>
              </w:rPr>
              <w:t>2698B</w:t>
            </w:r>
          </w:p>
        </w:tc>
        <w:tc>
          <w:tcPr>
            <w:tcW w:w="777" w:type="pct"/>
          </w:tcPr>
          <w:p w:rsidR="00FB07BB" w:rsidRPr="00D25438" w:rsidRDefault="00FB07BB" w:rsidP="00CB7444">
            <w:pPr>
              <w:keepNext/>
              <w:jc w:val="center"/>
              <w:rPr>
                <w:rFonts w:ascii="Arial Narrow" w:hAnsi="Arial Narrow" w:cs="Arial"/>
                <w:sz w:val="18"/>
                <w:szCs w:val="18"/>
              </w:rPr>
            </w:pPr>
            <w:r w:rsidRPr="00D25438">
              <w:rPr>
                <w:rFonts w:ascii="Arial Narrow" w:hAnsi="Arial Narrow" w:cs="Arial"/>
                <w:sz w:val="18"/>
                <w:szCs w:val="18"/>
              </w:rPr>
              <w:t>1</w:t>
            </w:r>
          </w:p>
        </w:tc>
        <w:tc>
          <w:tcPr>
            <w:tcW w:w="707" w:type="pct"/>
          </w:tcPr>
          <w:p w:rsidR="00FB07BB" w:rsidRPr="00D25438" w:rsidRDefault="00FB07BB" w:rsidP="00CB7444">
            <w:pPr>
              <w:keepNext/>
              <w:ind w:left="-108"/>
              <w:jc w:val="center"/>
              <w:rPr>
                <w:rFonts w:ascii="Arial Narrow" w:hAnsi="Arial Narrow" w:cs="Arial"/>
                <w:sz w:val="18"/>
                <w:szCs w:val="18"/>
              </w:rPr>
            </w:pPr>
            <w:r w:rsidRPr="00D25438">
              <w:rPr>
                <w:rFonts w:ascii="Arial Narrow" w:hAnsi="Arial Narrow" w:cs="Arial"/>
                <w:sz w:val="18"/>
                <w:szCs w:val="18"/>
              </w:rPr>
              <w:t>120</w:t>
            </w:r>
          </w:p>
        </w:tc>
        <w:tc>
          <w:tcPr>
            <w:tcW w:w="551" w:type="pct"/>
          </w:tcPr>
          <w:p w:rsidR="00FB07BB" w:rsidRPr="00D25438" w:rsidRDefault="00FB07BB" w:rsidP="00CB7444">
            <w:pPr>
              <w:keepNext/>
              <w:ind w:left="-108"/>
              <w:jc w:val="center"/>
              <w:rPr>
                <w:rFonts w:ascii="Arial Narrow" w:hAnsi="Arial Narrow" w:cs="Arial"/>
                <w:sz w:val="18"/>
                <w:szCs w:val="18"/>
              </w:rPr>
            </w:pPr>
            <w:r w:rsidRPr="00D25438">
              <w:rPr>
                <w:rFonts w:ascii="Arial Narrow" w:hAnsi="Arial Narrow" w:cs="Arial"/>
                <w:sz w:val="18"/>
                <w:szCs w:val="18"/>
              </w:rPr>
              <w:t>2</w:t>
            </w:r>
          </w:p>
        </w:tc>
        <w:tc>
          <w:tcPr>
            <w:tcW w:w="600" w:type="pct"/>
          </w:tcPr>
          <w:p w:rsidR="00FB07BB" w:rsidRPr="00D25438" w:rsidRDefault="00FB07BB" w:rsidP="00CB7444">
            <w:pPr>
              <w:keepNext/>
              <w:rPr>
                <w:rFonts w:ascii="Arial Narrow" w:hAnsi="Arial Narrow" w:cs="Arial"/>
                <w:sz w:val="18"/>
                <w:szCs w:val="18"/>
              </w:rPr>
            </w:pPr>
            <w:r w:rsidRPr="00D25438">
              <w:rPr>
                <w:rFonts w:ascii="Arial Narrow" w:hAnsi="Arial Narrow" w:cs="Arial"/>
                <w:sz w:val="18"/>
                <w:szCs w:val="18"/>
              </w:rPr>
              <w:t>Zytiga</w:t>
            </w:r>
          </w:p>
        </w:tc>
      </w:tr>
    </w:tbl>
    <w:tbl>
      <w:tblPr>
        <w:tblStyle w:val="TableGrid"/>
        <w:tblW w:w="0" w:type="auto"/>
        <w:tblLook w:val="04A0" w:firstRow="1" w:lastRow="0" w:firstColumn="1" w:lastColumn="0" w:noHBand="0" w:noVBand="1"/>
        <w:tblCaption w:val="Proposed listing"/>
      </w:tblPr>
      <w:tblGrid>
        <w:gridCol w:w="279"/>
        <w:gridCol w:w="8737"/>
      </w:tblGrid>
      <w:tr w:rsidR="00FB07BB" w:rsidRPr="00D25438" w:rsidTr="009523AB">
        <w:trPr>
          <w:tblHeader/>
        </w:trPr>
        <w:tc>
          <w:tcPr>
            <w:tcW w:w="9016" w:type="dxa"/>
            <w:gridSpan w:val="2"/>
          </w:tcPr>
          <w:p w:rsidR="00FB07BB" w:rsidRPr="00D25438" w:rsidRDefault="00FB07BB" w:rsidP="00CB7444">
            <w:pPr>
              <w:jc w:val="left"/>
              <w:rPr>
                <w:rFonts w:ascii="Arial Narrow" w:hAnsi="Arial Narrow"/>
                <w:b/>
                <w:snapToGrid w:val="0"/>
                <w:sz w:val="18"/>
                <w:szCs w:val="18"/>
              </w:rPr>
            </w:pPr>
          </w:p>
        </w:tc>
      </w:tr>
      <w:tr w:rsidR="00FB07BB" w:rsidRPr="00D25438" w:rsidTr="00CB7444">
        <w:tc>
          <w:tcPr>
            <w:tcW w:w="9016" w:type="dxa"/>
            <w:gridSpan w:val="2"/>
          </w:tcPr>
          <w:p w:rsidR="00FB07BB" w:rsidRPr="00D25438" w:rsidRDefault="00FB07BB" w:rsidP="00CB7444">
            <w:pPr>
              <w:ind w:left="-57"/>
              <w:jc w:val="left"/>
              <w:rPr>
                <w:rFonts w:ascii="Arial Narrow" w:hAnsi="Arial Narrow"/>
                <w:b/>
                <w:snapToGrid w:val="0"/>
                <w:sz w:val="18"/>
                <w:szCs w:val="18"/>
              </w:rPr>
            </w:pPr>
            <w:r w:rsidRPr="00BF5D3B">
              <w:rPr>
                <w:rFonts w:ascii="Arial Narrow" w:hAnsi="Arial Narrow"/>
                <w:b/>
                <w:snapToGrid w:val="0"/>
                <w:sz w:val="18"/>
                <w:szCs w:val="18"/>
              </w:rPr>
              <w:t xml:space="preserve">Amend Restriction Summary 6944 / ToC: 6944: Authority Required </w:t>
            </w:r>
            <w:r w:rsidRPr="00BF5D3B">
              <w:rPr>
                <w:rFonts w:ascii="Arial Narrow" w:hAnsi="Arial Narrow"/>
                <w:snapToGrid w:val="0"/>
                <w:sz w:val="18"/>
                <w:szCs w:val="18"/>
              </w:rPr>
              <w:t>(as at 1 March 2021)</w:t>
            </w:r>
          </w:p>
        </w:tc>
      </w:tr>
      <w:tr w:rsidR="00FB07BB" w:rsidRPr="00D25438" w:rsidTr="009140B9">
        <w:tc>
          <w:tcPr>
            <w:tcW w:w="279" w:type="dxa"/>
            <w:vMerge w:val="restart"/>
          </w:tcPr>
          <w:p w:rsidR="00FB07BB" w:rsidRPr="00D25438" w:rsidRDefault="00FB07BB" w:rsidP="00CB7444">
            <w:pPr>
              <w:jc w:val="center"/>
              <w:rPr>
                <w:rFonts w:ascii="Arial Narrow" w:hAnsi="Arial Narrow"/>
                <w:b/>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Category/Program: </w:t>
            </w:r>
            <w:r w:rsidRPr="00D25438">
              <w:rPr>
                <w:rFonts w:ascii="Arial Narrow" w:hAnsi="Arial Narrow"/>
                <w:snapToGrid w:val="0"/>
                <w:sz w:val="18"/>
                <w:szCs w:val="18"/>
              </w:rPr>
              <w:t>GENERAL – General Schedule (GE)</w:t>
            </w:r>
          </w:p>
        </w:tc>
      </w:tr>
      <w:tr w:rsidR="00FB07BB" w:rsidRPr="00D25438" w:rsidTr="009140B9">
        <w:trPr>
          <w:trHeight w:val="60"/>
        </w:trPr>
        <w:tc>
          <w:tcPr>
            <w:tcW w:w="279" w:type="dxa"/>
            <w:vMerge/>
          </w:tcPr>
          <w:p w:rsidR="00FB07BB" w:rsidRPr="00D25438" w:rsidRDefault="00FB07BB" w:rsidP="00CB7444">
            <w:pPr>
              <w:jc w:val="left"/>
              <w:rPr>
                <w:rFonts w:ascii="Arial Narrow" w:hAnsi="Arial Narrow"/>
                <w:b/>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Prescriber type: </w:t>
            </w:r>
            <w:r w:rsidRPr="00D25438">
              <w:rPr>
                <w:rFonts w:ascii="Arial Narrow" w:hAnsi="Arial Narrow" w:cs="Arial"/>
                <w:b/>
                <w:snapToGrid w:val="0"/>
                <w:sz w:val="18"/>
                <w:szCs w:val="18"/>
              </w:rPr>
              <w:t xml:space="preserve">   </w:t>
            </w:r>
            <w:r w:rsidRPr="00BF5D3B">
              <w:rPr>
                <w:rFonts w:ascii="Arial Narrow" w:hAnsi="Arial Narrow" w:cs="Arial"/>
                <w:snapToGrid w:val="0"/>
                <w:sz w:val="18"/>
                <w:szCs w:val="18"/>
              </w:rPr>
              <w:fldChar w:fldCharType="begin">
                <w:ffData>
                  <w:name w:val=""/>
                  <w:enabled/>
                  <w:calcOnExit w:val="0"/>
                  <w:checkBox>
                    <w:sizeAuto/>
                    <w:default w:val="1"/>
                  </w:checkBox>
                </w:ffData>
              </w:fldChar>
            </w:r>
            <w:r w:rsidRPr="00D25438">
              <w:rPr>
                <w:rFonts w:ascii="Arial Narrow" w:hAnsi="Arial Narrow" w:cs="Arial"/>
                <w:snapToGrid w:val="0"/>
                <w:sz w:val="18"/>
                <w:szCs w:val="18"/>
              </w:rPr>
              <w:instrText xml:space="preserve"> FORMCHECKBOX </w:instrText>
            </w:r>
            <w:r w:rsidR="00FB454F">
              <w:rPr>
                <w:rFonts w:ascii="Arial Narrow" w:hAnsi="Arial Narrow" w:cs="Arial"/>
                <w:snapToGrid w:val="0"/>
                <w:sz w:val="18"/>
                <w:szCs w:val="18"/>
              </w:rPr>
            </w:r>
            <w:r w:rsidR="00FB454F">
              <w:rPr>
                <w:rFonts w:ascii="Arial Narrow" w:hAnsi="Arial Narrow" w:cs="Arial"/>
                <w:snapToGrid w:val="0"/>
                <w:sz w:val="18"/>
                <w:szCs w:val="18"/>
              </w:rPr>
              <w:fldChar w:fldCharType="separate"/>
            </w:r>
            <w:r w:rsidRPr="00BF5D3B">
              <w:rPr>
                <w:rFonts w:ascii="Arial Narrow" w:hAnsi="Arial Narrow" w:cs="Arial"/>
                <w:snapToGrid w:val="0"/>
                <w:sz w:val="18"/>
                <w:szCs w:val="18"/>
              </w:rPr>
              <w:fldChar w:fldCharType="end"/>
            </w:r>
            <w:r w:rsidRPr="00D25438">
              <w:rPr>
                <w:rFonts w:ascii="Arial Narrow" w:hAnsi="Arial Narrow" w:cs="Arial"/>
                <w:snapToGrid w:val="0"/>
                <w:sz w:val="18"/>
                <w:szCs w:val="18"/>
              </w:rPr>
              <w:t xml:space="preserve"> Medical Practitioners    </w:t>
            </w:r>
          </w:p>
        </w:tc>
      </w:tr>
      <w:tr w:rsidR="00FB07BB" w:rsidRPr="00D25438" w:rsidTr="009140B9">
        <w:tc>
          <w:tcPr>
            <w:tcW w:w="279" w:type="dxa"/>
            <w:vMerge/>
          </w:tcPr>
          <w:p w:rsidR="00FB07BB" w:rsidRPr="00D25438" w:rsidRDefault="00FB07BB" w:rsidP="00CB7444">
            <w:pPr>
              <w:jc w:val="left"/>
              <w:rPr>
                <w:rFonts w:ascii="Arial Narrow" w:hAnsi="Arial Narrow"/>
                <w:b/>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 xml:space="preserve">Restriction type: </w:t>
            </w:r>
            <w:r w:rsidRPr="00BF5D3B">
              <w:rPr>
                <w:rFonts w:ascii="Arial Narrow" w:hAnsi="Arial Narrow"/>
                <w:snapToGrid w:val="0"/>
                <w:sz w:val="18"/>
                <w:szCs w:val="18"/>
              </w:rPr>
              <w:fldChar w:fldCharType="begin">
                <w:ffData>
                  <w:name w:val=""/>
                  <w:enabled/>
                  <w:calcOnExit w:val="0"/>
                  <w:checkBox>
                    <w:sizeAuto/>
                    <w:default w:val="1"/>
                  </w:checkBox>
                </w:ffData>
              </w:fldChar>
            </w:r>
            <w:r w:rsidRPr="00D25438">
              <w:rPr>
                <w:rFonts w:ascii="Arial Narrow" w:hAnsi="Arial Narrow"/>
                <w:snapToGrid w:val="0"/>
                <w:sz w:val="18"/>
                <w:szCs w:val="18"/>
              </w:rPr>
              <w:instrText xml:space="preserve"> FORMCHECKBOX </w:instrText>
            </w:r>
            <w:r w:rsidR="00FB454F">
              <w:rPr>
                <w:rFonts w:ascii="Arial Narrow" w:hAnsi="Arial Narrow"/>
                <w:snapToGrid w:val="0"/>
                <w:sz w:val="18"/>
                <w:szCs w:val="18"/>
              </w:rPr>
            </w:r>
            <w:r w:rsidR="00FB454F">
              <w:rPr>
                <w:rFonts w:ascii="Arial Narrow" w:hAnsi="Arial Narrow"/>
                <w:snapToGrid w:val="0"/>
                <w:sz w:val="18"/>
                <w:szCs w:val="18"/>
              </w:rPr>
              <w:fldChar w:fldCharType="separate"/>
            </w:r>
            <w:r w:rsidRPr="00BF5D3B">
              <w:rPr>
                <w:rFonts w:ascii="Arial Narrow" w:hAnsi="Arial Narrow"/>
                <w:snapToGrid w:val="0"/>
                <w:sz w:val="18"/>
                <w:szCs w:val="18"/>
              </w:rPr>
              <w:fldChar w:fldCharType="end"/>
            </w:r>
            <w:r w:rsidRPr="00D25438">
              <w:rPr>
                <w:rFonts w:ascii="Arial Narrow" w:hAnsi="Arial Narrow"/>
                <w:snapToGrid w:val="0"/>
                <w:sz w:val="18"/>
                <w:szCs w:val="18"/>
              </w:rPr>
              <w:t xml:space="preserve"> Authority Required – immediate/real-time assessment by Services Australia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 xml:space="preserve">PBS indication: </w:t>
            </w:r>
            <w:r w:rsidRPr="00D25438">
              <w:rPr>
                <w:rFonts w:ascii="Arial Narrow" w:hAnsi="Arial Narrow"/>
                <w:snapToGrid w:val="0"/>
                <w:sz w:val="18"/>
                <w:szCs w:val="18"/>
              </w:rPr>
              <w:t>Castration resistant metastatic carcinoma of the prostate</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The treatment must be used in combination with a corticosteroid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The treatment must not be used in combination with chemotherapy</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tcPr>
          <w:p w:rsidR="00FB07BB" w:rsidRPr="00D25438" w:rsidRDefault="00FB07BB" w:rsidP="00CB7444">
            <w:pPr>
              <w:jc w:val="left"/>
              <w:rPr>
                <w:rFonts w:ascii="Arial Narrow" w:hAnsi="Arial Narrow"/>
                <w:b/>
                <w:strike/>
                <w:snapToGrid w:val="0"/>
                <w:sz w:val="18"/>
                <w:szCs w:val="18"/>
              </w:rPr>
            </w:pPr>
            <w:r w:rsidRPr="00D25438">
              <w:rPr>
                <w:rFonts w:ascii="Arial Narrow" w:hAnsi="Arial Narrow"/>
                <w:b/>
                <w:strike/>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trike/>
                <w:snapToGrid w:val="0"/>
                <w:sz w:val="18"/>
                <w:szCs w:val="18"/>
              </w:rPr>
            </w:pPr>
            <w:r w:rsidRPr="00D25438">
              <w:rPr>
                <w:rFonts w:ascii="Arial Narrow" w:hAnsi="Arial Narrow"/>
                <w:strike/>
                <w:snapToGrid w:val="0"/>
                <w:sz w:val="18"/>
                <w:szCs w:val="18"/>
              </w:rPr>
              <w:t>Patient must have failed treatment with docetaxel due to resistance or intolerance; or</w:t>
            </w:r>
          </w:p>
        </w:tc>
      </w:tr>
      <w:tr w:rsidR="00FB07BB" w:rsidRPr="00D25438" w:rsidTr="009140B9">
        <w:trPr>
          <w:trHeight w:val="167"/>
        </w:trPr>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trike/>
                <w:snapToGrid w:val="0"/>
                <w:sz w:val="18"/>
                <w:szCs w:val="18"/>
              </w:rPr>
            </w:pPr>
            <w:r w:rsidRPr="00D25438">
              <w:rPr>
                <w:rFonts w:ascii="Arial Narrow" w:hAnsi="Arial Narrow"/>
                <w:strike/>
                <w:snapToGrid w:val="0"/>
                <w:sz w:val="18"/>
                <w:szCs w:val="18"/>
              </w:rPr>
              <w:t>Patient must be unsuitable for docetaxel treatment of the basis of predicted intolerance to docetaxel</w:t>
            </w:r>
          </w:p>
        </w:tc>
      </w:tr>
      <w:tr w:rsidR="00FB07BB" w:rsidRPr="00D25438" w:rsidTr="009140B9">
        <w:tc>
          <w:tcPr>
            <w:tcW w:w="279" w:type="dxa"/>
          </w:tcPr>
          <w:p w:rsidR="00FB07BB" w:rsidRPr="00D25438" w:rsidRDefault="00FB07BB" w:rsidP="00CB7444">
            <w:pPr>
              <w:jc w:val="center"/>
              <w:rPr>
                <w:rFonts w:ascii="Arial Narrow" w:hAnsi="Arial Narrow"/>
                <w:strike/>
                <w:snapToGrid w:val="0"/>
                <w:sz w:val="18"/>
                <w:szCs w:val="18"/>
              </w:rPr>
            </w:pPr>
          </w:p>
        </w:tc>
        <w:tc>
          <w:tcPr>
            <w:tcW w:w="8737" w:type="dxa"/>
            <w:shd w:val="clear" w:color="auto" w:fill="auto"/>
          </w:tcPr>
          <w:p w:rsidR="00FB07BB" w:rsidRPr="00D25438" w:rsidRDefault="00FB07BB" w:rsidP="00CB7444">
            <w:pPr>
              <w:jc w:val="left"/>
              <w:rPr>
                <w:rFonts w:ascii="Arial Narrow" w:hAnsi="Arial Narrow"/>
                <w:b/>
                <w:strike/>
                <w:snapToGrid w:val="0"/>
                <w:sz w:val="18"/>
                <w:szCs w:val="18"/>
              </w:rPr>
            </w:pPr>
            <w:r w:rsidRPr="00D25438">
              <w:rPr>
                <w:rFonts w:ascii="Arial Narrow" w:hAnsi="Arial Narrow"/>
                <w:b/>
                <w:strike/>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have a WHO performance status of 2 or less</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not receive PBS-subsidised treatment abiraterone if progressive disease develops while on abiraterone</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AND</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trike/>
                <w:snapToGrid w:val="0"/>
                <w:sz w:val="18"/>
                <w:szCs w:val="18"/>
              </w:rPr>
            </w:pPr>
            <w:r w:rsidRPr="00D25438">
              <w:rPr>
                <w:rFonts w:ascii="Arial Narrow" w:hAnsi="Arial Narrow"/>
                <w:b/>
                <w:snapToGrid w:val="0"/>
                <w:sz w:val="18"/>
                <w:szCs w:val="18"/>
              </w:rPr>
              <w:t>Clinical criteria:</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not have received prior treatment with enzalutamide; or</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snapToGrid w:val="0"/>
                <w:sz w:val="18"/>
                <w:szCs w:val="18"/>
              </w:rPr>
              <w:t>Patient must have developed intolerance to enzalutamide of a severity necessitating permanent treatment withdrawal.</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snapToGrid w:val="0"/>
                <w:sz w:val="18"/>
                <w:szCs w:val="18"/>
              </w:rPr>
            </w:pPr>
            <w:r w:rsidRPr="00D25438">
              <w:rPr>
                <w:rFonts w:ascii="Arial Narrow" w:hAnsi="Arial Narrow"/>
                <w:b/>
                <w:snapToGrid w:val="0"/>
                <w:sz w:val="18"/>
                <w:szCs w:val="18"/>
              </w:rPr>
              <w:t>Administrative advice:</w:t>
            </w:r>
            <w:r w:rsidRPr="00D25438">
              <w:rPr>
                <w:rFonts w:ascii="Arial Narrow" w:hAnsi="Arial Narrow"/>
                <w:snapToGrid w:val="0"/>
                <w:sz w:val="18"/>
                <w:szCs w:val="18"/>
              </w:rPr>
              <w:t xml:space="preserve"> Special Pricing Arrangements apply</w:t>
            </w:r>
          </w:p>
        </w:tc>
      </w:tr>
      <w:tr w:rsidR="00FB07BB" w:rsidRPr="00D25438" w:rsidTr="009140B9">
        <w:tc>
          <w:tcPr>
            <w:tcW w:w="279" w:type="dxa"/>
          </w:tcPr>
          <w:p w:rsidR="00FB07BB" w:rsidRPr="00D25438" w:rsidRDefault="00FB07BB" w:rsidP="00CB7444">
            <w:pPr>
              <w:jc w:val="center"/>
              <w:rPr>
                <w:rFonts w:ascii="Arial Narrow" w:hAnsi="Arial Narrow"/>
                <w:snapToGrid w:val="0"/>
                <w:sz w:val="18"/>
                <w:szCs w:val="18"/>
              </w:rPr>
            </w:pPr>
          </w:p>
        </w:tc>
        <w:tc>
          <w:tcPr>
            <w:tcW w:w="8737" w:type="dxa"/>
            <w:shd w:val="clear" w:color="auto" w:fill="auto"/>
          </w:tcPr>
          <w:p w:rsidR="00FB07BB" w:rsidRPr="00D25438" w:rsidRDefault="00FB07BB" w:rsidP="00CB7444">
            <w:pPr>
              <w:jc w:val="left"/>
              <w:rPr>
                <w:rFonts w:ascii="Arial Narrow" w:hAnsi="Arial Narrow"/>
                <w:b/>
                <w:snapToGrid w:val="0"/>
                <w:sz w:val="18"/>
                <w:szCs w:val="18"/>
              </w:rPr>
            </w:pPr>
            <w:r w:rsidRPr="00D25438">
              <w:rPr>
                <w:rFonts w:ascii="Arial Narrow" w:hAnsi="Arial Narrow"/>
                <w:b/>
                <w:snapToGrid w:val="0"/>
                <w:sz w:val="18"/>
                <w:szCs w:val="18"/>
              </w:rPr>
              <w:t>Administrative advice:</w:t>
            </w:r>
          </w:p>
          <w:p w:rsidR="00FB07BB" w:rsidRPr="00D25438" w:rsidRDefault="00FB07BB" w:rsidP="00CB7444">
            <w:pPr>
              <w:jc w:val="left"/>
              <w:rPr>
                <w:rFonts w:ascii="Arial Narrow" w:hAnsi="Arial Narrow"/>
                <w:b/>
                <w:snapToGrid w:val="0"/>
                <w:sz w:val="18"/>
                <w:szCs w:val="18"/>
              </w:rPr>
            </w:pPr>
            <w:r w:rsidRPr="00D25438">
              <w:rPr>
                <w:rFonts w:ascii="Arial Narrow" w:hAnsi="Arial Narrow"/>
                <w:snapToGrid w:val="0"/>
                <w:sz w:val="18"/>
                <w:szCs w:val="18"/>
              </w:rPr>
              <w:t>Applications for authorisation under this restriction may be made in real time using the Online PBS Authorities system (see www.servicesaustralia.gov.au/HPOS) or by telephone by contacting Services Australia on 1800 888 333.</w:t>
            </w:r>
          </w:p>
        </w:tc>
      </w:tr>
    </w:tbl>
    <w:p w:rsidR="0065310F" w:rsidRPr="00D25438" w:rsidRDefault="0065310F" w:rsidP="0065310F">
      <w:pPr>
        <w:pStyle w:val="NoSpacing"/>
        <w:rPr>
          <w:rFonts w:asciiTheme="minorHAnsi" w:hAnsiTheme="minorHAnsi" w:cs="Arial"/>
          <w:bCs/>
          <w:snapToGrid w:val="0"/>
          <w:sz w:val="24"/>
          <w:szCs w:val="24"/>
        </w:rPr>
      </w:pPr>
    </w:p>
    <w:p w:rsidR="00356E0E" w:rsidRPr="00D25438" w:rsidRDefault="00DB7980" w:rsidP="00DA1043">
      <w:pPr>
        <w:jc w:val="left"/>
        <w:rPr>
          <w:rFonts w:asciiTheme="minorHAnsi" w:hAnsiTheme="minorHAnsi" w:cs="Arial"/>
          <w:bCs/>
          <w:snapToGrid w:val="0"/>
        </w:rPr>
      </w:pPr>
      <w:r w:rsidRPr="00D25438">
        <w:rPr>
          <w:b/>
          <w:bCs/>
          <w:i/>
        </w:rPr>
        <w:t>This restriction may be subject to further review. Should there be any changes made to the restriction the Sponsor will be informed.</w:t>
      </w:r>
    </w:p>
    <w:p w:rsidR="00356E0E" w:rsidRPr="00BF5D3B" w:rsidRDefault="00356E0E" w:rsidP="0065310F">
      <w:pPr>
        <w:pStyle w:val="NoSpacing"/>
      </w:pPr>
    </w:p>
    <w:p w:rsidR="003A7AFA" w:rsidRPr="005B70A5" w:rsidRDefault="003A7AFA" w:rsidP="003A7AFA">
      <w:pPr>
        <w:pStyle w:val="2-SectionHeading"/>
      </w:pPr>
      <w:r w:rsidRPr="00C07617">
        <w:t>Context for Decision</w:t>
      </w:r>
    </w:p>
    <w:p w:rsidR="003A7AFA" w:rsidRPr="007129F2" w:rsidRDefault="003A7AFA" w:rsidP="00D614AD">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A7AFA" w:rsidRPr="005B70A5" w:rsidRDefault="003A7AFA" w:rsidP="003A7AFA">
      <w:pPr>
        <w:pStyle w:val="2-SectionHeading"/>
      </w:pPr>
      <w:r>
        <w:lastRenderedPageBreak/>
        <w:t>Sponsors</w:t>
      </w:r>
      <w:r w:rsidR="004E4E87">
        <w:t>’</w:t>
      </w:r>
      <w:r>
        <w:t xml:space="preserve"> Comment</w:t>
      </w:r>
      <w:r w:rsidR="004E4E87">
        <w:t>s:</w:t>
      </w:r>
    </w:p>
    <w:p w:rsidR="003A7AFA" w:rsidRDefault="00FC2555" w:rsidP="00D614AD">
      <w:pPr>
        <w:spacing w:after="120"/>
        <w:ind w:left="720"/>
        <w:rPr>
          <w:bCs/>
        </w:rPr>
      </w:pPr>
      <w:r w:rsidRPr="00FC2555">
        <w:rPr>
          <w:bCs/>
          <w:lang w:val="en-GB"/>
        </w:rPr>
        <w:t>Astellas Pharma Australia Pty Ltd</w:t>
      </w:r>
      <w:r w:rsidR="00E956EB">
        <w:rPr>
          <w:bCs/>
          <w:lang w:val="en-GB"/>
        </w:rPr>
        <w:t xml:space="preserve">: </w:t>
      </w:r>
      <w:r w:rsidR="000E1635" w:rsidRPr="000E1635">
        <w:rPr>
          <w:bCs/>
          <w:lang w:val="en-GB"/>
        </w:rPr>
        <w:t>The PBAC's decision to remove the requirement to use docetaxel first is going to be welcomed by the clinical and patient community</w:t>
      </w:r>
      <w:r w:rsidR="000E1635">
        <w:rPr>
          <w:bCs/>
          <w:lang w:val="en-GB"/>
        </w:rPr>
        <w:t>.</w:t>
      </w:r>
      <w:r w:rsidR="000E1635">
        <w:rPr>
          <w:bCs/>
        </w:rPr>
        <w:t xml:space="preserve"> </w:t>
      </w:r>
    </w:p>
    <w:p w:rsidR="00FC2555" w:rsidRDefault="00FC2555" w:rsidP="00D614AD">
      <w:pPr>
        <w:spacing w:after="120"/>
        <w:ind w:left="426" w:firstLine="294"/>
        <w:rPr>
          <w:bCs/>
        </w:rPr>
      </w:pPr>
    </w:p>
    <w:p w:rsidR="00E956EB" w:rsidRPr="001179AC" w:rsidRDefault="00FC2555" w:rsidP="00D614AD">
      <w:pPr>
        <w:spacing w:after="120"/>
        <w:ind w:left="426" w:firstLine="294"/>
        <w:rPr>
          <w:bCs/>
        </w:rPr>
      </w:pPr>
      <w:r w:rsidRPr="00FC2555">
        <w:rPr>
          <w:bCs/>
        </w:rPr>
        <w:t>Janssen-Cilag Pty Ltd</w:t>
      </w:r>
      <w:r w:rsidR="00E956EB">
        <w:rPr>
          <w:bCs/>
        </w:rPr>
        <w:t>: The sponsor had no comment.</w:t>
      </w:r>
    </w:p>
    <w:p w:rsidR="00891E36" w:rsidRPr="00D25438" w:rsidRDefault="00891E36" w:rsidP="006441FF">
      <w:pPr>
        <w:pStyle w:val="ListBullet"/>
        <w:numPr>
          <w:ilvl w:val="0"/>
          <w:numId w:val="0"/>
        </w:numPr>
      </w:pPr>
    </w:p>
    <w:sectPr w:rsidR="00891E36" w:rsidRPr="00D2543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6B4" w:rsidRDefault="00E316B4">
      <w:r>
        <w:separator/>
      </w:r>
    </w:p>
    <w:p w:rsidR="00E316B4" w:rsidRDefault="00E316B4"/>
  </w:endnote>
  <w:endnote w:type="continuationSeparator" w:id="0">
    <w:p w:rsidR="00E316B4" w:rsidRDefault="00E316B4">
      <w:r>
        <w:continuationSeparator/>
      </w:r>
    </w:p>
    <w:p w:rsidR="00E316B4" w:rsidRDefault="00E3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C20D6" w:rsidTr="005A3173">
      <w:trPr>
        <w:trHeight w:val="151"/>
      </w:trPr>
      <w:tc>
        <w:tcPr>
          <w:tcW w:w="2250" w:type="pct"/>
          <w:tcBorders>
            <w:top w:val="nil"/>
            <w:left w:val="nil"/>
            <w:bottom w:val="single" w:sz="4" w:space="0" w:color="4F81BD"/>
            <w:right w:val="nil"/>
          </w:tcBorders>
        </w:tcPr>
        <w:p w:rsidR="005C20D6" w:rsidRPr="005A3173" w:rsidRDefault="005C20D6" w:rsidP="005A3173">
          <w:pPr>
            <w:pStyle w:val="Header"/>
            <w:spacing w:line="276" w:lineRule="auto"/>
            <w:rPr>
              <w:rFonts w:eastAsia="MS Gothic"/>
              <w:b/>
              <w:bCs/>
              <w:color w:val="4F81BD"/>
            </w:rPr>
          </w:pPr>
        </w:p>
      </w:tc>
      <w:tc>
        <w:tcPr>
          <w:tcW w:w="500" w:type="pct"/>
          <w:vMerge w:val="restart"/>
          <w:noWrap/>
          <w:vAlign w:val="center"/>
          <w:hideMark/>
        </w:tcPr>
        <w:p w:rsidR="005C20D6" w:rsidRPr="005A3173" w:rsidRDefault="005C20D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C20D6" w:rsidRPr="005A3173" w:rsidRDefault="005C20D6" w:rsidP="005A3173">
          <w:pPr>
            <w:pStyle w:val="Header"/>
            <w:spacing w:line="276" w:lineRule="auto"/>
            <w:rPr>
              <w:rFonts w:eastAsia="MS Gothic"/>
              <w:b/>
              <w:bCs/>
              <w:color w:val="4F81BD"/>
            </w:rPr>
          </w:pPr>
        </w:p>
      </w:tc>
    </w:tr>
    <w:tr w:rsidR="005C20D6" w:rsidTr="005A3173">
      <w:trPr>
        <w:trHeight w:val="150"/>
      </w:trPr>
      <w:tc>
        <w:tcPr>
          <w:tcW w:w="2250" w:type="pct"/>
          <w:tcBorders>
            <w:top w:val="single" w:sz="4" w:space="0" w:color="4F81BD"/>
            <w:left w:val="nil"/>
            <w:bottom w:val="nil"/>
            <w:right w:val="nil"/>
          </w:tcBorders>
        </w:tcPr>
        <w:p w:rsidR="005C20D6" w:rsidRPr="005A3173" w:rsidRDefault="005C20D6" w:rsidP="005A3173">
          <w:pPr>
            <w:pStyle w:val="Header"/>
            <w:spacing w:line="276" w:lineRule="auto"/>
            <w:rPr>
              <w:rFonts w:eastAsia="MS Gothic"/>
              <w:b/>
              <w:bCs/>
              <w:color w:val="4F81BD"/>
            </w:rPr>
          </w:pPr>
        </w:p>
      </w:tc>
      <w:tc>
        <w:tcPr>
          <w:tcW w:w="0" w:type="auto"/>
          <w:vMerge/>
          <w:vAlign w:val="center"/>
          <w:hideMark/>
        </w:tcPr>
        <w:p w:rsidR="005C20D6" w:rsidRPr="005A3173" w:rsidRDefault="005C20D6" w:rsidP="005A3173">
          <w:pPr>
            <w:rPr>
              <w:color w:val="365F91"/>
              <w:sz w:val="22"/>
              <w:szCs w:val="22"/>
            </w:rPr>
          </w:pPr>
        </w:p>
      </w:tc>
      <w:tc>
        <w:tcPr>
          <w:tcW w:w="2250" w:type="pct"/>
          <w:tcBorders>
            <w:top w:val="single" w:sz="4" w:space="0" w:color="4F81BD"/>
            <w:left w:val="nil"/>
            <w:bottom w:val="nil"/>
            <w:right w:val="nil"/>
          </w:tcBorders>
        </w:tcPr>
        <w:p w:rsidR="005C20D6" w:rsidRPr="005A3173" w:rsidRDefault="005C20D6" w:rsidP="005A3173">
          <w:pPr>
            <w:pStyle w:val="Header"/>
            <w:spacing w:line="276" w:lineRule="auto"/>
            <w:rPr>
              <w:rFonts w:eastAsia="MS Gothic"/>
              <w:b/>
              <w:bCs/>
              <w:color w:val="4F81BD"/>
            </w:rPr>
          </w:pPr>
        </w:p>
      </w:tc>
    </w:tr>
  </w:tbl>
  <w:p w:rsidR="005C20D6" w:rsidRDefault="005C20D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0D6" w:rsidRDefault="005C20D6">
    <w:pPr>
      <w:pStyle w:val="Footer"/>
    </w:pPr>
  </w:p>
  <w:p w:rsidR="005C20D6" w:rsidRDefault="005C20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D6" w:rsidRDefault="005C20D6">
    <w:pPr>
      <w:pStyle w:val="Footer"/>
      <w:jc w:val="center"/>
    </w:pPr>
  </w:p>
  <w:p w:rsidR="005C20D6" w:rsidRPr="000E54AF" w:rsidRDefault="00FB454F" w:rsidP="000E54AF">
    <w:pPr>
      <w:pStyle w:val="Footer"/>
      <w:jc w:val="center"/>
    </w:pPr>
    <w:sdt>
      <w:sdtPr>
        <w:id w:val="1039243887"/>
        <w:docPartObj>
          <w:docPartGallery w:val="Page Numbers (Bottom of Page)"/>
          <w:docPartUnique/>
        </w:docPartObj>
      </w:sdtPr>
      <w:sdtEndPr>
        <w:rPr>
          <w:noProof/>
        </w:rPr>
      </w:sdtEndPr>
      <w:sdtContent>
        <w:r w:rsidR="005C20D6" w:rsidRPr="0065310F">
          <w:rPr>
            <w:b/>
          </w:rPr>
          <w:fldChar w:fldCharType="begin"/>
        </w:r>
        <w:r w:rsidR="005C20D6" w:rsidRPr="0065310F">
          <w:rPr>
            <w:b/>
          </w:rPr>
          <w:instrText xml:space="preserve"> PAGE   \* MERGEFORMAT </w:instrText>
        </w:r>
        <w:r w:rsidR="005C20D6" w:rsidRPr="0065310F">
          <w:rPr>
            <w:b/>
          </w:rPr>
          <w:fldChar w:fldCharType="separate"/>
        </w:r>
        <w:r>
          <w:rPr>
            <w:b/>
            <w:noProof/>
          </w:rPr>
          <w:t>10</w:t>
        </w:r>
        <w:r w:rsidR="005C20D6" w:rsidRPr="0065310F">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5C20D6" w:rsidTr="005A3173">
      <w:trPr>
        <w:trHeight w:val="151"/>
      </w:trPr>
      <w:tc>
        <w:tcPr>
          <w:tcW w:w="2250" w:type="pct"/>
          <w:tcBorders>
            <w:top w:val="nil"/>
            <w:left w:val="nil"/>
            <w:bottom w:val="single" w:sz="4" w:space="0" w:color="4F81BD"/>
            <w:right w:val="nil"/>
          </w:tcBorders>
        </w:tcPr>
        <w:p w:rsidR="005C20D6" w:rsidRPr="005A3173" w:rsidRDefault="005C20D6" w:rsidP="005A3173">
          <w:pPr>
            <w:pStyle w:val="Header"/>
            <w:spacing w:line="276" w:lineRule="auto"/>
            <w:rPr>
              <w:rFonts w:eastAsia="MS Gothic"/>
              <w:b/>
              <w:bCs/>
              <w:color w:val="4F81BD"/>
            </w:rPr>
          </w:pPr>
        </w:p>
      </w:tc>
      <w:tc>
        <w:tcPr>
          <w:tcW w:w="500" w:type="pct"/>
          <w:vMerge w:val="restart"/>
          <w:noWrap/>
          <w:vAlign w:val="center"/>
          <w:hideMark/>
        </w:tcPr>
        <w:p w:rsidR="005C20D6" w:rsidRPr="005A3173" w:rsidRDefault="005C20D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C20D6" w:rsidRPr="005A3173" w:rsidRDefault="005C20D6" w:rsidP="005A3173">
          <w:pPr>
            <w:pStyle w:val="Header"/>
            <w:spacing w:line="276" w:lineRule="auto"/>
            <w:rPr>
              <w:rFonts w:eastAsia="MS Gothic"/>
              <w:b/>
              <w:bCs/>
              <w:color w:val="4F81BD"/>
            </w:rPr>
          </w:pPr>
        </w:p>
      </w:tc>
    </w:tr>
    <w:tr w:rsidR="005C20D6" w:rsidTr="005A3173">
      <w:trPr>
        <w:trHeight w:val="150"/>
      </w:trPr>
      <w:tc>
        <w:tcPr>
          <w:tcW w:w="2250" w:type="pct"/>
          <w:tcBorders>
            <w:top w:val="single" w:sz="4" w:space="0" w:color="4F81BD"/>
            <w:left w:val="nil"/>
            <w:bottom w:val="nil"/>
            <w:right w:val="nil"/>
          </w:tcBorders>
        </w:tcPr>
        <w:p w:rsidR="005C20D6" w:rsidRPr="005A3173" w:rsidRDefault="005C20D6" w:rsidP="005A3173">
          <w:pPr>
            <w:pStyle w:val="Header"/>
            <w:spacing w:line="276" w:lineRule="auto"/>
            <w:rPr>
              <w:rFonts w:eastAsia="MS Gothic"/>
              <w:b/>
              <w:bCs/>
              <w:color w:val="4F81BD"/>
            </w:rPr>
          </w:pPr>
        </w:p>
      </w:tc>
      <w:tc>
        <w:tcPr>
          <w:tcW w:w="0" w:type="auto"/>
          <w:vMerge/>
          <w:vAlign w:val="center"/>
          <w:hideMark/>
        </w:tcPr>
        <w:p w:rsidR="005C20D6" w:rsidRPr="005A3173" w:rsidRDefault="005C20D6" w:rsidP="005A3173">
          <w:pPr>
            <w:rPr>
              <w:color w:val="365F91"/>
              <w:sz w:val="22"/>
              <w:szCs w:val="22"/>
            </w:rPr>
          </w:pPr>
        </w:p>
      </w:tc>
      <w:tc>
        <w:tcPr>
          <w:tcW w:w="2250" w:type="pct"/>
          <w:tcBorders>
            <w:top w:val="single" w:sz="4" w:space="0" w:color="4F81BD"/>
            <w:left w:val="nil"/>
            <w:bottom w:val="nil"/>
            <w:right w:val="nil"/>
          </w:tcBorders>
        </w:tcPr>
        <w:p w:rsidR="005C20D6" w:rsidRPr="005A3173" w:rsidRDefault="005C20D6"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C20D6" w:rsidTr="005A3173">
      <w:trPr>
        <w:trHeight w:val="151"/>
      </w:trPr>
      <w:tc>
        <w:tcPr>
          <w:tcW w:w="2250" w:type="pct"/>
          <w:tcBorders>
            <w:top w:val="nil"/>
            <w:left w:val="nil"/>
            <w:bottom w:val="single" w:sz="4" w:space="0" w:color="4F81BD"/>
            <w:right w:val="nil"/>
          </w:tcBorders>
        </w:tcPr>
        <w:p w:rsidR="005C20D6" w:rsidRPr="005A3173" w:rsidRDefault="005C20D6" w:rsidP="005A3173">
          <w:pPr>
            <w:pStyle w:val="Header"/>
            <w:spacing w:line="276" w:lineRule="auto"/>
            <w:rPr>
              <w:rFonts w:eastAsia="MS Gothic"/>
              <w:b/>
              <w:bCs/>
              <w:color w:val="4F81BD"/>
            </w:rPr>
          </w:pPr>
        </w:p>
      </w:tc>
      <w:tc>
        <w:tcPr>
          <w:tcW w:w="500" w:type="pct"/>
          <w:vMerge w:val="restart"/>
          <w:noWrap/>
          <w:vAlign w:val="center"/>
          <w:hideMark/>
        </w:tcPr>
        <w:p w:rsidR="005C20D6" w:rsidRPr="005A3173" w:rsidRDefault="005C20D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C20D6" w:rsidRPr="005A3173" w:rsidRDefault="005C20D6" w:rsidP="005A3173">
          <w:pPr>
            <w:pStyle w:val="Header"/>
            <w:spacing w:line="276" w:lineRule="auto"/>
            <w:rPr>
              <w:rFonts w:eastAsia="MS Gothic"/>
              <w:b/>
              <w:bCs/>
              <w:color w:val="4F81BD"/>
            </w:rPr>
          </w:pPr>
        </w:p>
      </w:tc>
    </w:tr>
    <w:tr w:rsidR="005C20D6" w:rsidTr="005A3173">
      <w:trPr>
        <w:trHeight w:val="150"/>
      </w:trPr>
      <w:tc>
        <w:tcPr>
          <w:tcW w:w="2250" w:type="pct"/>
          <w:tcBorders>
            <w:top w:val="single" w:sz="4" w:space="0" w:color="4F81BD"/>
            <w:left w:val="nil"/>
            <w:bottom w:val="nil"/>
            <w:right w:val="nil"/>
          </w:tcBorders>
        </w:tcPr>
        <w:p w:rsidR="005C20D6" w:rsidRPr="005A3173" w:rsidRDefault="005C20D6" w:rsidP="005A3173">
          <w:pPr>
            <w:pStyle w:val="Header"/>
            <w:spacing w:line="276" w:lineRule="auto"/>
            <w:rPr>
              <w:rFonts w:eastAsia="MS Gothic"/>
              <w:b/>
              <w:bCs/>
              <w:color w:val="4F81BD"/>
            </w:rPr>
          </w:pPr>
        </w:p>
      </w:tc>
      <w:tc>
        <w:tcPr>
          <w:tcW w:w="0" w:type="auto"/>
          <w:vMerge/>
          <w:vAlign w:val="center"/>
          <w:hideMark/>
        </w:tcPr>
        <w:p w:rsidR="005C20D6" w:rsidRPr="005A3173" w:rsidRDefault="005C20D6" w:rsidP="005A3173">
          <w:pPr>
            <w:rPr>
              <w:color w:val="365F91"/>
              <w:sz w:val="22"/>
              <w:szCs w:val="22"/>
            </w:rPr>
          </w:pPr>
        </w:p>
      </w:tc>
      <w:tc>
        <w:tcPr>
          <w:tcW w:w="2250" w:type="pct"/>
          <w:tcBorders>
            <w:top w:val="single" w:sz="4" w:space="0" w:color="4F81BD"/>
            <w:left w:val="nil"/>
            <w:bottom w:val="nil"/>
            <w:right w:val="nil"/>
          </w:tcBorders>
        </w:tcPr>
        <w:p w:rsidR="005C20D6" w:rsidRPr="005A3173" w:rsidRDefault="005C20D6" w:rsidP="005A3173">
          <w:pPr>
            <w:pStyle w:val="Header"/>
            <w:spacing w:line="276" w:lineRule="auto"/>
            <w:rPr>
              <w:rFonts w:eastAsia="MS Gothic"/>
              <w:b/>
              <w:bCs/>
              <w:color w:val="4F81BD"/>
            </w:rPr>
          </w:pPr>
        </w:p>
      </w:tc>
    </w:tr>
  </w:tbl>
  <w:p w:rsidR="005C20D6" w:rsidRPr="007C0F57" w:rsidRDefault="005C20D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5C20D6" w:rsidRPr="007C0F57" w:rsidRDefault="005C20D6" w:rsidP="007C0F57">
    <w:pPr>
      <w:pStyle w:val="Footer"/>
      <w:jc w:val="center"/>
      <w:rPr>
        <w:b/>
        <w:i/>
        <w:sz w:val="20"/>
        <w:szCs w:val="20"/>
      </w:rPr>
    </w:pPr>
    <w:r w:rsidRPr="007C0F57">
      <w:rPr>
        <w:b/>
        <w:i/>
        <w:sz w:val="20"/>
        <w:szCs w:val="20"/>
      </w:rPr>
      <w:t>Commercial-in-Confidence</w:t>
    </w:r>
  </w:p>
  <w:p w:rsidR="005C20D6" w:rsidRDefault="005C20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6B4" w:rsidRDefault="00E316B4">
      <w:r>
        <w:separator/>
      </w:r>
    </w:p>
    <w:p w:rsidR="00E316B4" w:rsidRDefault="00E316B4"/>
  </w:footnote>
  <w:footnote w:type="continuationSeparator" w:id="0">
    <w:p w:rsidR="00E316B4" w:rsidRDefault="00E316B4">
      <w:r>
        <w:continuationSeparator/>
      </w:r>
    </w:p>
    <w:p w:rsidR="00E316B4" w:rsidRDefault="00E316B4"/>
  </w:footnote>
  <w:footnote w:id="1">
    <w:p w:rsidR="005C20D6" w:rsidRDefault="005C20D6" w:rsidP="001F7ED3">
      <w:pPr>
        <w:pStyle w:val="FootnoteText"/>
      </w:pPr>
      <w:r>
        <w:rPr>
          <w:rStyle w:val="FootnoteReference"/>
        </w:rPr>
        <w:footnoteRef/>
      </w:r>
      <w:r>
        <w:t xml:space="preserve"> </w:t>
      </w:r>
      <w:r w:rsidRPr="00DB463A">
        <w:rPr>
          <w:rFonts w:ascii="Arial Narrow" w:hAnsi="Arial Narrow"/>
        </w:rPr>
        <w:t>Sternberg et al, Enzalutamide and Survival in Nonmetastatic, Castration-Resistant Prostate Cancer; N Engl J Med 2020; 382:2197-2206. Accessed at: https://www.nejm.org/doi/full/10.1056/NEJMoa2003892</w:t>
      </w:r>
    </w:p>
  </w:footnote>
  <w:footnote w:id="2">
    <w:p w:rsidR="005C20D6" w:rsidRDefault="005C20D6" w:rsidP="001F7ED3">
      <w:pPr>
        <w:pStyle w:val="FootnoteText"/>
      </w:pPr>
      <w:r>
        <w:rPr>
          <w:rStyle w:val="FootnoteReference"/>
        </w:rPr>
        <w:footnoteRef/>
      </w:r>
      <w:r>
        <w:t xml:space="preserve"> </w:t>
      </w:r>
      <w:r w:rsidRPr="002025DB">
        <w:rPr>
          <w:rFonts w:ascii="Arial Narrow" w:hAnsi="Arial Narrow"/>
        </w:rPr>
        <w:t>Based on Table 1 of Sternberg et al, noting 19% of patients crossed-over to enzalutamide, while others received it as a subsequent post-progression therapy.</w:t>
      </w:r>
    </w:p>
  </w:footnote>
  <w:footnote w:id="3">
    <w:p w:rsidR="005C20D6" w:rsidRDefault="005C20D6" w:rsidP="006D628F">
      <w:pPr>
        <w:pStyle w:val="FootnoteText"/>
      </w:pPr>
      <w:r>
        <w:rPr>
          <w:rStyle w:val="FootnoteReference"/>
        </w:rPr>
        <w:footnoteRef/>
      </w:r>
      <w:r>
        <w:t xml:space="preserve"> </w:t>
      </w:r>
      <w:r w:rsidRPr="002D1D21">
        <w:rPr>
          <w:rFonts w:ascii="Arial Narrow" w:hAnsi="Arial Narrow"/>
        </w:rPr>
        <w:t>Fendler et al, Prostate-Specific Membrane Antigen Ligand Positron Emission Tomography in Men with Nonmetastatic Castration-Resistant Prostate Cancer; Clin Cancer Res December  2019 (25) (24) 7448-7454; Accessed at: https://clincancerres.aacrjournals.org/content/25/24/7448</w:t>
      </w:r>
    </w:p>
  </w:footnote>
  <w:footnote w:id="4">
    <w:p w:rsidR="005C20D6" w:rsidRPr="006B59B5" w:rsidRDefault="005C20D6">
      <w:pPr>
        <w:pStyle w:val="FootnoteText"/>
        <w:rPr>
          <w:rFonts w:ascii="Arial Narrow" w:hAnsi="Arial Narrow"/>
        </w:rPr>
      </w:pPr>
      <w:r w:rsidRPr="006B59B5">
        <w:rPr>
          <w:rStyle w:val="FootnoteReference"/>
          <w:rFonts w:ascii="Arial Narrow" w:hAnsi="Arial Narrow"/>
        </w:rPr>
        <w:footnoteRef/>
      </w:r>
      <w:r w:rsidRPr="006B59B5">
        <w:rPr>
          <w:rFonts w:ascii="Arial Narrow" w:hAnsi="Arial Narrow"/>
        </w:rPr>
        <w:t xml:space="preserve"> Ryan et al, Abiraterone in Metastatic Prostate Cancer without Previous Chemotherapy; N Engl J Med 2013; 368:138-148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C20D6" w:rsidRPr="008E0D90" w:rsidTr="00A06225">
      <w:trPr>
        <w:trHeight w:val="151"/>
      </w:trPr>
      <w:tc>
        <w:tcPr>
          <w:tcW w:w="2389" w:type="pct"/>
          <w:tcBorders>
            <w:top w:val="nil"/>
            <w:left w:val="nil"/>
            <w:bottom w:val="single" w:sz="4" w:space="0" w:color="4F81BD"/>
            <w:right w:val="nil"/>
          </w:tcBorders>
        </w:tcPr>
        <w:p w:rsidR="005C20D6" w:rsidRPr="00A06225" w:rsidRDefault="005C20D6">
          <w:pPr>
            <w:pStyle w:val="Header"/>
            <w:spacing w:line="276" w:lineRule="auto"/>
            <w:rPr>
              <w:rFonts w:ascii="Cambria" w:eastAsia="MS Gothic" w:hAnsi="Cambria"/>
              <w:b/>
              <w:bCs/>
              <w:color w:val="4F81BD"/>
            </w:rPr>
          </w:pPr>
        </w:p>
      </w:tc>
      <w:tc>
        <w:tcPr>
          <w:tcW w:w="333" w:type="pct"/>
          <w:vMerge w:val="restart"/>
          <w:noWrap/>
          <w:vAlign w:val="center"/>
          <w:hideMark/>
        </w:tcPr>
        <w:p w:rsidR="005C20D6" w:rsidRPr="00A06225" w:rsidRDefault="005C20D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C20D6" w:rsidRPr="00A06225" w:rsidRDefault="005C20D6">
          <w:pPr>
            <w:pStyle w:val="Header"/>
            <w:spacing w:line="276" w:lineRule="auto"/>
            <w:rPr>
              <w:rFonts w:ascii="Cambria" w:eastAsia="MS Gothic" w:hAnsi="Cambria"/>
              <w:b/>
              <w:bCs/>
              <w:color w:val="4F81BD"/>
            </w:rPr>
          </w:pPr>
        </w:p>
      </w:tc>
    </w:tr>
    <w:tr w:rsidR="005C20D6" w:rsidRPr="008E0D90" w:rsidTr="00A06225">
      <w:trPr>
        <w:trHeight w:val="150"/>
      </w:trPr>
      <w:tc>
        <w:tcPr>
          <w:tcW w:w="2389" w:type="pct"/>
          <w:tcBorders>
            <w:top w:val="single" w:sz="4" w:space="0" w:color="4F81BD"/>
            <w:left w:val="nil"/>
            <w:bottom w:val="nil"/>
            <w:right w:val="nil"/>
          </w:tcBorders>
        </w:tcPr>
        <w:p w:rsidR="005C20D6" w:rsidRPr="00A06225" w:rsidRDefault="005C20D6">
          <w:pPr>
            <w:pStyle w:val="Header"/>
            <w:spacing w:line="276" w:lineRule="auto"/>
            <w:rPr>
              <w:rFonts w:ascii="Cambria" w:eastAsia="MS Gothic" w:hAnsi="Cambria"/>
              <w:b/>
              <w:bCs/>
              <w:color w:val="4F81BD"/>
            </w:rPr>
          </w:pPr>
        </w:p>
      </w:tc>
      <w:tc>
        <w:tcPr>
          <w:tcW w:w="0" w:type="auto"/>
          <w:vMerge/>
          <w:vAlign w:val="center"/>
          <w:hideMark/>
        </w:tcPr>
        <w:p w:rsidR="005C20D6" w:rsidRPr="00A06225" w:rsidRDefault="005C20D6">
          <w:pPr>
            <w:rPr>
              <w:rFonts w:ascii="Cambria" w:hAnsi="Cambria"/>
              <w:color w:val="4F81BD"/>
              <w:sz w:val="22"/>
              <w:szCs w:val="22"/>
            </w:rPr>
          </w:pPr>
        </w:p>
      </w:tc>
      <w:tc>
        <w:tcPr>
          <w:tcW w:w="2278" w:type="pct"/>
          <w:tcBorders>
            <w:top w:val="single" w:sz="4" w:space="0" w:color="4F81BD"/>
            <w:left w:val="nil"/>
            <w:bottom w:val="nil"/>
            <w:right w:val="nil"/>
          </w:tcBorders>
        </w:tcPr>
        <w:p w:rsidR="005C20D6" w:rsidRPr="00A06225" w:rsidRDefault="005C20D6">
          <w:pPr>
            <w:pStyle w:val="Header"/>
            <w:spacing w:line="276" w:lineRule="auto"/>
            <w:rPr>
              <w:rFonts w:ascii="Cambria" w:eastAsia="MS Gothic" w:hAnsi="Cambria"/>
              <w:b/>
              <w:bCs/>
              <w:color w:val="4F81BD"/>
            </w:rPr>
          </w:pPr>
        </w:p>
      </w:tc>
    </w:tr>
  </w:tbl>
  <w:p w:rsidR="005C20D6" w:rsidRDefault="005C20D6">
    <w:pPr>
      <w:pStyle w:val="Header"/>
    </w:pPr>
  </w:p>
  <w:p w:rsidR="005C20D6" w:rsidRDefault="005C20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D6" w:rsidRPr="0065310F" w:rsidRDefault="005C20D6" w:rsidP="0065310F">
    <w:pPr>
      <w:pStyle w:val="MinorOVRHeader"/>
      <w:jc w:val="center"/>
      <w:rPr>
        <w:i/>
        <w:noProof/>
      </w:rPr>
    </w:pPr>
    <w:r>
      <w:rPr>
        <w:i/>
        <w:noProof/>
      </w:rPr>
      <w:t xml:space="preserve">Public Summary Document </w:t>
    </w:r>
    <w:r w:rsidRPr="0065310F">
      <w:rPr>
        <w:i/>
        <w:noProof/>
      </w:rPr>
      <w:t>– March 2021 PBAC Meeting</w:t>
    </w:r>
  </w:p>
  <w:p w:rsidR="005C20D6" w:rsidRDefault="005C20D6"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3AB" w:rsidRDefault="0095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B6C87"/>
    <w:multiLevelType w:val="hybridMultilevel"/>
    <w:tmpl w:val="91E238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F63719C"/>
    <w:multiLevelType w:val="hybridMultilevel"/>
    <w:tmpl w:val="B7AA98F8"/>
    <w:lvl w:ilvl="0" w:tplc="0420B960">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1D2D88"/>
    <w:multiLevelType w:val="hybridMultilevel"/>
    <w:tmpl w:val="B9C2C56C"/>
    <w:lvl w:ilvl="0" w:tplc="0C090001">
      <w:start w:val="1"/>
      <w:numFmt w:val="bullet"/>
      <w:lvlText w:val=""/>
      <w:lvlJc w:val="left"/>
      <w:pPr>
        <w:ind w:left="1080" w:hanging="360"/>
      </w:pPr>
      <w:rPr>
        <w:rFonts w:ascii="Symbol" w:hAnsi="Symbol" w:hint="default"/>
        <w:b w:val="0"/>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8B6A89"/>
    <w:multiLevelType w:val="hybridMultilevel"/>
    <w:tmpl w:val="0F325EA8"/>
    <w:lvl w:ilvl="0" w:tplc="F06CEB50">
      <w:start w:val="1"/>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3B469A"/>
    <w:multiLevelType w:val="hybridMultilevel"/>
    <w:tmpl w:val="24C622BE"/>
    <w:lvl w:ilvl="0" w:tplc="66487328">
      <w:start w:val="1"/>
      <w:numFmt w:val="lowerRoman"/>
      <w:lvlText w:val="(%1)"/>
      <w:lvlJc w:val="left"/>
      <w:pPr>
        <w:ind w:left="1080" w:hanging="720"/>
      </w:pPr>
      <w:rPr>
        <w:rFonts w:ascii="Calibri" w:eastAsia="Calibri" w:hAnsi="Calibri" w:cs="Calibri"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904E8D"/>
    <w:multiLevelType w:val="hybridMultilevel"/>
    <w:tmpl w:val="83888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5" w15:restartNumberingAfterBreak="0">
    <w:nsid w:val="457D1EAC"/>
    <w:multiLevelType w:val="hybridMultilevel"/>
    <w:tmpl w:val="D00E69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58D67A6"/>
    <w:multiLevelType w:val="hybridMultilevel"/>
    <w:tmpl w:val="51800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690715"/>
    <w:multiLevelType w:val="hybridMultilevel"/>
    <w:tmpl w:val="B8B0BD78"/>
    <w:lvl w:ilvl="0" w:tplc="0C090001">
      <w:start w:val="1"/>
      <w:numFmt w:val="bullet"/>
      <w:lvlText w:val=""/>
      <w:lvlJc w:val="left"/>
      <w:pPr>
        <w:ind w:left="1080" w:hanging="360"/>
      </w:pPr>
      <w:rPr>
        <w:rFonts w:ascii="Symbol" w:hAnsi="Symbol" w:hint="default"/>
        <w:i w:val="0"/>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CE710A4"/>
    <w:multiLevelType w:val="hybridMultilevel"/>
    <w:tmpl w:val="E04670FC"/>
    <w:lvl w:ilvl="0" w:tplc="F4B8D214">
      <w:start w:val="1"/>
      <w:numFmt w:val="lowerLetter"/>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D0659B"/>
    <w:multiLevelType w:val="hybridMultilevel"/>
    <w:tmpl w:val="24C622BE"/>
    <w:lvl w:ilvl="0" w:tplc="66487328">
      <w:start w:val="1"/>
      <w:numFmt w:val="lowerRoman"/>
      <w:lvlText w:val="(%1)"/>
      <w:lvlJc w:val="left"/>
      <w:pPr>
        <w:ind w:left="1080" w:hanging="720"/>
      </w:pPr>
      <w:rPr>
        <w:rFonts w:ascii="Calibri" w:eastAsia="Calibri" w:hAnsi="Calibri" w:cs="Calibri"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192A84"/>
    <w:multiLevelType w:val="multilevel"/>
    <w:tmpl w:val="FBFEE1E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FE01CB"/>
    <w:multiLevelType w:val="hybridMultilevel"/>
    <w:tmpl w:val="B7AA98F8"/>
    <w:lvl w:ilvl="0" w:tplc="0420B960">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0C640B"/>
    <w:multiLevelType w:val="hybridMultilevel"/>
    <w:tmpl w:val="750A6E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5EA5FB4"/>
    <w:multiLevelType w:val="hybridMultilevel"/>
    <w:tmpl w:val="D72A0924"/>
    <w:lvl w:ilvl="0" w:tplc="5AEECF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F81A7E20"/>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9"/>
  </w:num>
  <w:num w:numId="2">
    <w:abstractNumId w:val="0"/>
  </w:num>
  <w:num w:numId="3">
    <w:abstractNumId w:val="29"/>
  </w:num>
  <w:num w:numId="4">
    <w:abstractNumId w:val="25"/>
  </w:num>
  <w:num w:numId="5">
    <w:abstractNumId w:val="30"/>
  </w:num>
  <w:num w:numId="6">
    <w:abstractNumId w:val="26"/>
  </w:num>
  <w:num w:numId="7">
    <w:abstractNumId w:val="27"/>
  </w:num>
  <w:num w:numId="8">
    <w:abstractNumId w:val="18"/>
  </w:num>
  <w:num w:numId="9">
    <w:abstractNumId w:val="14"/>
  </w:num>
  <w:num w:numId="10">
    <w:abstractNumId w:val="1"/>
  </w:num>
  <w:num w:numId="11">
    <w:abstractNumId w:val="29"/>
  </w:num>
  <w:num w:numId="12">
    <w:abstractNumId w:val="31"/>
  </w:num>
  <w:num w:numId="13">
    <w:abstractNumId w:val="15"/>
  </w:num>
  <w:num w:numId="14">
    <w:abstractNumId w:val="24"/>
  </w:num>
  <w:num w:numId="15">
    <w:abstractNumId w:val="19"/>
  </w:num>
  <w:num w:numId="16">
    <w:abstractNumId w:val="17"/>
  </w:num>
  <w:num w:numId="17">
    <w:abstractNumId w:val="5"/>
  </w:num>
  <w:num w:numId="18">
    <w:abstractNumId w:val="8"/>
  </w:num>
  <w:num w:numId="19">
    <w:abstractNumId w:val="6"/>
  </w:num>
  <w:num w:numId="20">
    <w:abstractNumId w:val="23"/>
  </w:num>
  <w:num w:numId="21">
    <w:abstractNumId w:val="7"/>
  </w:num>
  <w:num w:numId="22">
    <w:abstractNumId w:val="13"/>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8"/>
  </w:num>
  <w:num w:numId="31">
    <w:abstractNumId w:val="29"/>
  </w:num>
  <w:num w:numId="32">
    <w:abstractNumId w:val="21"/>
  </w:num>
  <w:num w:numId="33">
    <w:abstractNumId w:val="22"/>
  </w:num>
  <w:num w:numId="34">
    <w:abstractNumId w:val="4"/>
  </w:num>
  <w:num w:numId="35">
    <w:abstractNumId w:val="2"/>
  </w:num>
  <w:num w:numId="36">
    <w:abstractNumId w:val="10"/>
  </w:num>
  <w:num w:numId="37">
    <w:abstractNumId w:val="12"/>
  </w:num>
  <w:num w:numId="38">
    <w:abstractNumId w:val="9"/>
  </w:num>
  <w:num w:numId="39">
    <w:abstractNumId w:val="16"/>
  </w:num>
  <w:num w:numId="40">
    <w:abstractNumId w:val="3"/>
  </w:num>
  <w:num w:numId="41">
    <w:abstractNumId w:val="11"/>
  </w:num>
  <w:num w:numId="42">
    <w:abstractNumId w:val="29"/>
    <w:lvlOverride w:ilvl="0">
      <w:startOverride w:val="5"/>
    </w:lvlOverride>
    <w:lvlOverride w:ilvl="1">
      <w:startOverride w:val="6"/>
    </w:lvlOverride>
  </w:num>
  <w:num w:numId="43">
    <w:abstractNumId w:val="20"/>
  </w:num>
  <w:num w:numId="44">
    <w:abstractNumId w:val="29"/>
  </w:num>
  <w:num w:numId="45">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2657A"/>
    <w:rsid w:val="0003106B"/>
    <w:rsid w:val="00034112"/>
    <w:rsid w:val="00034905"/>
    <w:rsid w:val="000421A1"/>
    <w:rsid w:val="0004240E"/>
    <w:rsid w:val="00043E8C"/>
    <w:rsid w:val="00045E26"/>
    <w:rsid w:val="00050D3E"/>
    <w:rsid w:val="000514B5"/>
    <w:rsid w:val="00055AB4"/>
    <w:rsid w:val="00060086"/>
    <w:rsid w:val="00060E64"/>
    <w:rsid w:val="0006479E"/>
    <w:rsid w:val="00066755"/>
    <w:rsid w:val="000728F8"/>
    <w:rsid w:val="0007337A"/>
    <w:rsid w:val="000763D5"/>
    <w:rsid w:val="00077143"/>
    <w:rsid w:val="00080F28"/>
    <w:rsid w:val="00082169"/>
    <w:rsid w:val="000918CB"/>
    <w:rsid w:val="00091B06"/>
    <w:rsid w:val="000951C4"/>
    <w:rsid w:val="00095ADA"/>
    <w:rsid w:val="00096814"/>
    <w:rsid w:val="000969AD"/>
    <w:rsid w:val="000A37B7"/>
    <w:rsid w:val="000A3AA2"/>
    <w:rsid w:val="000A44B2"/>
    <w:rsid w:val="000A52F6"/>
    <w:rsid w:val="000B257F"/>
    <w:rsid w:val="000B44C3"/>
    <w:rsid w:val="000B558D"/>
    <w:rsid w:val="000C5F95"/>
    <w:rsid w:val="000C6996"/>
    <w:rsid w:val="000C7AA6"/>
    <w:rsid w:val="000D09E9"/>
    <w:rsid w:val="000D113F"/>
    <w:rsid w:val="000D23BA"/>
    <w:rsid w:val="000E1635"/>
    <w:rsid w:val="000E54AF"/>
    <w:rsid w:val="000E5EA1"/>
    <w:rsid w:val="000E681E"/>
    <w:rsid w:val="000F0003"/>
    <w:rsid w:val="000F3384"/>
    <w:rsid w:val="000F4E6A"/>
    <w:rsid w:val="000F7354"/>
    <w:rsid w:val="00101ABE"/>
    <w:rsid w:val="00102202"/>
    <w:rsid w:val="00104227"/>
    <w:rsid w:val="001107BF"/>
    <w:rsid w:val="00113649"/>
    <w:rsid w:val="0012417C"/>
    <w:rsid w:val="0012464E"/>
    <w:rsid w:val="0012749D"/>
    <w:rsid w:val="00130FA0"/>
    <w:rsid w:val="00136C0B"/>
    <w:rsid w:val="00142395"/>
    <w:rsid w:val="00142714"/>
    <w:rsid w:val="001452ED"/>
    <w:rsid w:val="00147D84"/>
    <w:rsid w:val="00147F34"/>
    <w:rsid w:val="001531B5"/>
    <w:rsid w:val="001549C1"/>
    <w:rsid w:val="0016208D"/>
    <w:rsid w:val="00162BDD"/>
    <w:rsid w:val="00162D4E"/>
    <w:rsid w:val="00163329"/>
    <w:rsid w:val="00164623"/>
    <w:rsid w:val="001652DE"/>
    <w:rsid w:val="00165B64"/>
    <w:rsid w:val="00173EAE"/>
    <w:rsid w:val="00176B9D"/>
    <w:rsid w:val="001776F0"/>
    <w:rsid w:val="00180713"/>
    <w:rsid w:val="00180720"/>
    <w:rsid w:val="001830CE"/>
    <w:rsid w:val="001836E3"/>
    <w:rsid w:val="0018643B"/>
    <w:rsid w:val="00194B3C"/>
    <w:rsid w:val="00196307"/>
    <w:rsid w:val="001A0AD2"/>
    <w:rsid w:val="001A33EA"/>
    <w:rsid w:val="001A4C4F"/>
    <w:rsid w:val="001A50E3"/>
    <w:rsid w:val="001A76FB"/>
    <w:rsid w:val="001A7ED4"/>
    <w:rsid w:val="001B017F"/>
    <w:rsid w:val="001B2BBC"/>
    <w:rsid w:val="001B2CC3"/>
    <w:rsid w:val="001B3A40"/>
    <w:rsid w:val="001B3FFE"/>
    <w:rsid w:val="001B5129"/>
    <w:rsid w:val="001C0B4C"/>
    <w:rsid w:val="001C1195"/>
    <w:rsid w:val="001C2E42"/>
    <w:rsid w:val="001D1F5F"/>
    <w:rsid w:val="001E06D2"/>
    <w:rsid w:val="001F005B"/>
    <w:rsid w:val="001F1850"/>
    <w:rsid w:val="001F1C5F"/>
    <w:rsid w:val="001F3189"/>
    <w:rsid w:val="001F6A07"/>
    <w:rsid w:val="001F7ED3"/>
    <w:rsid w:val="002007A8"/>
    <w:rsid w:val="002025DB"/>
    <w:rsid w:val="00203FAC"/>
    <w:rsid w:val="00207725"/>
    <w:rsid w:val="00213CFB"/>
    <w:rsid w:val="0021553C"/>
    <w:rsid w:val="0021557B"/>
    <w:rsid w:val="002174FD"/>
    <w:rsid w:val="00217BE1"/>
    <w:rsid w:val="002223A4"/>
    <w:rsid w:val="00227FBF"/>
    <w:rsid w:val="00234252"/>
    <w:rsid w:val="0023588F"/>
    <w:rsid w:val="00237AC6"/>
    <w:rsid w:val="00244490"/>
    <w:rsid w:val="00245B9C"/>
    <w:rsid w:val="00253499"/>
    <w:rsid w:val="00254F0F"/>
    <w:rsid w:val="002551A4"/>
    <w:rsid w:val="00257664"/>
    <w:rsid w:val="00264A7A"/>
    <w:rsid w:val="00265151"/>
    <w:rsid w:val="00265C2C"/>
    <w:rsid w:val="00266509"/>
    <w:rsid w:val="00271BA1"/>
    <w:rsid w:val="002762FA"/>
    <w:rsid w:val="00277505"/>
    <w:rsid w:val="002823B6"/>
    <w:rsid w:val="00283FF1"/>
    <w:rsid w:val="00284951"/>
    <w:rsid w:val="00293262"/>
    <w:rsid w:val="00294274"/>
    <w:rsid w:val="0029458F"/>
    <w:rsid w:val="002A0E04"/>
    <w:rsid w:val="002A104C"/>
    <w:rsid w:val="002A1EF7"/>
    <w:rsid w:val="002A494D"/>
    <w:rsid w:val="002A4960"/>
    <w:rsid w:val="002B0AE0"/>
    <w:rsid w:val="002B1AE6"/>
    <w:rsid w:val="002B1D51"/>
    <w:rsid w:val="002B2CF4"/>
    <w:rsid w:val="002B2DE8"/>
    <w:rsid w:val="002B2F96"/>
    <w:rsid w:val="002B30F8"/>
    <w:rsid w:val="002B388A"/>
    <w:rsid w:val="002B5596"/>
    <w:rsid w:val="002C1564"/>
    <w:rsid w:val="002C212F"/>
    <w:rsid w:val="002C465A"/>
    <w:rsid w:val="002C57CB"/>
    <w:rsid w:val="002C7485"/>
    <w:rsid w:val="002D1D21"/>
    <w:rsid w:val="002D283A"/>
    <w:rsid w:val="002D4543"/>
    <w:rsid w:val="002D771A"/>
    <w:rsid w:val="002E0E62"/>
    <w:rsid w:val="002E1CC5"/>
    <w:rsid w:val="002E3153"/>
    <w:rsid w:val="002E5292"/>
    <w:rsid w:val="002E72CA"/>
    <w:rsid w:val="002F600D"/>
    <w:rsid w:val="00300AD6"/>
    <w:rsid w:val="00300B1B"/>
    <w:rsid w:val="0030147B"/>
    <w:rsid w:val="003019D0"/>
    <w:rsid w:val="00303C76"/>
    <w:rsid w:val="003040CA"/>
    <w:rsid w:val="003064AF"/>
    <w:rsid w:val="00307FF6"/>
    <w:rsid w:val="00310B68"/>
    <w:rsid w:val="00317C6C"/>
    <w:rsid w:val="00320CD3"/>
    <w:rsid w:val="00321780"/>
    <w:rsid w:val="00323E3D"/>
    <w:rsid w:val="00326E79"/>
    <w:rsid w:val="003301B1"/>
    <w:rsid w:val="00331189"/>
    <w:rsid w:val="0033263D"/>
    <w:rsid w:val="0033518A"/>
    <w:rsid w:val="003367EF"/>
    <w:rsid w:val="00341436"/>
    <w:rsid w:val="00341A3D"/>
    <w:rsid w:val="00341AE4"/>
    <w:rsid w:val="003476EE"/>
    <w:rsid w:val="00350212"/>
    <w:rsid w:val="0035069F"/>
    <w:rsid w:val="003541DD"/>
    <w:rsid w:val="00356E0E"/>
    <w:rsid w:val="00356E5B"/>
    <w:rsid w:val="0037102F"/>
    <w:rsid w:val="003736C9"/>
    <w:rsid w:val="00384988"/>
    <w:rsid w:val="003872CF"/>
    <w:rsid w:val="00391FF6"/>
    <w:rsid w:val="00392A7F"/>
    <w:rsid w:val="0039782C"/>
    <w:rsid w:val="003A1083"/>
    <w:rsid w:val="003A2228"/>
    <w:rsid w:val="003A512D"/>
    <w:rsid w:val="003A5B4A"/>
    <w:rsid w:val="003A5D95"/>
    <w:rsid w:val="003A67B3"/>
    <w:rsid w:val="003A7AFA"/>
    <w:rsid w:val="003B23C5"/>
    <w:rsid w:val="003B2A75"/>
    <w:rsid w:val="003B5E50"/>
    <w:rsid w:val="003B6124"/>
    <w:rsid w:val="003C093A"/>
    <w:rsid w:val="003C1ECF"/>
    <w:rsid w:val="003C2FB5"/>
    <w:rsid w:val="003D1891"/>
    <w:rsid w:val="003D24C5"/>
    <w:rsid w:val="003D4AC4"/>
    <w:rsid w:val="003D6307"/>
    <w:rsid w:val="003D63B7"/>
    <w:rsid w:val="003D74C5"/>
    <w:rsid w:val="003E468B"/>
    <w:rsid w:val="003E62BD"/>
    <w:rsid w:val="003E7E1E"/>
    <w:rsid w:val="003F0C3A"/>
    <w:rsid w:val="003F3228"/>
    <w:rsid w:val="003F5C8C"/>
    <w:rsid w:val="003F63CE"/>
    <w:rsid w:val="003F775A"/>
    <w:rsid w:val="00400E55"/>
    <w:rsid w:val="0040128E"/>
    <w:rsid w:val="0040216B"/>
    <w:rsid w:val="00405E8D"/>
    <w:rsid w:val="0040730B"/>
    <w:rsid w:val="00414D8B"/>
    <w:rsid w:val="004251C6"/>
    <w:rsid w:val="004252EC"/>
    <w:rsid w:val="00430D39"/>
    <w:rsid w:val="004317DE"/>
    <w:rsid w:val="0044457D"/>
    <w:rsid w:val="00445107"/>
    <w:rsid w:val="004465BD"/>
    <w:rsid w:val="00446938"/>
    <w:rsid w:val="00446A30"/>
    <w:rsid w:val="004532DB"/>
    <w:rsid w:val="00461A44"/>
    <w:rsid w:val="00463298"/>
    <w:rsid w:val="00463A67"/>
    <w:rsid w:val="00466ADA"/>
    <w:rsid w:val="00467D16"/>
    <w:rsid w:val="0047003E"/>
    <w:rsid w:val="004702BB"/>
    <w:rsid w:val="0047494B"/>
    <w:rsid w:val="00476245"/>
    <w:rsid w:val="00477A9B"/>
    <w:rsid w:val="00483035"/>
    <w:rsid w:val="00485940"/>
    <w:rsid w:val="004904B9"/>
    <w:rsid w:val="00496662"/>
    <w:rsid w:val="004A2484"/>
    <w:rsid w:val="004A5A85"/>
    <w:rsid w:val="004A71D1"/>
    <w:rsid w:val="004A7C5B"/>
    <w:rsid w:val="004B1845"/>
    <w:rsid w:val="004B2348"/>
    <w:rsid w:val="004B2E98"/>
    <w:rsid w:val="004B5640"/>
    <w:rsid w:val="004C03D0"/>
    <w:rsid w:val="004C1BD7"/>
    <w:rsid w:val="004C31FE"/>
    <w:rsid w:val="004C524C"/>
    <w:rsid w:val="004C5FFA"/>
    <w:rsid w:val="004C691D"/>
    <w:rsid w:val="004C6C07"/>
    <w:rsid w:val="004C7E15"/>
    <w:rsid w:val="004D0EC1"/>
    <w:rsid w:val="004D4FF6"/>
    <w:rsid w:val="004E4E87"/>
    <w:rsid w:val="004E692D"/>
    <w:rsid w:val="004E7D87"/>
    <w:rsid w:val="004F2553"/>
    <w:rsid w:val="004F3781"/>
    <w:rsid w:val="00501554"/>
    <w:rsid w:val="00502AFE"/>
    <w:rsid w:val="00503AD7"/>
    <w:rsid w:val="00504E0C"/>
    <w:rsid w:val="00506EEB"/>
    <w:rsid w:val="005109D4"/>
    <w:rsid w:val="00514CD7"/>
    <w:rsid w:val="00514EFE"/>
    <w:rsid w:val="005150A4"/>
    <w:rsid w:val="00515E1D"/>
    <w:rsid w:val="00520D6A"/>
    <w:rsid w:val="00522DB6"/>
    <w:rsid w:val="00523ADA"/>
    <w:rsid w:val="00525064"/>
    <w:rsid w:val="0052792D"/>
    <w:rsid w:val="005319B2"/>
    <w:rsid w:val="005322C6"/>
    <w:rsid w:val="00532402"/>
    <w:rsid w:val="00532C74"/>
    <w:rsid w:val="00534E2E"/>
    <w:rsid w:val="00540CC3"/>
    <w:rsid w:val="00544552"/>
    <w:rsid w:val="00545130"/>
    <w:rsid w:val="00545659"/>
    <w:rsid w:val="00545EF1"/>
    <w:rsid w:val="0055286A"/>
    <w:rsid w:val="00555745"/>
    <w:rsid w:val="00557D4F"/>
    <w:rsid w:val="0056484E"/>
    <w:rsid w:val="0056614C"/>
    <w:rsid w:val="005764CD"/>
    <w:rsid w:val="00577C4D"/>
    <w:rsid w:val="00580532"/>
    <w:rsid w:val="00581932"/>
    <w:rsid w:val="005963BB"/>
    <w:rsid w:val="005A3173"/>
    <w:rsid w:val="005A3223"/>
    <w:rsid w:val="005A3DA3"/>
    <w:rsid w:val="005A52C4"/>
    <w:rsid w:val="005A63A1"/>
    <w:rsid w:val="005B186A"/>
    <w:rsid w:val="005C20D6"/>
    <w:rsid w:val="005C4F73"/>
    <w:rsid w:val="005D03AB"/>
    <w:rsid w:val="005D3000"/>
    <w:rsid w:val="005D5017"/>
    <w:rsid w:val="005D63FA"/>
    <w:rsid w:val="005E0D82"/>
    <w:rsid w:val="005E1055"/>
    <w:rsid w:val="005E1333"/>
    <w:rsid w:val="005E3136"/>
    <w:rsid w:val="005E507D"/>
    <w:rsid w:val="00601A91"/>
    <w:rsid w:val="00602BA3"/>
    <w:rsid w:val="00605B63"/>
    <w:rsid w:val="00605F9A"/>
    <w:rsid w:val="00606EED"/>
    <w:rsid w:val="006079D6"/>
    <w:rsid w:val="006116CA"/>
    <w:rsid w:val="00612E34"/>
    <w:rsid w:val="00614159"/>
    <w:rsid w:val="00616C5F"/>
    <w:rsid w:val="00616DAC"/>
    <w:rsid w:val="00617C00"/>
    <w:rsid w:val="00623F3B"/>
    <w:rsid w:val="006263BF"/>
    <w:rsid w:val="0062748A"/>
    <w:rsid w:val="00630A2C"/>
    <w:rsid w:val="0063353F"/>
    <w:rsid w:val="00636546"/>
    <w:rsid w:val="0063682E"/>
    <w:rsid w:val="00637BB0"/>
    <w:rsid w:val="00642DA8"/>
    <w:rsid w:val="006436CD"/>
    <w:rsid w:val="006441FF"/>
    <w:rsid w:val="00651169"/>
    <w:rsid w:val="0065310F"/>
    <w:rsid w:val="00653D69"/>
    <w:rsid w:val="006552E6"/>
    <w:rsid w:val="00655794"/>
    <w:rsid w:val="00657C63"/>
    <w:rsid w:val="00667087"/>
    <w:rsid w:val="006670BE"/>
    <w:rsid w:val="006708A0"/>
    <w:rsid w:val="00670A76"/>
    <w:rsid w:val="006711AA"/>
    <w:rsid w:val="00672B57"/>
    <w:rsid w:val="00673F1F"/>
    <w:rsid w:val="00675622"/>
    <w:rsid w:val="006770A2"/>
    <w:rsid w:val="0067747D"/>
    <w:rsid w:val="006818D5"/>
    <w:rsid w:val="00681CA4"/>
    <w:rsid w:val="0069039D"/>
    <w:rsid w:val="006906DB"/>
    <w:rsid w:val="00691E6C"/>
    <w:rsid w:val="00693DFB"/>
    <w:rsid w:val="0069495F"/>
    <w:rsid w:val="0069501D"/>
    <w:rsid w:val="00696129"/>
    <w:rsid w:val="00697CF2"/>
    <w:rsid w:val="006A12A5"/>
    <w:rsid w:val="006A5E20"/>
    <w:rsid w:val="006B0B90"/>
    <w:rsid w:val="006B0D94"/>
    <w:rsid w:val="006B485D"/>
    <w:rsid w:val="006B59B5"/>
    <w:rsid w:val="006C0C45"/>
    <w:rsid w:val="006C334C"/>
    <w:rsid w:val="006C708E"/>
    <w:rsid w:val="006D14E7"/>
    <w:rsid w:val="006D4444"/>
    <w:rsid w:val="006D628F"/>
    <w:rsid w:val="006D6493"/>
    <w:rsid w:val="006D6EC7"/>
    <w:rsid w:val="006D7191"/>
    <w:rsid w:val="006E1BCD"/>
    <w:rsid w:val="006E32CA"/>
    <w:rsid w:val="006E530D"/>
    <w:rsid w:val="006F0A71"/>
    <w:rsid w:val="006F40C2"/>
    <w:rsid w:val="006F5125"/>
    <w:rsid w:val="006F733D"/>
    <w:rsid w:val="00701B88"/>
    <w:rsid w:val="00702B6F"/>
    <w:rsid w:val="0070464F"/>
    <w:rsid w:val="00704DDD"/>
    <w:rsid w:val="007065C0"/>
    <w:rsid w:val="00706A2F"/>
    <w:rsid w:val="0070718E"/>
    <w:rsid w:val="00710259"/>
    <w:rsid w:val="0071031F"/>
    <w:rsid w:val="007126AF"/>
    <w:rsid w:val="0071340B"/>
    <w:rsid w:val="00715BBB"/>
    <w:rsid w:val="007174BB"/>
    <w:rsid w:val="0072025D"/>
    <w:rsid w:val="00723328"/>
    <w:rsid w:val="0072662C"/>
    <w:rsid w:val="00726F43"/>
    <w:rsid w:val="0073137C"/>
    <w:rsid w:val="00731C9E"/>
    <w:rsid w:val="007353D3"/>
    <w:rsid w:val="0074156B"/>
    <w:rsid w:val="0074199A"/>
    <w:rsid w:val="00747092"/>
    <w:rsid w:val="007555E8"/>
    <w:rsid w:val="00756846"/>
    <w:rsid w:val="0076420C"/>
    <w:rsid w:val="00771D07"/>
    <w:rsid w:val="00773BE3"/>
    <w:rsid w:val="007743DD"/>
    <w:rsid w:val="00774E2C"/>
    <w:rsid w:val="007753C2"/>
    <w:rsid w:val="00782760"/>
    <w:rsid w:val="007838B8"/>
    <w:rsid w:val="00785A0A"/>
    <w:rsid w:val="007915BA"/>
    <w:rsid w:val="007B2886"/>
    <w:rsid w:val="007B3DDC"/>
    <w:rsid w:val="007B4115"/>
    <w:rsid w:val="007B72A6"/>
    <w:rsid w:val="007C0F57"/>
    <w:rsid w:val="007C2654"/>
    <w:rsid w:val="007C2D21"/>
    <w:rsid w:val="007C40B6"/>
    <w:rsid w:val="007C729F"/>
    <w:rsid w:val="007D503D"/>
    <w:rsid w:val="007D7263"/>
    <w:rsid w:val="007E1D28"/>
    <w:rsid w:val="007F0021"/>
    <w:rsid w:val="007F2641"/>
    <w:rsid w:val="007F2769"/>
    <w:rsid w:val="007F7C36"/>
    <w:rsid w:val="00806796"/>
    <w:rsid w:val="00811CC0"/>
    <w:rsid w:val="008151D6"/>
    <w:rsid w:val="00821527"/>
    <w:rsid w:val="00822696"/>
    <w:rsid w:val="008268BB"/>
    <w:rsid w:val="00826F6D"/>
    <w:rsid w:val="00827CBA"/>
    <w:rsid w:val="008306F3"/>
    <w:rsid w:val="00830E40"/>
    <w:rsid w:val="00835C62"/>
    <w:rsid w:val="008426E7"/>
    <w:rsid w:val="00843AA6"/>
    <w:rsid w:val="00843D80"/>
    <w:rsid w:val="00844FB0"/>
    <w:rsid w:val="00846056"/>
    <w:rsid w:val="008462A5"/>
    <w:rsid w:val="00847EC0"/>
    <w:rsid w:val="00851369"/>
    <w:rsid w:val="00855FD6"/>
    <w:rsid w:val="00856DDD"/>
    <w:rsid w:val="00863E68"/>
    <w:rsid w:val="008647B5"/>
    <w:rsid w:val="00872ABA"/>
    <w:rsid w:val="00875DCB"/>
    <w:rsid w:val="00882085"/>
    <w:rsid w:val="00883032"/>
    <w:rsid w:val="00883188"/>
    <w:rsid w:val="0088351A"/>
    <w:rsid w:val="00891E36"/>
    <w:rsid w:val="00897D58"/>
    <w:rsid w:val="00897F22"/>
    <w:rsid w:val="008A0B39"/>
    <w:rsid w:val="008A1956"/>
    <w:rsid w:val="008A4937"/>
    <w:rsid w:val="008A50F1"/>
    <w:rsid w:val="008A59D9"/>
    <w:rsid w:val="008A6819"/>
    <w:rsid w:val="008B2EC0"/>
    <w:rsid w:val="008B5714"/>
    <w:rsid w:val="008D0AC0"/>
    <w:rsid w:val="008D1B5C"/>
    <w:rsid w:val="008D3C82"/>
    <w:rsid w:val="008D4334"/>
    <w:rsid w:val="008D447E"/>
    <w:rsid w:val="008D7A41"/>
    <w:rsid w:val="008E2C72"/>
    <w:rsid w:val="008E3680"/>
    <w:rsid w:val="008E5870"/>
    <w:rsid w:val="008F0213"/>
    <w:rsid w:val="008F1434"/>
    <w:rsid w:val="008F54C3"/>
    <w:rsid w:val="008F70B4"/>
    <w:rsid w:val="008F7355"/>
    <w:rsid w:val="009023DC"/>
    <w:rsid w:val="009027C5"/>
    <w:rsid w:val="009067B7"/>
    <w:rsid w:val="0091372A"/>
    <w:rsid w:val="009140B9"/>
    <w:rsid w:val="0091523C"/>
    <w:rsid w:val="00917D69"/>
    <w:rsid w:val="00926560"/>
    <w:rsid w:val="0092783D"/>
    <w:rsid w:val="00930937"/>
    <w:rsid w:val="0093130C"/>
    <w:rsid w:val="009324A6"/>
    <w:rsid w:val="00933E6C"/>
    <w:rsid w:val="00937958"/>
    <w:rsid w:val="0094061D"/>
    <w:rsid w:val="00941602"/>
    <w:rsid w:val="00942160"/>
    <w:rsid w:val="00944230"/>
    <w:rsid w:val="0095146F"/>
    <w:rsid w:val="009523AB"/>
    <w:rsid w:val="0095333F"/>
    <w:rsid w:val="00957944"/>
    <w:rsid w:val="009602C5"/>
    <w:rsid w:val="00962223"/>
    <w:rsid w:val="00966D0D"/>
    <w:rsid w:val="0096783C"/>
    <w:rsid w:val="009722B3"/>
    <w:rsid w:val="00974C21"/>
    <w:rsid w:val="00975948"/>
    <w:rsid w:val="00977BF3"/>
    <w:rsid w:val="00977C6F"/>
    <w:rsid w:val="009803E4"/>
    <w:rsid w:val="00980B0E"/>
    <w:rsid w:val="009836A3"/>
    <w:rsid w:val="00984D16"/>
    <w:rsid w:val="009855A8"/>
    <w:rsid w:val="009913F4"/>
    <w:rsid w:val="00991782"/>
    <w:rsid w:val="0099465B"/>
    <w:rsid w:val="009951A1"/>
    <w:rsid w:val="009A0CDD"/>
    <w:rsid w:val="009A3168"/>
    <w:rsid w:val="009A4113"/>
    <w:rsid w:val="009A61CA"/>
    <w:rsid w:val="009B0C64"/>
    <w:rsid w:val="009B0F67"/>
    <w:rsid w:val="009B7A01"/>
    <w:rsid w:val="009C703C"/>
    <w:rsid w:val="009D206E"/>
    <w:rsid w:val="009D3CAA"/>
    <w:rsid w:val="009D6532"/>
    <w:rsid w:val="009E2E8E"/>
    <w:rsid w:val="009E40E1"/>
    <w:rsid w:val="009E62DB"/>
    <w:rsid w:val="009F018B"/>
    <w:rsid w:val="009F0EFA"/>
    <w:rsid w:val="009F3D59"/>
    <w:rsid w:val="009F4E46"/>
    <w:rsid w:val="009F5B65"/>
    <w:rsid w:val="009F5F2E"/>
    <w:rsid w:val="00A01432"/>
    <w:rsid w:val="00A06225"/>
    <w:rsid w:val="00A07A66"/>
    <w:rsid w:val="00A128E6"/>
    <w:rsid w:val="00A13006"/>
    <w:rsid w:val="00A144D3"/>
    <w:rsid w:val="00A2202B"/>
    <w:rsid w:val="00A22AC3"/>
    <w:rsid w:val="00A238FC"/>
    <w:rsid w:val="00A23F3F"/>
    <w:rsid w:val="00A24067"/>
    <w:rsid w:val="00A2744D"/>
    <w:rsid w:val="00A34E6C"/>
    <w:rsid w:val="00A36398"/>
    <w:rsid w:val="00A37C8D"/>
    <w:rsid w:val="00A4020E"/>
    <w:rsid w:val="00A40FB5"/>
    <w:rsid w:val="00A42826"/>
    <w:rsid w:val="00A429B3"/>
    <w:rsid w:val="00A510E4"/>
    <w:rsid w:val="00A51A14"/>
    <w:rsid w:val="00A5273B"/>
    <w:rsid w:val="00A53A9D"/>
    <w:rsid w:val="00A54843"/>
    <w:rsid w:val="00A55FEE"/>
    <w:rsid w:val="00A57422"/>
    <w:rsid w:val="00A62C1A"/>
    <w:rsid w:val="00A6426D"/>
    <w:rsid w:val="00A665C1"/>
    <w:rsid w:val="00A673A4"/>
    <w:rsid w:val="00A7001A"/>
    <w:rsid w:val="00A70622"/>
    <w:rsid w:val="00A70977"/>
    <w:rsid w:val="00A70D58"/>
    <w:rsid w:val="00A717BA"/>
    <w:rsid w:val="00A744F9"/>
    <w:rsid w:val="00A77613"/>
    <w:rsid w:val="00A80220"/>
    <w:rsid w:val="00A81247"/>
    <w:rsid w:val="00A81851"/>
    <w:rsid w:val="00A8390C"/>
    <w:rsid w:val="00A846D8"/>
    <w:rsid w:val="00A86AE0"/>
    <w:rsid w:val="00A928BD"/>
    <w:rsid w:val="00A937D3"/>
    <w:rsid w:val="00A97DE9"/>
    <w:rsid w:val="00AA12CD"/>
    <w:rsid w:val="00AA425F"/>
    <w:rsid w:val="00AA4D1C"/>
    <w:rsid w:val="00AA52FD"/>
    <w:rsid w:val="00AB4169"/>
    <w:rsid w:val="00AB4358"/>
    <w:rsid w:val="00AB5856"/>
    <w:rsid w:val="00AC193C"/>
    <w:rsid w:val="00AC3B09"/>
    <w:rsid w:val="00AC4DE5"/>
    <w:rsid w:val="00AC5206"/>
    <w:rsid w:val="00AC5A3F"/>
    <w:rsid w:val="00AC5DA2"/>
    <w:rsid w:val="00AD0F1D"/>
    <w:rsid w:val="00AD4322"/>
    <w:rsid w:val="00AE11A5"/>
    <w:rsid w:val="00AE13E2"/>
    <w:rsid w:val="00AE22D3"/>
    <w:rsid w:val="00AE5A49"/>
    <w:rsid w:val="00AF6290"/>
    <w:rsid w:val="00AF62DF"/>
    <w:rsid w:val="00AF68CC"/>
    <w:rsid w:val="00AF70D7"/>
    <w:rsid w:val="00B03DEE"/>
    <w:rsid w:val="00B0551B"/>
    <w:rsid w:val="00B06478"/>
    <w:rsid w:val="00B07CFB"/>
    <w:rsid w:val="00B1059E"/>
    <w:rsid w:val="00B1405B"/>
    <w:rsid w:val="00B16273"/>
    <w:rsid w:val="00B170A5"/>
    <w:rsid w:val="00B176C8"/>
    <w:rsid w:val="00B17EE5"/>
    <w:rsid w:val="00B205AA"/>
    <w:rsid w:val="00B22E84"/>
    <w:rsid w:val="00B233AD"/>
    <w:rsid w:val="00B23E25"/>
    <w:rsid w:val="00B24C38"/>
    <w:rsid w:val="00B25F75"/>
    <w:rsid w:val="00B26B3F"/>
    <w:rsid w:val="00B2778F"/>
    <w:rsid w:val="00B33635"/>
    <w:rsid w:val="00B33F90"/>
    <w:rsid w:val="00B42AF4"/>
    <w:rsid w:val="00B43E90"/>
    <w:rsid w:val="00B467DC"/>
    <w:rsid w:val="00B56118"/>
    <w:rsid w:val="00B6380B"/>
    <w:rsid w:val="00B65F2E"/>
    <w:rsid w:val="00B6773F"/>
    <w:rsid w:val="00B70EB3"/>
    <w:rsid w:val="00B7525E"/>
    <w:rsid w:val="00B760FB"/>
    <w:rsid w:val="00B767AB"/>
    <w:rsid w:val="00B801BA"/>
    <w:rsid w:val="00B84D5C"/>
    <w:rsid w:val="00B919CA"/>
    <w:rsid w:val="00BA2DA8"/>
    <w:rsid w:val="00BA347C"/>
    <w:rsid w:val="00BA609A"/>
    <w:rsid w:val="00BB11D4"/>
    <w:rsid w:val="00BB5C49"/>
    <w:rsid w:val="00BB6240"/>
    <w:rsid w:val="00BB69F5"/>
    <w:rsid w:val="00BB7EC3"/>
    <w:rsid w:val="00BC4B9A"/>
    <w:rsid w:val="00BD02C3"/>
    <w:rsid w:val="00BD7483"/>
    <w:rsid w:val="00BD784C"/>
    <w:rsid w:val="00BE020A"/>
    <w:rsid w:val="00BE13DF"/>
    <w:rsid w:val="00BF092C"/>
    <w:rsid w:val="00BF27A0"/>
    <w:rsid w:val="00BF4CB6"/>
    <w:rsid w:val="00BF5D3B"/>
    <w:rsid w:val="00C00DA7"/>
    <w:rsid w:val="00C04CDE"/>
    <w:rsid w:val="00C0761A"/>
    <w:rsid w:val="00C12768"/>
    <w:rsid w:val="00C12D70"/>
    <w:rsid w:val="00C16FE3"/>
    <w:rsid w:val="00C21B09"/>
    <w:rsid w:val="00C24EE2"/>
    <w:rsid w:val="00C2673A"/>
    <w:rsid w:val="00C27B58"/>
    <w:rsid w:val="00C30B4C"/>
    <w:rsid w:val="00C33186"/>
    <w:rsid w:val="00C35996"/>
    <w:rsid w:val="00C36378"/>
    <w:rsid w:val="00C44009"/>
    <w:rsid w:val="00C4747E"/>
    <w:rsid w:val="00C501CA"/>
    <w:rsid w:val="00C5151E"/>
    <w:rsid w:val="00C5342C"/>
    <w:rsid w:val="00C537A8"/>
    <w:rsid w:val="00C53B2B"/>
    <w:rsid w:val="00C60272"/>
    <w:rsid w:val="00C603D4"/>
    <w:rsid w:val="00C60954"/>
    <w:rsid w:val="00C6256A"/>
    <w:rsid w:val="00C6698F"/>
    <w:rsid w:val="00C703E1"/>
    <w:rsid w:val="00C710E2"/>
    <w:rsid w:val="00C71C3F"/>
    <w:rsid w:val="00C7409E"/>
    <w:rsid w:val="00C74CEE"/>
    <w:rsid w:val="00C74D6D"/>
    <w:rsid w:val="00C76E76"/>
    <w:rsid w:val="00C77891"/>
    <w:rsid w:val="00C80079"/>
    <w:rsid w:val="00C80776"/>
    <w:rsid w:val="00C81C23"/>
    <w:rsid w:val="00C91449"/>
    <w:rsid w:val="00C92D10"/>
    <w:rsid w:val="00CA48D9"/>
    <w:rsid w:val="00CB1193"/>
    <w:rsid w:val="00CB1501"/>
    <w:rsid w:val="00CB2CAA"/>
    <w:rsid w:val="00CB4767"/>
    <w:rsid w:val="00CB493D"/>
    <w:rsid w:val="00CB7444"/>
    <w:rsid w:val="00CC3B97"/>
    <w:rsid w:val="00CC5B04"/>
    <w:rsid w:val="00CD2963"/>
    <w:rsid w:val="00CE10C4"/>
    <w:rsid w:val="00CE27B5"/>
    <w:rsid w:val="00CE6DAF"/>
    <w:rsid w:val="00CF4057"/>
    <w:rsid w:val="00CF410A"/>
    <w:rsid w:val="00D0321E"/>
    <w:rsid w:val="00D07A8A"/>
    <w:rsid w:val="00D1455A"/>
    <w:rsid w:val="00D14A70"/>
    <w:rsid w:val="00D16DE1"/>
    <w:rsid w:val="00D209DF"/>
    <w:rsid w:val="00D219C4"/>
    <w:rsid w:val="00D22093"/>
    <w:rsid w:val="00D229D2"/>
    <w:rsid w:val="00D25438"/>
    <w:rsid w:val="00D31150"/>
    <w:rsid w:val="00D3138B"/>
    <w:rsid w:val="00D3280C"/>
    <w:rsid w:val="00D3406A"/>
    <w:rsid w:val="00D40B11"/>
    <w:rsid w:val="00D441F1"/>
    <w:rsid w:val="00D4572C"/>
    <w:rsid w:val="00D469B2"/>
    <w:rsid w:val="00D52006"/>
    <w:rsid w:val="00D54B09"/>
    <w:rsid w:val="00D5547E"/>
    <w:rsid w:val="00D6106A"/>
    <w:rsid w:val="00D614AD"/>
    <w:rsid w:val="00D6243E"/>
    <w:rsid w:val="00D65658"/>
    <w:rsid w:val="00D72B6F"/>
    <w:rsid w:val="00D741EB"/>
    <w:rsid w:val="00D7679C"/>
    <w:rsid w:val="00D820F3"/>
    <w:rsid w:val="00D83605"/>
    <w:rsid w:val="00D84934"/>
    <w:rsid w:val="00D91271"/>
    <w:rsid w:val="00D919F5"/>
    <w:rsid w:val="00D94F03"/>
    <w:rsid w:val="00DA0A82"/>
    <w:rsid w:val="00DA0D14"/>
    <w:rsid w:val="00DA1043"/>
    <w:rsid w:val="00DA1FC9"/>
    <w:rsid w:val="00DA2CB5"/>
    <w:rsid w:val="00DA4BAC"/>
    <w:rsid w:val="00DB0151"/>
    <w:rsid w:val="00DB463A"/>
    <w:rsid w:val="00DB7502"/>
    <w:rsid w:val="00DB7980"/>
    <w:rsid w:val="00DC2C3E"/>
    <w:rsid w:val="00DC3137"/>
    <w:rsid w:val="00DC4880"/>
    <w:rsid w:val="00DD1978"/>
    <w:rsid w:val="00DD7917"/>
    <w:rsid w:val="00DE6D27"/>
    <w:rsid w:val="00DF01F8"/>
    <w:rsid w:val="00DF217D"/>
    <w:rsid w:val="00DF26A7"/>
    <w:rsid w:val="00DF3277"/>
    <w:rsid w:val="00DF7919"/>
    <w:rsid w:val="00E0207E"/>
    <w:rsid w:val="00E03912"/>
    <w:rsid w:val="00E03B6E"/>
    <w:rsid w:val="00E078D9"/>
    <w:rsid w:val="00E10293"/>
    <w:rsid w:val="00E140A8"/>
    <w:rsid w:val="00E15627"/>
    <w:rsid w:val="00E164B3"/>
    <w:rsid w:val="00E16910"/>
    <w:rsid w:val="00E24280"/>
    <w:rsid w:val="00E24E09"/>
    <w:rsid w:val="00E26C2C"/>
    <w:rsid w:val="00E27234"/>
    <w:rsid w:val="00E316B4"/>
    <w:rsid w:val="00E33CAF"/>
    <w:rsid w:val="00E3495C"/>
    <w:rsid w:val="00E42768"/>
    <w:rsid w:val="00E42BDB"/>
    <w:rsid w:val="00E45A56"/>
    <w:rsid w:val="00E57EEB"/>
    <w:rsid w:val="00E62D94"/>
    <w:rsid w:val="00E64F37"/>
    <w:rsid w:val="00E65091"/>
    <w:rsid w:val="00E65E54"/>
    <w:rsid w:val="00E661C7"/>
    <w:rsid w:val="00E71444"/>
    <w:rsid w:val="00E80155"/>
    <w:rsid w:val="00E8134B"/>
    <w:rsid w:val="00E81E0D"/>
    <w:rsid w:val="00E81F28"/>
    <w:rsid w:val="00E830BA"/>
    <w:rsid w:val="00E848C0"/>
    <w:rsid w:val="00E91B96"/>
    <w:rsid w:val="00E92551"/>
    <w:rsid w:val="00E93D1E"/>
    <w:rsid w:val="00E941A1"/>
    <w:rsid w:val="00E956EB"/>
    <w:rsid w:val="00E95CE3"/>
    <w:rsid w:val="00EA252F"/>
    <w:rsid w:val="00EA2825"/>
    <w:rsid w:val="00EA5C12"/>
    <w:rsid w:val="00EA6518"/>
    <w:rsid w:val="00EA7466"/>
    <w:rsid w:val="00EA7EDE"/>
    <w:rsid w:val="00EB0B63"/>
    <w:rsid w:val="00EB1936"/>
    <w:rsid w:val="00EB37BE"/>
    <w:rsid w:val="00EB4416"/>
    <w:rsid w:val="00EB5088"/>
    <w:rsid w:val="00EC2109"/>
    <w:rsid w:val="00ED00DC"/>
    <w:rsid w:val="00ED1644"/>
    <w:rsid w:val="00ED2593"/>
    <w:rsid w:val="00ED5A90"/>
    <w:rsid w:val="00ED7D55"/>
    <w:rsid w:val="00ED7D9C"/>
    <w:rsid w:val="00EE24F8"/>
    <w:rsid w:val="00EE31A2"/>
    <w:rsid w:val="00EF0069"/>
    <w:rsid w:val="00EF44A0"/>
    <w:rsid w:val="00EF4FED"/>
    <w:rsid w:val="00EF6FB3"/>
    <w:rsid w:val="00F007C6"/>
    <w:rsid w:val="00F0172E"/>
    <w:rsid w:val="00F02F22"/>
    <w:rsid w:val="00F050BD"/>
    <w:rsid w:val="00F05657"/>
    <w:rsid w:val="00F11518"/>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1A64"/>
    <w:rsid w:val="00F43AF2"/>
    <w:rsid w:val="00F5007E"/>
    <w:rsid w:val="00F50EC4"/>
    <w:rsid w:val="00F52232"/>
    <w:rsid w:val="00F550CF"/>
    <w:rsid w:val="00F57817"/>
    <w:rsid w:val="00F57A6D"/>
    <w:rsid w:val="00F638CC"/>
    <w:rsid w:val="00F64B81"/>
    <w:rsid w:val="00F64C9E"/>
    <w:rsid w:val="00F64CC1"/>
    <w:rsid w:val="00F72317"/>
    <w:rsid w:val="00F80475"/>
    <w:rsid w:val="00F818C4"/>
    <w:rsid w:val="00F8247A"/>
    <w:rsid w:val="00F82E5C"/>
    <w:rsid w:val="00F84884"/>
    <w:rsid w:val="00F87C7F"/>
    <w:rsid w:val="00F900B4"/>
    <w:rsid w:val="00F943A9"/>
    <w:rsid w:val="00F94ADB"/>
    <w:rsid w:val="00F9629A"/>
    <w:rsid w:val="00F97EFC"/>
    <w:rsid w:val="00FA1BDD"/>
    <w:rsid w:val="00FA305C"/>
    <w:rsid w:val="00FA4DD5"/>
    <w:rsid w:val="00FA5354"/>
    <w:rsid w:val="00FA5883"/>
    <w:rsid w:val="00FA6055"/>
    <w:rsid w:val="00FB07BB"/>
    <w:rsid w:val="00FB0B39"/>
    <w:rsid w:val="00FB322F"/>
    <w:rsid w:val="00FB442F"/>
    <w:rsid w:val="00FB454F"/>
    <w:rsid w:val="00FC118C"/>
    <w:rsid w:val="00FC1929"/>
    <w:rsid w:val="00FC2555"/>
    <w:rsid w:val="00FC5B46"/>
    <w:rsid w:val="00FD085D"/>
    <w:rsid w:val="00FD6C74"/>
    <w:rsid w:val="00FD6D8E"/>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EB4416"/>
    <w:rPr>
      <w:rFonts w:ascii="Arial Narrow" w:hAnsi="Arial Narrow"/>
      <w:b/>
      <w:sz w:val="20"/>
      <w:szCs w:val="20"/>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FootnoteText">
    <w:name w:val="footnote text"/>
    <w:basedOn w:val="Normal"/>
    <w:link w:val="FootnoteTextChar"/>
    <w:semiHidden/>
    <w:unhideWhenUsed/>
    <w:rsid w:val="002D1D21"/>
    <w:rPr>
      <w:sz w:val="20"/>
      <w:szCs w:val="20"/>
    </w:rPr>
  </w:style>
  <w:style w:type="character" w:customStyle="1" w:styleId="FootnoteTextChar">
    <w:name w:val="Footnote Text Char"/>
    <w:basedOn w:val="DefaultParagraphFont"/>
    <w:link w:val="FootnoteText"/>
    <w:semiHidden/>
    <w:rsid w:val="002D1D21"/>
    <w:rPr>
      <w:rFonts w:ascii="Calibri" w:hAnsi="Calibri"/>
    </w:rPr>
  </w:style>
  <w:style w:type="character" w:styleId="FootnoteReference">
    <w:name w:val="footnote reference"/>
    <w:basedOn w:val="DefaultParagraphFont"/>
    <w:semiHidden/>
    <w:unhideWhenUsed/>
    <w:rsid w:val="002D1D21"/>
    <w:rPr>
      <w:vertAlign w:val="superscript"/>
    </w:rPr>
  </w:style>
  <w:style w:type="table" w:customStyle="1" w:styleId="TableGrid2">
    <w:name w:val="Table Grid2"/>
    <w:basedOn w:val="TableNormal"/>
    <w:next w:val="TableGrid"/>
    <w:uiPriority w:val="39"/>
    <w:rsid w:val="00CC5B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47003E"/>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2016750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792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C15F6-E3D7-416C-BBFA-49364403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3162</Words>
  <Characters>19125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2021-06-30T00:12:00Z</dcterms:created>
  <dcterms:modified xsi:type="dcterms:W3CDTF">2021-06-30T00:12:00Z</dcterms:modified>
</cp:coreProperties>
</file>