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55B" w:rsidRPr="00911E12" w:rsidRDefault="008B7E72" w:rsidP="00086CAA">
      <w:pPr>
        <w:pStyle w:val="1MainTitle"/>
      </w:pPr>
      <w:bookmarkStart w:id="0" w:name="_Toc440980439"/>
      <w:r>
        <w:t>4.02</w:t>
      </w:r>
      <w:r w:rsidR="00086CAA" w:rsidRPr="00911E12">
        <w:t xml:space="preserve"> ETANERCEPT</w:t>
      </w:r>
      <w:r w:rsidR="00086CAA" w:rsidRPr="00911E12">
        <w:br/>
        <w:t>Injection 50 mg in 1 mL single use auto-injector, 4</w:t>
      </w:r>
      <w:r w:rsidR="00086CAA" w:rsidRPr="00911E12">
        <w:br/>
        <w:t>Injection 50 mg in 1 mL single use pre-filled syringe, 4</w:t>
      </w:r>
      <w:r w:rsidR="00086CAA" w:rsidRPr="00911E12">
        <w:br/>
        <w:t>Brenzys®</w:t>
      </w:r>
      <w:r w:rsidR="00086CAA" w:rsidRPr="00911E12">
        <w:br/>
        <w:t>Merck Sharp &amp; Dohme (Australia) Pty Ltd</w:t>
      </w:r>
    </w:p>
    <w:p w:rsidR="00A013C4" w:rsidRPr="00911E12" w:rsidRDefault="00A013C4" w:rsidP="00680C05">
      <w:pPr>
        <w:pStyle w:val="2Sections"/>
      </w:pPr>
      <w:r w:rsidRPr="00911E12">
        <w:t xml:space="preserve">Purpose of </w:t>
      </w:r>
      <w:bookmarkEnd w:id="0"/>
      <w:r w:rsidRPr="00911E12">
        <w:t>Item</w:t>
      </w:r>
    </w:p>
    <w:p w:rsidR="00CA4C4E" w:rsidRPr="00911E12" w:rsidRDefault="00B619A7" w:rsidP="00CA4C4E">
      <w:pPr>
        <w:pStyle w:val="4Bodytextnumbered"/>
      </w:pPr>
      <w:r w:rsidRPr="00D10FE4">
        <w:t>To seek the PBAC’s advice</w:t>
      </w:r>
      <w:r w:rsidR="003673C7" w:rsidRPr="00911E12">
        <w:t xml:space="preserve"> on the</w:t>
      </w:r>
      <w:r w:rsidR="00523ED4">
        <w:t xml:space="preserve"> sponsor’s</w:t>
      </w:r>
      <w:r w:rsidR="009F0EB9">
        <w:t xml:space="preserve"> </w:t>
      </w:r>
      <w:r w:rsidR="003673C7" w:rsidRPr="00911E12">
        <w:t xml:space="preserve">request to change the listing of </w:t>
      </w:r>
      <w:proofErr w:type="spellStart"/>
      <w:r w:rsidR="003673C7" w:rsidRPr="00911E12">
        <w:t>etanercept</w:t>
      </w:r>
      <w:proofErr w:type="spellEnd"/>
      <w:r w:rsidR="003673C7" w:rsidRPr="00911E12">
        <w:t xml:space="preserve"> biosimilar </w:t>
      </w:r>
      <w:proofErr w:type="spellStart"/>
      <w:r w:rsidR="003673C7" w:rsidRPr="00911E12">
        <w:t>Brenzys</w:t>
      </w:r>
      <w:proofErr w:type="spellEnd"/>
      <w:r w:rsidR="003673C7" w:rsidRPr="00911E12">
        <w:t>® to support the uptake of the biosimilar brand:</w:t>
      </w:r>
    </w:p>
    <w:p w:rsidR="003673C7" w:rsidRPr="00911E12" w:rsidRDefault="003673C7" w:rsidP="003673C7">
      <w:pPr>
        <w:pStyle w:val="4bulletpoint"/>
        <w:rPr>
          <w:rFonts w:eastAsiaTheme="minorHAnsi"/>
          <w:snapToGrid/>
        </w:rPr>
      </w:pPr>
      <w:r w:rsidRPr="00911E12">
        <w:rPr>
          <w:rFonts w:eastAsiaTheme="minorHAnsi"/>
          <w:snapToGrid/>
        </w:rPr>
        <w:t xml:space="preserve">Changing the authority level for initial 1, initial 2 and first continuing prescribing from a written authority to a telephone authority for the </w:t>
      </w:r>
      <w:proofErr w:type="spellStart"/>
      <w:r w:rsidRPr="00911E12">
        <w:rPr>
          <w:rFonts w:eastAsiaTheme="minorHAnsi"/>
          <w:snapToGrid/>
        </w:rPr>
        <w:t>Brenzys</w:t>
      </w:r>
      <w:proofErr w:type="spellEnd"/>
      <w:r w:rsidRPr="00911E12">
        <w:rPr>
          <w:rFonts w:eastAsiaTheme="minorHAnsi"/>
          <w:snapToGrid/>
        </w:rPr>
        <w:t xml:space="preserve"> brand of </w:t>
      </w:r>
      <w:proofErr w:type="spellStart"/>
      <w:r w:rsidRPr="00911E12">
        <w:rPr>
          <w:rFonts w:eastAsiaTheme="minorHAnsi"/>
          <w:snapToGrid/>
        </w:rPr>
        <w:t>etanercept</w:t>
      </w:r>
      <w:proofErr w:type="spellEnd"/>
      <w:r w:rsidRPr="00911E12">
        <w:rPr>
          <w:rFonts w:eastAsiaTheme="minorHAnsi"/>
          <w:snapToGrid/>
        </w:rPr>
        <w:t>;</w:t>
      </w:r>
    </w:p>
    <w:p w:rsidR="003673C7" w:rsidRPr="00911E12" w:rsidRDefault="003673C7" w:rsidP="003673C7">
      <w:pPr>
        <w:pStyle w:val="4bulletpoint"/>
        <w:rPr>
          <w:rFonts w:eastAsiaTheme="minorHAnsi"/>
          <w:snapToGrid/>
        </w:rPr>
      </w:pPr>
      <w:r w:rsidRPr="00911E12">
        <w:rPr>
          <w:rFonts w:eastAsiaTheme="minorHAnsi"/>
          <w:snapToGrid/>
        </w:rPr>
        <w:t xml:space="preserve">For </w:t>
      </w:r>
      <w:proofErr w:type="spellStart"/>
      <w:r w:rsidRPr="00911E12">
        <w:rPr>
          <w:rFonts w:eastAsiaTheme="minorHAnsi"/>
          <w:snapToGrid/>
        </w:rPr>
        <w:t>bDMARD</w:t>
      </w:r>
      <w:proofErr w:type="spellEnd"/>
      <w:r w:rsidRPr="00911E12">
        <w:rPr>
          <w:rFonts w:eastAsiaTheme="minorHAnsi"/>
          <w:snapToGrid/>
        </w:rPr>
        <w:t>/biologic-naïve patients, having the use of a biosimilar in the first instance not count as a treatment failure as part of a treatment cycle, as one of five agents in rheumatoid arthritis (RA) or three agents in ankylosing spondylitis (AS), psoriatic arthritis (</w:t>
      </w:r>
      <w:proofErr w:type="spellStart"/>
      <w:r w:rsidRPr="00911E12">
        <w:rPr>
          <w:rFonts w:eastAsiaTheme="minorHAnsi"/>
          <w:snapToGrid/>
        </w:rPr>
        <w:t>PsA</w:t>
      </w:r>
      <w:proofErr w:type="spellEnd"/>
      <w:r w:rsidRPr="00911E12">
        <w:rPr>
          <w:rFonts w:eastAsiaTheme="minorHAnsi"/>
          <w:snapToGrid/>
        </w:rPr>
        <w:t>) or chronic plaque psoriasis (CPP); and</w:t>
      </w:r>
    </w:p>
    <w:p w:rsidR="008B7E72" w:rsidRPr="00754EBE" w:rsidRDefault="003673C7" w:rsidP="00754EBE">
      <w:pPr>
        <w:pStyle w:val="4bulletpoint"/>
        <w:rPr>
          <w:rFonts w:eastAsiaTheme="minorHAnsi"/>
          <w:snapToGrid/>
        </w:rPr>
      </w:pPr>
      <w:r w:rsidRPr="00911E12">
        <w:rPr>
          <w:rFonts w:eastAsiaTheme="minorHAnsi"/>
          <w:snapToGrid/>
        </w:rPr>
        <w:t>Re-introduction of ‘a’ flagging the Brenzys and Enbrel</w:t>
      </w:r>
      <w:r w:rsidRPr="00911E12">
        <w:rPr>
          <w:rFonts w:eastAsiaTheme="minorHAnsi" w:cstheme="minorHAnsi"/>
          <w:snapToGrid/>
          <w:vertAlign w:val="superscript"/>
        </w:rPr>
        <w:t>®</w:t>
      </w:r>
      <w:r w:rsidRPr="00911E12">
        <w:rPr>
          <w:rFonts w:eastAsiaTheme="minorHAnsi"/>
          <w:snapToGrid/>
        </w:rPr>
        <w:t xml:space="preserve"> brands for the subsequent continuing treatment phase, such that written authority prescriptions for Enbrel can be substituted for biosimilars at the pharmacy level, in addition to the streamlined authority listing of Brenzys that currently exists.</w:t>
      </w:r>
    </w:p>
    <w:p w:rsidR="00A013C4" w:rsidRPr="00911E12" w:rsidRDefault="00A013C4" w:rsidP="00680C05">
      <w:pPr>
        <w:pStyle w:val="2Sections"/>
      </w:pPr>
      <w:r w:rsidRPr="00911E12">
        <w:t>Background</w:t>
      </w:r>
    </w:p>
    <w:p w:rsidR="00256B83" w:rsidRDefault="006154EF" w:rsidP="006154EF">
      <w:pPr>
        <w:pStyle w:val="4Bodytextnumbered"/>
      </w:pPr>
      <w:r>
        <w:t>At its</w:t>
      </w:r>
      <w:r w:rsidR="00256B83" w:rsidRPr="00911E12">
        <w:t xml:space="preserve"> August 2017</w:t>
      </w:r>
      <w:r>
        <w:t xml:space="preserve"> meeting</w:t>
      </w:r>
      <w:r w:rsidR="00256B83">
        <w:t>,</w:t>
      </w:r>
      <w:r>
        <w:t xml:space="preserve"> </w:t>
      </w:r>
      <w:r w:rsidRPr="00494708">
        <w:t>t</w:t>
      </w:r>
      <w:r w:rsidRPr="008B7E72">
        <w:t xml:space="preserve">he PBAC did not recommend lowering the category of </w:t>
      </w:r>
      <w:r w:rsidRPr="00494708">
        <w:t>authority for the initial 2 and</w:t>
      </w:r>
      <w:r>
        <w:t xml:space="preserve"> </w:t>
      </w:r>
      <w:r w:rsidRPr="008B7E72">
        <w:t xml:space="preserve">continuing restrictions for </w:t>
      </w:r>
      <w:proofErr w:type="spellStart"/>
      <w:r w:rsidRPr="008B7E72">
        <w:t>etanercept</w:t>
      </w:r>
      <w:proofErr w:type="spellEnd"/>
      <w:r w:rsidRPr="008B7E72">
        <w:t xml:space="preserve"> as proposed by the sponsor as it considered that changing the restrictions for these treatment phases to</w:t>
      </w:r>
      <w:r w:rsidR="00C30FB1">
        <w:t xml:space="preserve"> Authority required (STREAMLINED</w:t>
      </w:r>
      <w:r w:rsidRPr="008B7E72">
        <w:t>)</w:t>
      </w:r>
      <w:r>
        <w:t xml:space="preserve"> </w:t>
      </w:r>
      <w:r w:rsidRPr="008B7E72">
        <w:t>was likely to result in use outside the intended PBS population to a wider population, such</w:t>
      </w:r>
      <w:r>
        <w:t xml:space="preserve"> </w:t>
      </w:r>
      <w:r w:rsidRPr="008B7E72">
        <w:t>as patients who do not demonstrate the extent of response required for continuing</w:t>
      </w:r>
      <w:r>
        <w:t xml:space="preserve"> </w:t>
      </w:r>
      <w:r w:rsidRPr="008B7E72">
        <w:t>treatment and use in patients with less severe disease. The PBAC noted that such</w:t>
      </w:r>
      <w:r>
        <w:t xml:space="preserve"> </w:t>
      </w:r>
      <w:r w:rsidRPr="008B7E72">
        <w:t xml:space="preserve">extended use would likely affect the cost effectiveness of </w:t>
      </w:r>
      <w:proofErr w:type="spellStart"/>
      <w:r w:rsidRPr="008B7E72">
        <w:t>etanercept</w:t>
      </w:r>
      <w:proofErr w:type="spellEnd"/>
      <w:r w:rsidRPr="008B7E72">
        <w:t xml:space="preserve"> and represent use</w:t>
      </w:r>
      <w:r>
        <w:t xml:space="preserve"> </w:t>
      </w:r>
      <w:r w:rsidRPr="008B7E72">
        <w:t>that is not consistent with the evidence of effectiveness considered by the PBAC when</w:t>
      </w:r>
      <w:r>
        <w:t xml:space="preserve"> </w:t>
      </w:r>
      <w:r w:rsidRPr="008B7E72">
        <w:t xml:space="preserve">recommending listing on the PBS of </w:t>
      </w:r>
      <w:proofErr w:type="spellStart"/>
      <w:r w:rsidRPr="008B7E72">
        <w:t>etanercept</w:t>
      </w:r>
      <w:proofErr w:type="spellEnd"/>
      <w:r w:rsidRPr="008B7E72">
        <w:t xml:space="preserve"> for severe active </w:t>
      </w:r>
      <w:r>
        <w:t>RA</w:t>
      </w:r>
      <w:r w:rsidRPr="008B7E72">
        <w:t>,</w:t>
      </w:r>
      <w:r>
        <w:t xml:space="preserve"> AS</w:t>
      </w:r>
      <w:r w:rsidRPr="008B7E72">
        <w:t xml:space="preserve">, severe </w:t>
      </w:r>
      <w:proofErr w:type="spellStart"/>
      <w:r>
        <w:t>PsA</w:t>
      </w:r>
      <w:proofErr w:type="spellEnd"/>
      <w:r w:rsidRPr="008B7E72">
        <w:t xml:space="preserve"> and severe </w:t>
      </w:r>
      <w:r>
        <w:t>CPP</w:t>
      </w:r>
      <w:r w:rsidR="00256B83">
        <w:t xml:space="preserve"> </w:t>
      </w:r>
      <w:r w:rsidR="00742000">
        <w:t>(para</w:t>
      </w:r>
      <w:r w:rsidR="000F5413">
        <w:t xml:space="preserve"> 4.8, </w:t>
      </w:r>
      <w:proofErr w:type="spellStart"/>
      <w:r w:rsidR="000F5413">
        <w:t>etanercept</w:t>
      </w:r>
      <w:proofErr w:type="spellEnd"/>
      <w:r w:rsidR="000F5413">
        <w:t xml:space="preserve"> </w:t>
      </w:r>
      <w:r w:rsidR="00742000">
        <w:t>Public S</w:t>
      </w:r>
      <w:r w:rsidR="000F5413">
        <w:t xml:space="preserve">ummary </w:t>
      </w:r>
      <w:r w:rsidR="00742000">
        <w:t>D</w:t>
      </w:r>
      <w:r w:rsidR="000F5413">
        <w:t>ocument, August 2017</w:t>
      </w:r>
      <w:r w:rsidR="00742000">
        <w:t xml:space="preserve"> PBAC Meeting</w:t>
      </w:r>
      <w:r w:rsidR="000F5413">
        <w:t>)</w:t>
      </w:r>
      <w:r w:rsidR="00256B83" w:rsidRPr="00911E12">
        <w:t xml:space="preserve">. </w:t>
      </w:r>
    </w:p>
    <w:p w:rsidR="006038C1" w:rsidRPr="00911E12" w:rsidRDefault="006038C1" w:rsidP="006038C1">
      <w:pPr>
        <w:pStyle w:val="4Bodytextnumbered"/>
      </w:pPr>
      <w:r w:rsidRPr="00911E12">
        <w:t xml:space="preserve">Biosimilar uptake drivers were first implemented in December 2017 when applied to </w:t>
      </w:r>
      <w:proofErr w:type="spellStart"/>
      <w:r w:rsidRPr="00911E12">
        <w:t>etanercept</w:t>
      </w:r>
      <w:proofErr w:type="spellEnd"/>
      <w:r w:rsidRPr="00911E12">
        <w:t xml:space="preserve">. As agreed under the Strategic Agreements </w:t>
      </w:r>
      <w:r w:rsidR="009832BC" w:rsidRPr="00911E12">
        <w:t>with Medicines Australia and the Generic and Biosimilar Medicines Association</w:t>
      </w:r>
      <w:r w:rsidR="005114B0">
        <w:t xml:space="preserve"> (GBMA)</w:t>
      </w:r>
      <w:r w:rsidR="009832BC" w:rsidRPr="00911E12">
        <w:t xml:space="preserve"> (the Strategic Agreements)</w:t>
      </w:r>
      <w:r w:rsidRPr="00911E12">
        <w:t>, two biosimilar uptake drivers were implemented by:</w:t>
      </w:r>
    </w:p>
    <w:p w:rsidR="006038C1" w:rsidRPr="00911E12" w:rsidRDefault="006038C1" w:rsidP="006038C1">
      <w:pPr>
        <w:pStyle w:val="4Bodytextnumbered"/>
        <w:numPr>
          <w:ilvl w:val="0"/>
          <w:numId w:val="18"/>
        </w:numPr>
      </w:pPr>
      <w:r w:rsidRPr="00911E12">
        <w:lastRenderedPageBreak/>
        <w:t>encouraging prescribing of a biosimilar brand rather than the reference biological brand for treatment naïve patients</w:t>
      </w:r>
      <w:r w:rsidR="00624D7E">
        <w:t xml:space="preserve"> by the addition of a Note in the Schedule of Pharmaceutical Benefits</w:t>
      </w:r>
      <w:r w:rsidRPr="00911E12">
        <w:t xml:space="preserve">; and </w:t>
      </w:r>
    </w:p>
    <w:p w:rsidR="006038C1" w:rsidRPr="00911E12" w:rsidRDefault="006038C1" w:rsidP="006038C1">
      <w:pPr>
        <w:pStyle w:val="4Bodytextnumbered"/>
        <w:numPr>
          <w:ilvl w:val="0"/>
          <w:numId w:val="18"/>
        </w:numPr>
      </w:pPr>
      <w:proofErr w:type="gramStart"/>
      <w:r w:rsidRPr="00911E12">
        <w:t>providing</w:t>
      </w:r>
      <w:proofErr w:type="gramEnd"/>
      <w:r w:rsidRPr="00911E12">
        <w:t xml:space="preserve"> for a simpler and faster approval process for prescribing biosimilar brands (for example, streamlined authority) while maintaining an existing </w:t>
      </w:r>
      <w:r w:rsidR="00E32D2A" w:rsidRPr="00911E12">
        <w:t>higher-level</w:t>
      </w:r>
      <w:r w:rsidRPr="00911E12">
        <w:t xml:space="preserve"> authority requirement for the reference biological brand (for example, written authority). </w:t>
      </w:r>
    </w:p>
    <w:p w:rsidR="003E469A" w:rsidRDefault="00735E68" w:rsidP="00735E68">
      <w:pPr>
        <w:pStyle w:val="4Bodytextnumbered"/>
      </w:pPr>
      <w:r>
        <w:t>Initially, a</w:t>
      </w:r>
      <w:r w:rsidR="00EB6FC8" w:rsidRPr="00911E12">
        <w:t>n</w:t>
      </w:r>
      <w:r w:rsidR="009832BC" w:rsidRPr="00911E12">
        <w:t> </w:t>
      </w:r>
      <w:r w:rsidR="00EB6FC8" w:rsidRPr="00911E12">
        <w:t>approach to implementation was taken to remove</w:t>
      </w:r>
      <w:r>
        <w:t xml:space="preserve"> the</w:t>
      </w:r>
      <w:r w:rsidR="00EB6FC8" w:rsidRPr="00911E12">
        <w:t xml:space="preserve"> ‘a’-flags</w:t>
      </w:r>
      <w:r w:rsidR="009E5071" w:rsidRPr="00911E12">
        <w:t xml:space="preserve"> between Enbrel and </w:t>
      </w:r>
      <w:r w:rsidR="009E5071" w:rsidRPr="00366849">
        <w:t>Bren</w:t>
      </w:r>
      <w:r w:rsidR="00D10FE4">
        <w:t>zys where the authority level</w:t>
      </w:r>
      <w:r w:rsidR="009E5071" w:rsidRPr="00366849">
        <w:t xml:space="preserve"> differed between the two brands.</w:t>
      </w:r>
      <w:r w:rsidR="00C30FB1">
        <w:t xml:space="preserve"> </w:t>
      </w:r>
      <w:r w:rsidR="00C30FB1" w:rsidRPr="00911E12">
        <w:t>While encouraging prescribing of the biosimilar brand, through differentiating listings for subsequent continuing treatment as written authority for Enbrel and streaml</w:t>
      </w:r>
      <w:r w:rsidR="00C30FB1">
        <w:t>ined authority for Brenzys, the removal of ‘a’</w:t>
      </w:r>
      <w:r>
        <w:t xml:space="preserve"> flagging</w:t>
      </w:r>
      <w:r w:rsidR="00C30FB1" w:rsidRPr="00911E12">
        <w:t xml:space="preserve"> precluded the possibility of dispensing Brenzys in accordance with a written authority.</w:t>
      </w:r>
      <w:r>
        <w:t xml:space="preserve"> O</w:t>
      </w:r>
      <w:r w:rsidR="000575D7" w:rsidRPr="00366849">
        <w:t>n 1 June 2019, ‘a’</w:t>
      </w:r>
      <w:r w:rsidR="000575D7" w:rsidRPr="00366849">
        <w:noBreakHyphen/>
        <w:t>flagging between Enbrel and Brenzys was reinstated at the subsequent continuing treatment phase for written authority prescriptions.</w:t>
      </w:r>
      <w:r>
        <w:t xml:space="preserve"> T</w:t>
      </w:r>
      <w:r w:rsidR="000575D7" w:rsidRPr="00911E12">
        <w:t>he listing changes also had the effect of creating consistency with the listings for initial and first continuing treatment phases.</w:t>
      </w:r>
      <w:r w:rsidR="007F4E40" w:rsidRPr="00911E12">
        <w:t xml:space="preserve"> On 1 November 2019 the approach to ‘a’</w:t>
      </w:r>
      <w:r w:rsidR="009832BC" w:rsidRPr="00911E12">
        <w:noBreakHyphen/>
      </w:r>
      <w:r w:rsidR="007F4E40" w:rsidRPr="00911E12">
        <w:t xml:space="preserve">flagging of </w:t>
      </w:r>
      <w:proofErr w:type="spellStart"/>
      <w:r w:rsidR="007F4E40" w:rsidRPr="00911E12">
        <w:t>etaner</w:t>
      </w:r>
      <w:r w:rsidR="007A5CAD" w:rsidRPr="00911E12">
        <w:t>c</w:t>
      </w:r>
      <w:r w:rsidR="007F4E40" w:rsidRPr="00911E12">
        <w:t>ept</w:t>
      </w:r>
      <w:proofErr w:type="spellEnd"/>
      <w:r w:rsidR="007F4E40" w:rsidRPr="00911E12">
        <w:t xml:space="preserve"> brands was also </w:t>
      </w:r>
      <w:r w:rsidR="00AB6699" w:rsidRPr="00911E12">
        <w:t>taken to</w:t>
      </w:r>
      <w:r w:rsidR="007F4E40" w:rsidRPr="00911E12">
        <w:t xml:space="preserve"> infliximab</w:t>
      </w:r>
      <w:r w:rsidR="009832BC" w:rsidRPr="00911E12">
        <w:t xml:space="preserve"> brands</w:t>
      </w:r>
      <w:r w:rsidR="007F4E40" w:rsidRPr="00911E12">
        <w:t>.</w:t>
      </w:r>
    </w:p>
    <w:p w:rsidR="00735E68" w:rsidRPr="00911E12" w:rsidRDefault="00735E68" w:rsidP="00735E68">
      <w:pPr>
        <w:pStyle w:val="4Bodytextnumbered"/>
      </w:pPr>
      <w:r>
        <w:t xml:space="preserve">In November 2018, the PBAC considered a submission from the sponsor that sought changes to the listing of the </w:t>
      </w:r>
      <w:proofErr w:type="spellStart"/>
      <w:r>
        <w:t>Brenzys</w:t>
      </w:r>
      <w:proofErr w:type="spellEnd"/>
      <w:r>
        <w:t xml:space="preserve"> brand of </w:t>
      </w:r>
      <w:proofErr w:type="spellStart"/>
      <w:r>
        <w:t>etanercept</w:t>
      </w:r>
      <w:proofErr w:type="spellEnd"/>
      <w:r>
        <w:t xml:space="preserve"> with the intent of supporting further uptake of the biosimilar brand. The PBAC </w:t>
      </w:r>
      <w:r w:rsidRPr="00D10FE4">
        <w:rPr>
          <w:snapToGrid w:val="0"/>
        </w:rPr>
        <w:t xml:space="preserve">deferred making a recommendation regarding </w:t>
      </w:r>
      <w:r>
        <w:rPr>
          <w:snapToGrid w:val="0"/>
        </w:rPr>
        <w:t xml:space="preserve">the requested </w:t>
      </w:r>
      <w:r w:rsidRPr="00D10FE4">
        <w:rPr>
          <w:snapToGrid w:val="0"/>
        </w:rPr>
        <w:t>biosimilar uptake drivers on the basis that these matters had potentially broader</w:t>
      </w:r>
      <w:r w:rsidRPr="000178DB">
        <w:rPr>
          <w:snapToGrid w:val="0"/>
        </w:rPr>
        <w:t xml:space="preserve"> biosimilar policy implications and considered that further discussions between the Department and key stakeholders regarding these requests was necessary to inform decision making.</w:t>
      </w:r>
    </w:p>
    <w:p w:rsidR="00527C90" w:rsidRPr="00911E12" w:rsidRDefault="00527C90" w:rsidP="002C55CC">
      <w:pPr>
        <w:pStyle w:val="4Bodytextnumbered"/>
        <w:numPr>
          <w:ilvl w:val="0"/>
          <w:numId w:val="0"/>
        </w:numPr>
        <w:ind w:firstLine="709"/>
        <w:rPr>
          <w:i/>
        </w:rPr>
      </w:pPr>
      <w:r w:rsidRPr="00911E12">
        <w:rPr>
          <w:i/>
        </w:rPr>
        <w:t>For more deta</w:t>
      </w:r>
      <w:r w:rsidR="00CF420F">
        <w:rPr>
          <w:i/>
        </w:rPr>
        <w:t>il on PBAC’s view, see section 4</w:t>
      </w:r>
      <w:r w:rsidRPr="00911E12">
        <w:rPr>
          <w:i/>
        </w:rPr>
        <w:t xml:space="preserve"> PBAC outcome. </w:t>
      </w:r>
    </w:p>
    <w:p w:rsidR="00622300" w:rsidRPr="00911E12" w:rsidRDefault="00622300" w:rsidP="00FF26F0">
      <w:pPr>
        <w:pStyle w:val="2Sections"/>
        <w:keepNext/>
      </w:pPr>
      <w:r w:rsidRPr="00911E12">
        <w:t>Current Situation</w:t>
      </w:r>
    </w:p>
    <w:p w:rsidR="003673C7" w:rsidRPr="00911E12" w:rsidRDefault="00C802C0" w:rsidP="003673C7">
      <w:pPr>
        <w:pStyle w:val="4Bodytextnumbered"/>
      </w:pPr>
      <w:r>
        <w:t>Five</w:t>
      </w:r>
      <w:r w:rsidR="00590210" w:rsidRPr="00911E12">
        <w:t xml:space="preserve"> brands of </w:t>
      </w:r>
      <w:proofErr w:type="spellStart"/>
      <w:r w:rsidR="00590210" w:rsidRPr="00911E12">
        <w:t>etanercept</w:t>
      </w:r>
      <w:proofErr w:type="spellEnd"/>
      <w:r w:rsidR="00590210" w:rsidRPr="00911E12">
        <w:t xml:space="preserve"> have been approved for use in Australia. Of these</w:t>
      </w:r>
      <w:r w:rsidR="00AB6699" w:rsidRPr="00911E12">
        <w:t>,</w:t>
      </w:r>
      <w:r w:rsidR="00590210" w:rsidRPr="00911E12">
        <w:t xml:space="preserve"> Enbrel</w:t>
      </w:r>
      <w:r w:rsidR="00AB6699" w:rsidRPr="00911E12">
        <w:t> </w:t>
      </w:r>
      <w:r w:rsidR="00590210" w:rsidRPr="00911E12">
        <w:t>(reference) and Brenzys (biosimilar) are currently listed on the PBS.</w:t>
      </w:r>
      <w:r w:rsidR="009F3AEA" w:rsidRPr="00911E12">
        <w:t xml:space="preserve"> Brenzys</w:t>
      </w:r>
      <w:r w:rsidR="00AB6699" w:rsidRPr="00911E12">
        <w:t> </w:t>
      </w:r>
      <w:r w:rsidR="002B67E4">
        <w:t xml:space="preserve">was </w:t>
      </w:r>
      <w:r w:rsidR="009F3AEA" w:rsidRPr="00911E12">
        <w:t>listed on 1 April 2017.</w:t>
      </w:r>
    </w:p>
    <w:p w:rsidR="004D6A95" w:rsidRDefault="005A5BD0" w:rsidP="003673C7">
      <w:pPr>
        <w:pStyle w:val="4Bodytextnumbered"/>
      </w:pPr>
      <w:r w:rsidRPr="00911E12">
        <w:t xml:space="preserve">The Department </w:t>
      </w:r>
      <w:r w:rsidR="00362534" w:rsidRPr="00911E12">
        <w:t>has been</w:t>
      </w:r>
      <w:r w:rsidRPr="00911E12">
        <w:t xml:space="preserve"> monitoring uptake of Brenzys </w:t>
      </w:r>
      <w:r w:rsidR="00F93A5B" w:rsidRPr="00911E12">
        <w:t>through PBS dispensing claims data supplied by Services Australia. These data have shown a moderate but steady trend in market share growth of the biosimilar.</w:t>
      </w:r>
    </w:p>
    <w:p w:rsidR="0016749F" w:rsidRDefault="00735E68" w:rsidP="0016749F">
      <w:pPr>
        <w:pStyle w:val="4Bodytextnumbered"/>
      </w:pPr>
      <w:r>
        <w:t xml:space="preserve">Prior to its December </w:t>
      </w:r>
      <w:r w:rsidR="0016749F">
        <w:t>2020 meeting, the PBAC sought policy advice from t</w:t>
      </w:r>
      <w:r w:rsidR="009F0EB9">
        <w:t xml:space="preserve">he Department regarding the </w:t>
      </w:r>
      <w:r w:rsidR="007919E3">
        <w:t>requested uptake drivers.</w:t>
      </w:r>
      <w:r w:rsidR="00144DAE">
        <w:t xml:space="preserve"> </w:t>
      </w:r>
    </w:p>
    <w:p w:rsidR="00D63E4D" w:rsidRPr="00D63E4D" w:rsidRDefault="00D63E4D" w:rsidP="00D63E4D">
      <w:pPr>
        <w:pStyle w:val="4Bodytextnumbered"/>
        <w:rPr>
          <w:b/>
          <w:snapToGrid w:val="0"/>
        </w:rPr>
      </w:pPr>
      <w:r>
        <w:t xml:space="preserve">The PBAC noted that, at present, prescribers can use the Online PBS Authorities (OPA) system on Health Professional Online Services (HPOS) to self-serve for authority approval of Authority Required (Telephone/electronic) items. Prescribers receive a </w:t>
      </w:r>
      <w:r>
        <w:lastRenderedPageBreak/>
        <w:t xml:space="preserve">real time ‘immediate’ assessment response to these requests and the patient can leave with the prescription. </w:t>
      </w:r>
    </w:p>
    <w:p w:rsidR="002B41D8" w:rsidRPr="00911E12" w:rsidRDefault="002B41D8" w:rsidP="002B41D8">
      <w:pPr>
        <w:jc w:val="center"/>
        <w:rPr>
          <w:rFonts w:ascii="Calibri" w:hAnsi="Calibri" w:cs="Arial"/>
          <w:b/>
          <w:snapToGrid w:val="0"/>
          <w:szCs w:val="22"/>
          <w:u w:val="single"/>
        </w:rPr>
      </w:pPr>
      <w:r w:rsidRPr="00911E12">
        <w:rPr>
          <w:rFonts w:ascii="Calibri" w:hAnsi="Calibri" w:cs="Arial"/>
          <w:b/>
          <w:snapToGrid w:val="0"/>
          <w:szCs w:val="22"/>
          <w:u w:val="single"/>
        </w:rPr>
        <w:t>Committee-In-Confidence information</w:t>
      </w:r>
    </w:p>
    <w:p w:rsidR="00F93A5B" w:rsidRPr="00911E12" w:rsidRDefault="00F93A5B" w:rsidP="003673C7">
      <w:pPr>
        <w:pStyle w:val="4Bodytextnumbered"/>
      </w:pPr>
      <w:r w:rsidRPr="00911E12">
        <w:t>Most recent data indicate a growth in market share of Brenzys</w:t>
      </w:r>
      <w:r w:rsidR="00AB6699" w:rsidRPr="00911E12">
        <w:t>,</w:t>
      </w:r>
      <w:r w:rsidRPr="00911E12">
        <w:t xml:space="preserve"> </w:t>
      </w:r>
      <w:r w:rsidR="003C5F4B" w:rsidRPr="00911E12">
        <w:t xml:space="preserve">from </w:t>
      </w:r>
      <w:r w:rsidR="00312A4F">
        <w:rPr>
          <w:noProof/>
          <w:color w:val="000000"/>
          <w:highlight w:val="black"/>
        </w:rPr>
        <w:t>'''''''</w:t>
      </w:r>
      <w:r w:rsidRPr="00911E12">
        <w:t xml:space="preserve"> per cent following implementation of the biosimilar uptake drivers to </w:t>
      </w:r>
      <w:r w:rsidR="00312A4F">
        <w:rPr>
          <w:noProof/>
          <w:color w:val="000000"/>
          <w:highlight w:val="black"/>
        </w:rPr>
        <w:t>'''''''''</w:t>
      </w:r>
      <w:r w:rsidRPr="00911E12">
        <w:t> per cent</w:t>
      </w:r>
      <w:r w:rsidR="00AB6699" w:rsidRPr="00911E12">
        <w:t xml:space="preserve"> by the end of the</w:t>
      </w:r>
      <w:r w:rsidRPr="00911E12">
        <w:t xml:space="preserve"> 24 months following implementation</w:t>
      </w:r>
      <w:r w:rsidR="003C5F4B">
        <w:t>.</w:t>
      </w:r>
      <w:r w:rsidRPr="00911E12">
        <w:t xml:space="preserve"> </w:t>
      </w:r>
    </w:p>
    <w:p w:rsidR="002B41D8" w:rsidRPr="00911E12" w:rsidRDefault="002B41D8" w:rsidP="002B41D8">
      <w:pPr>
        <w:jc w:val="center"/>
        <w:rPr>
          <w:rFonts w:ascii="Calibri" w:hAnsi="Calibri" w:cs="Arial"/>
          <w:b/>
          <w:snapToGrid w:val="0"/>
          <w:szCs w:val="22"/>
          <w:u w:val="single"/>
        </w:rPr>
      </w:pPr>
      <w:r w:rsidRPr="00911E12">
        <w:rPr>
          <w:rFonts w:ascii="Calibri" w:hAnsi="Calibri" w:cs="Arial"/>
          <w:b/>
          <w:snapToGrid w:val="0"/>
          <w:szCs w:val="22"/>
          <w:u w:val="single"/>
        </w:rPr>
        <w:t>End Committee-In-Confidence information</w:t>
      </w:r>
    </w:p>
    <w:p w:rsidR="00527C90" w:rsidRPr="00911E12" w:rsidRDefault="00527C90" w:rsidP="002C55CC">
      <w:pPr>
        <w:pStyle w:val="4Bodytext"/>
        <w:spacing w:before="120"/>
        <w:ind w:hanging="11"/>
        <w:rPr>
          <w:i/>
          <w:snapToGrid w:val="0"/>
        </w:rPr>
      </w:pPr>
      <w:r w:rsidRPr="00911E12">
        <w:rPr>
          <w:i/>
          <w:snapToGrid w:val="0"/>
        </w:rPr>
        <w:t>For more deta</w:t>
      </w:r>
      <w:r w:rsidR="00CF420F">
        <w:rPr>
          <w:i/>
          <w:snapToGrid w:val="0"/>
        </w:rPr>
        <w:t>il on PBAC’s view, see section 4</w:t>
      </w:r>
      <w:r w:rsidRPr="00911E12">
        <w:rPr>
          <w:i/>
          <w:snapToGrid w:val="0"/>
        </w:rPr>
        <w:t xml:space="preserve"> PBAC outcome.</w:t>
      </w:r>
    </w:p>
    <w:p w:rsidR="006249F9" w:rsidRPr="00D63E4D" w:rsidRDefault="00527C90" w:rsidP="00D63E4D">
      <w:pPr>
        <w:pStyle w:val="2Sections"/>
      </w:pPr>
      <w:r w:rsidRPr="00911E12">
        <w:t>PBAC Outcome</w:t>
      </w:r>
    </w:p>
    <w:p w:rsidR="002F155A" w:rsidRDefault="00F7288B" w:rsidP="00291196">
      <w:pPr>
        <w:pStyle w:val="4Bodytextnumbered"/>
        <w:rPr>
          <w:snapToGrid w:val="0"/>
        </w:rPr>
      </w:pPr>
      <w:r>
        <w:rPr>
          <w:snapToGrid w:val="0"/>
        </w:rPr>
        <w:t xml:space="preserve">The </w:t>
      </w:r>
      <w:r w:rsidR="006249F9">
        <w:rPr>
          <w:snapToGrid w:val="0"/>
        </w:rPr>
        <w:t xml:space="preserve">PBAC did not recommend </w:t>
      </w:r>
      <w:r w:rsidR="007464F5">
        <w:rPr>
          <w:snapToGrid w:val="0"/>
        </w:rPr>
        <w:t>changing</w:t>
      </w:r>
      <w:r w:rsidR="009531D2">
        <w:rPr>
          <w:snapToGrid w:val="0"/>
        </w:rPr>
        <w:t xml:space="preserve"> the authority level for initial </w:t>
      </w:r>
      <w:r w:rsidR="007464F5">
        <w:rPr>
          <w:snapToGrid w:val="0"/>
        </w:rPr>
        <w:t xml:space="preserve">1, initial 2 and first continuing prescribing </w:t>
      </w:r>
      <w:r w:rsidR="009531D2">
        <w:rPr>
          <w:snapToGrid w:val="0"/>
        </w:rPr>
        <w:t>from Authority Required (Written) to Authority Required (Telephone)</w:t>
      </w:r>
      <w:r w:rsidR="006C2269">
        <w:rPr>
          <w:snapToGrid w:val="0"/>
        </w:rPr>
        <w:t xml:space="preserve"> for Brenzys. </w:t>
      </w:r>
      <w:r w:rsidR="009D6256">
        <w:rPr>
          <w:snapToGrid w:val="0"/>
        </w:rPr>
        <w:t>The PBAC</w:t>
      </w:r>
      <w:r w:rsidR="009531D2">
        <w:rPr>
          <w:snapToGrid w:val="0"/>
        </w:rPr>
        <w:t xml:space="preserve"> considered that</w:t>
      </w:r>
      <w:r w:rsidR="009D6256">
        <w:rPr>
          <w:snapToGrid w:val="0"/>
        </w:rPr>
        <w:t xml:space="preserve"> a full assessment</w:t>
      </w:r>
      <w:r w:rsidR="00CD5522">
        <w:rPr>
          <w:snapToGrid w:val="0"/>
        </w:rPr>
        <w:t xml:space="preserve"> (written)</w:t>
      </w:r>
      <w:r w:rsidR="009D6256">
        <w:rPr>
          <w:snapToGrid w:val="0"/>
        </w:rPr>
        <w:t xml:space="preserve"> is appropriate for Brenzys on the basis that the restrictions are complex and require </w:t>
      </w:r>
      <w:r w:rsidR="00CD5522">
        <w:rPr>
          <w:snapToGrid w:val="0"/>
        </w:rPr>
        <w:t>prescribers to provide detailed clinical information to support the relevant PBS authority application</w:t>
      </w:r>
      <w:r w:rsidR="009D6256">
        <w:rPr>
          <w:snapToGrid w:val="0"/>
        </w:rPr>
        <w:t xml:space="preserve">. </w:t>
      </w:r>
      <w:r w:rsidR="00B53D07">
        <w:rPr>
          <w:snapToGrid w:val="0"/>
        </w:rPr>
        <w:t xml:space="preserve">With a telephone authority, the PBAC considered it may be difficult and time consuming for </w:t>
      </w:r>
      <w:r w:rsidR="006053F5">
        <w:rPr>
          <w:snapToGrid w:val="0"/>
        </w:rPr>
        <w:t xml:space="preserve">Services Australia </w:t>
      </w:r>
      <w:r w:rsidR="00B53D07">
        <w:rPr>
          <w:snapToGrid w:val="0"/>
        </w:rPr>
        <w:t xml:space="preserve">administrators to ensure that the specific entry criteria are explicitly addressed. </w:t>
      </w:r>
    </w:p>
    <w:p w:rsidR="009F0EB9" w:rsidRPr="009F0EB9" w:rsidRDefault="009F0EB9" w:rsidP="009F0EB9">
      <w:pPr>
        <w:pStyle w:val="4Bodytextnumbered"/>
      </w:pPr>
      <w:r w:rsidRPr="000178DB">
        <w:rPr>
          <w:snapToGrid w:val="0"/>
        </w:rPr>
        <w:t xml:space="preserve">The PBAC noted that recent data showed that </w:t>
      </w:r>
      <w:r>
        <w:rPr>
          <w:snapToGrid w:val="0"/>
        </w:rPr>
        <w:t xml:space="preserve">market share of Brenzys had increased from </w:t>
      </w:r>
      <w:r w:rsidR="00312A4F">
        <w:rPr>
          <w:noProof/>
          <w:snapToGrid w:val="0"/>
          <w:color w:val="000000"/>
          <w:highlight w:val="black"/>
        </w:rPr>
        <w:t>'''''''</w:t>
      </w:r>
      <w:r>
        <w:rPr>
          <w:snapToGrid w:val="0"/>
        </w:rPr>
        <w:t xml:space="preserve"> </w:t>
      </w:r>
      <w:r w:rsidRPr="00911E12">
        <w:t xml:space="preserve">per cent following implementation of the biosimilar uptake drivers to </w:t>
      </w:r>
      <w:r w:rsidR="00312A4F">
        <w:rPr>
          <w:noProof/>
          <w:color w:val="000000"/>
          <w:highlight w:val="black"/>
        </w:rPr>
        <w:t>''''''''</w:t>
      </w:r>
      <w:r w:rsidRPr="00911E12">
        <w:t> per cent by the end of the 24 months following implementation</w:t>
      </w:r>
      <w:r>
        <w:t>.</w:t>
      </w:r>
      <w:r w:rsidRPr="00911E12">
        <w:t xml:space="preserve"> </w:t>
      </w:r>
    </w:p>
    <w:p w:rsidR="009531D2" w:rsidRPr="00291196" w:rsidRDefault="009D6256" w:rsidP="00291196">
      <w:pPr>
        <w:pStyle w:val="4Bodytextnumbered"/>
        <w:rPr>
          <w:snapToGrid w:val="0"/>
        </w:rPr>
      </w:pPr>
      <w:r w:rsidRPr="00291196">
        <w:rPr>
          <w:snapToGrid w:val="0"/>
        </w:rPr>
        <w:t>The PBAC</w:t>
      </w:r>
      <w:r w:rsidR="00291196">
        <w:rPr>
          <w:snapToGrid w:val="0"/>
        </w:rPr>
        <w:t xml:space="preserve"> acknowledged that the Government is committed to promoting the greater use of biosimilar medicines in Australia and will support the introduction of measures that improve the uptake of biosimilar medicines as recommended by the Committee on a case-by-case basis. </w:t>
      </w:r>
      <w:r w:rsidR="0042448B" w:rsidRPr="00291196">
        <w:rPr>
          <w:snapToGrid w:val="0"/>
        </w:rPr>
        <w:t>The PBAC noted that the Department is working with Services Australia to assess the requirements of PBS items which require paper based evidence (such as Brenzys) and will seek the PBAC’s advice for change where appropriate</w:t>
      </w:r>
      <w:r w:rsidRPr="00291196">
        <w:rPr>
          <w:snapToGrid w:val="0"/>
        </w:rPr>
        <w:t>.</w:t>
      </w:r>
    </w:p>
    <w:p w:rsidR="005114B0" w:rsidRDefault="00B20C77" w:rsidP="002661AC">
      <w:pPr>
        <w:pStyle w:val="4Bodytextnumbered"/>
        <w:rPr>
          <w:snapToGrid w:val="0"/>
        </w:rPr>
      </w:pPr>
      <w:r>
        <w:rPr>
          <w:snapToGrid w:val="0"/>
        </w:rPr>
        <w:t>For</w:t>
      </w:r>
      <w:r w:rsidR="002661AC">
        <w:rPr>
          <w:snapToGrid w:val="0"/>
        </w:rPr>
        <w:t xml:space="preserve"> </w:t>
      </w:r>
      <w:proofErr w:type="spellStart"/>
      <w:r w:rsidR="002661AC" w:rsidRPr="002661AC">
        <w:rPr>
          <w:snapToGrid w:val="0"/>
        </w:rPr>
        <w:t>bDMARD</w:t>
      </w:r>
      <w:proofErr w:type="spellEnd"/>
      <w:r w:rsidR="002661AC" w:rsidRPr="002661AC">
        <w:rPr>
          <w:snapToGrid w:val="0"/>
        </w:rPr>
        <w:t>/</w:t>
      </w:r>
      <w:r>
        <w:rPr>
          <w:snapToGrid w:val="0"/>
        </w:rPr>
        <w:t>biologic-naïve pati</w:t>
      </w:r>
      <w:r w:rsidR="005E4C53">
        <w:rPr>
          <w:snapToGrid w:val="0"/>
        </w:rPr>
        <w:t xml:space="preserve">ents, the PBAC </w:t>
      </w:r>
      <w:r w:rsidR="00330B6A">
        <w:rPr>
          <w:snapToGrid w:val="0"/>
        </w:rPr>
        <w:t>noted the sponsor’s request for</w:t>
      </w:r>
      <w:r w:rsidR="005E4C53">
        <w:rPr>
          <w:snapToGrid w:val="0"/>
        </w:rPr>
        <w:t xml:space="preserve"> having </w:t>
      </w:r>
      <w:r w:rsidR="002661AC" w:rsidRPr="002661AC">
        <w:rPr>
          <w:snapToGrid w:val="0"/>
        </w:rPr>
        <w:t>the use of a biosimilar in the first instance</w:t>
      </w:r>
      <w:r>
        <w:rPr>
          <w:snapToGrid w:val="0"/>
        </w:rPr>
        <w:t xml:space="preserve"> not </w:t>
      </w:r>
      <w:r w:rsidR="002661AC" w:rsidRPr="002661AC">
        <w:rPr>
          <w:snapToGrid w:val="0"/>
        </w:rPr>
        <w:t xml:space="preserve">count as a treatment failure as part of a treatment cycle, as one of five agents in RA or three agents in AS, </w:t>
      </w:r>
      <w:proofErr w:type="spellStart"/>
      <w:r w:rsidR="002661AC" w:rsidRPr="002661AC">
        <w:rPr>
          <w:snapToGrid w:val="0"/>
        </w:rPr>
        <w:t>PsA</w:t>
      </w:r>
      <w:proofErr w:type="spellEnd"/>
      <w:r w:rsidR="002661AC" w:rsidRPr="002661AC">
        <w:rPr>
          <w:snapToGrid w:val="0"/>
        </w:rPr>
        <w:t xml:space="preserve"> or</w:t>
      </w:r>
      <w:r w:rsidR="002661AC">
        <w:rPr>
          <w:snapToGrid w:val="0"/>
        </w:rPr>
        <w:t xml:space="preserve"> </w:t>
      </w:r>
      <w:r w:rsidR="002661AC" w:rsidRPr="002661AC">
        <w:rPr>
          <w:snapToGrid w:val="0"/>
        </w:rPr>
        <w:t>CPP</w:t>
      </w:r>
      <w:r w:rsidR="00D64981">
        <w:rPr>
          <w:snapToGrid w:val="0"/>
        </w:rPr>
        <w:t>.</w:t>
      </w:r>
      <w:r w:rsidR="006B6ABC">
        <w:rPr>
          <w:snapToGrid w:val="0"/>
        </w:rPr>
        <w:t xml:space="preserve"> </w:t>
      </w:r>
      <w:r w:rsidR="005114B0">
        <w:rPr>
          <w:snapToGrid w:val="0"/>
        </w:rPr>
        <w:t xml:space="preserve">The PBAC reiterated that this request fell outside of the biosimilar uptake measures as agreed under the Strategic Agreements with </w:t>
      </w:r>
      <w:r w:rsidR="00EA3601">
        <w:rPr>
          <w:snapToGrid w:val="0"/>
        </w:rPr>
        <w:t>Medicines Australia</w:t>
      </w:r>
      <w:r w:rsidR="005114B0" w:rsidRPr="002E660A">
        <w:rPr>
          <w:snapToGrid w:val="0"/>
        </w:rPr>
        <w:t xml:space="preserve"> </w:t>
      </w:r>
      <w:r w:rsidR="005114B0">
        <w:rPr>
          <w:snapToGrid w:val="0"/>
        </w:rPr>
        <w:t>(the Strategic Agreement)</w:t>
      </w:r>
      <w:r w:rsidR="00DA2312">
        <w:rPr>
          <w:snapToGrid w:val="0"/>
        </w:rPr>
        <w:t xml:space="preserve"> and acknowledged by GBMA</w:t>
      </w:r>
      <w:r w:rsidR="005114B0">
        <w:rPr>
          <w:snapToGrid w:val="0"/>
        </w:rPr>
        <w:t xml:space="preserve">, </w:t>
      </w:r>
      <w:r w:rsidR="005250CF">
        <w:t xml:space="preserve">and would require further consideration by these stakeholders, </w:t>
      </w:r>
      <w:r w:rsidR="00703BE5">
        <w:t>as well as</w:t>
      </w:r>
      <w:r w:rsidR="005250CF">
        <w:t xml:space="preserve"> the Joint Oversight Committee</w:t>
      </w:r>
      <w:r w:rsidR="002776CA">
        <w:t xml:space="preserve"> (composed of Department of Health and Medicines Australia representatives) </w:t>
      </w:r>
      <w:r w:rsidR="005250CF">
        <w:t>established under the Medicine</w:t>
      </w:r>
      <w:r w:rsidR="006B6ABC">
        <w:t xml:space="preserve">s Australia Strategic Agreement. </w:t>
      </w:r>
      <w:r w:rsidR="00C0567A">
        <w:t xml:space="preserve">The </w:t>
      </w:r>
      <w:r w:rsidR="00330B6A">
        <w:t>PBAC did not sup</w:t>
      </w:r>
      <w:r w:rsidR="00C0567A">
        <w:t>port this request on the basis that a</w:t>
      </w:r>
      <w:r w:rsidR="00330B6A">
        <w:t xml:space="preserve"> biosimilar medicine is a highly similar version of a reference biological medicine and contemporary clinical evidence does not support that the biosimilar be exempt from the treatment failure rule. </w:t>
      </w:r>
    </w:p>
    <w:p w:rsidR="008B2A2F" w:rsidRDefault="00825833" w:rsidP="00AF5EAD">
      <w:pPr>
        <w:pStyle w:val="4Bodytextnumbered"/>
        <w:rPr>
          <w:snapToGrid w:val="0"/>
        </w:rPr>
      </w:pPr>
      <w:r>
        <w:rPr>
          <w:snapToGrid w:val="0"/>
        </w:rPr>
        <w:lastRenderedPageBreak/>
        <w:t>The PBAC noted</w:t>
      </w:r>
      <w:r w:rsidR="008B2A2F">
        <w:rPr>
          <w:snapToGrid w:val="0"/>
        </w:rPr>
        <w:t xml:space="preserve"> that the request to re-introduce ‘a’ flagging for the Brenzys and Enbrel brands of </w:t>
      </w:r>
      <w:proofErr w:type="spellStart"/>
      <w:r w:rsidR="008B2A2F">
        <w:rPr>
          <w:snapToGrid w:val="0"/>
        </w:rPr>
        <w:t>etanercept</w:t>
      </w:r>
      <w:proofErr w:type="spellEnd"/>
      <w:r w:rsidR="008B2A2F">
        <w:rPr>
          <w:snapToGrid w:val="0"/>
        </w:rPr>
        <w:t xml:space="preserve"> in the subsequent continuing treatment phase was implemented on 1 June 2019. </w:t>
      </w:r>
    </w:p>
    <w:p w:rsidR="004776A3" w:rsidRDefault="004776A3" w:rsidP="004776A3">
      <w:pPr>
        <w:pStyle w:val="4Bodytextnumbered"/>
        <w:numPr>
          <w:ilvl w:val="0"/>
          <w:numId w:val="0"/>
        </w:numPr>
        <w:rPr>
          <w:snapToGrid w:val="0"/>
        </w:rPr>
      </w:pPr>
      <w:r>
        <w:rPr>
          <w:snapToGrid w:val="0"/>
        </w:rPr>
        <w:br/>
      </w:r>
      <w:r w:rsidRPr="004776A3">
        <w:rPr>
          <w:b/>
          <w:snapToGrid w:val="0"/>
        </w:rPr>
        <w:t>Outcome:</w:t>
      </w:r>
      <w:r>
        <w:rPr>
          <w:snapToGrid w:val="0"/>
        </w:rPr>
        <w:t xml:space="preserve"> </w:t>
      </w:r>
      <w:r>
        <w:rPr>
          <w:snapToGrid w:val="0"/>
        </w:rPr>
        <w:br/>
      </w:r>
      <w:r w:rsidR="00A33CBE">
        <w:rPr>
          <w:snapToGrid w:val="0"/>
        </w:rPr>
        <w:t xml:space="preserve">Rejected </w:t>
      </w:r>
    </w:p>
    <w:p w:rsidR="0020380B" w:rsidRPr="00754EBE" w:rsidRDefault="0020380B" w:rsidP="008B2A2F">
      <w:pPr>
        <w:pStyle w:val="4Bodytextnumbered"/>
        <w:numPr>
          <w:ilvl w:val="0"/>
          <w:numId w:val="0"/>
        </w:numPr>
        <w:rPr>
          <w:rFonts w:ascii="Calibri" w:hAnsi="Calibri" w:cs="Calibri"/>
        </w:rPr>
      </w:pPr>
    </w:p>
    <w:p w:rsidR="00754EBE" w:rsidRPr="00754EBE" w:rsidRDefault="00754EBE" w:rsidP="00754EBE">
      <w:pPr>
        <w:pStyle w:val="PBACESHeading1"/>
        <w:numPr>
          <w:ilvl w:val="0"/>
          <w:numId w:val="1"/>
        </w:numPr>
        <w:ind w:left="720"/>
        <w:rPr>
          <w:rFonts w:ascii="Calibri" w:hAnsi="Calibri" w:cs="Calibri"/>
          <w:bCs/>
          <w:lang w:val="en-GB"/>
        </w:rPr>
      </w:pPr>
      <w:r w:rsidRPr="00754EBE">
        <w:rPr>
          <w:rFonts w:ascii="Calibri" w:hAnsi="Calibri" w:cs="Calibri"/>
        </w:rPr>
        <w:t>Context for Decision</w:t>
      </w:r>
    </w:p>
    <w:p w:rsidR="00754EBE" w:rsidRPr="00754EBE" w:rsidRDefault="00754EBE" w:rsidP="00754EBE">
      <w:pPr>
        <w:spacing w:after="120"/>
        <w:rPr>
          <w:rFonts w:ascii="Calibri" w:hAnsi="Calibri" w:cs="Calibri"/>
          <w:bCs/>
          <w:lang w:val="en-GB"/>
        </w:rPr>
      </w:pPr>
      <w:r w:rsidRPr="00754EBE">
        <w:rPr>
          <w:rFonts w:ascii="Calibri" w:hAnsi="Calibri" w:cs="Calibr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754EBE" w:rsidRPr="00144DAE" w:rsidRDefault="00754EBE" w:rsidP="00754EBE">
      <w:pPr>
        <w:pStyle w:val="PBACESHeading1"/>
        <w:numPr>
          <w:ilvl w:val="0"/>
          <w:numId w:val="1"/>
        </w:numPr>
        <w:ind w:left="720"/>
        <w:rPr>
          <w:rFonts w:ascii="Calibri" w:hAnsi="Calibri" w:cs="Calibri"/>
        </w:rPr>
      </w:pPr>
      <w:r w:rsidRPr="00144DAE">
        <w:rPr>
          <w:rFonts w:ascii="Calibri" w:hAnsi="Calibri" w:cs="Calibri"/>
        </w:rPr>
        <w:t>Sponsor’s Comment</w:t>
      </w:r>
    </w:p>
    <w:p w:rsidR="00754EBE" w:rsidRDefault="00144DAE" w:rsidP="00144DAE">
      <w:pPr>
        <w:pStyle w:val="4Bodytextnumbered"/>
        <w:numPr>
          <w:ilvl w:val="0"/>
          <w:numId w:val="0"/>
        </w:numPr>
      </w:pPr>
      <w:r>
        <w:t>MSD is disappointed the PBAC has rejected additional biosimilar uptake drivers proposed to support patient and clinician use of biosimilars.</w:t>
      </w:r>
      <w:r>
        <w:t xml:space="preserve"> </w:t>
      </w:r>
      <w:r>
        <w:t>We remain ready to engage productively in discussions with the government, PBAC and relevant stakeholders to deliver benefits to patients and the health system.</w:t>
      </w:r>
      <w:bookmarkStart w:id="1" w:name="_GoBack"/>
      <w:bookmarkEnd w:id="1"/>
    </w:p>
    <w:p w:rsidR="004F4503" w:rsidRPr="00B07B38" w:rsidRDefault="004F4503" w:rsidP="00987CC0">
      <w:pPr>
        <w:pStyle w:val="3Bodytext"/>
        <w:ind w:left="0" w:firstLine="0"/>
      </w:pPr>
    </w:p>
    <w:sectPr w:rsidR="004F4503" w:rsidRPr="00B07B38" w:rsidSect="00A013C4">
      <w:headerReference w:type="default" r:id="rId8"/>
      <w:footerReference w:type="default" r:id="rId9"/>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A4F" w:rsidRDefault="00312A4F" w:rsidP="00331FF4">
      <w:r>
        <w:separator/>
      </w:r>
    </w:p>
    <w:p w:rsidR="00312A4F" w:rsidRDefault="00312A4F"/>
    <w:p w:rsidR="00312A4F" w:rsidRDefault="00312A4F"/>
  </w:endnote>
  <w:endnote w:type="continuationSeparator" w:id="0">
    <w:p w:rsidR="00312A4F" w:rsidRDefault="00312A4F" w:rsidP="00331FF4">
      <w:r>
        <w:continuationSeparator/>
      </w:r>
    </w:p>
    <w:p w:rsidR="00312A4F" w:rsidRDefault="00312A4F"/>
    <w:p w:rsidR="00312A4F" w:rsidRDefault="00312A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4180501"/>
      <w:docPartObj>
        <w:docPartGallery w:val="Page Numbers (Bottom of Page)"/>
        <w:docPartUnique/>
      </w:docPartObj>
    </w:sdtPr>
    <w:sdtEndPr>
      <w:rPr>
        <w:rFonts w:asciiTheme="minorHAnsi" w:hAnsiTheme="minorHAnsi" w:cstheme="minorHAnsi"/>
        <w:b/>
        <w:noProof/>
      </w:rPr>
    </w:sdtEndPr>
    <w:sdtContent>
      <w:p w:rsidR="00CD5522" w:rsidRDefault="00CD5522" w:rsidP="00527C90">
        <w:pPr>
          <w:pStyle w:val="Footer"/>
          <w:jc w:val="center"/>
        </w:pPr>
      </w:p>
      <w:p w:rsidR="00CD5522" w:rsidRPr="00527C90" w:rsidRDefault="00CD5522" w:rsidP="00527C90">
        <w:pPr>
          <w:pStyle w:val="Footer"/>
          <w:jc w:val="center"/>
          <w:rPr>
            <w:rFonts w:asciiTheme="minorHAnsi" w:hAnsiTheme="minorHAnsi" w:cstheme="minorHAnsi"/>
            <w:b/>
          </w:rPr>
        </w:pPr>
        <w:r w:rsidRPr="00527C90">
          <w:rPr>
            <w:rFonts w:asciiTheme="minorHAnsi" w:hAnsiTheme="minorHAnsi" w:cstheme="minorHAnsi"/>
            <w:b/>
          </w:rPr>
          <w:fldChar w:fldCharType="begin"/>
        </w:r>
        <w:r w:rsidRPr="00527C90">
          <w:rPr>
            <w:rFonts w:asciiTheme="minorHAnsi" w:hAnsiTheme="minorHAnsi" w:cstheme="minorHAnsi"/>
            <w:b/>
          </w:rPr>
          <w:instrText xml:space="preserve"> PAGE   \* MERGEFORMAT </w:instrText>
        </w:r>
        <w:r w:rsidRPr="00527C90">
          <w:rPr>
            <w:rFonts w:asciiTheme="minorHAnsi" w:hAnsiTheme="minorHAnsi" w:cstheme="minorHAnsi"/>
            <w:b/>
          </w:rPr>
          <w:fldChar w:fldCharType="separate"/>
        </w:r>
        <w:r w:rsidR="00A20367">
          <w:rPr>
            <w:rFonts w:asciiTheme="minorHAnsi" w:hAnsiTheme="minorHAnsi" w:cstheme="minorHAnsi"/>
            <w:b/>
            <w:noProof/>
          </w:rPr>
          <w:t>3</w:t>
        </w:r>
        <w:r w:rsidRPr="00527C90">
          <w:rPr>
            <w:rFonts w:asciiTheme="minorHAnsi" w:hAnsiTheme="minorHAnsi" w:cstheme="minorHAnsi"/>
            <w:b/>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A4F" w:rsidRDefault="00312A4F" w:rsidP="00331FF4">
      <w:r>
        <w:separator/>
      </w:r>
    </w:p>
    <w:p w:rsidR="00312A4F" w:rsidRDefault="00312A4F"/>
    <w:p w:rsidR="00312A4F" w:rsidRDefault="00312A4F"/>
  </w:footnote>
  <w:footnote w:type="continuationSeparator" w:id="0">
    <w:p w:rsidR="00312A4F" w:rsidRDefault="00312A4F" w:rsidP="00331FF4">
      <w:r>
        <w:continuationSeparator/>
      </w:r>
    </w:p>
    <w:p w:rsidR="00312A4F" w:rsidRDefault="00312A4F"/>
    <w:p w:rsidR="00312A4F" w:rsidRDefault="00312A4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522" w:rsidRPr="00527C90" w:rsidRDefault="00754EBE" w:rsidP="00754EBE">
    <w:pPr>
      <w:pStyle w:val="NoSpacing"/>
      <w:jc w:val="center"/>
      <w:rPr>
        <w:i/>
      </w:rPr>
    </w:pPr>
    <w:r>
      <w:rPr>
        <w:i/>
      </w:rPr>
      <w:t>Public Summary Document</w:t>
    </w:r>
    <w:r w:rsidR="008B7E72">
      <w:rPr>
        <w:i/>
      </w:rPr>
      <w:t xml:space="preserve"> – December</w:t>
    </w:r>
    <w:r w:rsidR="00CD5522">
      <w:rPr>
        <w:i/>
      </w:rPr>
      <w:t xml:space="preserve"> 2020 PBAC Meeting </w:t>
    </w:r>
  </w:p>
  <w:p w:rsidR="00CD5522" w:rsidRPr="000178DB" w:rsidRDefault="00CD5522">
    <w:pPr>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D430E2C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8120BE"/>
    <w:multiLevelType w:val="hybridMultilevel"/>
    <w:tmpl w:val="B70AA02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0CF58AE"/>
    <w:multiLevelType w:val="hybridMultilevel"/>
    <w:tmpl w:val="FDCE53C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212140"/>
    <w:multiLevelType w:val="hybridMultilevel"/>
    <w:tmpl w:val="A8BA79D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B42C44"/>
    <w:multiLevelType w:val="hybridMultilevel"/>
    <w:tmpl w:val="DC1E1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C31E21"/>
    <w:multiLevelType w:val="hybridMultilevel"/>
    <w:tmpl w:val="0614A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8E0535"/>
    <w:multiLevelType w:val="hybridMultilevel"/>
    <w:tmpl w:val="1DB63E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442297"/>
    <w:multiLevelType w:val="hybridMultilevel"/>
    <w:tmpl w:val="1256E66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52174D"/>
    <w:multiLevelType w:val="hybridMultilevel"/>
    <w:tmpl w:val="2C60BA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67E13DD"/>
    <w:multiLevelType w:val="hybridMultilevel"/>
    <w:tmpl w:val="965271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1015A73"/>
    <w:multiLevelType w:val="hybridMultilevel"/>
    <w:tmpl w:val="4EE4E432"/>
    <w:lvl w:ilvl="0" w:tplc="0C090001">
      <w:start w:val="1"/>
      <w:numFmt w:val="bullet"/>
      <w:lvlText w:val=""/>
      <w:lvlJc w:val="left"/>
      <w:pPr>
        <w:ind w:left="1490" w:hanging="360"/>
      </w:pPr>
      <w:rPr>
        <w:rFonts w:ascii="Symbol" w:hAnsi="Symbol" w:hint="default"/>
      </w:rPr>
    </w:lvl>
    <w:lvl w:ilvl="1" w:tplc="0C090003">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tentative="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abstractNum w:abstractNumId="1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AC5FFD"/>
    <w:multiLevelType w:val="hybridMultilevel"/>
    <w:tmpl w:val="06AEAA6A"/>
    <w:lvl w:ilvl="0" w:tplc="309414A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72CB155F"/>
    <w:multiLevelType w:val="hybridMultilevel"/>
    <w:tmpl w:val="469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4D033C"/>
    <w:multiLevelType w:val="multilevel"/>
    <w:tmpl w:val="69F67778"/>
    <w:lvl w:ilvl="0">
      <w:start w:val="1"/>
      <w:numFmt w:val="decimal"/>
      <w:pStyle w:val="2Sections"/>
      <w:lvlText w:val="%1"/>
      <w:lvlJc w:val="left"/>
      <w:pPr>
        <w:ind w:left="2847" w:hanging="720"/>
      </w:pPr>
      <w:rPr>
        <w:rFonts w:hint="default"/>
        <w:b/>
        <w:i w:val="0"/>
        <w:color w:val="000000" w:themeColor="text1"/>
      </w:rPr>
    </w:lvl>
    <w:lvl w:ilvl="1">
      <w:start w:val="1"/>
      <w:numFmt w:val="decimal"/>
      <w:pStyle w:val="4Bodytextnumbered"/>
      <w:lvlText w:val="%1.%2"/>
      <w:lvlJc w:val="left"/>
      <w:pPr>
        <w:ind w:left="720" w:hanging="72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8DA132B"/>
    <w:multiLevelType w:val="hybridMultilevel"/>
    <w:tmpl w:val="92CC3A4A"/>
    <w:lvl w:ilvl="0" w:tplc="86ECA218">
      <w:start w:val="1"/>
      <w:numFmt w:val="bullet"/>
      <w:pStyle w:val="4bulletpoin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2"/>
  </w:num>
  <w:num w:numId="2">
    <w:abstractNumId w:val="22"/>
  </w:num>
  <w:num w:numId="3">
    <w:abstractNumId w:val="22"/>
  </w:num>
  <w:num w:numId="4">
    <w:abstractNumId w:val="21"/>
  </w:num>
  <w:num w:numId="5">
    <w:abstractNumId w:val="23"/>
  </w:num>
  <w:num w:numId="6">
    <w:abstractNumId w:val="22"/>
  </w:num>
  <w:num w:numId="7">
    <w:abstractNumId w:val="19"/>
  </w:num>
  <w:num w:numId="8">
    <w:abstractNumId w:val="13"/>
  </w:num>
  <w:num w:numId="9">
    <w:abstractNumId w:val="22"/>
  </w:num>
  <w:num w:numId="10">
    <w:abstractNumId w:val="22"/>
  </w:num>
  <w:num w:numId="11">
    <w:abstractNumId w:val="19"/>
  </w:num>
  <w:num w:numId="12">
    <w:abstractNumId w:val="13"/>
  </w:num>
  <w:num w:numId="13">
    <w:abstractNumId w:val="22"/>
  </w:num>
  <w:num w:numId="14">
    <w:abstractNumId w:val="0"/>
  </w:num>
  <w:num w:numId="15">
    <w:abstractNumId w:val="17"/>
  </w:num>
  <w:num w:numId="16">
    <w:abstractNumId w:val="15"/>
  </w:num>
  <w:num w:numId="17">
    <w:abstractNumId w:val="22"/>
  </w:num>
  <w:num w:numId="18">
    <w:abstractNumId w:val="6"/>
  </w:num>
  <w:num w:numId="19">
    <w:abstractNumId w:val="11"/>
  </w:num>
  <w:num w:numId="20">
    <w:abstractNumId w:val="22"/>
  </w:num>
  <w:num w:numId="21">
    <w:abstractNumId w:val="22"/>
  </w:num>
  <w:num w:numId="22">
    <w:abstractNumId w:val="22"/>
  </w:num>
  <w:num w:numId="23">
    <w:abstractNumId w:val="22"/>
  </w:num>
  <w:num w:numId="24">
    <w:abstractNumId w:val="22"/>
  </w:num>
  <w:num w:numId="25">
    <w:abstractNumId w:val="22"/>
  </w:num>
  <w:num w:numId="26">
    <w:abstractNumId w:val="22"/>
  </w:num>
  <w:num w:numId="27">
    <w:abstractNumId w:val="22"/>
  </w:num>
  <w:num w:numId="28">
    <w:abstractNumId w:val="22"/>
  </w:num>
  <w:num w:numId="29">
    <w:abstractNumId w:val="22"/>
  </w:num>
  <w:num w:numId="30">
    <w:abstractNumId w:val="22"/>
  </w:num>
  <w:num w:numId="31">
    <w:abstractNumId w:val="24"/>
  </w:num>
  <w:num w:numId="32">
    <w:abstractNumId w:val="20"/>
  </w:num>
  <w:num w:numId="33">
    <w:abstractNumId w:val="16"/>
  </w:num>
  <w:num w:numId="34">
    <w:abstractNumId w:val="1"/>
  </w:num>
  <w:num w:numId="35">
    <w:abstractNumId w:val="5"/>
  </w:num>
  <w:num w:numId="36">
    <w:abstractNumId w:val="18"/>
  </w:num>
  <w:num w:numId="37">
    <w:abstractNumId w:val="3"/>
  </w:num>
  <w:num w:numId="38">
    <w:abstractNumId w:val="2"/>
  </w:num>
  <w:num w:numId="39">
    <w:abstractNumId w:val="8"/>
  </w:num>
  <w:num w:numId="40">
    <w:abstractNumId w:val="9"/>
  </w:num>
  <w:num w:numId="41">
    <w:abstractNumId w:val="7"/>
  </w:num>
  <w:num w:numId="42">
    <w:abstractNumId w:val="4"/>
  </w:num>
  <w:num w:numId="43">
    <w:abstractNumId w:val="14"/>
  </w:num>
  <w:num w:numId="44">
    <w:abstractNumId w:val="10"/>
  </w:num>
  <w:num w:numId="45">
    <w:abstractNumId w:val="22"/>
  </w:num>
  <w:num w:numId="46">
    <w:abstractNumId w:val="22"/>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55B"/>
    <w:rsid w:val="000036B0"/>
    <w:rsid w:val="000178DB"/>
    <w:rsid w:val="00030BB6"/>
    <w:rsid w:val="000575D7"/>
    <w:rsid w:val="00057DFC"/>
    <w:rsid w:val="000617E7"/>
    <w:rsid w:val="00065E3F"/>
    <w:rsid w:val="000724A7"/>
    <w:rsid w:val="00086CAA"/>
    <w:rsid w:val="000A6C28"/>
    <w:rsid w:val="000B2407"/>
    <w:rsid w:val="000B7534"/>
    <w:rsid w:val="000C1DE3"/>
    <w:rsid w:val="000C27AA"/>
    <w:rsid w:val="000C7BC3"/>
    <w:rsid w:val="000D7ADE"/>
    <w:rsid w:val="000E4D11"/>
    <w:rsid w:val="000F1B2D"/>
    <w:rsid w:val="000F5413"/>
    <w:rsid w:val="00131AA5"/>
    <w:rsid w:val="00134C50"/>
    <w:rsid w:val="00143E64"/>
    <w:rsid w:val="00144DAE"/>
    <w:rsid w:val="00150440"/>
    <w:rsid w:val="0016749F"/>
    <w:rsid w:val="00167D5E"/>
    <w:rsid w:val="001A0DB6"/>
    <w:rsid w:val="001A6B1D"/>
    <w:rsid w:val="001D11CD"/>
    <w:rsid w:val="001D7525"/>
    <w:rsid w:val="0020380B"/>
    <w:rsid w:val="00204E80"/>
    <w:rsid w:val="00205CAE"/>
    <w:rsid w:val="00216E8C"/>
    <w:rsid w:val="002329C7"/>
    <w:rsid w:val="00251F3F"/>
    <w:rsid w:val="002545BF"/>
    <w:rsid w:val="00256B83"/>
    <w:rsid w:val="002661AC"/>
    <w:rsid w:val="002776CA"/>
    <w:rsid w:val="002842FE"/>
    <w:rsid w:val="00291196"/>
    <w:rsid w:val="002A6ED3"/>
    <w:rsid w:val="002B2B7A"/>
    <w:rsid w:val="002B41D8"/>
    <w:rsid w:val="002B67E4"/>
    <w:rsid w:val="002C4638"/>
    <w:rsid w:val="002C55CC"/>
    <w:rsid w:val="002D3451"/>
    <w:rsid w:val="002E3B8B"/>
    <w:rsid w:val="002E468F"/>
    <w:rsid w:val="002E501D"/>
    <w:rsid w:val="002E660A"/>
    <w:rsid w:val="002F155A"/>
    <w:rsid w:val="002F6AA7"/>
    <w:rsid w:val="002F7DCF"/>
    <w:rsid w:val="00305BFB"/>
    <w:rsid w:val="00307C5B"/>
    <w:rsid w:val="00312A4F"/>
    <w:rsid w:val="00326D3E"/>
    <w:rsid w:val="00330B6A"/>
    <w:rsid w:val="00331F45"/>
    <w:rsid w:val="00331FF4"/>
    <w:rsid w:val="003326B0"/>
    <w:rsid w:val="00360EE2"/>
    <w:rsid w:val="00362534"/>
    <w:rsid w:val="00363C6C"/>
    <w:rsid w:val="00366849"/>
    <w:rsid w:val="003673C7"/>
    <w:rsid w:val="00393441"/>
    <w:rsid w:val="003A2BA9"/>
    <w:rsid w:val="003C0427"/>
    <w:rsid w:val="003C37FA"/>
    <w:rsid w:val="003C5F4B"/>
    <w:rsid w:val="003D5456"/>
    <w:rsid w:val="003E08C3"/>
    <w:rsid w:val="003E469A"/>
    <w:rsid w:val="00413DE8"/>
    <w:rsid w:val="00423776"/>
    <w:rsid w:val="0042448B"/>
    <w:rsid w:val="004351A3"/>
    <w:rsid w:val="00445D0B"/>
    <w:rsid w:val="004621A9"/>
    <w:rsid w:val="004776A3"/>
    <w:rsid w:val="00490A8E"/>
    <w:rsid w:val="00494708"/>
    <w:rsid w:val="00495819"/>
    <w:rsid w:val="004B519A"/>
    <w:rsid w:val="004D6A95"/>
    <w:rsid w:val="004F4503"/>
    <w:rsid w:val="005114B0"/>
    <w:rsid w:val="0051256D"/>
    <w:rsid w:val="00523ED4"/>
    <w:rsid w:val="00524CED"/>
    <w:rsid w:val="005250CF"/>
    <w:rsid w:val="0052638F"/>
    <w:rsid w:val="00527C90"/>
    <w:rsid w:val="00541DEA"/>
    <w:rsid w:val="00542EBE"/>
    <w:rsid w:val="00590210"/>
    <w:rsid w:val="00595F5B"/>
    <w:rsid w:val="005A4D3C"/>
    <w:rsid w:val="005A5BD0"/>
    <w:rsid w:val="005B284B"/>
    <w:rsid w:val="005B398D"/>
    <w:rsid w:val="005B3AFB"/>
    <w:rsid w:val="005D1E7C"/>
    <w:rsid w:val="005D6912"/>
    <w:rsid w:val="005E4C53"/>
    <w:rsid w:val="005F099B"/>
    <w:rsid w:val="006038C1"/>
    <w:rsid w:val="00603A5D"/>
    <w:rsid w:val="006053F5"/>
    <w:rsid w:val="006154EF"/>
    <w:rsid w:val="00621D57"/>
    <w:rsid w:val="00622300"/>
    <w:rsid w:val="006249F9"/>
    <w:rsid w:val="00624D7E"/>
    <w:rsid w:val="0063129A"/>
    <w:rsid w:val="00631928"/>
    <w:rsid w:val="00631E75"/>
    <w:rsid w:val="00632FEC"/>
    <w:rsid w:val="00635FDD"/>
    <w:rsid w:val="00652A01"/>
    <w:rsid w:val="006558A9"/>
    <w:rsid w:val="0066365B"/>
    <w:rsid w:val="0067120F"/>
    <w:rsid w:val="00680C05"/>
    <w:rsid w:val="0068386C"/>
    <w:rsid w:val="006B6ABC"/>
    <w:rsid w:val="006C2269"/>
    <w:rsid w:val="006C69B9"/>
    <w:rsid w:val="006E3424"/>
    <w:rsid w:val="00703BE5"/>
    <w:rsid w:val="007118F3"/>
    <w:rsid w:val="0071655B"/>
    <w:rsid w:val="00724DEA"/>
    <w:rsid w:val="00726A11"/>
    <w:rsid w:val="00730543"/>
    <w:rsid w:val="00734DC0"/>
    <w:rsid w:val="00735E68"/>
    <w:rsid w:val="00742000"/>
    <w:rsid w:val="007464F5"/>
    <w:rsid w:val="00753AF1"/>
    <w:rsid w:val="00754EBE"/>
    <w:rsid w:val="007747C8"/>
    <w:rsid w:val="00783932"/>
    <w:rsid w:val="007919E3"/>
    <w:rsid w:val="007A13B9"/>
    <w:rsid w:val="007A5CAD"/>
    <w:rsid w:val="007A7C7A"/>
    <w:rsid w:val="007B1C90"/>
    <w:rsid w:val="007C1BAB"/>
    <w:rsid w:val="007C42C4"/>
    <w:rsid w:val="007E095D"/>
    <w:rsid w:val="007F4E40"/>
    <w:rsid w:val="00804305"/>
    <w:rsid w:val="00820601"/>
    <w:rsid w:val="00825833"/>
    <w:rsid w:val="00826565"/>
    <w:rsid w:val="00844CCC"/>
    <w:rsid w:val="00845A26"/>
    <w:rsid w:val="00866703"/>
    <w:rsid w:val="00887912"/>
    <w:rsid w:val="008A5B16"/>
    <w:rsid w:val="008A5F8F"/>
    <w:rsid w:val="008A6F5B"/>
    <w:rsid w:val="008B2A2F"/>
    <w:rsid w:val="008B7E72"/>
    <w:rsid w:val="00910EAE"/>
    <w:rsid w:val="00911E12"/>
    <w:rsid w:val="0091352E"/>
    <w:rsid w:val="0093076E"/>
    <w:rsid w:val="009442AF"/>
    <w:rsid w:val="009531D2"/>
    <w:rsid w:val="00960AF3"/>
    <w:rsid w:val="009832BC"/>
    <w:rsid w:val="00987CC0"/>
    <w:rsid w:val="009A1CE6"/>
    <w:rsid w:val="009A3272"/>
    <w:rsid w:val="009B303D"/>
    <w:rsid w:val="009D5FA7"/>
    <w:rsid w:val="009D6256"/>
    <w:rsid w:val="009E5071"/>
    <w:rsid w:val="009F0EB9"/>
    <w:rsid w:val="009F2A24"/>
    <w:rsid w:val="009F33C9"/>
    <w:rsid w:val="009F3AEA"/>
    <w:rsid w:val="00A013C4"/>
    <w:rsid w:val="00A20367"/>
    <w:rsid w:val="00A323EC"/>
    <w:rsid w:val="00A33CBE"/>
    <w:rsid w:val="00A44B35"/>
    <w:rsid w:val="00A50FDD"/>
    <w:rsid w:val="00A70E0B"/>
    <w:rsid w:val="00AB4C88"/>
    <w:rsid w:val="00AB6699"/>
    <w:rsid w:val="00AC1A24"/>
    <w:rsid w:val="00AE2C53"/>
    <w:rsid w:val="00AF1167"/>
    <w:rsid w:val="00AF5EAD"/>
    <w:rsid w:val="00AF699E"/>
    <w:rsid w:val="00B07B38"/>
    <w:rsid w:val="00B20C77"/>
    <w:rsid w:val="00B3016C"/>
    <w:rsid w:val="00B52A75"/>
    <w:rsid w:val="00B53D07"/>
    <w:rsid w:val="00B619A7"/>
    <w:rsid w:val="00B70C38"/>
    <w:rsid w:val="00B73469"/>
    <w:rsid w:val="00B77F5D"/>
    <w:rsid w:val="00BC3308"/>
    <w:rsid w:val="00BE2BAC"/>
    <w:rsid w:val="00BF4FB7"/>
    <w:rsid w:val="00BF6B43"/>
    <w:rsid w:val="00C0567A"/>
    <w:rsid w:val="00C11541"/>
    <w:rsid w:val="00C30000"/>
    <w:rsid w:val="00C30FB1"/>
    <w:rsid w:val="00C52639"/>
    <w:rsid w:val="00C53174"/>
    <w:rsid w:val="00C65F8A"/>
    <w:rsid w:val="00C66942"/>
    <w:rsid w:val="00C75E09"/>
    <w:rsid w:val="00C802C0"/>
    <w:rsid w:val="00C9272C"/>
    <w:rsid w:val="00CA4C4E"/>
    <w:rsid w:val="00CB5F76"/>
    <w:rsid w:val="00CC0B43"/>
    <w:rsid w:val="00CC2AA8"/>
    <w:rsid w:val="00CD5522"/>
    <w:rsid w:val="00CE021D"/>
    <w:rsid w:val="00CE1DDB"/>
    <w:rsid w:val="00CE39A5"/>
    <w:rsid w:val="00CF420F"/>
    <w:rsid w:val="00CF6556"/>
    <w:rsid w:val="00D10FE4"/>
    <w:rsid w:val="00D25F2F"/>
    <w:rsid w:val="00D3301E"/>
    <w:rsid w:val="00D34C99"/>
    <w:rsid w:val="00D41DCE"/>
    <w:rsid w:val="00D42B82"/>
    <w:rsid w:val="00D4658D"/>
    <w:rsid w:val="00D50BBF"/>
    <w:rsid w:val="00D62309"/>
    <w:rsid w:val="00D63E4D"/>
    <w:rsid w:val="00D64981"/>
    <w:rsid w:val="00D76848"/>
    <w:rsid w:val="00D82D7B"/>
    <w:rsid w:val="00DA2312"/>
    <w:rsid w:val="00DA6239"/>
    <w:rsid w:val="00DC0B0A"/>
    <w:rsid w:val="00DD22A1"/>
    <w:rsid w:val="00DD4201"/>
    <w:rsid w:val="00E07B03"/>
    <w:rsid w:val="00E32D2A"/>
    <w:rsid w:val="00E421D6"/>
    <w:rsid w:val="00E5563C"/>
    <w:rsid w:val="00E80BAB"/>
    <w:rsid w:val="00E9646A"/>
    <w:rsid w:val="00EA3601"/>
    <w:rsid w:val="00EB6FC8"/>
    <w:rsid w:val="00ED02C9"/>
    <w:rsid w:val="00F263B5"/>
    <w:rsid w:val="00F27C9B"/>
    <w:rsid w:val="00F40B4A"/>
    <w:rsid w:val="00F467C1"/>
    <w:rsid w:val="00F519D2"/>
    <w:rsid w:val="00F64036"/>
    <w:rsid w:val="00F7288B"/>
    <w:rsid w:val="00F900E7"/>
    <w:rsid w:val="00F92E21"/>
    <w:rsid w:val="00F93A5B"/>
    <w:rsid w:val="00FB31E8"/>
    <w:rsid w:val="00FC1E02"/>
    <w:rsid w:val="00FD11E7"/>
    <w:rsid w:val="00FF0152"/>
    <w:rsid w:val="00FF26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EFA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20F"/>
    <w:rPr>
      <w:sz w:val="24"/>
      <w:szCs w:val="24"/>
    </w:rPr>
  </w:style>
  <w:style w:type="paragraph" w:styleId="Heading1">
    <w:name w:val="heading 1"/>
    <w:basedOn w:val="PBACheading1"/>
    <w:next w:val="Normal"/>
    <w:link w:val="Heading1Char"/>
    <w:uiPriority w:val="9"/>
    <w:qFormat/>
    <w:rsid w:val="0071655B"/>
    <w:pPr>
      <w:spacing w:before="240" w:after="120"/>
      <w:outlineLvl w:val="0"/>
    </w:pPr>
    <w:rPr>
      <w:sz w:val="32"/>
      <w:szCs w:val="32"/>
    </w:rPr>
  </w:style>
  <w:style w:type="paragraph" w:styleId="Heading2">
    <w:name w:val="heading 2"/>
    <w:aliases w:val="3. Subsection Heading"/>
    <w:basedOn w:val="Normal"/>
    <w:next w:val="Normal"/>
    <w:link w:val="Heading2Char"/>
    <w:uiPriority w:val="1"/>
    <w:qFormat/>
    <w:rsid w:val="00AB4C88"/>
    <w:pPr>
      <w:keepNext/>
      <w:spacing w:before="240" w:after="120"/>
      <w:outlineLvl w:val="1"/>
    </w:pPr>
    <w:rPr>
      <w:rFonts w:asciiTheme="minorHAnsi" w:eastAsiaTheme="majorEastAsia" w:hAnsiTheme="minorHAnsi"/>
      <w:b/>
      <w:i/>
      <w:sz w:val="28"/>
      <w:szCs w:val="28"/>
    </w:rPr>
  </w:style>
  <w:style w:type="paragraph" w:styleId="Heading3">
    <w:name w:val="heading 3"/>
    <w:basedOn w:val="Normal"/>
    <w:next w:val="Normal"/>
    <w:link w:val="Heading3Char"/>
    <w:semiHidden/>
    <w:unhideWhenUsed/>
    <w:qFormat/>
    <w:rsid w:val="0067120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Points,Numbered para,Bullet point,List Paragraph1,List Paragraph11,Recommendation,L,Bullet Point,Bulletr List Paragraph,Content descriptions,FooterText,List Bullet 1,List Paragraph2,List Paragraph21,Listeafsnit1,NFP GP Bulleted List"/>
    <w:basedOn w:val="Normal"/>
    <w:link w:val="ListParagraphChar"/>
    <w:uiPriority w:val="34"/>
    <w:qFormat/>
    <w:rsid w:val="0067120F"/>
    <w:pPr>
      <w:widowControl w:val="0"/>
      <w:ind w:left="720"/>
      <w:contextualSpacing/>
      <w:jc w:val="both"/>
    </w:pPr>
    <w:rPr>
      <w:rFonts w:ascii="Arial" w:hAnsi="Arial" w:cs="Arial"/>
      <w:snapToGrid w:val="0"/>
      <w:sz w:val="22"/>
      <w:szCs w:val="20"/>
    </w:rPr>
  </w:style>
  <w:style w:type="character" w:customStyle="1" w:styleId="ListParagraphChar">
    <w:name w:val="List Paragraph Char"/>
    <w:aliases w:val="BulletPoints Char,Numbered para Char,Bullet point Char,List Paragraph1 Char,List Paragraph11 Char,Recommendation Char,L Char,Bullet Point Char,Bulletr List Paragraph Char,Content descriptions Char,FooterText Char,List Bullet 1 Char"/>
    <w:basedOn w:val="DefaultParagraphFont"/>
    <w:link w:val="ListParagraph"/>
    <w:uiPriority w:val="34"/>
    <w:qFormat/>
    <w:locked/>
    <w:rsid w:val="0067120F"/>
    <w:rPr>
      <w:rFonts w:ascii="Arial" w:hAnsi="Arial" w:cs="Arial"/>
      <w:snapToGrid w:val="0"/>
      <w:sz w:val="22"/>
    </w:rPr>
  </w:style>
  <w:style w:type="character" w:styleId="CommentReference">
    <w:name w:val="annotation reference"/>
    <w:aliases w:val="Table Title"/>
    <w:basedOn w:val="DefaultParagraphFont"/>
    <w:uiPriority w:val="99"/>
    <w:qFormat/>
    <w:rsid w:val="0067120F"/>
    <w:rPr>
      <w:sz w:val="16"/>
      <w:szCs w:val="16"/>
    </w:rPr>
  </w:style>
  <w:style w:type="paragraph" w:styleId="CommentText">
    <w:name w:val="annotation text"/>
    <w:basedOn w:val="Normal"/>
    <w:link w:val="CommentTextChar"/>
    <w:rsid w:val="00A013C4"/>
    <w:rPr>
      <w:sz w:val="20"/>
    </w:rPr>
  </w:style>
  <w:style w:type="character" w:customStyle="1" w:styleId="CommentTextChar">
    <w:name w:val="Comment Text Char"/>
    <w:basedOn w:val="DefaultParagraphFont"/>
    <w:link w:val="CommentText"/>
    <w:rsid w:val="00A013C4"/>
    <w:rPr>
      <w:rFonts w:ascii="Times New Roman" w:eastAsia="Times New Roman" w:hAnsi="Times New Roman" w:cs="Times New Roman"/>
      <w:snapToGrid w:val="0"/>
      <w:sz w:val="20"/>
      <w:szCs w:val="20"/>
    </w:rPr>
  </w:style>
  <w:style w:type="paragraph" w:customStyle="1" w:styleId="PBACheading1">
    <w:name w:val="PBAC heading 1"/>
    <w:basedOn w:val="Title"/>
    <w:qFormat/>
    <w:rsid w:val="00331FF4"/>
  </w:style>
  <w:style w:type="paragraph" w:styleId="BalloonText">
    <w:name w:val="Balloon Text"/>
    <w:basedOn w:val="Normal"/>
    <w:link w:val="BalloonTextChar"/>
    <w:uiPriority w:val="99"/>
    <w:semiHidden/>
    <w:unhideWhenUsed/>
    <w:rsid w:val="00A013C4"/>
    <w:rPr>
      <w:rFonts w:ascii="Tahoma" w:hAnsi="Tahoma" w:cs="Tahoma"/>
      <w:sz w:val="16"/>
      <w:szCs w:val="16"/>
    </w:rPr>
  </w:style>
  <w:style w:type="character" w:customStyle="1" w:styleId="BalloonTextChar">
    <w:name w:val="Balloon Text Char"/>
    <w:basedOn w:val="DefaultParagraphFont"/>
    <w:link w:val="BalloonText"/>
    <w:uiPriority w:val="99"/>
    <w:semiHidden/>
    <w:rsid w:val="00A013C4"/>
    <w:rPr>
      <w:rFonts w:ascii="Tahoma" w:eastAsia="Times New Roman" w:hAnsi="Tahoma" w:cs="Tahoma"/>
      <w:snapToGrid w:val="0"/>
      <w:sz w:val="16"/>
      <w:szCs w:val="16"/>
    </w:rPr>
  </w:style>
  <w:style w:type="paragraph" w:styleId="Title">
    <w:name w:val="Title"/>
    <w:basedOn w:val="Normal"/>
    <w:next w:val="Normal"/>
    <w:link w:val="TitleChar"/>
    <w:qFormat/>
    <w:rsid w:val="0071655B"/>
    <w:rPr>
      <w:b/>
      <w:snapToGrid w:val="0"/>
      <w:sz w:val="36"/>
      <w:szCs w:val="36"/>
      <w:lang w:eastAsia="en-AU"/>
    </w:rPr>
  </w:style>
  <w:style w:type="character" w:customStyle="1" w:styleId="TitleChar">
    <w:name w:val="Title Char"/>
    <w:basedOn w:val="DefaultParagraphFont"/>
    <w:link w:val="Title"/>
    <w:rsid w:val="0071655B"/>
    <w:rPr>
      <w:rFonts w:eastAsia="Times New Roman" w:cstheme="minorHAnsi"/>
      <w:b/>
      <w:sz w:val="36"/>
      <w:szCs w:val="36"/>
      <w:lang w:eastAsia="en-AU"/>
    </w:rPr>
  </w:style>
  <w:style w:type="paragraph" w:styleId="Header">
    <w:name w:val="header"/>
    <w:basedOn w:val="Normal"/>
    <w:link w:val="HeaderChar"/>
    <w:uiPriority w:val="99"/>
    <w:unhideWhenUsed/>
    <w:rsid w:val="00A013C4"/>
    <w:pPr>
      <w:tabs>
        <w:tab w:val="center" w:pos="4513"/>
        <w:tab w:val="right" w:pos="9026"/>
      </w:tabs>
    </w:pPr>
  </w:style>
  <w:style w:type="character" w:customStyle="1" w:styleId="HeaderChar">
    <w:name w:val="Header Char"/>
    <w:basedOn w:val="DefaultParagraphFont"/>
    <w:link w:val="Header"/>
    <w:uiPriority w:val="99"/>
    <w:rsid w:val="00A013C4"/>
    <w:rPr>
      <w:rFonts w:ascii="Arial" w:eastAsia="Times New Roman" w:hAnsi="Arial" w:cs="Arial"/>
      <w:snapToGrid w:val="0"/>
      <w:szCs w:val="20"/>
    </w:rPr>
  </w:style>
  <w:style w:type="paragraph" w:styleId="Footer">
    <w:name w:val="footer"/>
    <w:basedOn w:val="Normal"/>
    <w:link w:val="FooterChar"/>
    <w:uiPriority w:val="99"/>
    <w:unhideWhenUsed/>
    <w:rsid w:val="00A013C4"/>
    <w:pPr>
      <w:tabs>
        <w:tab w:val="center" w:pos="4513"/>
        <w:tab w:val="right" w:pos="9026"/>
      </w:tabs>
    </w:pPr>
  </w:style>
  <w:style w:type="character" w:customStyle="1" w:styleId="FooterChar">
    <w:name w:val="Footer Char"/>
    <w:basedOn w:val="DefaultParagraphFont"/>
    <w:link w:val="Footer"/>
    <w:uiPriority w:val="99"/>
    <w:rsid w:val="00A013C4"/>
    <w:rPr>
      <w:rFonts w:ascii="Arial" w:eastAsia="Times New Roman" w:hAnsi="Arial" w:cs="Arial"/>
      <w:snapToGrid w:val="0"/>
      <w:szCs w:val="20"/>
    </w:rPr>
  </w:style>
  <w:style w:type="paragraph" w:styleId="CommentSubject">
    <w:name w:val="annotation subject"/>
    <w:basedOn w:val="CommentText"/>
    <w:next w:val="CommentText"/>
    <w:link w:val="CommentSubjectChar"/>
    <w:uiPriority w:val="99"/>
    <w:semiHidden/>
    <w:unhideWhenUsed/>
    <w:rsid w:val="002545BF"/>
    <w:rPr>
      <w:rFonts w:ascii="Arial" w:hAnsi="Arial" w:cs="Arial"/>
      <w:b/>
      <w:bCs/>
    </w:rPr>
  </w:style>
  <w:style w:type="character" w:customStyle="1" w:styleId="CommentSubjectChar">
    <w:name w:val="Comment Subject Char"/>
    <w:basedOn w:val="CommentTextChar"/>
    <w:link w:val="CommentSubject"/>
    <w:uiPriority w:val="99"/>
    <w:semiHidden/>
    <w:rsid w:val="002545BF"/>
    <w:rPr>
      <w:rFonts w:ascii="Arial" w:eastAsia="Times New Roman" w:hAnsi="Arial" w:cs="Arial"/>
      <w:b/>
      <w:bCs/>
      <w:snapToGrid w:val="0"/>
      <w:sz w:val="20"/>
      <w:szCs w:val="20"/>
    </w:rPr>
  </w:style>
  <w:style w:type="paragraph" w:styleId="NoSpacing">
    <w:name w:val="No Spacing"/>
    <w:basedOn w:val="Normal"/>
    <w:link w:val="NoSpacingChar"/>
    <w:uiPriority w:val="1"/>
    <w:qFormat/>
    <w:rsid w:val="0067120F"/>
    <w:pPr>
      <w:jc w:val="both"/>
    </w:pPr>
    <w:rPr>
      <w:rFonts w:asciiTheme="minorHAnsi" w:hAnsiTheme="minorHAnsi" w:cstheme="minorHAnsi"/>
    </w:rPr>
  </w:style>
  <w:style w:type="character" w:customStyle="1" w:styleId="Heading1Char">
    <w:name w:val="Heading 1 Char"/>
    <w:basedOn w:val="DefaultParagraphFont"/>
    <w:link w:val="Heading1"/>
    <w:uiPriority w:val="9"/>
    <w:rsid w:val="0071655B"/>
    <w:rPr>
      <w:rFonts w:eastAsia="Times New Roman" w:cstheme="minorHAnsi"/>
      <w:b/>
      <w:snapToGrid w:val="0"/>
      <w:sz w:val="32"/>
      <w:szCs w:val="32"/>
    </w:rPr>
  </w:style>
  <w:style w:type="paragraph" w:styleId="Caption">
    <w:name w:val="caption"/>
    <w:basedOn w:val="Normal"/>
    <w:next w:val="Normal"/>
    <w:unhideWhenUsed/>
    <w:qFormat/>
    <w:rsid w:val="0067120F"/>
    <w:pPr>
      <w:spacing w:after="200"/>
    </w:pPr>
    <w:rPr>
      <w:rFonts w:ascii="Calibri" w:hAnsi="Calibri"/>
      <w:i/>
      <w:iCs/>
      <w:color w:val="000000" w:themeColor="text1"/>
      <w:sz w:val="18"/>
      <w:szCs w:val="18"/>
    </w:rPr>
  </w:style>
  <w:style w:type="character" w:customStyle="1" w:styleId="Heading2Char">
    <w:name w:val="Heading 2 Char"/>
    <w:aliases w:val="3. Subsection Heading Char"/>
    <w:basedOn w:val="DefaultParagraphFont"/>
    <w:link w:val="Heading2"/>
    <w:uiPriority w:val="1"/>
    <w:rsid w:val="00AB4C88"/>
    <w:rPr>
      <w:rFonts w:asciiTheme="minorHAnsi" w:eastAsiaTheme="majorEastAsia" w:hAnsiTheme="minorHAnsi"/>
      <w:b/>
      <w:i/>
      <w:sz w:val="28"/>
      <w:szCs w:val="28"/>
    </w:rPr>
  </w:style>
  <w:style w:type="paragraph" w:customStyle="1" w:styleId="4bulletpoint">
    <w:name w:val="4. bullet point"/>
    <w:basedOn w:val="ListParagraph"/>
    <w:link w:val="4bulletpointChar"/>
    <w:qFormat/>
    <w:rsid w:val="00CE39A5"/>
    <w:pPr>
      <w:numPr>
        <w:numId w:val="5"/>
      </w:numPr>
      <w:spacing w:after="120"/>
      <w:ind w:left="1077" w:hanging="357"/>
      <w:contextualSpacing w:val="0"/>
    </w:pPr>
    <w:rPr>
      <w:rFonts w:asciiTheme="minorHAnsi" w:hAnsiTheme="minorHAnsi"/>
      <w:sz w:val="24"/>
      <w:szCs w:val="24"/>
    </w:rPr>
  </w:style>
  <w:style w:type="paragraph" w:customStyle="1" w:styleId="5Tabletext">
    <w:name w:val="5. Table text"/>
    <w:basedOn w:val="BodyText2"/>
    <w:qFormat/>
    <w:rsid w:val="00CE39A5"/>
    <w:pPr>
      <w:widowControl w:val="0"/>
      <w:spacing w:after="0" w:line="240" w:lineRule="auto"/>
      <w:jc w:val="both"/>
    </w:pPr>
    <w:rPr>
      <w:rFonts w:ascii="Arial Narrow" w:hAnsi="Arial Narrow"/>
      <w:snapToGrid w:val="0"/>
      <w:sz w:val="20"/>
      <w:szCs w:val="20"/>
    </w:rPr>
  </w:style>
  <w:style w:type="character" w:customStyle="1" w:styleId="4bulletpointChar">
    <w:name w:val="4. bullet point Char"/>
    <w:basedOn w:val="ListParagraphChar"/>
    <w:link w:val="4bulletpoint"/>
    <w:rsid w:val="00CE39A5"/>
    <w:rPr>
      <w:rFonts w:asciiTheme="minorHAnsi" w:hAnsiTheme="minorHAnsi" w:cs="Arial"/>
      <w:snapToGrid w:val="0"/>
      <w:sz w:val="24"/>
      <w:szCs w:val="24"/>
    </w:rPr>
  </w:style>
  <w:style w:type="paragraph" w:styleId="BodyText2">
    <w:name w:val="Body Text 2"/>
    <w:basedOn w:val="Normal"/>
    <w:link w:val="BodyText2Char"/>
    <w:uiPriority w:val="99"/>
    <w:semiHidden/>
    <w:unhideWhenUsed/>
    <w:rsid w:val="0067120F"/>
    <w:pPr>
      <w:spacing w:after="120" w:line="480" w:lineRule="auto"/>
    </w:pPr>
  </w:style>
  <w:style w:type="character" w:customStyle="1" w:styleId="BodyText2Char">
    <w:name w:val="Body Text 2 Char"/>
    <w:basedOn w:val="DefaultParagraphFont"/>
    <w:link w:val="BodyText2"/>
    <w:uiPriority w:val="99"/>
    <w:semiHidden/>
    <w:rsid w:val="0067120F"/>
  </w:style>
  <w:style w:type="paragraph" w:customStyle="1" w:styleId="2Sections">
    <w:name w:val="2. Sections"/>
    <w:qFormat/>
    <w:rsid w:val="00680C05"/>
    <w:pPr>
      <w:numPr>
        <w:numId w:val="13"/>
      </w:numPr>
      <w:spacing w:before="240" w:after="120"/>
      <w:ind w:left="709"/>
      <w:outlineLvl w:val="0"/>
    </w:pPr>
    <w:rPr>
      <w:rFonts w:asciiTheme="minorHAnsi" w:hAnsiTheme="minorHAnsi" w:cs="Arial"/>
      <w:b/>
      <w:snapToGrid w:val="0"/>
      <w:sz w:val="32"/>
      <w:szCs w:val="32"/>
    </w:rPr>
  </w:style>
  <w:style w:type="paragraph" w:customStyle="1" w:styleId="1MainTitle">
    <w:name w:val="1. Main Title"/>
    <w:basedOn w:val="Title"/>
    <w:link w:val="1MainTitleChar"/>
    <w:qFormat/>
    <w:rsid w:val="003326B0"/>
    <w:pPr>
      <w:spacing w:after="120"/>
      <w:ind w:left="720" w:hanging="720"/>
      <w:contextualSpacing/>
      <w:outlineLvl w:val="0"/>
    </w:pPr>
    <w:rPr>
      <w:rFonts w:asciiTheme="minorHAnsi" w:eastAsiaTheme="majorEastAsia" w:hAnsiTheme="minorHAnsi" w:cstheme="majorBidi"/>
      <w:snapToGrid/>
      <w:spacing w:val="5"/>
      <w:kern w:val="28"/>
      <w:lang w:eastAsia="en-US"/>
    </w:rPr>
  </w:style>
  <w:style w:type="character" w:customStyle="1" w:styleId="1MainTitleChar">
    <w:name w:val="1. Main Title Char"/>
    <w:basedOn w:val="TitleChar"/>
    <w:link w:val="1MainTitle"/>
    <w:rsid w:val="003326B0"/>
    <w:rPr>
      <w:rFonts w:asciiTheme="minorHAnsi" w:eastAsiaTheme="majorEastAsia" w:hAnsiTheme="minorHAnsi" w:cstheme="majorBidi"/>
      <w:b/>
      <w:spacing w:val="5"/>
      <w:kern w:val="28"/>
      <w:sz w:val="36"/>
      <w:szCs w:val="36"/>
      <w:lang w:eastAsia="en-AU"/>
    </w:rPr>
  </w:style>
  <w:style w:type="paragraph" w:customStyle="1" w:styleId="5Tableheaders">
    <w:name w:val="5. Table headers"/>
    <w:basedOn w:val="NoSpacing"/>
    <w:link w:val="5TableheadersChar"/>
    <w:qFormat/>
    <w:rsid w:val="00CE39A5"/>
    <w:rPr>
      <w:rFonts w:ascii="Arial Narrow" w:hAnsi="Arial Narrow" w:cs="Times New Roman"/>
      <w:b/>
      <w:sz w:val="20"/>
    </w:rPr>
  </w:style>
  <w:style w:type="character" w:customStyle="1" w:styleId="5TableheadersChar">
    <w:name w:val="5. Table headers Char"/>
    <w:basedOn w:val="NoSpacingChar"/>
    <w:link w:val="5Tableheaders"/>
    <w:rsid w:val="00CE39A5"/>
    <w:rPr>
      <w:rFonts w:ascii="Arial Narrow" w:hAnsi="Arial Narrow" w:cstheme="minorHAnsi"/>
      <w:b/>
      <w:sz w:val="24"/>
      <w:szCs w:val="24"/>
    </w:rPr>
  </w:style>
  <w:style w:type="paragraph" w:customStyle="1" w:styleId="4Bodytext">
    <w:name w:val="4. Body text"/>
    <w:basedOn w:val="4Bodytextnumbered"/>
    <w:link w:val="4BodytextChar"/>
    <w:qFormat/>
    <w:rsid w:val="0067120F"/>
    <w:pPr>
      <w:numPr>
        <w:ilvl w:val="0"/>
        <w:numId w:val="0"/>
      </w:numPr>
      <w:ind w:left="720" w:hanging="720"/>
    </w:pPr>
  </w:style>
  <w:style w:type="character" w:customStyle="1" w:styleId="4BodytextChar">
    <w:name w:val="4. Body text Char"/>
    <w:basedOn w:val="ListParagraphChar"/>
    <w:link w:val="4Bodytext"/>
    <w:rsid w:val="0067120F"/>
    <w:rPr>
      <w:rFonts w:asciiTheme="minorHAnsi" w:eastAsiaTheme="minorHAnsi" w:hAnsiTheme="minorHAnsi" w:cstheme="minorBidi"/>
      <w:snapToGrid/>
      <w:sz w:val="24"/>
      <w:szCs w:val="22"/>
    </w:rPr>
  </w:style>
  <w:style w:type="paragraph" w:customStyle="1" w:styleId="PBACFooter">
    <w:name w:val="PBAC Footer"/>
    <w:basedOn w:val="5TableFooter"/>
    <w:link w:val="PBACFooterChar"/>
    <w:qFormat/>
    <w:rsid w:val="00495819"/>
  </w:style>
  <w:style w:type="character" w:customStyle="1" w:styleId="PBACFooterChar">
    <w:name w:val="PBAC Footer Char"/>
    <w:basedOn w:val="FooterChar"/>
    <w:link w:val="PBACFooter"/>
    <w:rsid w:val="00495819"/>
    <w:rPr>
      <w:rFonts w:ascii="Arial Narrow" w:eastAsia="Times New Roman" w:hAnsi="Arial Narrow" w:cs="Arial"/>
      <w:snapToGrid w:val="0"/>
      <w:sz w:val="18"/>
      <w:szCs w:val="22"/>
    </w:rPr>
  </w:style>
  <w:style w:type="paragraph" w:customStyle="1" w:styleId="5Tabletitle">
    <w:name w:val="5. Table title"/>
    <w:basedOn w:val="Normal"/>
    <w:link w:val="5TabletitleChar"/>
    <w:qFormat/>
    <w:rsid w:val="00CE39A5"/>
    <w:rPr>
      <w:rFonts w:ascii="Arial Narrow" w:hAnsi="Arial Narrow" w:cs="Arial"/>
      <w:b/>
      <w:sz w:val="20"/>
      <w:szCs w:val="22"/>
    </w:rPr>
  </w:style>
  <w:style w:type="character" w:customStyle="1" w:styleId="5TabletitleChar">
    <w:name w:val="5. Table title Char"/>
    <w:basedOn w:val="NoSpacingChar"/>
    <w:link w:val="5Tabletitle"/>
    <w:rsid w:val="00CE39A5"/>
    <w:rPr>
      <w:rFonts w:ascii="Arial Narrow" w:hAnsi="Arial Narrow" w:cs="Arial"/>
      <w:b/>
      <w:sz w:val="24"/>
      <w:szCs w:val="22"/>
    </w:rPr>
  </w:style>
  <w:style w:type="paragraph" w:customStyle="1" w:styleId="Lists">
    <w:name w:val="Lists"/>
    <w:basedOn w:val="4Bodytext"/>
    <w:link w:val="ListsChar"/>
    <w:qFormat/>
    <w:rsid w:val="0067120F"/>
    <w:pPr>
      <w:ind w:left="1080" w:hanging="360"/>
    </w:pPr>
  </w:style>
  <w:style w:type="character" w:customStyle="1" w:styleId="ListsChar">
    <w:name w:val="Lists Char"/>
    <w:basedOn w:val="4BodytextChar"/>
    <w:link w:val="Lists"/>
    <w:rsid w:val="0067120F"/>
    <w:rPr>
      <w:rFonts w:asciiTheme="minorHAnsi" w:eastAsiaTheme="minorHAnsi" w:hAnsiTheme="minorHAnsi" w:cstheme="minorBidi"/>
      <w:snapToGrid/>
      <w:sz w:val="24"/>
      <w:szCs w:val="22"/>
    </w:rPr>
  </w:style>
  <w:style w:type="paragraph" w:customStyle="1" w:styleId="Bulletpoints">
    <w:name w:val="Bullet points"/>
    <w:basedOn w:val="ListParagraph"/>
    <w:qFormat/>
    <w:rsid w:val="0067120F"/>
    <w:pPr>
      <w:numPr>
        <w:numId w:val="12"/>
      </w:numPr>
      <w:contextualSpacing w:val="0"/>
    </w:pPr>
    <w:rPr>
      <w:rFonts w:ascii="Calibri" w:hAnsi="Calibri"/>
      <w:sz w:val="24"/>
      <w:szCs w:val="24"/>
    </w:rPr>
  </w:style>
  <w:style w:type="paragraph" w:customStyle="1" w:styleId="5TableFooter">
    <w:name w:val="5. Table Footer"/>
    <w:basedOn w:val="Normal"/>
    <w:link w:val="5TableFooterChar"/>
    <w:qFormat/>
    <w:rsid w:val="0067120F"/>
    <w:pPr>
      <w:widowControl w:val="0"/>
      <w:jc w:val="both"/>
    </w:pPr>
    <w:rPr>
      <w:rFonts w:ascii="Arial Narrow" w:hAnsi="Arial Narrow" w:cs="Arial"/>
      <w:snapToGrid w:val="0"/>
      <w:sz w:val="18"/>
      <w:szCs w:val="22"/>
    </w:rPr>
  </w:style>
  <w:style w:type="character" w:customStyle="1" w:styleId="5TableFooterChar">
    <w:name w:val="5. Table Footer Char"/>
    <w:link w:val="5TableFooter"/>
    <w:rsid w:val="0067120F"/>
    <w:rPr>
      <w:rFonts w:ascii="Arial Narrow" w:hAnsi="Arial Narrow" w:cs="Arial"/>
      <w:snapToGrid w:val="0"/>
      <w:sz w:val="18"/>
      <w:szCs w:val="22"/>
    </w:rPr>
  </w:style>
  <w:style w:type="paragraph" w:customStyle="1" w:styleId="4Bodytextnumbered">
    <w:name w:val="4. Body text numbered"/>
    <w:basedOn w:val="ListParagraph"/>
    <w:qFormat/>
    <w:rsid w:val="0067120F"/>
    <w:pPr>
      <w:widowControl/>
      <w:numPr>
        <w:ilvl w:val="1"/>
        <w:numId w:val="13"/>
      </w:numPr>
      <w:spacing w:after="120"/>
      <w:contextualSpacing w:val="0"/>
    </w:pPr>
    <w:rPr>
      <w:rFonts w:asciiTheme="minorHAnsi" w:eastAsiaTheme="minorHAnsi" w:hAnsiTheme="minorHAnsi" w:cstheme="minorBidi"/>
      <w:snapToGrid/>
      <w:sz w:val="24"/>
      <w:szCs w:val="22"/>
    </w:rPr>
  </w:style>
  <w:style w:type="paragraph" w:styleId="BodyText">
    <w:name w:val="Body Text"/>
    <w:basedOn w:val="Normal"/>
    <w:link w:val="BodyTextChar"/>
    <w:uiPriority w:val="99"/>
    <w:semiHidden/>
    <w:unhideWhenUsed/>
    <w:rsid w:val="0067120F"/>
    <w:pPr>
      <w:spacing w:after="120"/>
    </w:pPr>
  </w:style>
  <w:style w:type="character" w:customStyle="1" w:styleId="BodyTextChar">
    <w:name w:val="Body Text Char"/>
    <w:basedOn w:val="DefaultParagraphFont"/>
    <w:link w:val="BodyText"/>
    <w:uiPriority w:val="99"/>
    <w:semiHidden/>
    <w:rsid w:val="0067120F"/>
  </w:style>
  <w:style w:type="character" w:customStyle="1" w:styleId="Heading3Char">
    <w:name w:val="Heading 3 Char"/>
    <w:basedOn w:val="DefaultParagraphFont"/>
    <w:link w:val="Heading3"/>
    <w:semiHidden/>
    <w:rsid w:val="0067120F"/>
    <w:rPr>
      <w:rFonts w:asciiTheme="majorHAnsi" w:eastAsiaTheme="majorEastAsia" w:hAnsiTheme="majorHAnsi" w:cstheme="majorBidi"/>
      <w:b/>
      <w:bCs/>
      <w:color w:val="4F81BD" w:themeColor="accent1"/>
      <w:sz w:val="24"/>
      <w:szCs w:val="24"/>
    </w:rPr>
  </w:style>
  <w:style w:type="character" w:customStyle="1" w:styleId="NoSpacingChar">
    <w:name w:val="No Spacing Char"/>
    <w:basedOn w:val="DefaultParagraphFont"/>
    <w:link w:val="NoSpacing"/>
    <w:uiPriority w:val="1"/>
    <w:rsid w:val="0067120F"/>
    <w:rPr>
      <w:rFonts w:asciiTheme="minorHAnsi" w:hAnsiTheme="minorHAnsi" w:cstheme="minorHAnsi"/>
      <w:sz w:val="24"/>
      <w:szCs w:val="24"/>
    </w:rPr>
  </w:style>
  <w:style w:type="paragraph" w:customStyle="1" w:styleId="3Subheading2">
    <w:name w:val="3. Subheading 2"/>
    <w:basedOn w:val="Heading2"/>
    <w:link w:val="3Subheading2Char"/>
    <w:qFormat/>
    <w:rsid w:val="00AB4C88"/>
    <w:pPr>
      <w:spacing w:before="0"/>
    </w:pPr>
    <w:rPr>
      <w:sz w:val="24"/>
    </w:rPr>
  </w:style>
  <w:style w:type="paragraph" w:customStyle="1" w:styleId="3Subheading1">
    <w:name w:val="3. Subheading 1"/>
    <w:basedOn w:val="Heading2"/>
    <w:link w:val="3Subheading1Char"/>
    <w:qFormat/>
    <w:rsid w:val="00AB4C88"/>
  </w:style>
  <w:style w:type="character" w:customStyle="1" w:styleId="3Subheading2Char">
    <w:name w:val="3. Subheading 2 Char"/>
    <w:basedOn w:val="Heading2Char"/>
    <w:link w:val="3Subheading2"/>
    <w:rsid w:val="00AB4C88"/>
    <w:rPr>
      <w:rFonts w:asciiTheme="minorHAnsi" w:eastAsiaTheme="majorEastAsia" w:hAnsiTheme="minorHAnsi"/>
      <w:b/>
      <w:i/>
      <w:sz w:val="24"/>
      <w:szCs w:val="28"/>
    </w:rPr>
  </w:style>
  <w:style w:type="paragraph" w:customStyle="1" w:styleId="6attachments">
    <w:name w:val="6. attachments"/>
    <w:basedOn w:val="NoSpacing"/>
    <w:link w:val="6attachmentsChar"/>
    <w:qFormat/>
    <w:rsid w:val="00495819"/>
    <w:rPr>
      <w:b/>
    </w:rPr>
  </w:style>
  <w:style w:type="character" w:customStyle="1" w:styleId="3Subheading1Char">
    <w:name w:val="3. Subheading 1 Char"/>
    <w:basedOn w:val="Heading2Char"/>
    <w:link w:val="3Subheading1"/>
    <w:rsid w:val="00AB4C88"/>
    <w:rPr>
      <w:rFonts w:asciiTheme="minorHAnsi" w:eastAsiaTheme="majorEastAsia" w:hAnsiTheme="minorHAnsi"/>
      <w:b/>
      <w:i/>
      <w:sz w:val="28"/>
      <w:szCs w:val="28"/>
    </w:rPr>
  </w:style>
  <w:style w:type="character" w:customStyle="1" w:styleId="6attachmentsChar">
    <w:name w:val="6. attachments Char"/>
    <w:basedOn w:val="NoSpacingChar"/>
    <w:link w:val="6attachments"/>
    <w:rsid w:val="00495819"/>
    <w:rPr>
      <w:rFonts w:asciiTheme="minorHAnsi" w:hAnsiTheme="minorHAnsi" w:cstheme="minorHAnsi"/>
      <w:b/>
      <w:sz w:val="24"/>
      <w:szCs w:val="24"/>
    </w:rPr>
  </w:style>
  <w:style w:type="character" w:styleId="Hyperlink">
    <w:name w:val="Hyperlink"/>
    <w:uiPriority w:val="99"/>
    <w:rsid w:val="00D25F2F"/>
    <w:rPr>
      <w:color w:val="0000FF"/>
      <w:u w:val="single"/>
    </w:rPr>
  </w:style>
  <w:style w:type="paragraph" w:styleId="ListNumber">
    <w:name w:val="List Number"/>
    <w:basedOn w:val="Normal"/>
    <w:rsid w:val="00D25F2F"/>
    <w:pPr>
      <w:numPr>
        <w:numId w:val="14"/>
      </w:numPr>
      <w:contextualSpacing/>
    </w:pPr>
    <w:rPr>
      <w:lang w:eastAsia="en-AU"/>
    </w:rPr>
  </w:style>
  <w:style w:type="paragraph" w:customStyle="1" w:styleId="PBACHeading10">
    <w:name w:val="PBAC Heading 1"/>
    <w:qFormat/>
    <w:rsid w:val="00D25F2F"/>
    <w:pPr>
      <w:spacing w:before="240" w:after="120"/>
      <w:ind w:left="709" w:hanging="709"/>
      <w:outlineLvl w:val="0"/>
    </w:pPr>
    <w:rPr>
      <w:rFonts w:asciiTheme="minorHAnsi" w:hAnsiTheme="minorHAnsi" w:cs="Arial"/>
      <w:b/>
      <w:snapToGrid w:val="0"/>
      <w:sz w:val="32"/>
      <w:szCs w:val="32"/>
    </w:rPr>
  </w:style>
  <w:style w:type="paragraph" w:styleId="FootnoteText">
    <w:name w:val="footnote text"/>
    <w:basedOn w:val="Normal"/>
    <w:link w:val="FootnoteTextChar"/>
    <w:rsid w:val="00D25F2F"/>
    <w:rPr>
      <w:sz w:val="20"/>
      <w:szCs w:val="20"/>
      <w:lang w:eastAsia="en-AU"/>
    </w:rPr>
  </w:style>
  <w:style w:type="character" w:customStyle="1" w:styleId="FootnoteTextChar">
    <w:name w:val="Footnote Text Char"/>
    <w:basedOn w:val="DefaultParagraphFont"/>
    <w:link w:val="FootnoteText"/>
    <w:rsid w:val="00D25F2F"/>
    <w:rPr>
      <w:lang w:eastAsia="en-AU"/>
    </w:rPr>
  </w:style>
  <w:style w:type="character" w:styleId="FootnoteReference">
    <w:name w:val="footnote reference"/>
    <w:basedOn w:val="DefaultParagraphFont"/>
    <w:rsid w:val="00D25F2F"/>
    <w:rPr>
      <w:vertAlign w:val="superscript"/>
    </w:rPr>
  </w:style>
  <w:style w:type="paragraph" w:customStyle="1" w:styleId="Default">
    <w:name w:val="Default"/>
    <w:rsid w:val="006038C1"/>
    <w:pPr>
      <w:autoSpaceDE w:val="0"/>
      <w:autoSpaceDN w:val="0"/>
      <w:adjustRightInd w:val="0"/>
    </w:pPr>
    <w:rPr>
      <w:rFonts w:ascii="Arial" w:hAnsi="Arial" w:cs="Arial"/>
      <w:color w:val="000000"/>
      <w:sz w:val="24"/>
      <w:szCs w:val="24"/>
      <w:lang w:eastAsia="en-AU"/>
    </w:rPr>
  </w:style>
  <w:style w:type="paragraph" w:styleId="ListBullet">
    <w:name w:val="List Bullet"/>
    <w:basedOn w:val="Normal"/>
    <w:unhideWhenUsed/>
    <w:rsid w:val="00680C05"/>
    <w:pPr>
      <w:numPr>
        <w:numId w:val="34"/>
      </w:numPr>
      <w:contextualSpacing/>
      <w:jc w:val="both"/>
    </w:pPr>
    <w:rPr>
      <w:rFonts w:ascii="Calibri" w:hAnsi="Calibri"/>
      <w:lang w:eastAsia="en-AU"/>
    </w:rPr>
  </w:style>
  <w:style w:type="paragraph" w:customStyle="1" w:styleId="3Bodytext">
    <w:name w:val="3. Body text"/>
    <w:basedOn w:val="ListParagraph"/>
    <w:link w:val="3BodytextChar"/>
    <w:qFormat/>
    <w:rsid w:val="00E9646A"/>
    <w:pPr>
      <w:widowControl/>
      <w:spacing w:after="120"/>
      <w:ind w:hanging="720"/>
      <w:contextualSpacing w:val="0"/>
      <w:jc w:val="left"/>
    </w:pPr>
    <w:rPr>
      <w:rFonts w:asciiTheme="minorHAnsi" w:eastAsiaTheme="minorHAnsi" w:hAnsiTheme="minorHAnsi" w:cstheme="minorBidi"/>
      <w:snapToGrid/>
      <w:sz w:val="24"/>
      <w:szCs w:val="22"/>
      <w:lang w:eastAsia="en-AU"/>
    </w:rPr>
  </w:style>
  <w:style w:type="character" w:customStyle="1" w:styleId="3BodytextChar">
    <w:name w:val="3. Body text Char"/>
    <w:basedOn w:val="DefaultParagraphFont"/>
    <w:link w:val="3Bodytext"/>
    <w:rsid w:val="00E9646A"/>
    <w:rPr>
      <w:rFonts w:asciiTheme="minorHAnsi" w:eastAsiaTheme="minorHAnsi" w:hAnsiTheme="minorHAnsi" w:cstheme="minorBidi"/>
      <w:sz w:val="24"/>
      <w:szCs w:val="22"/>
      <w:lang w:eastAsia="en-AU"/>
    </w:rPr>
  </w:style>
  <w:style w:type="paragraph" w:customStyle="1" w:styleId="2-SectionHeading">
    <w:name w:val="2-Section Heading"/>
    <w:qFormat/>
    <w:rsid w:val="00E9646A"/>
    <w:pPr>
      <w:keepNext/>
      <w:spacing w:before="240" w:after="120"/>
      <w:ind w:left="720" w:hanging="720"/>
      <w:outlineLvl w:val="0"/>
    </w:pPr>
    <w:rPr>
      <w:rFonts w:asciiTheme="minorHAnsi" w:hAnsiTheme="minorHAnsi" w:cs="Arial"/>
      <w:b/>
      <w:snapToGrid w:val="0"/>
      <w:sz w:val="32"/>
      <w:szCs w:val="32"/>
      <w:lang w:eastAsia="en-AU"/>
    </w:rPr>
  </w:style>
  <w:style w:type="paragraph" w:styleId="Revision">
    <w:name w:val="Revision"/>
    <w:hidden/>
    <w:uiPriority w:val="99"/>
    <w:semiHidden/>
    <w:rsid w:val="00DD4201"/>
    <w:rPr>
      <w:sz w:val="24"/>
      <w:szCs w:val="24"/>
    </w:rPr>
  </w:style>
  <w:style w:type="paragraph" w:customStyle="1" w:styleId="3-BodyText">
    <w:name w:val="3-Body Text"/>
    <w:basedOn w:val="ListParagraph"/>
    <w:link w:val="3-BodyTextChar"/>
    <w:qFormat/>
    <w:rsid w:val="00734DC0"/>
    <w:pPr>
      <w:widowControl/>
      <w:spacing w:after="120"/>
      <w:ind w:left="709" w:hanging="709"/>
      <w:contextualSpacing w:val="0"/>
    </w:pPr>
    <w:rPr>
      <w:rFonts w:asciiTheme="minorHAnsi" w:hAnsiTheme="minorHAnsi" w:cstheme="minorBidi"/>
      <w:sz w:val="24"/>
      <w:szCs w:val="24"/>
      <w:lang w:eastAsia="en-AU"/>
    </w:rPr>
  </w:style>
  <w:style w:type="character" w:customStyle="1" w:styleId="3-BodyTextChar">
    <w:name w:val="3-Body Text Char"/>
    <w:basedOn w:val="DefaultParagraphFont"/>
    <w:link w:val="3-BodyText"/>
    <w:rsid w:val="00734DC0"/>
    <w:rPr>
      <w:rFonts w:asciiTheme="minorHAnsi" w:hAnsiTheme="minorHAnsi" w:cstheme="minorBidi"/>
      <w:snapToGrid w:val="0"/>
      <w:sz w:val="24"/>
      <w:szCs w:val="24"/>
      <w:lang w:eastAsia="en-AU"/>
    </w:rPr>
  </w:style>
  <w:style w:type="paragraph" w:customStyle="1" w:styleId="paragraph">
    <w:name w:val="paragraph"/>
    <w:basedOn w:val="Normal"/>
    <w:rsid w:val="00B20C77"/>
    <w:pPr>
      <w:spacing w:before="100" w:beforeAutospacing="1" w:after="100" w:afterAutospacing="1"/>
    </w:pPr>
    <w:rPr>
      <w:lang w:eastAsia="en-AU"/>
    </w:rPr>
  </w:style>
  <w:style w:type="character" w:customStyle="1" w:styleId="normaltextrun">
    <w:name w:val="normaltextrun"/>
    <w:basedOn w:val="DefaultParagraphFont"/>
    <w:rsid w:val="00B20C77"/>
  </w:style>
  <w:style w:type="paragraph" w:customStyle="1" w:styleId="PBACESHeading1">
    <w:name w:val="PBAC ES Heading 1"/>
    <w:basedOn w:val="Heading1"/>
    <w:next w:val="ListParagraph"/>
    <w:link w:val="PBACESHeading1Char"/>
    <w:uiPriority w:val="1"/>
    <w:qFormat/>
    <w:rsid w:val="00754EBE"/>
    <w:pPr>
      <w:keepNext/>
      <w:keepLines/>
      <w:tabs>
        <w:tab w:val="left" w:pos="1077"/>
      </w:tabs>
      <w:ind w:left="720" w:hanging="720"/>
    </w:pPr>
    <w:rPr>
      <w:rFonts w:asciiTheme="minorHAnsi" w:hAnsiTheme="minorHAnsi" w:cs="Arial"/>
      <w:lang w:eastAsia="en-US"/>
    </w:rPr>
  </w:style>
  <w:style w:type="paragraph" w:customStyle="1" w:styleId="PBACESHeading2">
    <w:name w:val="PBAC ES Heading 2"/>
    <w:basedOn w:val="Heading2"/>
    <w:uiPriority w:val="1"/>
    <w:qFormat/>
    <w:rsid w:val="00754EBE"/>
    <w:pPr>
      <w:keepLines/>
      <w:spacing w:before="120"/>
      <w:ind w:left="720" w:hanging="720"/>
    </w:pPr>
    <w:rPr>
      <w:rFonts w:asciiTheme="majorHAnsi" w:hAnsiTheme="majorHAnsi" w:cstheme="majorBidi"/>
      <w:snapToGrid w:val="0"/>
    </w:rPr>
  </w:style>
  <w:style w:type="paragraph" w:customStyle="1" w:styleId="PBACESHeadingCAPS">
    <w:name w:val="PBAC ES Heading CAPS"/>
    <w:basedOn w:val="PBACESHeading2"/>
    <w:uiPriority w:val="1"/>
    <w:qFormat/>
    <w:rsid w:val="00754EBE"/>
    <w:rPr>
      <w:i w:val="0"/>
      <w:smallCaps/>
      <w:sz w:val="32"/>
    </w:rPr>
  </w:style>
  <w:style w:type="paragraph" w:customStyle="1" w:styleId="PBACESHeading3">
    <w:name w:val="PBAC ES Heading 3"/>
    <w:basedOn w:val="PBACESHeading2"/>
    <w:uiPriority w:val="1"/>
    <w:qFormat/>
    <w:rsid w:val="00754EBE"/>
    <w:pPr>
      <w:ind w:left="1080" w:hanging="1080"/>
    </w:pPr>
    <w:rPr>
      <w:i w:val="0"/>
      <w:sz w:val="24"/>
    </w:rPr>
  </w:style>
  <w:style w:type="character" w:customStyle="1" w:styleId="PBACESHeading1Char">
    <w:name w:val="PBAC ES Heading 1 Char"/>
    <w:basedOn w:val="Heading1Char"/>
    <w:link w:val="PBACESHeading1"/>
    <w:uiPriority w:val="1"/>
    <w:rsid w:val="00754EBE"/>
    <w:rPr>
      <w:rFonts w:asciiTheme="minorHAnsi" w:eastAsia="Times New Roman" w:hAnsiTheme="minorHAnsi" w:cs="Arial"/>
      <w:b/>
      <w:snapToGrid w:val="0"/>
      <w:sz w:val="32"/>
      <w:szCs w:val="32"/>
    </w:rPr>
  </w:style>
  <w:style w:type="paragraph" w:customStyle="1" w:styleId="MSACHeading1">
    <w:name w:val="MSAC Heading 1"/>
    <w:basedOn w:val="Heading1"/>
    <w:next w:val="Normal"/>
    <w:uiPriority w:val="1"/>
    <w:qFormat/>
    <w:rsid w:val="00754EBE"/>
    <w:pPr>
      <w:keepNext/>
      <w:keepLines/>
      <w:spacing w:before="160" w:after="240" w:line="259" w:lineRule="auto"/>
      <w:ind w:left="720" w:hanging="720"/>
    </w:pPr>
    <w:rPr>
      <w:rFonts w:ascii="Arial" w:eastAsiaTheme="majorEastAsia" w:hAnsi="Arial" w:cstheme="majorBidi"/>
      <w:snapToGrid/>
      <w:sz w:val="24"/>
      <w:szCs w:val="28"/>
      <w:lang w:eastAsia="en-US"/>
    </w:rPr>
  </w:style>
  <w:style w:type="paragraph" w:customStyle="1" w:styleId="MSACESHeading2">
    <w:name w:val="MSAC ES Heading 2"/>
    <w:basedOn w:val="Heading2"/>
    <w:next w:val="Normal"/>
    <w:uiPriority w:val="1"/>
    <w:qFormat/>
    <w:rsid w:val="00754EBE"/>
    <w:pPr>
      <w:keepLines/>
      <w:spacing w:before="360"/>
      <w:ind w:left="720" w:hanging="720"/>
    </w:pPr>
    <w:rPr>
      <w:rFonts w:ascii="Cambria" w:hAnsi="Cambria" w:cstheme="majorBidi"/>
      <w:i w:val="0"/>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62A70-808D-44AF-A026-A81EF23B2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1340</Words>
  <Characters>7643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2021-01-19T03:27:00Z</dcterms:created>
  <dcterms:modified xsi:type="dcterms:W3CDTF">2021-04-05T08:14:00Z</dcterms:modified>
</cp:coreProperties>
</file>