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97" w:rsidRPr="004E025C" w:rsidRDefault="006F2D98" w:rsidP="00FA1063">
      <w:pPr>
        <w:pStyle w:val="1-MainHeading"/>
        <w:tabs>
          <w:tab w:val="left" w:pos="2977"/>
        </w:tabs>
        <w:spacing w:before="0" w:after="0"/>
      </w:pPr>
      <w:bookmarkStart w:id="0" w:name="_Toc51141251"/>
      <w:r w:rsidRPr="004E025C">
        <w:t>5</w:t>
      </w:r>
      <w:r w:rsidR="00433044" w:rsidRPr="004E025C">
        <w:t>.</w:t>
      </w:r>
      <w:r w:rsidRPr="004E025C">
        <w:t>11</w:t>
      </w:r>
      <w:r w:rsidR="00163F66" w:rsidRPr="004E025C">
        <w:tab/>
      </w:r>
      <w:r w:rsidR="00BC3263" w:rsidRPr="004E025C">
        <w:t>VEDOLIZUMAB</w:t>
      </w:r>
      <w:r w:rsidR="00163F66" w:rsidRPr="004E025C">
        <w:t>,</w:t>
      </w:r>
      <w:r w:rsidR="00163F66" w:rsidRPr="004E025C">
        <w:br/>
      </w:r>
      <w:r w:rsidR="001E1C97" w:rsidRPr="004E025C">
        <w:t>Injection 108 mg in 0.68 mL pre-filled syringe</w:t>
      </w:r>
      <w:r w:rsidR="00163F66" w:rsidRPr="004E025C">
        <w:t>,</w:t>
      </w:r>
      <w:bookmarkEnd w:id="0"/>
    </w:p>
    <w:p w:rsidR="00B60939" w:rsidRPr="004E025C" w:rsidRDefault="001E1C97" w:rsidP="00D02B13">
      <w:pPr>
        <w:ind w:left="720"/>
        <w:jc w:val="left"/>
        <w:rPr>
          <w:rFonts w:asciiTheme="minorHAnsi" w:eastAsiaTheme="majorEastAsia" w:hAnsiTheme="minorHAnsi" w:cstheme="majorBidi"/>
          <w:b/>
          <w:spacing w:val="5"/>
          <w:kern w:val="28"/>
          <w:sz w:val="36"/>
          <w:szCs w:val="36"/>
        </w:rPr>
      </w:pPr>
      <w:r w:rsidRPr="004E025C">
        <w:rPr>
          <w:rFonts w:asciiTheme="minorHAnsi" w:eastAsiaTheme="majorEastAsia" w:hAnsiTheme="minorHAnsi" w:cstheme="majorBidi"/>
          <w:b/>
          <w:spacing w:val="5"/>
          <w:kern w:val="28"/>
          <w:sz w:val="36"/>
          <w:szCs w:val="36"/>
        </w:rPr>
        <w:t>Injection 108 mg in 0.68 mL pre-filled pen,</w:t>
      </w:r>
      <w:r w:rsidR="00163F66" w:rsidRPr="004E025C">
        <w:rPr>
          <w:rFonts w:asciiTheme="minorHAnsi" w:eastAsiaTheme="majorEastAsia" w:hAnsiTheme="minorHAnsi" w:cstheme="majorBidi"/>
          <w:b/>
          <w:spacing w:val="5"/>
          <w:kern w:val="28"/>
          <w:sz w:val="36"/>
          <w:szCs w:val="36"/>
        </w:rPr>
        <w:br/>
      </w:r>
      <w:r w:rsidR="00BC3263" w:rsidRPr="004E025C">
        <w:rPr>
          <w:rFonts w:asciiTheme="minorHAnsi" w:eastAsiaTheme="majorEastAsia" w:hAnsiTheme="minorHAnsi" w:cstheme="majorBidi"/>
          <w:b/>
          <w:spacing w:val="5"/>
          <w:kern w:val="28"/>
          <w:sz w:val="36"/>
          <w:szCs w:val="36"/>
        </w:rPr>
        <w:t>Entyvio</w:t>
      </w:r>
      <w:r w:rsidR="00B60939" w:rsidRPr="004E025C">
        <w:rPr>
          <w:rFonts w:asciiTheme="minorHAnsi" w:eastAsiaTheme="majorEastAsia" w:hAnsiTheme="minorHAnsi" w:cstheme="majorBidi"/>
          <w:b/>
          <w:spacing w:val="5"/>
          <w:kern w:val="28"/>
          <w:sz w:val="36"/>
          <w:szCs w:val="36"/>
        </w:rPr>
        <w:t>®</w:t>
      </w:r>
      <w:r w:rsidR="004A6040" w:rsidRPr="004E025C">
        <w:rPr>
          <w:rFonts w:asciiTheme="minorHAnsi" w:eastAsiaTheme="majorEastAsia" w:hAnsiTheme="minorHAnsi" w:cstheme="majorBidi"/>
          <w:b/>
          <w:spacing w:val="5"/>
          <w:kern w:val="28"/>
          <w:sz w:val="36"/>
          <w:szCs w:val="36"/>
        </w:rPr>
        <w:t>,</w:t>
      </w:r>
      <w:r w:rsidR="004A6040" w:rsidRPr="004E025C">
        <w:rPr>
          <w:rFonts w:asciiTheme="minorHAnsi" w:eastAsiaTheme="majorEastAsia" w:hAnsiTheme="minorHAnsi" w:cstheme="majorBidi"/>
          <w:b/>
          <w:spacing w:val="5"/>
          <w:kern w:val="28"/>
          <w:sz w:val="36"/>
          <w:szCs w:val="36"/>
        </w:rPr>
        <w:br/>
      </w:r>
      <w:r w:rsidR="00BC3263" w:rsidRPr="004E025C">
        <w:rPr>
          <w:rFonts w:asciiTheme="minorHAnsi" w:eastAsiaTheme="majorEastAsia" w:hAnsiTheme="minorHAnsi" w:cstheme="majorBidi"/>
          <w:b/>
          <w:spacing w:val="5"/>
          <w:kern w:val="28"/>
          <w:sz w:val="36"/>
          <w:szCs w:val="36"/>
        </w:rPr>
        <w:t>Takeda Pharmaceuticals Australia Pty Ltd</w:t>
      </w:r>
      <w:r w:rsidR="00B60939" w:rsidRPr="004E025C">
        <w:rPr>
          <w:rFonts w:asciiTheme="minorHAnsi" w:eastAsiaTheme="majorEastAsia" w:hAnsiTheme="minorHAnsi" w:cstheme="majorBidi"/>
          <w:b/>
          <w:spacing w:val="5"/>
          <w:kern w:val="28"/>
          <w:sz w:val="36"/>
          <w:szCs w:val="36"/>
        </w:rPr>
        <w:t>.</w:t>
      </w:r>
    </w:p>
    <w:p w:rsidR="00B50DB8" w:rsidRPr="004E025C" w:rsidRDefault="00B50DB8" w:rsidP="004A6040">
      <w:pPr>
        <w:pStyle w:val="2-SectionHeading"/>
      </w:pPr>
      <w:bookmarkStart w:id="1" w:name="_Toc51141253"/>
      <w:r w:rsidRPr="004E025C">
        <w:t xml:space="preserve">Purpose of </w:t>
      </w:r>
      <w:r w:rsidR="00EB15E4" w:rsidRPr="004E025C">
        <w:t>submission</w:t>
      </w:r>
      <w:bookmarkEnd w:id="1"/>
    </w:p>
    <w:p w:rsidR="009401F2" w:rsidRPr="004E025C" w:rsidRDefault="00EB15E4" w:rsidP="001C61AF">
      <w:pPr>
        <w:pStyle w:val="3-BodyText"/>
      </w:pPr>
      <w:r w:rsidRPr="004E025C">
        <w:t>The submission requested Section 85, Authority Required listings for a subcutaneously administered formulation of vedolizumab</w:t>
      </w:r>
      <w:r w:rsidR="005341BB" w:rsidRPr="004E025C">
        <w:t xml:space="preserve"> (</w:t>
      </w:r>
      <w:r w:rsidR="00352C9D" w:rsidRPr="004E025C">
        <w:t xml:space="preserve">VDZ </w:t>
      </w:r>
      <w:r w:rsidR="005341BB" w:rsidRPr="004E025C">
        <w:t>SC)</w:t>
      </w:r>
      <w:r w:rsidRPr="004E025C">
        <w:t xml:space="preserve">, </w:t>
      </w:r>
      <w:r w:rsidR="001C61AF" w:rsidRPr="004E025C">
        <w:t>(</w:t>
      </w:r>
      <w:r w:rsidRPr="004E025C">
        <w:t xml:space="preserve">i) as maintenance treatment for patients with moderate to severe ulcerative colitis (MSUC) and </w:t>
      </w:r>
      <w:r w:rsidR="001C61AF" w:rsidRPr="004E025C">
        <w:t>(</w:t>
      </w:r>
      <w:r w:rsidRPr="004E025C">
        <w:t xml:space="preserve">ii) as maintenance treatment for patients </w:t>
      </w:r>
      <w:r w:rsidR="005341BB" w:rsidRPr="004E025C">
        <w:t>with severe Crohn’s disease</w:t>
      </w:r>
      <w:r w:rsidR="00352C9D" w:rsidRPr="004E025C">
        <w:t xml:space="preserve"> (CD)</w:t>
      </w:r>
      <w:r w:rsidRPr="004E025C">
        <w:t>.</w:t>
      </w:r>
      <w:r w:rsidR="005341BB" w:rsidRPr="004E025C">
        <w:t xml:space="preserve"> Vedolizumab for intravenous infusion (</w:t>
      </w:r>
      <w:r w:rsidR="00352C9D" w:rsidRPr="004E025C">
        <w:t xml:space="preserve">VDZ </w:t>
      </w:r>
      <w:r w:rsidR="005341BB" w:rsidRPr="004E025C">
        <w:t xml:space="preserve">IV) is currently listed on the PBS for both initial and continuing treatment of MSUC and severe </w:t>
      </w:r>
      <w:r w:rsidR="00352C9D" w:rsidRPr="004E025C">
        <w:t>CD</w:t>
      </w:r>
      <w:r w:rsidR="008B20BC" w:rsidRPr="004E025C">
        <w:t>.</w:t>
      </w:r>
    </w:p>
    <w:p w:rsidR="00C2778B" w:rsidRPr="004E025C" w:rsidRDefault="00EB15E4" w:rsidP="001C61AF">
      <w:pPr>
        <w:pStyle w:val="3-BodyText"/>
      </w:pPr>
      <w:r w:rsidRPr="004E025C">
        <w:t>Listing was requested on the basis of a cost-minimisation analysis</w:t>
      </w:r>
      <w:r w:rsidR="00E42573" w:rsidRPr="004E025C">
        <w:t xml:space="preserve"> (CMA)</w:t>
      </w:r>
      <w:r w:rsidRPr="004E025C">
        <w:t xml:space="preserve"> between </w:t>
      </w:r>
      <w:r w:rsidR="00EF6D33" w:rsidRPr="004E025C">
        <w:t>VDZ</w:t>
      </w:r>
      <w:r w:rsidR="00EF6D33" w:rsidRPr="004E025C" w:rsidDel="008B20BC">
        <w:t xml:space="preserve"> </w:t>
      </w:r>
      <w:r w:rsidR="008B20BC" w:rsidRPr="004E025C">
        <w:t xml:space="preserve">SC </w:t>
      </w:r>
      <w:r w:rsidRPr="004E025C">
        <w:t xml:space="preserve">and </w:t>
      </w:r>
      <w:r w:rsidR="00EF6D33" w:rsidRPr="004E025C">
        <w:t>VDZ</w:t>
      </w:r>
      <w:r w:rsidR="00EF6D33" w:rsidRPr="004E025C" w:rsidDel="008B20BC">
        <w:t xml:space="preserve"> </w:t>
      </w:r>
      <w:r w:rsidR="008B20BC" w:rsidRPr="004E025C">
        <w:t>IV</w:t>
      </w:r>
      <w:r w:rsidRPr="004E025C">
        <w:t>. The key components of the clinical issue addressed by the submission are summarised below.</w:t>
      </w:r>
    </w:p>
    <w:p w:rsidR="00EB15E4" w:rsidRPr="004E025C" w:rsidRDefault="006B7C05" w:rsidP="006B7C05">
      <w:pPr>
        <w:pStyle w:val="TableFigureHeading"/>
        <w:rPr>
          <w:rStyle w:val="CommentReference"/>
          <w:b/>
          <w:szCs w:val="24"/>
        </w:rPr>
      </w:pPr>
      <w:r w:rsidRPr="004E025C">
        <w:t xml:space="preserve">Table </w:t>
      </w:r>
      <w:r w:rsidR="007E6865">
        <w:rPr>
          <w:noProof/>
        </w:rPr>
        <w:t>1</w:t>
      </w:r>
      <w:r w:rsidR="008B1757" w:rsidRPr="004E025C">
        <w:rPr>
          <w:rStyle w:val="CommentReference"/>
          <w:b/>
          <w:szCs w:val="24"/>
        </w:rPr>
        <w:t>:</w:t>
      </w:r>
      <w:r w:rsidR="00BC591F" w:rsidRPr="004E025C">
        <w:rPr>
          <w:rStyle w:val="CommentReference"/>
          <w:b/>
          <w:szCs w:val="24"/>
        </w:rPr>
        <w:t xml:space="preserve"> </w:t>
      </w:r>
      <w:r w:rsidR="00EB15E4" w:rsidRPr="004E025C">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57"/>
        <w:gridCol w:w="7360"/>
      </w:tblGrid>
      <w:tr w:rsidR="00EB15E4" w:rsidRPr="004E025C" w:rsidTr="007F797B">
        <w:tc>
          <w:tcPr>
            <w:tcW w:w="1668" w:type="dxa"/>
            <w:vAlign w:val="center"/>
          </w:tcPr>
          <w:p w:rsidR="00EB15E4" w:rsidRPr="004E025C" w:rsidRDefault="00EB15E4" w:rsidP="007E7CFF">
            <w:pPr>
              <w:pStyle w:val="In-tableHeading"/>
              <w:rPr>
                <w:lang w:val="en-AU"/>
              </w:rPr>
            </w:pPr>
            <w:r w:rsidRPr="004E025C">
              <w:rPr>
                <w:lang w:val="en-AU"/>
              </w:rPr>
              <w:t>Component</w:t>
            </w:r>
          </w:p>
        </w:tc>
        <w:tc>
          <w:tcPr>
            <w:tcW w:w="7488" w:type="dxa"/>
            <w:vAlign w:val="center"/>
          </w:tcPr>
          <w:p w:rsidR="00EB15E4" w:rsidRPr="004E025C" w:rsidRDefault="00EB15E4" w:rsidP="007E7CFF">
            <w:pPr>
              <w:pStyle w:val="In-tableHeading"/>
              <w:rPr>
                <w:lang w:val="en-AU"/>
              </w:rPr>
            </w:pPr>
            <w:r w:rsidRPr="004E025C">
              <w:rPr>
                <w:lang w:val="en-AU"/>
              </w:rPr>
              <w:t>Description</w:t>
            </w:r>
          </w:p>
        </w:tc>
      </w:tr>
      <w:tr w:rsidR="00EB15E4" w:rsidRPr="004E025C" w:rsidTr="007F797B">
        <w:tc>
          <w:tcPr>
            <w:tcW w:w="1668" w:type="dxa"/>
            <w:vAlign w:val="center"/>
          </w:tcPr>
          <w:p w:rsidR="00EB15E4" w:rsidRPr="004E025C" w:rsidRDefault="00EB15E4" w:rsidP="007E7CFF">
            <w:pPr>
              <w:pStyle w:val="TableText0"/>
            </w:pPr>
            <w:r w:rsidRPr="004E025C">
              <w:t>Population</w:t>
            </w:r>
          </w:p>
        </w:tc>
        <w:tc>
          <w:tcPr>
            <w:tcW w:w="7488" w:type="dxa"/>
            <w:vAlign w:val="center"/>
          </w:tcPr>
          <w:p w:rsidR="00EB15E4" w:rsidRPr="004E025C" w:rsidRDefault="00EB15E4" w:rsidP="00A3364E">
            <w:pPr>
              <w:pStyle w:val="TableText0"/>
              <w:numPr>
                <w:ilvl w:val="0"/>
                <w:numId w:val="7"/>
              </w:numPr>
              <w:ind w:left="207" w:hanging="219"/>
            </w:pPr>
            <w:r w:rsidRPr="004E025C">
              <w:t xml:space="preserve">Patients with moderate or severe ulcerative colitis (MSUC) who have responded to induction treatment with </w:t>
            </w:r>
            <w:r w:rsidR="00352C9D" w:rsidRPr="004E025C">
              <w:t xml:space="preserve">VDZ </w:t>
            </w:r>
            <w:r w:rsidR="008B20BC" w:rsidRPr="004E025C">
              <w:t>I</w:t>
            </w:r>
            <w:r w:rsidRPr="004E025C">
              <w:t>V.</w:t>
            </w:r>
          </w:p>
          <w:p w:rsidR="00EB15E4" w:rsidRPr="004E025C" w:rsidRDefault="00EB15E4" w:rsidP="00A3364E">
            <w:pPr>
              <w:pStyle w:val="TableText0"/>
              <w:numPr>
                <w:ilvl w:val="0"/>
                <w:numId w:val="7"/>
              </w:numPr>
              <w:ind w:left="207" w:hanging="219"/>
            </w:pPr>
            <w:r w:rsidRPr="004E025C">
              <w:t xml:space="preserve">Patients with severe Crohn’s disease </w:t>
            </w:r>
            <w:r w:rsidR="008E59AE" w:rsidRPr="004E025C">
              <w:t xml:space="preserve">(CD) </w:t>
            </w:r>
            <w:r w:rsidRPr="004E025C">
              <w:t xml:space="preserve">who have responded to induction treatment with </w:t>
            </w:r>
            <w:r w:rsidR="00352C9D" w:rsidRPr="004E025C">
              <w:t xml:space="preserve">VDZ </w:t>
            </w:r>
            <w:r w:rsidRPr="004E025C">
              <w:t>IV.</w:t>
            </w:r>
          </w:p>
        </w:tc>
      </w:tr>
      <w:tr w:rsidR="00EB15E4" w:rsidRPr="004E025C" w:rsidTr="007F797B">
        <w:tc>
          <w:tcPr>
            <w:tcW w:w="1668" w:type="dxa"/>
            <w:vAlign w:val="center"/>
          </w:tcPr>
          <w:p w:rsidR="00EB15E4" w:rsidRPr="004E025C" w:rsidRDefault="00EB15E4" w:rsidP="007E7CFF">
            <w:pPr>
              <w:pStyle w:val="TableText0"/>
            </w:pPr>
            <w:r w:rsidRPr="004E025C">
              <w:t>Intervention</w:t>
            </w:r>
          </w:p>
        </w:tc>
        <w:tc>
          <w:tcPr>
            <w:tcW w:w="7488" w:type="dxa"/>
            <w:vAlign w:val="center"/>
          </w:tcPr>
          <w:p w:rsidR="00EB15E4" w:rsidRPr="004E025C" w:rsidRDefault="00352C9D" w:rsidP="00352C9D">
            <w:pPr>
              <w:pStyle w:val="TableText0"/>
            </w:pPr>
            <w:r w:rsidRPr="004E025C">
              <w:t xml:space="preserve">VDZ </w:t>
            </w:r>
            <w:r w:rsidR="00EB15E4" w:rsidRPr="004E025C">
              <w:t>S</w:t>
            </w:r>
            <w:r w:rsidR="008B20BC" w:rsidRPr="004E025C">
              <w:t>C</w:t>
            </w:r>
            <w:r w:rsidR="00EB15E4" w:rsidRPr="004E025C">
              <w:t xml:space="preserve">, 108 mg pre-filled pen or pre-filled syringe every two weeks, as maintenance therapy following induction treatment with </w:t>
            </w:r>
            <w:r w:rsidRPr="004E025C">
              <w:t xml:space="preserve">VDZ </w:t>
            </w:r>
            <w:r w:rsidR="00EB15E4" w:rsidRPr="004E025C">
              <w:t>IV.</w:t>
            </w:r>
          </w:p>
        </w:tc>
      </w:tr>
      <w:tr w:rsidR="00EB15E4" w:rsidRPr="004E025C" w:rsidTr="007F797B">
        <w:tc>
          <w:tcPr>
            <w:tcW w:w="1668" w:type="dxa"/>
            <w:vAlign w:val="center"/>
          </w:tcPr>
          <w:p w:rsidR="00EB15E4" w:rsidRPr="004E025C" w:rsidRDefault="00EB15E4" w:rsidP="007E7CFF">
            <w:pPr>
              <w:pStyle w:val="TableText0"/>
            </w:pPr>
            <w:r w:rsidRPr="004E025C">
              <w:t>Comparator</w:t>
            </w:r>
          </w:p>
        </w:tc>
        <w:tc>
          <w:tcPr>
            <w:tcW w:w="7488" w:type="dxa"/>
            <w:vAlign w:val="center"/>
          </w:tcPr>
          <w:p w:rsidR="00EB15E4" w:rsidRPr="004E025C" w:rsidRDefault="00352C9D" w:rsidP="00352C9D">
            <w:pPr>
              <w:pStyle w:val="TableText0"/>
            </w:pPr>
            <w:r w:rsidRPr="004E025C">
              <w:t xml:space="preserve">VDZ </w:t>
            </w:r>
            <w:r w:rsidR="00EB15E4" w:rsidRPr="004E025C">
              <w:t xml:space="preserve">IV, 300 mg infusion every 8 weeks, as maintenance therapy following induction treatment with </w:t>
            </w:r>
            <w:r w:rsidRPr="004E025C">
              <w:t xml:space="preserve">VDZ </w:t>
            </w:r>
            <w:r w:rsidR="00EB15E4" w:rsidRPr="004E025C">
              <w:t xml:space="preserve">IV. </w:t>
            </w:r>
          </w:p>
        </w:tc>
      </w:tr>
      <w:tr w:rsidR="00EB15E4" w:rsidRPr="004E025C" w:rsidTr="007F797B">
        <w:tc>
          <w:tcPr>
            <w:tcW w:w="1668" w:type="dxa"/>
            <w:vAlign w:val="center"/>
          </w:tcPr>
          <w:p w:rsidR="00EB15E4" w:rsidRPr="004E025C" w:rsidRDefault="00EB15E4" w:rsidP="007E7CFF">
            <w:pPr>
              <w:pStyle w:val="TableText0"/>
            </w:pPr>
            <w:r w:rsidRPr="004E025C">
              <w:t>Outcomes</w:t>
            </w:r>
          </w:p>
        </w:tc>
        <w:tc>
          <w:tcPr>
            <w:tcW w:w="7488" w:type="dxa"/>
            <w:vAlign w:val="center"/>
          </w:tcPr>
          <w:p w:rsidR="00EB15E4" w:rsidRPr="004E025C" w:rsidRDefault="00EB15E4" w:rsidP="007E7CFF">
            <w:pPr>
              <w:pStyle w:val="TableText0"/>
            </w:pPr>
            <w:r w:rsidRPr="004E025C">
              <w:t>MSUC: Clinical remission, mucosal healing, durable clinical response, durable clinical remission, corticosteroid-free remission</w:t>
            </w:r>
          </w:p>
          <w:p w:rsidR="00EB15E4" w:rsidRPr="004E025C" w:rsidRDefault="00352C9D" w:rsidP="007E7CFF">
            <w:pPr>
              <w:pStyle w:val="TableText0"/>
            </w:pPr>
            <w:r w:rsidRPr="004E025C">
              <w:t>Severe CD</w:t>
            </w:r>
            <w:r w:rsidR="00EB15E4" w:rsidRPr="004E025C">
              <w:t>: Clinical remission, enhanced clinical response, corticosteroid-free remission</w:t>
            </w:r>
          </w:p>
        </w:tc>
      </w:tr>
      <w:tr w:rsidR="00EB15E4" w:rsidRPr="004E025C" w:rsidTr="007F797B">
        <w:tc>
          <w:tcPr>
            <w:tcW w:w="1668" w:type="dxa"/>
            <w:vAlign w:val="center"/>
          </w:tcPr>
          <w:p w:rsidR="00EB15E4" w:rsidRPr="004E025C" w:rsidRDefault="00EB15E4" w:rsidP="007E7CFF">
            <w:pPr>
              <w:pStyle w:val="TableText0"/>
            </w:pPr>
            <w:r w:rsidRPr="004E025C">
              <w:t>Clinical claim</w:t>
            </w:r>
          </w:p>
        </w:tc>
        <w:tc>
          <w:tcPr>
            <w:tcW w:w="7488" w:type="dxa"/>
            <w:vAlign w:val="center"/>
          </w:tcPr>
          <w:p w:rsidR="00EB15E4" w:rsidRPr="004E025C" w:rsidRDefault="00EB15E4" w:rsidP="00A3364E">
            <w:pPr>
              <w:pStyle w:val="TableText0"/>
              <w:numPr>
                <w:ilvl w:val="0"/>
                <w:numId w:val="7"/>
              </w:numPr>
              <w:ind w:left="207" w:hanging="219"/>
            </w:pPr>
            <w:r w:rsidRPr="004E025C">
              <w:t xml:space="preserve">In patients with MSUC who have responded to </w:t>
            </w:r>
            <w:r w:rsidR="00352C9D" w:rsidRPr="004E025C">
              <w:t xml:space="preserve">VDZ </w:t>
            </w:r>
            <w:r w:rsidRPr="004E025C">
              <w:t xml:space="preserve">IV induction treatment, </w:t>
            </w:r>
            <w:r w:rsidR="00352C9D" w:rsidRPr="004E025C">
              <w:t xml:space="preserve">VDZ </w:t>
            </w:r>
            <w:r w:rsidRPr="004E025C">
              <w:t xml:space="preserve">SC maintenance treatment is as effective as </w:t>
            </w:r>
            <w:r w:rsidR="00352C9D" w:rsidRPr="004E025C">
              <w:t xml:space="preserve">VDZ </w:t>
            </w:r>
            <w:r w:rsidRPr="004E025C">
              <w:t xml:space="preserve">IV maintenance treatment for clinical remission. </w:t>
            </w:r>
          </w:p>
          <w:p w:rsidR="00EB15E4" w:rsidRPr="004E025C" w:rsidRDefault="00EB15E4" w:rsidP="00A3364E">
            <w:pPr>
              <w:pStyle w:val="TableText0"/>
              <w:numPr>
                <w:ilvl w:val="0"/>
                <w:numId w:val="7"/>
              </w:numPr>
              <w:ind w:left="207" w:hanging="219"/>
            </w:pPr>
            <w:r w:rsidRPr="004E025C">
              <w:t>In patients with</w:t>
            </w:r>
            <w:r w:rsidR="00352C9D" w:rsidRPr="004E025C">
              <w:t xml:space="preserve"> severe CD</w:t>
            </w:r>
            <w:r w:rsidRPr="004E025C">
              <w:t xml:space="preserve"> who have responded to </w:t>
            </w:r>
            <w:r w:rsidR="00352C9D" w:rsidRPr="004E025C">
              <w:t xml:space="preserve">VDZ </w:t>
            </w:r>
            <w:r w:rsidRPr="004E025C">
              <w:t xml:space="preserve">IV induction treatment, </w:t>
            </w:r>
            <w:r w:rsidR="00352C9D" w:rsidRPr="004E025C">
              <w:t xml:space="preserve">VDZ </w:t>
            </w:r>
            <w:r w:rsidRPr="004E025C">
              <w:t xml:space="preserve">SC maintenance treatment is as effective as </w:t>
            </w:r>
            <w:r w:rsidR="00352C9D" w:rsidRPr="004E025C">
              <w:t xml:space="preserve">VDZ </w:t>
            </w:r>
            <w:r w:rsidRPr="004E025C">
              <w:t xml:space="preserve">IV maintenance treatment for clinical remission. </w:t>
            </w:r>
          </w:p>
          <w:p w:rsidR="00EB15E4" w:rsidRPr="004E025C" w:rsidRDefault="00352C9D" w:rsidP="00A3364E">
            <w:pPr>
              <w:pStyle w:val="TableText0"/>
              <w:numPr>
                <w:ilvl w:val="0"/>
                <w:numId w:val="7"/>
              </w:numPr>
              <w:ind w:left="207" w:hanging="219"/>
            </w:pPr>
            <w:r w:rsidRPr="004E025C">
              <w:t xml:space="preserve">VDZ </w:t>
            </w:r>
            <w:r w:rsidR="00EB15E4" w:rsidRPr="004E025C">
              <w:t xml:space="preserve">SC is associated with a similar safety and tolerability profile to that seen with </w:t>
            </w:r>
            <w:r w:rsidRPr="004E025C">
              <w:t xml:space="preserve">VDZ </w:t>
            </w:r>
            <w:r w:rsidR="00EB15E4" w:rsidRPr="004E025C">
              <w:t>IV.</w:t>
            </w:r>
          </w:p>
        </w:tc>
      </w:tr>
    </w:tbl>
    <w:p w:rsidR="00E90DEF" w:rsidRPr="004E025C" w:rsidRDefault="00EB15E4" w:rsidP="00AF5409">
      <w:pPr>
        <w:pStyle w:val="TableFigureFooter"/>
      </w:pPr>
      <w:r w:rsidRPr="004E025C">
        <w:t>Source: Table 1.1-1, p 6 of the submission.</w:t>
      </w:r>
    </w:p>
    <w:p w:rsidR="00F8396C" w:rsidRPr="004E025C" w:rsidRDefault="00C20745" w:rsidP="00F8396C">
      <w:pPr>
        <w:pStyle w:val="TableFigureFooter"/>
      </w:pPr>
      <w:r w:rsidRPr="004E025C">
        <w:t xml:space="preserve">IV = intravenous; SC = subcutaneous; </w:t>
      </w:r>
      <w:r w:rsidR="00F8396C" w:rsidRPr="004E025C">
        <w:t>VDZ= vedolizumab</w:t>
      </w:r>
    </w:p>
    <w:p w:rsidR="005C25FF" w:rsidRPr="004E025C" w:rsidRDefault="005C25FF" w:rsidP="004A6040">
      <w:pPr>
        <w:pStyle w:val="2-SectionHeading"/>
      </w:pPr>
      <w:bookmarkStart w:id="2" w:name="_Toc51141254"/>
      <w:r w:rsidRPr="004E025C">
        <w:t>Background</w:t>
      </w:r>
      <w:bookmarkEnd w:id="2"/>
    </w:p>
    <w:p w:rsidR="005C25FF" w:rsidRPr="004E025C" w:rsidRDefault="005C25FF" w:rsidP="004A6040">
      <w:pPr>
        <w:pStyle w:val="4-SubsectionHeading"/>
      </w:pPr>
      <w:bookmarkStart w:id="3" w:name="_Toc22897638"/>
      <w:bookmarkStart w:id="4" w:name="_Toc51141255"/>
      <w:r w:rsidRPr="004E025C">
        <w:t>Registration status</w:t>
      </w:r>
      <w:bookmarkEnd w:id="3"/>
      <w:bookmarkEnd w:id="4"/>
    </w:p>
    <w:p w:rsidR="00EB15E4" w:rsidRPr="004E025C" w:rsidRDefault="00EB15E4" w:rsidP="001C61AF">
      <w:pPr>
        <w:pStyle w:val="3-BodyText"/>
      </w:pPr>
      <w:r w:rsidRPr="004E025C">
        <w:t xml:space="preserve">Two presentations of </w:t>
      </w:r>
      <w:r w:rsidR="00621C90" w:rsidRPr="004E025C">
        <w:t>VDZ SC</w:t>
      </w:r>
      <w:r w:rsidRPr="004E025C">
        <w:t xml:space="preserve"> (vedolizumab 108 mg/0.68 m</w:t>
      </w:r>
      <w:r w:rsidR="00E42573" w:rsidRPr="004E025C">
        <w:t>L</w:t>
      </w:r>
      <w:r w:rsidRPr="004E025C">
        <w:t xml:space="preserve"> solution for injection prefilled syringe and </w:t>
      </w:r>
      <w:r w:rsidR="00EF6D33" w:rsidRPr="004E025C">
        <w:rPr>
          <w:snapToGrid/>
        </w:rPr>
        <w:t>VDZ</w:t>
      </w:r>
      <w:r w:rsidR="00EF6D33" w:rsidRPr="004E025C">
        <w:t xml:space="preserve"> </w:t>
      </w:r>
      <w:r w:rsidRPr="004E025C">
        <w:t>108 mg/0.68 m</w:t>
      </w:r>
      <w:r w:rsidR="00E42573" w:rsidRPr="004E025C">
        <w:t>L</w:t>
      </w:r>
      <w:r w:rsidRPr="004E025C">
        <w:t xml:space="preserve"> solution for injection pre-filled pen) were TGA registered on 12 May 2020 for the following indications:</w:t>
      </w:r>
    </w:p>
    <w:p w:rsidR="00EB15E4" w:rsidRPr="004E025C" w:rsidRDefault="00EB15E4" w:rsidP="00A3364E">
      <w:pPr>
        <w:pStyle w:val="3-BodyText"/>
        <w:numPr>
          <w:ilvl w:val="0"/>
          <w:numId w:val="14"/>
        </w:numPr>
      </w:pPr>
      <w:r w:rsidRPr="004E025C">
        <w:lastRenderedPageBreak/>
        <w:t>Treatment of adult patients with moderate to severe ulcerative colitis who have had an inadequate response with, lost response to, or are intolerant to either conventional therapy or a tumour necrosis factor-alpha (TNF-α) antagonist; and</w:t>
      </w:r>
    </w:p>
    <w:p w:rsidR="005C25FF" w:rsidRPr="004E025C" w:rsidRDefault="00EB15E4" w:rsidP="00A3364E">
      <w:pPr>
        <w:pStyle w:val="3-BodyText"/>
        <w:numPr>
          <w:ilvl w:val="0"/>
          <w:numId w:val="14"/>
        </w:numPr>
      </w:pPr>
      <w:r w:rsidRPr="004E025C">
        <w:t>Treatment of adult patients with moderate to severe Crohn’s disease who have had an inadequate response with, lost response to, or are intolerant to either conventional therapy or a tumour necrosis factor-alpha (TNF-α) antagonist.</w:t>
      </w:r>
      <w:r w:rsidR="007B6C28" w:rsidRPr="004E025C">
        <w:t xml:space="preserve"> </w:t>
      </w:r>
    </w:p>
    <w:p w:rsidR="000D3D47" w:rsidRPr="004E025C" w:rsidRDefault="000D3D47" w:rsidP="000D3D47">
      <w:pPr>
        <w:rPr>
          <w:i/>
        </w:rPr>
      </w:pPr>
      <w:r w:rsidRPr="004E025C">
        <w:rPr>
          <w:i/>
        </w:rPr>
        <w:t>For more detail on PBAC’s view, see section 7 PBAC outcome.</w:t>
      </w:r>
    </w:p>
    <w:p w:rsidR="00773709" w:rsidRPr="004E025C" w:rsidRDefault="00773709" w:rsidP="00773709">
      <w:pPr>
        <w:pStyle w:val="2-SectionHeading"/>
      </w:pPr>
      <w:bookmarkStart w:id="5" w:name="_Toc51141256"/>
      <w:r w:rsidRPr="004E025C">
        <w:t>Requested listings</w:t>
      </w:r>
      <w:bookmarkEnd w:id="5"/>
    </w:p>
    <w:p w:rsidR="008C49F2" w:rsidRPr="004E025C" w:rsidRDefault="008C49F2" w:rsidP="00240F5E">
      <w:pPr>
        <w:pStyle w:val="3-BodyText"/>
      </w:pPr>
      <w:r w:rsidRPr="004E025C">
        <w:t>The reque</w:t>
      </w:r>
      <w:r w:rsidR="007C4389" w:rsidRPr="004E025C">
        <w:t>sted listings for MSUC</w:t>
      </w:r>
      <w:r w:rsidRPr="004E025C">
        <w:t xml:space="preserve"> and severe </w:t>
      </w:r>
      <w:r w:rsidR="00211FCA" w:rsidRPr="004E025C">
        <w:t>CD</w:t>
      </w:r>
      <w:r w:rsidR="00240F5E" w:rsidRPr="004E025C">
        <w:t xml:space="preserve"> </w:t>
      </w:r>
      <w:r w:rsidRPr="004E025C">
        <w:t>are presented below.</w:t>
      </w:r>
      <w:r w:rsidR="00240F5E" w:rsidRPr="004E025C">
        <w:t xml:space="preserve"> </w:t>
      </w:r>
      <w:r w:rsidR="00A416E9" w:rsidRPr="004E025C">
        <w:t>Suggested additions are in italics and deletions are in strikethrough</w:t>
      </w:r>
      <w:r w:rsidR="00A416E9" w:rsidRPr="004E025C">
        <w:rPr>
          <w:i/>
        </w:rPr>
        <w:t>.</w:t>
      </w:r>
    </w:p>
    <w:p w:rsidR="008C49F2" w:rsidRPr="004E025C" w:rsidRDefault="008C49F2" w:rsidP="008C49F2"/>
    <w:p w:rsidR="00A416E9" w:rsidRPr="004E025C" w:rsidRDefault="00A416E9" w:rsidP="00A416E9">
      <w:pPr>
        <w:keepNext/>
        <w:keepLines/>
      </w:pPr>
      <w:r w:rsidRPr="004E025C">
        <w:rPr>
          <w:rFonts w:ascii="Arial Narrow" w:hAnsi="Arial Narrow"/>
          <w:b/>
          <w:sz w:val="18"/>
          <w:szCs w:val="18"/>
        </w:rPr>
        <w:t>Moderate to severe ulcerative colitis</w:t>
      </w:r>
    </w:p>
    <w:p w:rsidR="00A416E9" w:rsidRPr="004E025C" w:rsidRDefault="00A416E9" w:rsidP="00A416E9">
      <w:pPr>
        <w:keepNext/>
        <w:keepLines/>
        <w:rPr>
          <w:rFonts w:ascii="Arial Narrow" w:hAnsi="Arial Narrow"/>
          <w:b/>
          <w:sz w:val="18"/>
          <w:szCs w:val="18"/>
        </w:rPr>
      </w:pPr>
      <w:r w:rsidRPr="004E025C">
        <w:rPr>
          <w:rFonts w:ascii="Arial Narrow" w:hAnsi="Arial Narrow"/>
          <w:b/>
          <w:sz w:val="18"/>
          <w:szCs w:val="18"/>
        </w:rPr>
        <w:t>NEW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858"/>
        <w:gridCol w:w="716"/>
        <w:gridCol w:w="716"/>
        <w:gridCol w:w="716"/>
        <w:gridCol w:w="858"/>
        <w:gridCol w:w="1432"/>
      </w:tblGrid>
      <w:tr w:rsidR="00A416E9" w:rsidRPr="004E025C" w:rsidTr="001E7635">
        <w:trPr>
          <w:cantSplit/>
          <w:trHeight w:val="471"/>
        </w:trPr>
        <w:tc>
          <w:tcPr>
            <w:tcW w:w="2063" w:type="pct"/>
          </w:tcPr>
          <w:p w:rsidR="00A416E9" w:rsidRPr="004E025C" w:rsidRDefault="00A416E9" w:rsidP="00A416E9">
            <w:pPr>
              <w:keepNext/>
              <w:keepLines/>
              <w:ind w:left="-108"/>
              <w:rPr>
                <w:rFonts w:ascii="Arial Narrow" w:hAnsi="Arial Narrow"/>
                <w:b/>
                <w:color w:val="000000" w:themeColor="text1"/>
                <w:sz w:val="18"/>
                <w:szCs w:val="18"/>
              </w:rPr>
            </w:pPr>
            <w:r w:rsidRPr="004E025C">
              <w:rPr>
                <w:rFonts w:ascii="Arial Narrow" w:hAnsi="Arial Narrow"/>
                <w:b/>
                <w:color w:val="000000" w:themeColor="text1"/>
                <w:sz w:val="18"/>
                <w:szCs w:val="18"/>
              </w:rPr>
              <w:t>Name, Restriction,</w:t>
            </w:r>
          </w:p>
          <w:p w:rsidR="00A416E9" w:rsidRPr="004E025C" w:rsidRDefault="00A416E9" w:rsidP="00A416E9">
            <w:pPr>
              <w:keepNext/>
              <w:keepLines/>
              <w:ind w:left="-108"/>
              <w:rPr>
                <w:rFonts w:ascii="Arial Narrow" w:hAnsi="Arial Narrow"/>
                <w:b/>
                <w:color w:val="000000" w:themeColor="text1"/>
                <w:sz w:val="18"/>
                <w:szCs w:val="18"/>
              </w:rPr>
            </w:pPr>
            <w:r w:rsidRPr="004E025C">
              <w:rPr>
                <w:rFonts w:ascii="Arial Narrow" w:hAnsi="Arial Narrow"/>
                <w:b/>
                <w:color w:val="000000" w:themeColor="text1"/>
                <w:sz w:val="18"/>
                <w:szCs w:val="18"/>
              </w:rPr>
              <w:t>Manner of administration and form</w:t>
            </w:r>
          </w:p>
        </w:tc>
        <w:tc>
          <w:tcPr>
            <w:tcW w:w="476" w:type="pct"/>
          </w:tcPr>
          <w:p w:rsidR="00A416E9" w:rsidRPr="004E025C" w:rsidRDefault="00A416E9" w:rsidP="00A416E9">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PBS item code</w:t>
            </w:r>
          </w:p>
        </w:tc>
        <w:tc>
          <w:tcPr>
            <w:tcW w:w="397" w:type="pct"/>
          </w:tcPr>
          <w:p w:rsidR="00A416E9" w:rsidRPr="004E025C" w:rsidRDefault="00A416E9" w:rsidP="00A416E9">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packs</w:t>
            </w:r>
          </w:p>
        </w:tc>
        <w:tc>
          <w:tcPr>
            <w:tcW w:w="397" w:type="pct"/>
          </w:tcPr>
          <w:p w:rsidR="00A416E9" w:rsidRPr="004E025C" w:rsidRDefault="00A416E9" w:rsidP="00A416E9">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units</w:t>
            </w:r>
          </w:p>
        </w:tc>
        <w:tc>
          <w:tcPr>
            <w:tcW w:w="397" w:type="pct"/>
          </w:tcPr>
          <w:p w:rsidR="00A416E9" w:rsidRPr="004E025C" w:rsidRDefault="00A416E9" w:rsidP="00A416E9">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№.of</w:t>
            </w:r>
          </w:p>
          <w:p w:rsidR="00A416E9" w:rsidRPr="004E025C" w:rsidRDefault="00A416E9" w:rsidP="00A416E9">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Rpts</w:t>
            </w:r>
          </w:p>
        </w:tc>
        <w:tc>
          <w:tcPr>
            <w:tcW w:w="1270" w:type="pct"/>
            <w:gridSpan w:val="2"/>
          </w:tcPr>
          <w:p w:rsidR="00A416E9" w:rsidRPr="004E025C" w:rsidRDefault="00A416E9" w:rsidP="00A416E9">
            <w:pPr>
              <w:keepNext/>
              <w:keepLines/>
              <w:rPr>
                <w:rFonts w:ascii="Arial Narrow" w:hAnsi="Arial Narrow"/>
                <w:b/>
                <w:color w:val="000000" w:themeColor="text1"/>
                <w:sz w:val="18"/>
                <w:szCs w:val="18"/>
              </w:rPr>
            </w:pPr>
            <w:r w:rsidRPr="004E025C">
              <w:rPr>
                <w:rFonts w:ascii="Arial Narrow" w:hAnsi="Arial Narrow"/>
                <w:b/>
                <w:color w:val="000000" w:themeColor="text1"/>
                <w:sz w:val="18"/>
                <w:szCs w:val="18"/>
              </w:rPr>
              <w:t>Proprietary Name and Manufacturer</w:t>
            </w:r>
          </w:p>
        </w:tc>
      </w:tr>
      <w:tr w:rsidR="00A416E9" w:rsidRPr="004E025C" w:rsidTr="001E7635">
        <w:trPr>
          <w:cantSplit/>
          <w:trHeight w:val="346"/>
        </w:trPr>
        <w:tc>
          <w:tcPr>
            <w:tcW w:w="2063" w:type="pct"/>
          </w:tcPr>
          <w:p w:rsidR="00A416E9" w:rsidRPr="004E025C" w:rsidRDefault="00A416E9" w:rsidP="00A416E9">
            <w:pPr>
              <w:keepNext/>
              <w:keepLines/>
              <w:ind w:left="-108"/>
              <w:rPr>
                <w:rFonts w:ascii="Arial Narrow" w:hAnsi="Arial Narrow"/>
                <w:sz w:val="18"/>
                <w:szCs w:val="18"/>
              </w:rPr>
            </w:pPr>
            <w:r w:rsidRPr="004E025C">
              <w:rPr>
                <w:rFonts w:ascii="Arial Narrow" w:hAnsi="Arial Narrow" w:cstheme="minorHAnsi"/>
                <w:sz w:val="18"/>
                <w:szCs w:val="18"/>
              </w:rPr>
              <w:t>VEDOLIZUMAB 108 mg/0.68 mL injection, 2 x 0.68 mL syringes</w:t>
            </w:r>
          </w:p>
          <w:p w:rsidR="00A416E9" w:rsidRPr="004E025C" w:rsidRDefault="00A416E9" w:rsidP="00A416E9">
            <w:pPr>
              <w:keepNext/>
              <w:keepLines/>
              <w:ind w:left="-108"/>
              <w:rPr>
                <w:rFonts w:ascii="Arial Narrow" w:hAnsi="Arial Narrow"/>
                <w:color w:val="000000" w:themeColor="text1"/>
                <w:sz w:val="18"/>
                <w:szCs w:val="18"/>
              </w:rPr>
            </w:pPr>
          </w:p>
        </w:tc>
        <w:tc>
          <w:tcPr>
            <w:tcW w:w="476" w:type="pct"/>
          </w:tcPr>
          <w:p w:rsidR="00A416E9" w:rsidRPr="004E025C" w:rsidRDefault="00A416E9" w:rsidP="00A416E9">
            <w:pPr>
              <w:keepNext/>
              <w:keepLines/>
              <w:ind w:left="-108"/>
              <w:jc w:val="center"/>
              <w:rPr>
                <w:rFonts w:ascii="Arial Narrow" w:hAnsi="Arial Narrow"/>
                <w:sz w:val="18"/>
                <w:szCs w:val="18"/>
              </w:rPr>
            </w:pPr>
            <w:r w:rsidRPr="004E025C">
              <w:rPr>
                <w:rFonts w:ascii="Arial Narrow" w:hAnsi="Arial Narrow"/>
                <w:sz w:val="18"/>
                <w:szCs w:val="18"/>
              </w:rPr>
              <w:t>NEW</w:t>
            </w:r>
          </w:p>
          <w:p w:rsidR="00A416E9" w:rsidRPr="004E025C" w:rsidRDefault="00A416E9" w:rsidP="00A416E9">
            <w:pPr>
              <w:keepNext/>
              <w:keepLines/>
              <w:ind w:left="-108"/>
              <w:jc w:val="center"/>
              <w:rPr>
                <w:rFonts w:ascii="Arial Narrow" w:hAnsi="Arial Narrow"/>
                <w:color w:val="000000" w:themeColor="text1"/>
                <w:sz w:val="18"/>
                <w:szCs w:val="18"/>
              </w:rPr>
            </w:pPr>
            <w:r w:rsidRPr="004E025C">
              <w:rPr>
                <w:rFonts w:ascii="Arial Narrow" w:hAnsi="Arial Narrow"/>
                <w:sz w:val="18"/>
                <w:szCs w:val="18"/>
              </w:rPr>
              <w:t>NEW</w:t>
            </w:r>
          </w:p>
        </w:tc>
        <w:tc>
          <w:tcPr>
            <w:tcW w:w="397" w:type="pct"/>
          </w:tcPr>
          <w:p w:rsidR="00A416E9" w:rsidRPr="004E025C" w:rsidRDefault="00A416E9" w:rsidP="00A416E9">
            <w:pPr>
              <w:keepNext/>
              <w:keepLines/>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A416E9" w:rsidRPr="004E025C" w:rsidRDefault="00A416E9" w:rsidP="00A416E9">
            <w:pPr>
              <w:keepNext/>
              <w:keepLines/>
              <w:ind w:left="-108"/>
              <w:jc w:val="center"/>
              <w:rPr>
                <w:rFonts w:ascii="Arial Narrow" w:hAnsi="Arial Narrow"/>
                <w:color w:val="000000" w:themeColor="text1"/>
                <w:sz w:val="18"/>
                <w:szCs w:val="18"/>
              </w:rPr>
            </w:pPr>
            <w:r w:rsidRPr="004E025C">
              <w:rPr>
                <w:rFonts w:ascii="Arial Narrow" w:hAnsi="Arial Narrow"/>
                <w:sz w:val="18"/>
                <w:szCs w:val="18"/>
              </w:rPr>
              <w:t>2</w:t>
            </w:r>
          </w:p>
        </w:tc>
        <w:tc>
          <w:tcPr>
            <w:tcW w:w="397" w:type="pct"/>
          </w:tcPr>
          <w:p w:rsidR="00A416E9" w:rsidRPr="004E025C" w:rsidRDefault="00A416E9" w:rsidP="00A416E9">
            <w:pPr>
              <w:keepNext/>
              <w:keepLines/>
              <w:ind w:left="-108"/>
              <w:jc w:val="center"/>
              <w:rPr>
                <w:rFonts w:ascii="Arial Narrow" w:hAnsi="Arial Narrow"/>
                <w:sz w:val="18"/>
                <w:szCs w:val="18"/>
              </w:rPr>
            </w:pPr>
            <w:r w:rsidRPr="004E025C">
              <w:rPr>
                <w:rFonts w:ascii="Arial Narrow" w:hAnsi="Arial Narrow"/>
                <w:sz w:val="18"/>
                <w:szCs w:val="18"/>
              </w:rPr>
              <w:t>1</w:t>
            </w:r>
          </w:p>
          <w:p w:rsidR="00A416E9" w:rsidRPr="004E025C" w:rsidRDefault="00A416E9" w:rsidP="00A416E9">
            <w:pPr>
              <w:keepNext/>
              <w:keepLines/>
              <w:rPr>
                <w:rFonts w:ascii="Arial Narrow" w:hAnsi="Arial Narrow"/>
                <w:color w:val="000000" w:themeColor="text1"/>
                <w:sz w:val="18"/>
                <w:szCs w:val="18"/>
              </w:rPr>
            </w:pPr>
          </w:p>
        </w:tc>
        <w:tc>
          <w:tcPr>
            <w:tcW w:w="476" w:type="pct"/>
          </w:tcPr>
          <w:p w:rsidR="00A416E9" w:rsidRPr="004E025C" w:rsidRDefault="00A416E9" w:rsidP="00A416E9">
            <w:pPr>
              <w:keepNext/>
              <w:keepLines/>
              <w:rPr>
                <w:rFonts w:ascii="Arial Narrow" w:hAnsi="Arial Narrow"/>
                <w:color w:val="000000" w:themeColor="text1"/>
                <w:sz w:val="18"/>
                <w:szCs w:val="18"/>
              </w:rPr>
            </w:pPr>
            <w:r w:rsidRPr="004E025C">
              <w:rPr>
                <w:rFonts w:ascii="Arial Narrow" w:hAnsi="Arial Narrow"/>
                <w:sz w:val="18"/>
                <w:szCs w:val="18"/>
              </w:rPr>
              <w:t>Entyvio</w:t>
            </w:r>
            <w:r w:rsidRPr="004E025C">
              <w:rPr>
                <w:rFonts w:ascii="Arial Narrow" w:hAnsi="Arial Narrow"/>
                <w:sz w:val="18"/>
                <w:szCs w:val="18"/>
                <w:vertAlign w:val="superscript"/>
              </w:rPr>
              <w:t>®</w:t>
            </w:r>
          </w:p>
          <w:p w:rsidR="00A416E9" w:rsidRPr="004E025C" w:rsidRDefault="00A416E9" w:rsidP="00A416E9">
            <w:pPr>
              <w:keepNext/>
              <w:keepLines/>
              <w:rPr>
                <w:rFonts w:ascii="Arial Narrow" w:hAnsi="Arial Narrow"/>
                <w:sz w:val="18"/>
                <w:szCs w:val="18"/>
              </w:rPr>
            </w:pPr>
          </w:p>
        </w:tc>
        <w:tc>
          <w:tcPr>
            <w:tcW w:w="794" w:type="pct"/>
          </w:tcPr>
          <w:p w:rsidR="00A416E9" w:rsidRPr="004E025C" w:rsidRDefault="00A416E9" w:rsidP="00A416E9">
            <w:pPr>
              <w:keepNext/>
              <w:keepLines/>
              <w:rPr>
                <w:rFonts w:ascii="Arial Narrow" w:hAnsi="Arial Narrow"/>
                <w:color w:val="000000" w:themeColor="text1"/>
                <w:sz w:val="18"/>
                <w:szCs w:val="18"/>
              </w:rPr>
            </w:pPr>
            <w:r w:rsidRPr="004E025C">
              <w:rPr>
                <w:rFonts w:ascii="Arial Narrow" w:hAnsi="Arial Narrow"/>
                <w:sz w:val="18"/>
                <w:szCs w:val="18"/>
              </w:rPr>
              <w:t>Takeda Pharmaceuticals Australia Pty Ltd</w:t>
            </w:r>
          </w:p>
        </w:tc>
      </w:tr>
      <w:tr w:rsidR="00A416E9" w:rsidRPr="004E025C" w:rsidTr="001E7635">
        <w:trPr>
          <w:cantSplit/>
          <w:trHeight w:val="346"/>
        </w:trPr>
        <w:tc>
          <w:tcPr>
            <w:tcW w:w="2063" w:type="pct"/>
          </w:tcPr>
          <w:p w:rsidR="00A416E9" w:rsidRPr="004E025C" w:rsidRDefault="00A416E9" w:rsidP="00A416E9">
            <w:pPr>
              <w:keepNext/>
              <w:keepLines/>
              <w:ind w:left="-108"/>
              <w:rPr>
                <w:rFonts w:ascii="Arial Narrow" w:hAnsi="Arial Narrow" w:cstheme="minorHAnsi"/>
                <w:sz w:val="18"/>
                <w:szCs w:val="18"/>
              </w:rPr>
            </w:pPr>
            <w:r w:rsidRPr="004E025C">
              <w:rPr>
                <w:rFonts w:ascii="Arial Narrow" w:hAnsi="Arial Narrow" w:cstheme="minorHAnsi"/>
                <w:sz w:val="18"/>
                <w:szCs w:val="18"/>
              </w:rPr>
              <w:t>VEDOLIZUMAB 108 mg/0.68 mL injection, 2 x 0.68 mL pen devices</w:t>
            </w:r>
          </w:p>
        </w:tc>
        <w:tc>
          <w:tcPr>
            <w:tcW w:w="476" w:type="pct"/>
          </w:tcPr>
          <w:p w:rsidR="00A416E9" w:rsidRPr="004E025C" w:rsidRDefault="00A416E9" w:rsidP="00A416E9">
            <w:pPr>
              <w:keepNext/>
              <w:keepLines/>
              <w:ind w:left="-108"/>
              <w:jc w:val="center"/>
              <w:rPr>
                <w:rFonts w:ascii="Arial Narrow" w:hAnsi="Arial Narrow"/>
                <w:sz w:val="18"/>
                <w:szCs w:val="18"/>
              </w:rPr>
            </w:pPr>
            <w:r w:rsidRPr="004E025C">
              <w:rPr>
                <w:rFonts w:ascii="Arial Narrow" w:hAnsi="Arial Narrow"/>
                <w:sz w:val="18"/>
                <w:szCs w:val="18"/>
              </w:rPr>
              <w:t>NEW</w:t>
            </w:r>
          </w:p>
          <w:p w:rsidR="00A416E9" w:rsidRPr="004E025C" w:rsidRDefault="00A416E9" w:rsidP="00A416E9">
            <w:pPr>
              <w:keepNext/>
              <w:keepLines/>
              <w:ind w:left="-108"/>
              <w:jc w:val="center"/>
              <w:rPr>
                <w:rFonts w:ascii="Arial Narrow" w:hAnsi="Arial Narrow"/>
                <w:sz w:val="18"/>
                <w:szCs w:val="18"/>
              </w:rPr>
            </w:pPr>
            <w:r w:rsidRPr="004E025C">
              <w:rPr>
                <w:rFonts w:ascii="Arial Narrow" w:hAnsi="Arial Narrow"/>
                <w:sz w:val="18"/>
                <w:szCs w:val="18"/>
              </w:rPr>
              <w:t>NEW</w:t>
            </w:r>
          </w:p>
        </w:tc>
        <w:tc>
          <w:tcPr>
            <w:tcW w:w="397" w:type="pct"/>
          </w:tcPr>
          <w:p w:rsidR="00A416E9" w:rsidRPr="004E025C" w:rsidRDefault="00A416E9" w:rsidP="00A416E9">
            <w:pPr>
              <w:keepNext/>
              <w:keepLines/>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A416E9" w:rsidRPr="004E025C" w:rsidRDefault="00A416E9" w:rsidP="00A416E9">
            <w:pPr>
              <w:keepNext/>
              <w:keepLines/>
              <w:ind w:left="-108"/>
              <w:jc w:val="center"/>
              <w:rPr>
                <w:rFonts w:ascii="Arial Narrow" w:hAnsi="Arial Narrow"/>
                <w:sz w:val="18"/>
                <w:szCs w:val="18"/>
              </w:rPr>
            </w:pPr>
            <w:r w:rsidRPr="004E025C">
              <w:rPr>
                <w:rFonts w:ascii="Arial Narrow" w:hAnsi="Arial Narrow"/>
                <w:sz w:val="18"/>
                <w:szCs w:val="18"/>
              </w:rPr>
              <w:t>2</w:t>
            </w:r>
          </w:p>
        </w:tc>
        <w:tc>
          <w:tcPr>
            <w:tcW w:w="397" w:type="pct"/>
          </w:tcPr>
          <w:p w:rsidR="00A416E9" w:rsidRPr="004E025C" w:rsidRDefault="00A416E9" w:rsidP="00A416E9">
            <w:pPr>
              <w:keepNext/>
              <w:keepLines/>
              <w:ind w:left="-108"/>
              <w:jc w:val="center"/>
              <w:rPr>
                <w:rFonts w:ascii="Arial Narrow" w:hAnsi="Arial Narrow"/>
                <w:sz w:val="18"/>
                <w:szCs w:val="18"/>
              </w:rPr>
            </w:pPr>
            <w:r w:rsidRPr="004E025C">
              <w:rPr>
                <w:rFonts w:ascii="Arial Narrow" w:hAnsi="Arial Narrow"/>
                <w:sz w:val="18"/>
                <w:szCs w:val="18"/>
              </w:rPr>
              <w:t>1</w:t>
            </w:r>
          </w:p>
          <w:p w:rsidR="00A416E9" w:rsidRPr="004E025C" w:rsidRDefault="00A416E9" w:rsidP="00A416E9">
            <w:pPr>
              <w:keepNext/>
              <w:keepLines/>
              <w:ind w:left="-108"/>
              <w:jc w:val="center"/>
              <w:rPr>
                <w:rFonts w:ascii="Arial Narrow" w:hAnsi="Arial Narrow"/>
                <w:sz w:val="18"/>
                <w:szCs w:val="18"/>
              </w:rPr>
            </w:pPr>
          </w:p>
        </w:tc>
        <w:tc>
          <w:tcPr>
            <w:tcW w:w="476" w:type="pct"/>
          </w:tcPr>
          <w:p w:rsidR="00A416E9" w:rsidRPr="004E025C" w:rsidRDefault="00A416E9" w:rsidP="00A416E9">
            <w:pPr>
              <w:keepNext/>
              <w:keepLines/>
              <w:rPr>
                <w:rFonts w:ascii="Arial Narrow" w:hAnsi="Arial Narrow"/>
                <w:sz w:val="18"/>
                <w:szCs w:val="18"/>
              </w:rPr>
            </w:pPr>
            <w:r w:rsidRPr="004E025C">
              <w:rPr>
                <w:rFonts w:ascii="Arial Narrow" w:hAnsi="Arial Narrow"/>
                <w:sz w:val="18"/>
                <w:szCs w:val="18"/>
              </w:rPr>
              <w:t>Entyvio</w:t>
            </w:r>
            <w:r w:rsidRPr="004E025C">
              <w:rPr>
                <w:rFonts w:ascii="Arial Narrow" w:hAnsi="Arial Narrow"/>
                <w:sz w:val="18"/>
                <w:szCs w:val="18"/>
                <w:vertAlign w:val="superscript"/>
              </w:rPr>
              <w:t xml:space="preserve"> ®</w:t>
            </w:r>
          </w:p>
        </w:tc>
        <w:tc>
          <w:tcPr>
            <w:tcW w:w="794" w:type="pct"/>
          </w:tcPr>
          <w:p w:rsidR="00A416E9" w:rsidRPr="004E025C" w:rsidRDefault="00A416E9" w:rsidP="00A416E9">
            <w:pPr>
              <w:keepNext/>
              <w:keepLines/>
              <w:rPr>
                <w:rFonts w:ascii="Arial Narrow" w:hAnsi="Arial Narrow"/>
                <w:sz w:val="18"/>
                <w:szCs w:val="18"/>
              </w:rPr>
            </w:pPr>
            <w:r w:rsidRPr="004E025C">
              <w:rPr>
                <w:rFonts w:ascii="Arial Narrow" w:hAnsi="Arial Narrow"/>
                <w:sz w:val="18"/>
                <w:szCs w:val="18"/>
              </w:rPr>
              <w:t>Takeda Pharmaceuticals Australia Pty Ltd</w:t>
            </w:r>
          </w:p>
        </w:tc>
      </w:tr>
    </w:tbl>
    <w:p w:rsidR="00A416E9" w:rsidRPr="004E025C" w:rsidRDefault="00A416E9" w:rsidP="00A416E9">
      <w:pPr>
        <w:rPr>
          <w:sz w:val="20"/>
          <w:szCs w:val="20"/>
        </w:rPr>
      </w:pPr>
    </w:p>
    <w:p w:rsidR="00B663D0" w:rsidRDefault="00B663D0">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Category / Program</w:t>
            </w:r>
            <w:r w:rsidRPr="004E025C">
              <w:rPr>
                <w:rFonts w:ascii="Arial Narrow" w:hAnsi="Arial Narrow"/>
                <w:sz w:val="18"/>
                <w:szCs w:val="18"/>
              </w:rPr>
              <w:t>: GENERAL – General Schedule (Code GE)</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Prescriber Type(s)</w:t>
            </w:r>
            <w:r w:rsidRPr="004E025C">
              <w:rPr>
                <w:rFonts w:ascii="Arial Narrow" w:hAnsi="Arial Narrow"/>
                <w:sz w:val="18"/>
                <w:szCs w:val="18"/>
              </w:rPr>
              <w:t>: Medical Practitioners</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PBS Indication</w:t>
            </w:r>
            <w:r w:rsidRPr="004E025C">
              <w:rPr>
                <w:rFonts w:ascii="Arial Narrow" w:hAnsi="Arial Narrow"/>
                <w:sz w:val="18"/>
                <w:szCs w:val="18"/>
              </w:rPr>
              <w:t>: Moderate to severe ulcerative colitis</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Treatment phase</w:t>
            </w:r>
            <w:r w:rsidRPr="004E025C">
              <w:rPr>
                <w:rFonts w:ascii="Arial Narrow" w:hAnsi="Arial Narrow"/>
                <w:sz w:val="18"/>
                <w:szCs w:val="18"/>
              </w:rPr>
              <w:t xml:space="preserve"> : </w:t>
            </w:r>
            <w:r w:rsidRPr="004E025C">
              <w:rPr>
                <w:rFonts w:ascii="Arial Narrow" w:hAnsi="Arial Narrow"/>
                <w:b/>
                <w:sz w:val="18"/>
                <w:szCs w:val="18"/>
              </w:rPr>
              <w:t>Initial treatment with subcutaneous form at weeks 6, 8, 10 and 12</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Restriction Type</w:t>
            </w:r>
            <w:r w:rsidRPr="004E025C">
              <w:rPr>
                <w:rFonts w:ascii="Arial Narrow" w:hAnsi="Arial Narrow"/>
                <w:sz w:val="18"/>
                <w:szCs w:val="18"/>
              </w:rPr>
              <w:t xml:space="preserve">: Authority required - </w:t>
            </w:r>
            <w:r w:rsidRPr="004E025C">
              <w:rPr>
                <w:rFonts w:ascii="Arial Narrow" w:eastAsia="Calibri" w:hAnsi="Arial Narrow"/>
                <w:sz w:val="18"/>
                <w:szCs w:val="18"/>
              </w:rPr>
              <w:t>immediate/real time assessment by Medicare (telephone/online/emergency)</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Treatment criteria:</w:t>
            </w:r>
          </w:p>
          <w:p w:rsidR="00D65CDD" w:rsidRPr="004E025C" w:rsidRDefault="00D65CDD" w:rsidP="007D125E">
            <w:pPr>
              <w:rPr>
                <w:rFonts w:ascii="Arial Narrow" w:hAnsi="Arial Narrow"/>
                <w:sz w:val="18"/>
                <w:szCs w:val="18"/>
              </w:rPr>
            </w:pPr>
            <w:r w:rsidRPr="004E025C">
              <w:rPr>
                <w:rFonts w:ascii="Arial Narrow" w:hAnsi="Arial Narrow"/>
                <w:sz w:val="18"/>
                <w:szCs w:val="18"/>
              </w:rPr>
              <w:t>Must be treated by a gastroenterologist (code 87); or</w:t>
            </w:r>
          </w:p>
          <w:p w:rsidR="00D65CDD" w:rsidRPr="004E025C" w:rsidRDefault="00D65CDD" w:rsidP="007D125E">
            <w:pPr>
              <w:rPr>
                <w:rFonts w:ascii="Arial Narrow" w:hAnsi="Arial Narrow"/>
                <w:sz w:val="18"/>
                <w:szCs w:val="18"/>
              </w:rPr>
            </w:pPr>
            <w:r w:rsidRPr="004E025C">
              <w:rPr>
                <w:rFonts w:ascii="Arial Narrow" w:hAnsi="Arial Narrow"/>
                <w:sz w:val="18"/>
                <w:szCs w:val="18"/>
              </w:rPr>
              <w:t>Must be treated by a consultant physician [internal medicine specialising in gastroenterology (code 81)]; or</w:t>
            </w:r>
          </w:p>
          <w:p w:rsidR="00D65CDD" w:rsidRPr="004E025C" w:rsidRDefault="00D65CDD" w:rsidP="007D125E">
            <w:pPr>
              <w:rPr>
                <w:rFonts w:ascii="Arial Narrow" w:hAnsi="Arial Narrow"/>
                <w:sz w:val="18"/>
                <w:szCs w:val="18"/>
              </w:rPr>
            </w:pPr>
            <w:r w:rsidRPr="004E025C">
              <w:rPr>
                <w:rFonts w:ascii="Arial Narrow" w:hAnsi="Arial Narrow"/>
                <w:sz w:val="18"/>
                <w:szCs w:val="18"/>
              </w:rPr>
              <w:t>Must be treated by a consultant physician [general medicine specialising in gastroenterology (code 82)]</w:t>
            </w:r>
          </w:p>
          <w:p w:rsidR="00D65CDD" w:rsidRPr="004E025C" w:rsidRDefault="00D65CDD" w:rsidP="007D125E">
            <w:pPr>
              <w:rPr>
                <w:rFonts w:ascii="Arial Narrow" w:hAnsi="Arial Narrow"/>
                <w:sz w:val="18"/>
                <w:szCs w:val="18"/>
              </w:rPr>
            </w:pP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Clinical criteria</w:t>
            </w:r>
          </w:p>
          <w:p w:rsidR="00D65CDD" w:rsidRPr="004E025C" w:rsidRDefault="00D65CDD" w:rsidP="007D125E">
            <w:pPr>
              <w:rPr>
                <w:rFonts w:ascii="Arial Narrow" w:hAnsi="Arial Narrow"/>
                <w:sz w:val="18"/>
                <w:szCs w:val="18"/>
              </w:rPr>
            </w:pPr>
            <w:r w:rsidRPr="004E025C">
              <w:rPr>
                <w:rFonts w:ascii="Arial Narrow" w:hAnsi="Arial Narrow"/>
                <w:sz w:val="18"/>
                <w:szCs w:val="18"/>
              </w:rPr>
              <w:t>Patient must have received insufficient therapy with this drug for this condition under the Initial 1 (new patient) restriction to complete 14 weeks treatment if the patient wants to switch to the subcutaneous form at week 6 dose (the initial infusion regimen at 0 and 2); or</w:t>
            </w:r>
          </w:p>
          <w:p w:rsidR="00D65CDD" w:rsidRPr="004E025C" w:rsidRDefault="00D65CDD" w:rsidP="007D125E">
            <w:pPr>
              <w:rPr>
                <w:rFonts w:ascii="Arial Narrow" w:hAnsi="Arial Narrow"/>
                <w:sz w:val="18"/>
                <w:szCs w:val="18"/>
              </w:rPr>
            </w:pPr>
            <w:r w:rsidRPr="004E025C">
              <w:rPr>
                <w:rFonts w:ascii="Arial Narrow" w:hAnsi="Arial Narrow"/>
                <w:sz w:val="18"/>
                <w:szCs w:val="18"/>
              </w:rPr>
              <w:t>Patient must have received insufficient therapy with this drug for this condition under the Initial 2 (change or recommencement of treatment after a break in biological medicine of less than 5 years) restriction to complete  14 weeks treatment if the patient wants to switch to the subcutaneous form at week 6 dose (the initial infusion regimen at 0 and 2); or</w:t>
            </w:r>
          </w:p>
          <w:p w:rsidR="00D65CDD" w:rsidRPr="004E025C" w:rsidRDefault="00D65CDD" w:rsidP="007D125E">
            <w:pPr>
              <w:rPr>
                <w:rFonts w:ascii="Arial Narrow" w:hAnsi="Arial Narrow"/>
                <w:sz w:val="18"/>
                <w:szCs w:val="18"/>
              </w:rPr>
            </w:pPr>
            <w:r w:rsidRPr="004E025C">
              <w:rPr>
                <w:rFonts w:ascii="Arial Narrow" w:hAnsi="Arial Narrow"/>
                <w:sz w:val="18"/>
                <w:szCs w:val="18"/>
              </w:rPr>
              <w:t>Patient must have received insufficient therapy with this drug for this condition under the Initial 3 (recommencement of treatment after a break in biological medicine of more than 5 years) restriction to complete 14 weeks treatment if the patient wants to switch to the subcutaneous form at week 6 dose (the initial infusion regimen at 0 and 2)</w:t>
            </w:r>
          </w:p>
          <w:p w:rsidR="00D65CDD" w:rsidRPr="004E025C" w:rsidRDefault="00D65CDD" w:rsidP="007D125E">
            <w:pPr>
              <w:rPr>
                <w:rFonts w:ascii="Arial Narrow" w:hAnsi="Arial Narrow"/>
                <w:sz w:val="18"/>
                <w:szCs w:val="18"/>
              </w:rPr>
            </w:pPr>
            <w:r w:rsidRPr="004E025C">
              <w:rPr>
                <w:rFonts w:ascii="Arial Narrow" w:hAnsi="Arial Narrow"/>
                <w:sz w:val="18"/>
                <w:szCs w:val="18"/>
              </w:rPr>
              <w:t>AND</w:t>
            </w:r>
          </w:p>
          <w:p w:rsidR="00D65CDD" w:rsidRPr="004E025C" w:rsidRDefault="00D65CDD" w:rsidP="007D125E">
            <w:pPr>
              <w:rPr>
                <w:rFonts w:ascii="Arial Narrow" w:hAnsi="Arial Narrow"/>
                <w:sz w:val="18"/>
                <w:szCs w:val="18"/>
              </w:rPr>
            </w:pPr>
            <w:r w:rsidRPr="004E025C">
              <w:rPr>
                <w:rFonts w:ascii="Arial Narrow" w:hAnsi="Arial Narrow"/>
                <w:sz w:val="18"/>
                <w:szCs w:val="18"/>
              </w:rPr>
              <w:t>The treatment must provide no more than the balance of up to 4 doses of subcutaneous form to complete 14 weeks of therapy available under Initial 1, 2 or 3 treatment</w:t>
            </w:r>
          </w:p>
          <w:p w:rsidR="00D65CDD" w:rsidRPr="004E025C" w:rsidRDefault="00D65CDD" w:rsidP="007D125E">
            <w:pPr>
              <w:rPr>
                <w:rFonts w:ascii="Arial Narrow" w:hAnsi="Arial Narrow"/>
                <w:sz w:val="18"/>
                <w:szCs w:val="18"/>
              </w:rPr>
            </w:pPr>
            <w:r w:rsidRPr="004E025C">
              <w:rPr>
                <w:rFonts w:ascii="Arial Narrow" w:hAnsi="Arial Narrow"/>
                <w:sz w:val="18"/>
                <w:szCs w:val="18"/>
              </w:rPr>
              <w:t>AND</w:t>
            </w:r>
          </w:p>
          <w:p w:rsidR="00D65CDD" w:rsidRPr="004E025C" w:rsidRDefault="00D65CDD" w:rsidP="007D125E">
            <w:pPr>
              <w:rPr>
                <w:rFonts w:ascii="Arial Narrow" w:hAnsi="Arial Narrow"/>
                <w:sz w:val="18"/>
                <w:szCs w:val="18"/>
              </w:rPr>
            </w:pPr>
            <w:r w:rsidRPr="004E025C">
              <w:rPr>
                <w:rFonts w:ascii="Arial Narrow" w:hAnsi="Arial Narrow"/>
                <w:sz w:val="18"/>
                <w:szCs w:val="18"/>
              </w:rPr>
              <w:t>Patient must be appropriately assessed for the risk of developing progressive multifocal leukoencephalopathy whilst on this treatment</w:t>
            </w:r>
          </w:p>
          <w:p w:rsidR="00D65CDD" w:rsidRPr="004E025C" w:rsidRDefault="00D65CDD" w:rsidP="007D125E">
            <w:pPr>
              <w:rPr>
                <w:rFonts w:ascii="Arial Narrow" w:hAnsi="Arial Narrow"/>
                <w:sz w:val="18"/>
                <w:szCs w:val="18"/>
              </w:rPr>
            </w:pPr>
          </w:p>
        </w:tc>
      </w:tr>
      <w:tr w:rsidR="00D65CDD" w:rsidRPr="004E025C" w:rsidTr="00D65CDD">
        <w:tc>
          <w:tcPr>
            <w:tcW w:w="5000" w:type="pct"/>
          </w:tcPr>
          <w:p w:rsidR="00D65CDD" w:rsidRPr="004E025C" w:rsidRDefault="00D65CDD" w:rsidP="007D125E">
            <w:pPr>
              <w:rPr>
                <w:rFonts w:ascii="Arial Narrow" w:hAnsi="Arial Narrow"/>
                <w:b/>
                <w:sz w:val="18"/>
                <w:szCs w:val="18"/>
              </w:rPr>
            </w:pPr>
            <w:r w:rsidRPr="004E025C">
              <w:rPr>
                <w:rFonts w:ascii="Arial Narrow" w:hAnsi="Arial Narrow"/>
                <w:b/>
                <w:sz w:val="18"/>
                <w:szCs w:val="18"/>
              </w:rPr>
              <w:t>Prescriber Instructions</w:t>
            </w:r>
          </w:p>
          <w:p w:rsidR="00D65CDD" w:rsidRPr="004E025C" w:rsidRDefault="00D65CDD" w:rsidP="00717A78">
            <w:pPr>
              <w:rPr>
                <w:rFonts w:ascii="Arial Narrow" w:hAnsi="Arial Narrow"/>
                <w:sz w:val="18"/>
                <w:szCs w:val="18"/>
              </w:rPr>
            </w:pPr>
            <w:r>
              <w:rPr>
                <w:rFonts w:ascii="Arial Narrow" w:hAnsi="Arial Narrow"/>
                <w:i/>
                <w:sz w:val="18"/>
                <w:szCs w:val="18"/>
              </w:rPr>
              <w:t xml:space="preserve">At </w:t>
            </w:r>
            <w:r w:rsidRPr="00717A78">
              <w:rPr>
                <w:rFonts w:ascii="Arial Narrow" w:hAnsi="Arial Narrow"/>
                <w:i/>
                <w:sz w:val="18"/>
                <w:szCs w:val="18"/>
              </w:rPr>
              <w:t>least</w:t>
            </w:r>
            <w:r>
              <w:rPr>
                <w:rFonts w:ascii="Arial Narrow" w:hAnsi="Arial Narrow"/>
                <w:sz w:val="18"/>
                <w:szCs w:val="18"/>
              </w:rPr>
              <w:t xml:space="preserve"> t</w:t>
            </w:r>
            <w:r w:rsidRPr="004E025C">
              <w:rPr>
                <w:rFonts w:ascii="Arial Narrow" w:hAnsi="Arial Narrow"/>
                <w:sz w:val="18"/>
                <w:szCs w:val="18"/>
              </w:rPr>
              <w:t xml:space="preserve">wo initial doses of vedolizumab (at weeks 0 and 2) must be administered via intravenous infusion. </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Administrative Advice</w:t>
            </w:r>
          </w:p>
          <w:p w:rsidR="00D65CDD" w:rsidRPr="004E025C" w:rsidRDefault="00D65CDD" w:rsidP="007D125E">
            <w:pPr>
              <w:rPr>
                <w:rFonts w:ascii="Arial Narrow" w:hAnsi="Arial Narrow"/>
                <w:sz w:val="18"/>
                <w:szCs w:val="18"/>
              </w:rPr>
            </w:pPr>
            <w:r w:rsidRPr="004E025C">
              <w:rPr>
                <w:rFonts w:ascii="Arial Narrow" w:hAnsi="Arial Narrow"/>
                <w:sz w:val="18"/>
                <w:szCs w:val="18"/>
              </w:rPr>
              <w:lastRenderedPageBreak/>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p w:rsidR="00D65CDD" w:rsidRPr="004E025C" w:rsidRDefault="00D65CDD" w:rsidP="007D125E">
            <w:pPr>
              <w:rPr>
                <w:rFonts w:ascii="Arial Narrow" w:hAnsi="Arial Narrow"/>
                <w:sz w:val="18"/>
                <w:szCs w:val="18"/>
              </w:rPr>
            </w:pPr>
          </w:p>
        </w:tc>
      </w:tr>
    </w:tbl>
    <w:p w:rsidR="00A416E9" w:rsidRPr="004E025C" w:rsidRDefault="00A416E9" w:rsidP="00A416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859"/>
        <w:gridCol w:w="716"/>
        <w:gridCol w:w="716"/>
        <w:gridCol w:w="716"/>
        <w:gridCol w:w="858"/>
        <w:gridCol w:w="1432"/>
      </w:tblGrid>
      <w:tr w:rsidR="00717A78" w:rsidRPr="00717A78" w:rsidTr="007D125E">
        <w:trPr>
          <w:cantSplit/>
          <w:trHeight w:val="471"/>
        </w:trPr>
        <w:tc>
          <w:tcPr>
            <w:tcW w:w="2062" w:type="pct"/>
          </w:tcPr>
          <w:p w:rsidR="00A416E9" w:rsidRPr="00717A78" w:rsidRDefault="00A416E9" w:rsidP="007D125E">
            <w:pPr>
              <w:keepNext/>
              <w:ind w:left="-108"/>
              <w:rPr>
                <w:rFonts w:ascii="Arial Narrow" w:hAnsi="Arial Narrow"/>
                <w:b/>
                <w:sz w:val="18"/>
                <w:szCs w:val="18"/>
              </w:rPr>
            </w:pPr>
            <w:r w:rsidRPr="00717A78">
              <w:rPr>
                <w:rFonts w:ascii="Arial Narrow" w:hAnsi="Arial Narrow"/>
                <w:b/>
                <w:sz w:val="18"/>
                <w:szCs w:val="18"/>
              </w:rPr>
              <w:t>Name, Restriction,</w:t>
            </w:r>
          </w:p>
          <w:p w:rsidR="00A416E9" w:rsidRPr="00717A78" w:rsidRDefault="00A416E9" w:rsidP="007D125E">
            <w:pPr>
              <w:keepNext/>
              <w:ind w:left="-108"/>
              <w:rPr>
                <w:rFonts w:ascii="Arial Narrow" w:hAnsi="Arial Narrow"/>
                <w:b/>
                <w:sz w:val="18"/>
                <w:szCs w:val="18"/>
              </w:rPr>
            </w:pPr>
            <w:r w:rsidRPr="00717A78">
              <w:rPr>
                <w:rFonts w:ascii="Arial Narrow" w:hAnsi="Arial Narrow"/>
                <w:b/>
                <w:sz w:val="18"/>
                <w:szCs w:val="18"/>
              </w:rPr>
              <w:t>Manner of administration and form</w:t>
            </w:r>
          </w:p>
        </w:tc>
        <w:tc>
          <w:tcPr>
            <w:tcW w:w="476" w:type="pct"/>
          </w:tcPr>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PBS item code</w:t>
            </w:r>
          </w:p>
        </w:tc>
        <w:tc>
          <w:tcPr>
            <w:tcW w:w="397" w:type="pct"/>
          </w:tcPr>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Max. qty packs</w:t>
            </w:r>
          </w:p>
        </w:tc>
        <w:tc>
          <w:tcPr>
            <w:tcW w:w="397" w:type="pct"/>
          </w:tcPr>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Max. qty units</w:t>
            </w:r>
          </w:p>
        </w:tc>
        <w:tc>
          <w:tcPr>
            <w:tcW w:w="397" w:type="pct"/>
          </w:tcPr>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№.of</w:t>
            </w:r>
          </w:p>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Rpts</w:t>
            </w:r>
          </w:p>
        </w:tc>
        <w:tc>
          <w:tcPr>
            <w:tcW w:w="1270" w:type="pct"/>
            <w:gridSpan w:val="2"/>
          </w:tcPr>
          <w:p w:rsidR="00A416E9" w:rsidRPr="00717A78" w:rsidRDefault="00A416E9" w:rsidP="007D125E">
            <w:pPr>
              <w:keepNext/>
              <w:rPr>
                <w:rFonts w:ascii="Arial Narrow" w:hAnsi="Arial Narrow"/>
                <w:b/>
                <w:sz w:val="18"/>
                <w:szCs w:val="18"/>
              </w:rPr>
            </w:pPr>
            <w:r w:rsidRPr="00717A78">
              <w:rPr>
                <w:rFonts w:ascii="Arial Narrow" w:hAnsi="Arial Narrow"/>
                <w:b/>
                <w:sz w:val="18"/>
                <w:szCs w:val="18"/>
              </w:rPr>
              <w:t>Proprietary Name and Manufacturer</w:t>
            </w:r>
          </w:p>
        </w:tc>
      </w:tr>
      <w:tr w:rsidR="00717A78" w:rsidRPr="00717A78" w:rsidTr="007D125E">
        <w:trPr>
          <w:cantSplit/>
          <w:trHeight w:val="346"/>
        </w:trPr>
        <w:tc>
          <w:tcPr>
            <w:tcW w:w="2062" w:type="pct"/>
          </w:tcPr>
          <w:p w:rsidR="00A416E9" w:rsidRPr="00717A78" w:rsidRDefault="00A416E9" w:rsidP="007D125E">
            <w:pPr>
              <w:keepNext/>
              <w:ind w:left="-108"/>
              <w:rPr>
                <w:rFonts w:ascii="Arial Narrow" w:hAnsi="Arial Narrow"/>
                <w:sz w:val="18"/>
                <w:szCs w:val="18"/>
              </w:rPr>
            </w:pPr>
            <w:r w:rsidRPr="00717A78">
              <w:rPr>
                <w:rFonts w:ascii="Arial Narrow" w:hAnsi="Arial Narrow" w:cstheme="minorHAnsi"/>
                <w:sz w:val="18"/>
                <w:szCs w:val="18"/>
              </w:rPr>
              <w:t>VEDOLIZUMAB 108 mg/0.68 mL injection, 2 x 0.68 mL syringes</w:t>
            </w:r>
          </w:p>
          <w:p w:rsidR="00A416E9" w:rsidRPr="00717A78" w:rsidRDefault="00A416E9" w:rsidP="007D125E">
            <w:pPr>
              <w:keepNext/>
              <w:ind w:left="-108"/>
              <w:rPr>
                <w:rFonts w:ascii="Arial Narrow" w:hAnsi="Arial Narrow"/>
                <w:sz w:val="18"/>
                <w:szCs w:val="18"/>
              </w:rPr>
            </w:pPr>
          </w:p>
        </w:tc>
        <w:tc>
          <w:tcPr>
            <w:tcW w:w="476"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NEW</w:t>
            </w:r>
          </w:p>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NEW</w:t>
            </w:r>
          </w:p>
        </w:tc>
        <w:tc>
          <w:tcPr>
            <w:tcW w:w="397" w:type="pct"/>
          </w:tcPr>
          <w:p w:rsidR="00A416E9" w:rsidRPr="00717A78" w:rsidRDefault="00A416E9" w:rsidP="007D125E">
            <w:pPr>
              <w:keepNext/>
              <w:jc w:val="center"/>
              <w:rPr>
                <w:rFonts w:ascii="Arial Narrow" w:hAnsi="Arial Narrow"/>
                <w:sz w:val="18"/>
                <w:szCs w:val="18"/>
              </w:rPr>
            </w:pPr>
            <w:r w:rsidRPr="00717A78">
              <w:rPr>
                <w:rFonts w:ascii="Arial Narrow" w:hAnsi="Arial Narrow"/>
                <w:sz w:val="18"/>
                <w:szCs w:val="18"/>
              </w:rPr>
              <w:t>1</w:t>
            </w:r>
          </w:p>
        </w:tc>
        <w:tc>
          <w:tcPr>
            <w:tcW w:w="397"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2</w:t>
            </w:r>
          </w:p>
        </w:tc>
        <w:tc>
          <w:tcPr>
            <w:tcW w:w="397"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5</w:t>
            </w:r>
          </w:p>
          <w:p w:rsidR="00A416E9" w:rsidRPr="00717A78" w:rsidRDefault="00A416E9" w:rsidP="007D125E">
            <w:pPr>
              <w:keepNext/>
              <w:rPr>
                <w:rFonts w:ascii="Arial Narrow" w:hAnsi="Arial Narrow"/>
                <w:sz w:val="18"/>
                <w:szCs w:val="18"/>
              </w:rPr>
            </w:pPr>
          </w:p>
        </w:tc>
        <w:tc>
          <w:tcPr>
            <w:tcW w:w="476" w:type="pct"/>
          </w:tcPr>
          <w:p w:rsidR="00A416E9" w:rsidRPr="00717A78" w:rsidRDefault="00A416E9" w:rsidP="007D125E">
            <w:pPr>
              <w:keepNext/>
              <w:rPr>
                <w:rFonts w:ascii="Arial Narrow" w:hAnsi="Arial Narrow"/>
                <w:sz w:val="18"/>
                <w:szCs w:val="18"/>
              </w:rPr>
            </w:pPr>
            <w:r w:rsidRPr="00717A78">
              <w:rPr>
                <w:rFonts w:ascii="Arial Narrow" w:hAnsi="Arial Narrow"/>
                <w:sz w:val="18"/>
                <w:szCs w:val="18"/>
              </w:rPr>
              <w:t>Entyvio</w:t>
            </w:r>
            <w:r w:rsidRPr="00717A78">
              <w:rPr>
                <w:rFonts w:ascii="Arial Narrow" w:hAnsi="Arial Narrow"/>
                <w:sz w:val="18"/>
                <w:szCs w:val="18"/>
                <w:vertAlign w:val="superscript"/>
              </w:rPr>
              <w:t>®</w:t>
            </w:r>
          </w:p>
          <w:p w:rsidR="00A416E9" w:rsidRPr="00717A78" w:rsidRDefault="00A416E9" w:rsidP="007D125E">
            <w:pPr>
              <w:rPr>
                <w:rFonts w:ascii="Arial Narrow" w:hAnsi="Arial Narrow"/>
                <w:sz w:val="18"/>
                <w:szCs w:val="18"/>
              </w:rPr>
            </w:pPr>
          </w:p>
        </w:tc>
        <w:tc>
          <w:tcPr>
            <w:tcW w:w="794" w:type="pct"/>
          </w:tcPr>
          <w:p w:rsidR="00A416E9" w:rsidRPr="00717A78" w:rsidRDefault="00A416E9" w:rsidP="007D125E">
            <w:pPr>
              <w:keepNext/>
              <w:rPr>
                <w:rFonts w:ascii="Arial Narrow" w:hAnsi="Arial Narrow"/>
                <w:sz w:val="18"/>
                <w:szCs w:val="18"/>
              </w:rPr>
            </w:pPr>
            <w:r w:rsidRPr="00717A78">
              <w:rPr>
                <w:rFonts w:ascii="Arial Narrow" w:hAnsi="Arial Narrow"/>
                <w:sz w:val="18"/>
                <w:szCs w:val="18"/>
              </w:rPr>
              <w:t>Takeda Pharmaceuticals Australia Pty Ltd</w:t>
            </w:r>
          </w:p>
        </w:tc>
      </w:tr>
      <w:tr w:rsidR="00717A78" w:rsidRPr="00717A78" w:rsidTr="007D125E">
        <w:trPr>
          <w:cantSplit/>
          <w:trHeight w:val="346"/>
        </w:trPr>
        <w:tc>
          <w:tcPr>
            <w:tcW w:w="2062" w:type="pct"/>
          </w:tcPr>
          <w:p w:rsidR="00A416E9" w:rsidRPr="00717A78" w:rsidRDefault="00A416E9" w:rsidP="007D125E">
            <w:pPr>
              <w:keepNext/>
              <w:ind w:left="-108"/>
              <w:rPr>
                <w:rFonts w:ascii="Arial Narrow" w:hAnsi="Arial Narrow" w:cstheme="minorHAnsi"/>
                <w:sz w:val="18"/>
                <w:szCs w:val="18"/>
              </w:rPr>
            </w:pPr>
            <w:r w:rsidRPr="00717A78">
              <w:rPr>
                <w:rFonts w:ascii="Arial Narrow" w:hAnsi="Arial Narrow" w:cstheme="minorHAnsi"/>
                <w:sz w:val="18"/>
                <w:szCs w:val="18"/>
              </w:rPr>
              <w:t>VEDOLIZUMAB 108 mg/0.68 mL injection, 2 x 0.68 mL pen devices</w:t>
            </w:r>
          </w:p>
        </w:tc>
        <w:tc>
          <w:tcPr>
            <w:tcW w:w="476"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NEW</w:t>
            </w:r>
          </w:p>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NEW</w:t>
            </w:r>
          </w:p>
        </w:tc>
        <w:tc>
          <w:tcPr>
            <w:tcW w:w="397" w:type="pct"/>
          </w:tcPr>
          <w:p w:rsidR="00A416E9" w:rsidRPr="00717A78" w:rsidRDefault="00A416E9" w:rsidP="007D125E">
            <w:pPr>
              <w:keepNext/>
              <w:jc w:val="center"/>
              <w:rPr>
                <w:rFonts w:ascii="Arial Narrow" w:hAnsi="Arial Narrow"/>
                <w:sz w:val="18"/>
                <w:szCs w:val="18"/>
              </w:rPr>
            </w:pPr>
            <w:r w:rsidRPr="00717A78">
              <w:rPr>
                <w:rFonts w:ascii="Arial Narrow" w:hAnsi="Arial Narrow"/>
                <w:sz w:val="18"/>
                <w:szCs w:val="18"/>
              </w:rPr>
              <w:t>1</w:t>
            </w:r>
          </w:p>
        </w:tc>
        <w:tc>
          <w:tcPr>
            <w:tcW w:w="397"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2</w:t>
            </w:r>
          </w:p>
        </w:tc>
        <w:tc>
          <w:tcPr>
            <w:tcW w:w="397"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5</w:t>
            </w:r>
          </w:p>
          <w:p w:rsidR="00A416E9" w:rsidRPr="00717A78" w:rsidRDefault="00A416E9" w:rsidP="007D125E">
            <w:pPr>
              <w:keepNext/>
              <w:ind w:left="-108"/>
              <w:jc w:val="center"/>
              <w:rPr>
                <w:rFonts w:ascii="Arial Narrow" w:hAnsi="Arial Narrow"/>
                <w:sz w:val="18"/>
                <w:szCs w:val="18"/>
              </w:rPr>
            </w:pPr>
          </w:p>
        </w:tc>
        <w:tc>
          <w:tcPr>
            <w:tcW w:w="476" w:type="pct"/>
          </w:tcPr>
          <w:p w:rsidR="00A416E9" w:rsidRPr="00717A78" w:rsidRDefault="00A416E9" w:rsidP="007D125E">
            <w:pPr>
              <w:keepNext/>
              <w:rPr>
                <w:rFonts w:ascii="Arial Narrow" w:hAnsi="Arial Narrow"/>
                <w:sz w:val="18"/>
                <w:szCs w:val="18"/>
              </w:rPr>
            </w:pPr>
            <w:r w:rsidRPr="00717A78">
              <w:rPr>
                <w:rFonts w:ascii="Arial Narrow" w:hAnsi="Arial Narrow"/>
                <w:sz w:val="18"/>
                <w:szCs w:val="18"/>
              </w:rPr>
              <w:t>Entyvio</w:t>
            </w:r>
            <w:r w:rsidRPr="00717A78">
              <w:rPr>
                <w:rFonts w:ascii="Arial Narrow" w:hAnsi="Arial Narrow"/>
                <w:sz w:val="18"/>
                <w:szCs w:val="18"/>
                <w:vertAlign w:val="superscript"/>
              </w:rPr>
              <w:t xml:space="preserve"> ®</w:t>
            </w:r>
          </w:p>
        </w:tc>
        <w:tc>
          <w:tcPr>
            <w:tcW w:w="794" w:type="pct"/>
          </w:tcPr>
          <w:p w:rsidR="00A416E9" w:rsidRPr="00717A78" w:rsidRDefault="00A416E9" w:rsidP="007D125E">
            <w:pPr>
              <w:keepNext/>
              <w:rPr>
                <w:rFonts w:ascii="Arial Narrow" w:hAnsi="Arial Narrow"/>
                <w:sz w:val="18"/>
                <w:szCs w:val="18"/>
              </w:rPr>
            </w:pPr>
            <w:r w:rsidRPr="00717A78">
              <w:rPr>
                <w:rFonts w:ascii="Arial Narrow" w:hAnsi="Arial Narrow"/>
                <w:sz w:val="18"/>
                <w:szCs w:val="18"/>
              </w:rPr>
              <w:t>Takeda Pharmaceuticals Australia Pty Ltd</w:t>
            </w:r>
          </w:p>
        </w:tc>
      </w:tr>
    </w:tbl>
    <w:p w:rsidR="00A416E9" w:rsidRPr="004E025C" w:rsidRDefault="00A416E9" w:rsidP="00A416E9"/>
    <w:p w:rsidR="00B663D0" w:rsidRDefault="00B663D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D65CDD" w:rsidRPr="00717A78" w:rsidTr="00D65CDD">
        <w:tc>
          <w:tcPr>
            <w:tcW w:w="5000" w:type="pct"/>
            <w:tcBorders>
              <w:top w:val="single" w:sz="4" w:space="0" w:color="auto"/>
              <w:left w:val="single" w:sz="4" w:space="0" w:color="auto"/>
              <w:bottom w:val="single" w:sz="4" w:space="0" w:color="auto"/>
              <w:right w:val="single" w:sz="4" w:space="0" w:color="auto"/>
            </w:tcBorders>
          </w:tcPr>
          <w:p w:rsidR="00D65CDD" w:rsidRPr="00717A78" w:rsidRDefault="00D65CDD" w:rsidP="0090597E">
            <w:pPr>
              <w:keepNext/>
              <w:keepLines/>
              <w:rPr>
                <w:rFonts w:ascii="Arial Narrow" w:hAnsi="Arial Narrow"/>
                <w:sz w:val="18"/>
                <w:szCs w:val="18"/>
              </w:rPr>
            </w:pPr>
            <w:r w:rsidRPr="00717A78">
              <w:rPr>
                <w:rFonts w:ascii="Arial Narrow" w:hAnsi="Arial Narrow"/>
                <w:b/>
                <w:sz w:val="18"/>
                <w:szCs w:val="18"/>
              </w:rPr>
              <w:t xml:space="preserve">Category / Program:   </w:t>
            </w:r>
            <w:r w:rsidRPr="00717A78">
              <w:rPr>
                <w:rFonts w:ascii="Arial Narrow" w:hAnsi="Arial Narrow"/>
                <w:sz w:val="18"/>
                <w:szCs w:val="18"/>
              </w:rPr>
              <w:t xml:space="preserve">GENERAL – General Schedule (Code GE) </w:t>
            </w:r>
          </w:p>
        </w:tc>
      </w:tr>
      <w:tr w:rsidR="00D65CDD" w:rsidRPr="00717A78" w:rsidTr="00D65CDD">
        <w:trPr>
          <w:trHeight w:val="240"/>
        </w:trPr>
        <w:tc>
          <w:tcPr>
            <w:tcW w:w="5000" w:type="pct"/>
            <w:tcBorders>
              <w:top w:val="single" w:sz="4" w:space="0" w:color="auto"/>
              <w:left w:val="single" w:sz="4" w:space="0" w:color="auto"/>
              <w:bottom w:val="single" w:sz="4" w:space="0" w:color="auto"/>
              <w:right w:val="single" w:sz="4" w:space="0" w:color="auto"/>
            </w:tcBorders>
          </w:tcPr>
          <w:p w:rsidR="00D65CDD" w:rsidRPr="00717A78" w:rsidRDefault="00D65CDD" w:rsidP="0090597E">
            <w:pPr>
              <w:keepNext/>
              <w:keepLines/>
              <w:rPr>
                <w:rFonts w:ascii="Arial Narrow" w:hAnsi="Arial Narrow"/>
                <w:b/>
                <w:sz w:val="18"/>
                <w:szCs w:val="18"/>
              </w:rPr>
            </w:pPr>
            <w:r w:rsidRPr="00717A78">
              <w:rPr>
                <w:rFonts w:ascii="Arial Narrow" w:hAnsi="Arial Narrow"/>
                <w:b/>
                <w:sz w:val="18"/>
                <w:szCs w:val="18"/>
              </w:rPr>
              <w:t xml:space="preserve">Prescriber type:   </w:t>
            </w:r>
            <w:r w:rsidRPr="00717A78">
              <w:rPr>
                <w:rFonts w:ascii="Arial Narrow" w:hAnsi="Arial Narrow"/>
                <w:sz w:val="18"/>
                <w:szCs w:val="18"/>
              </w:rPr>
              <w:fldChar w:fldCharType="begin">
                <w:ffData>
                  <w:name w:val="Check1"/>
                  <w:enabled/>
                  <w:calcOnExit w:val="0"/>
                  <w:checkBox>
                    <w:sizeAuto/>
                    <w:default w:val="0"/>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 xml:space="preserve">Dental    </w:t>
            </w:r>
            <w:r w:rsidRPr="00717A78">
              <w:rPr>
                <w:rFonts w:ascii="Arial Narrow" w:hAnsi="Arial Narrow"/>
                <w:sz w:val="18"/>
                <w:szCs w:val="18"/>
              </w:rPr>
              <w:fldChar w:fldCharType="begin">
                <w:ffData>
                  <w:name w:val=""/>
                  <w:enabled/>
                  <w:calcOnExit w:val="0"/>
                  <w:checkBox>
                    <w:sizeAuto/>
                    <w:default w:val="1"/>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 xml:space="preserve">Medical Practitioners    </w:t>
            </w:r>
            <w:r w:rsidRPr="00717A78">
              <w:rPr>
                <w:rFonts w:ascii="Arial Narrow" w:hAnsi="Arial Narrow"/>
                <w:sz w:val="18"/>
                <w:szCs w:val="18"/>
              </w:rPr>
              <w:fldChar w:fldCharType="begin">
                <w:ffData>
                  <w:name w:val="Check3"/>
                  <w:enabled/>
                  <w:calcOnExit w:val="0"/>
                  <w:checkBox>
                    <w:sizeAuto/>
                    <w:default w:val="0"/>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 xml:space="preserve">Nurse practitioners     </w:t>
            </w:r>
            <w:r w:rsidRPr="00717A78">
              <w:rPr>
                <w:rFonts w:ascii="Arial Narrow" w:hAnsi="Arial Narrow"/>
                <w:sz w:val="18"/>
                <w:szCs w:val="18"/>
              </w:rPr>
              <w:fldChar w:fldCharType="begin">
                <w:ffData>
                  <w:name w:val=""/>
                  <w:enabled/>
                  <w:calcOnExit w:val="0"/>
                  <w:checkBox>
                    <w:sizeAuto/>
                    <w:default w:val="0"/>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 xml:space="preserve">Optometrists    </w:t>
            </w:r>
            <w:r w:rsidRPr="00717A78">
              <w:rPr>
                <w:rFonts w:ascii="Arial Narrow" w:hAnsi="Arial Narrow"/>
                <w:sz w:val="18"/>
                <w:szCs w:val="18"/>
              </w:rPr>
              <w:fldChar w:fldCharType="begin">
                <w:ffData>
                  <w:name w:val="Check5"/>
                  <w:enabled/>
                  <w:calcOnExit w:val="0"/>
                  <w:checkBox>
                    <w:sizeAuto/>
                    <w:default w:val="0"/>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Midwives</w:t>
            </w:r>
          </w:p>
        </w:tc>
      </w:tr>
      <w:tr w:rsidR="00D65CDD" w:rsidRPr="00717A78" w:rsidTr="00D65CDD">
        <w:tc>
          <w:tcPr>
            <w:tcW w:w="5000" w:type="pct"/>
            <w:tcBorders>
              <w:top w:val="single" w:sz="4" w:space="0" w:color="auto"/>
              <w:left w:val="single" w:sz="4" w:space="0" w:color="auto"/>
              <w:bottom w:val="single" w:sz="4" w:space="0" w:color="auto"/>
              <w:right w:val="single" w:sz="4" w:space="0" w:color="auto"/>
            </w:tcBorders>
          </w:tcPr>
          <w:p w:rsidR="00D65CDD" w:rsidRPr="00717A78" w:rsidRDefault="00D65CDD" w:rsidP="0090597E">
            <w:pPr>
              <w:keepNext/>
              <w:keepLines/>
              <w:rPr>
                <w:rFonts w:ascii="Arial Narrow" w:eastAsia="Calibri" w:hAnsi="Arial Narrow"/>
                <w:sz w:val="18"/>
                <w:szCs w:val="18"/>
              </w:rPr>
            </w:pPr>
            <w:r w:rsidRPr="00717A78">
              <w:rPr>
                <w:rFonts w:ascii="Arial Narrow" w:hAnsi="Arial Narrow"/>
                <w:b/>
                <w:sz w:val="18"/>
                <w:szCs w:val="18"/>
              </w:rPr>
              <w:t xml:space="preserve">Restriction Type – </w:t>
            </w:r>
            <w:r w:rsidRPr="00717A78">
              <w:rPr>
                <w:rFonts w:ascii="Arial Narrow" w:eastAsia="Calibri" w:hAnsi="Arial Narrow"/>
                <w:sz w:val="18"/>
                <w:szCs w:val="18"/>
              </w:rPr>
              <w:fldChar w:fldCharType="begin">
                <w:ffData>
                  <w:name w:val=""/>
                  <w:enabled/>
                  <w:calcOnExit w:val="0"/>
                  <w:checkBox>
                    <w:sizeAuto/>
                    <w:default w:val="1"/>
                  </w:checkBox>
                </w:ffData>
              </w:fldChar>
            </w:r>
            <w:r w:rsidRPr="00717A78">
              <w:rPr>
                <w:rFonts w:ascii="Arial Narrow" w:eastAsia="Calibri" w:hAnsi="Arial Narrow"/>
                <w:sz w:val="18"/>
                <w:szCs w:val="18"/>
              </w:rPr>
              <w:instrText xml:space="preserve"> FORMCHECKBOX </w:instrText>
            </w:r>
            <w:r w:rsidR="00226F00">
              <w:rPr>
                <w:rFonts w:ascii="Arial Narrow" w:eastAsia="Calibri" w:hAnsi="Arial Narrow"/>
                <w:sz w:val="18"/>
                <w:szCs w:val="18"/>
              </w:rPr>
            </w:r>
            <w:r w:rsidR="00226F00">
              <w:rPr>
                <w:rFonts w:ascii="Arial Narrow" w:eastAsia="Calibri" w:hAnsi="Arial Narrow"/>
                <w:sz w:val="18"/>
                <w:szCs w:val="18"/>
              </w:rPr>
              <w:fldChar w:fldCharType="separate"/>
            </w:r>
            <w:r w:rsidRPr="00717A78">
              <w:rPr>
                <w:rFonts w:ascii="Arial Narrow" w:eastAsia="Calibri" w:hAnsi="Arial Narrow"/>
                <w:sz w:val="18"/>
                <w:szCs w:val="18"/>
              </w:rPr>
              <w:fldChar w:fldCharType="end"/>
            </w:r>
            <w:r w:rsidRPr="00717A78">
              <w:rPr>
                <w:rFonts w:ascii="Arial Narrow" w:eastAsia="Calibri" w:hAnsi="Arial Narrow"/>
                <w:sz w:val="18"/>
                <w:szCs w:val="18"/>
              </w:rPr>
              <w:t xml:space="preserve"> Authority Required – telephone</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
                <w:bCs/>
                <w:sz w:val="18"/>
                <w:szCs w:val="18"/>
              </w:rPr>
              <w:t xml:space="preserve">Severity: </w:t>
            </w:r>
            <w:r w:rsidRPr="00717A78">
              <w:rPr>
                <w:rFonts w:ascii="Arial Narrow" w:hAnsi="Arial Narrow"/>
                <w:bCs/>
                <w:sz w:val="18"/>
                <w:szCs w:val="18"/>
              </w:rPr>
              <w:t>Moderate to severe</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
                <w:bCs/>
                <w:sz w:val="18"/>
                <w:szCs w:val="18"/>
              </w:rPr>
              <w:t xml:space="preserve">Condition: </w:t>
            </w:r>
            <w:r w:rsidRPr="00717A78">
              <w:rPr>
                <w:rFonts w:ascii="Arial Narrow" w:hAnsi="Arial Narrow"/>
                <w:bCs/>
                <w:sz w:val="18"/>
                <w:szCs w:val="18"/>
              </w:rPr>
              <w:t>Ulcerative colitis</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Indication:</w:t>
            </w:r>
            <w:r w:rsidRPr="00717A78">
              <w:rPr>
                <w:rFonts w:ascii="Arial Narrow" w:hAnsi="Arial Narrow"/>
                <w:sz w:val="18"/>
                <w:szCs w:val="18"/>
              </w:rPr>
              <w:t xml:space="preserve"> Moderate to severe ulcerative colitis</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Treatment Phase:</w:t>
            </w:r>
            <w:r w:rsidRPr="00717A78">
              <w:rPr>
                <w:rFonts w:ascii="Arial Narrow" w:hAnsi="Arial Narrow"/>
                <w:sz w:val="18"/>
                <w:szCs w:val="18"/>
              </w:rPr>
              <w:t xml:space="preserve"> Continuing – subcutaneous form</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
                <w:bCs/>
                <w:sz w:val="18"/>
                <w:szCs w:val="18"/>
              </w:rPr>
              <w:t>Treatment criteria:</w:t>
            </w:r>
          </w:p>
        </w:tc>
      </w:tr>
      <w:tr w:rsidR="00D65CDD" w:rsidRPr="00717A78" w:rsidTr="00D65CDD">
        <w:tc>
          <w:tcPr>
            <w:tcW w:w="5000" w:type="pct"/>
            <w:vAlign w:val="center"/>
          </w:tcPr>
          <w:p w:rsidR="00D65CDD" w:rsidRPr="00717A78" w:rsidRDefault="00D65CDD" w:rsidP="007D125E">
            <w:pPr>
              <w:rPr>
                <w:rFonts w:ascii="Arial Narrow" w:hAnsi="Arial Narrow"/>
                <w:bCs/>
                <w:sz w:val="18"/>
                <w:szCs w:val="18"/>
              </w:rPr>
            </w:pPr>
            <w:r w:rsidRPr="00717A78">
              <w:rPr>
                <w:rFonts w:ascii="Arial Narrow" w:hAnsi="Arial Narrow"/>
                <w:bCs/>
                <w:sz w:val="18"/>
                <w:szCs w:val="18"/>
              </w:rPr>
              <w:t>Must be treated by a gastroenterologist; or</w:t>
            </w:r>
          </w:p>
        </w:tc>
      </w:tr>
      <w:tr w:rsidR="00D65CDD" w:rsidRPr="00717A78" w:rsidTr="00D65CDD">
        <w:tc>
          <w:tcPr>
            <w:tcW w:w="5000" w:type="pct"/>
            <w:vAlign w:val="center"/>
          </w:tcPr>
          <w:p w:rsidR="00D65CDD" w:rsidRPr="00717A78" w:rsidRDefault="00D65CDD" w:rsidP="007D125E">
            <w:pPr>
              <w:rPr>
                <w:rFonts w:ascii="Arial Narrow" w:hAnsi="Arial Narrow"/>
                <w:bCs/>
                <w:sz w:val="18"/>
                <w:szCs w:val="18"/>
              </w:rPr>
            </w:pPr>
            <w:r w:rsidRPr="00717A78">
              <w:rPr>
                <w:rFonts w:ascii="Arial Narrow" w:hAnsi="Arial Narrow"/>
                <w:bCs/>
                <w:sz w:val="18"/>
                <w:szCs w:val="18"/>
              </w:rPr>
              <w:t>Must be treated by a consultant physician [internal medicine specialising in gastroenterology]; or</w:t>
            </w:r>
          </w:p>
        </w:tc>
      </w:tr>
      <w:tr w:rsidR="00D65CDD" w:rsidRPr="00717A78" w:rsidTr="00D65CDD">
        <w:tc>
          <w:tcPr>
            <w:tcW w:w="5000" w:type="pct"/>
            <w:vAlign w:val="center"/>
          </w:tcPr>
          <w:p w:rsidR="00D65CDD" w:rsidRPr="00717A78" w:rsidRDefault="00D65CDD" w:rsidP="007D125E">
            <w:pPr>
              <w:rPr>
                <w:rFonts w:ascii="Arial Narrow" w:hAnsi="Arial Narrow"/>
                <w:bCs/>
                <w:sz w:val="18"/>
                <w:szCs w:val="18"/>
              </w:rPr>
            </w:pPr>
            <w:r w:rsidRPr="00717A78">
              <w:rPr>
                <w:rFonts w:ascii="Arial Narrow" w:hAnsi="Arial Narrow"/>
                <w:bCs/>
                <w:sz w:val="18"/>
                <w:szCs w:val="18"/>
              </w:rPr>
              <w:t>Must be treated by a consultant physician [general medicine specialising in gastroenterology]</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
                <w:bCs/>
                <w:sz w:val="18"/>
                <w:szCs w:val="18"/>
              </w:rPr>
              <w:t>AND</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Clinical criteria:</w:t>
            </w:r>
          </w:p>
        </w:tc>
      </w:tr>
      <w:tr w:rsidR="00D65CDD" w:rsidRPr="00717A78" w:rsidTr="00D65CDD">
        <w:tc>
          <w:tcPr>
            <w:tcW w:w="5000" w:type="pct"/>
            <w:hideMark/>
          </w:tcPr>
          <w:p w:rsidR="00D65CDD" w:rsidRPr="00717A78" w:rsidRDefault="00D65CDD" w:rsidP="007D125E">
            <w:pPr>
              <w:pStyle w:val="CommentText"/>
              <w:rPr>
                <w:lang w:eastAsia="en-GB"/>
              </w:rPr>
            </w:pPr>
            <w:r w:rsidRPr="00717A78">
              <w:rPr>
                <w:rFonts w:ascii="Arial Narrow" w:hAnsi="Arial Narrow"/>
                <w:sz w:val="18"/>
                <w:szCs w:val="18"/>
              </w:rPr>
              <w:t>Patient must have previously received PBS-subsidised treatment with this drug for this condition,</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AND</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Clinical criteria:</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sz w:val="18"/>
                <w:szCs w:val="18"/>
              </w:rPr>
              <w:t>Patient must have demonstrated or sustained an adequate response to treatment by having a partial Mayo clinic score less than or equal to 2, with no subscore greater than 1 while receiving treatment with this drug,</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AND</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Clinical criteria:</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sz w:val="18"/>
                <w:szCs w:val="18"/>
              </w:rPr>
              <w:t>Patient must be appropriately assessed for the risk of developing progressive multifocal leukoencephalopathy whilst on this treatment.</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Population criteria:</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sz w:val="18"/>
                <w:szCs w:val="18"/>
              </w:rPr>
              <w:t>Patient must be aged 18 years or older.</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Prescribing Instructions:</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Two initial doses of vedolizumab must be administered with vedolizumab intravenous infusion. Subsequent doses may be administered with either intravenous or subcutaneous vedolizumab.</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Patients who have failed to maintain a partial Mayo clinic score less than or equal to 2, with no subscore greater than 1 with continuing treatment with this drug, will not be eligible to receive further PBS-subsidised treatment with this drug.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Patients are eligible to receive continuing treatment with this drug in courses of up to 24 weeks providing they continue to sustain the response.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At the time of the authority application, medical practitioners should request sufficient quantity for up to 24 weeks of treatment under this restriction.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Up to a maximum of 5 repeats will be authorised.</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lastRenderedPageBreak/>
              <w:t>Where a response assessment is not conducted within this timeframe, the patient will be deemed to have failed to respond to treatment with this drug, unless the patient has experienced a serious adverse reaction of a severity resulting in the necessity for permanent withdrawal of treatment.</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 </w:t>
            </w:r>
          </w:p>
          <w:p w:rsidR="00D65CDD" w:rsidRPr="00717A78" w:rsidRDefault="00D65CDD" w:rsidP="007D125E">
            <w:pPr>
              <w:rPr>
                <w:rFonts w:ascii="Arial Narrow" w:hAnsi="Arial Narrow" w:cs="Arial Narrow"/>
                <w:iCs/>
                <w:sz w:val="18"/>
                <w:szCs w:val="18"/>
              </w:rPr>
            </w:pPr>
            <w:r w:rsidRPr="00717A78">
              <w:rPr>
                <w:rFonts w:ascii="Arial Narrow" w:hAnsi="Arial Narrow" w:cs="Arial Narrow"/>
                <w:iCs/>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p w:rsidR="00D65CDD" w:rsidRPr="00717A78" w:rsidRDefault="00D65CDD" w:rsidP="007D125E">
            <w:pPr>
              <w:rPr>
                <w:rFonts w:ascii="Arial Narrow" w:hAnsi="Arial Narrow" w:cs="Arial Narrow"/>
                <w:iCs/>
                <w:sz w:val="18"/>
                <w:szCs w:val="18"/>
              </w:rPr>
            </w:pPr>
          </w:p>
          <w:p w:rsidR="00D65CDD" w:rsidRPr="00717A78" w:rsidRDefault="00D65CDD" w:rsidP="007D125E">
            <w:pPr>
              <w:rPr>
                <w:rFonts w:ascii="Arial Narrow" w:hAnsi="Arial Narrow"/>
                <w:b/>
                <w:sz w:val="18"/>
                <w:szCs w:val="18"/>
              </w:rPr>
            </w:pPr>
            <w:r w:rsidRPr="00717A78">
              <w:rPr>
                <w:rFonts w:ascii="Arial Narrow" w:hAnsi="Arial Narrow"/>
                <w:b/>
                <w:sz w:val="18"/>
                <w:szCs w:val="18"/>
              </w:rPr>
              <w:t>Note</w:t>
            </w:r>
          </w:p>
          <w:p w:rsidR="00D65CDD" w:rsidRPr="00717A78" w:rsidRDefault="00D65CDD" w:rsidP="007D125E">
            <w:pPr>
              <w:rPr>
                <w:rFonts w:ascii="Arial Narrow" w:hAnsi="Arial Narrow"/>
                <w:sz w:val="18"/>
                <w:szCs w:val="18"/>
              </w:rPr>
            </w:pPr>
          </w:p>
          <w:p w:rsidR="00D65CDD" w:rsidRPr="00717A78" w:rsidRDefault="00D65CDD" w:rsidP="007D125E">
            <w:pPr>
              <w:rPr>
                <w:rFonts w:ascii="Arial Narrow" w:hAnsi="Arial Narrow"/>
                <w:sz w:val="18"/>
                <w:szCs w:val="18"/>
              </w:rPr>
            </w:pPr>
          </w:p>
          <w:p w:rsidR="00D65CDD" w:rsidRPr="00717A78" w:rsidRDefault="00D65CDD" w:rsidP="007D125E">
            <w:pPr>
              <w:rPr>
                <w:rFonts w:ascii="Arial Narrow" w:hAnsi="Arial Narrow"/>
                <w:sz w:val="18"/>
                <w:szCs w:val="18"/>
              </w:rPr>
            </w:pPr>
            <w:r w:rsidRPr="00717A78">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A416E9" w:rsidRPr="004E025C" w:rsidRDefault="00A416E9" w:rsidP="00A416E9">
      <w:pPr>
        <w:rPr>
          <w:rFonts w:ascii="Arial Narrow" w:hAnsi="Arial Narrow"/>
          <w:b/>
          <w:sz w:val="18"/>
          <w:szCs w:val="18"/>
        </w:rPr>
      </w:pPr>
      <w:r w:rsidRPr="004E025C">
        <w:rPr>
          <w:rFonts w:ascii="Arial Narrow" w:hAnsi="Arial Narrow"/>
          <w:b/>
          <w:sz w:val="18"/>
          <w:szCs w:val="18"/>
        </w:rPr>
        <w:lastRenderedPageBreak/>
        <w:t>Severe Crohn’s disease</w:t>
      </w:r>
    </w:p>
    <w:p w:rsidR="00A416E9" w:rsidRPr="004E025C" w:rsidRDefault="00A416E9" w:rsidP="00A416E9">
      <w:pPr>
        <w:rPr>
          <w:rFonts w:ascii="Arial Narrow" w:hAnsi="Arial Narrow"/>
          <w:b/>
          <w:sz w:val="18"/>
          <w:szCs w:val="18"/>
        </w:rPr>
      </w:pPr>
      <w:r w:rsidRPr="004E025C">
        <w:rPr>
          <w:rFonts w:ascii="Arial Narrow" w:hAnsi="Arial Narrow"/>
          <w:b/>
          <w:sz w:val="18"/>
          <w:szCs w:val="18"/>
        </w:rPr>
        <w:t>NEW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859"/>
        <w:gridCol w:w="716"/>
        <w:gridCol w:w="716"/>
        <w:gridCol w:w="716"/>
        <w:gridCol w:w="858"/>
        <w:gridCol w:w="1432"/>
      </w:tblGrid>
      <w:tr w:rsidR="00A416E9" w:rsidRPr="004E025C" w:rsidTr="007D125E">
        <w:trPr>
          <w:cantSplit/>
          <w:trHeight w:val="471"/>
        </w:trPr>
        <w:tc>
          <w:tcPr>
            <w:tcW w:w="2062" w:type="pct"/>
          </w:tcPr>
          <w:p w:rsidR="00A416E9" w:rsidRPr="004E025C" w:rsidRDefault="00A416E9" w:rsidP="007D125E">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Name, Restriction,</w:t>
            </w:r>
          </w:p>
          <w:p w:rsidR="00A416E9" w:rsidRPr="004E025C" w:rsidRDefault="00A416E9" w:rsidP="007D125E">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Manner of administration and form</w:t>
            </w:r>
          </w:p>
        </w:tc>
        <w:tc>
          <w:tcPr>
            <w:tcW w:w="476" w:type="pct"/>
          </w:tcPr>
          <w:p w:rsidR="00A416E9" w:rsidRPr="004E025C" w:rsidRDefault="00A416E9" w:rsidP="007D125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PBS item code</w:t>
            </w:r>
          </w:p>
        </w:tc>
        <w:tc>
          <w:tcPr>
            <w:tcW w:w="397" w:type="pct"/>
          </w:tcPr>
          <w:p w:rsidR="00A416E9" w:rsidRPr="004E025C" w:rsidRDefault="00A416E9" w:rsidP="007D125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packs</w:t>
            </w:r>
          </w:p>
        </w:tc>
        <w:tc>
          <w:tcPr>
            <w:tcW w:w="397" w:type="pct"/>
          </w:tcPr>
          <w:p w:rsidR="00A416E9" w:rsidRPr="004E025C" w:rsidRDefault="00A416E9" w:rsidP="007D125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units</w:t>
            </w:r>
          </w:p>
        </w:tc>
        <w:tc>
          <w:tcPr>
            <w:tcW w:w="397" w:type="pct"/>
          </w:tcPr>
          <w:p w:rsidR="00A416E9" w:rsidRPr="004E025C" w:rsidRDefault="00A416E9" w:rsidP="007D125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№.of</w:t>
            </w:r>
          </w:p>
          <w:p w:rsidR="00A416E9" w:rsidRPr="004E025C" w:rsidRDefault="00A416E9" w:rsidP="007D125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Rpts</w:t>
            </w:r>
          </w:p>
        </w:tc>
        <w:tc>
          <w:tcPr>
            <w:tcW w:w="1270" w:type="pct"/>
            <w:gridSpan w:val="2"/>
          </w:tcPr>
          <w:p w:rsidR="00A416E9" w:rsidRPr="004E025C" w:rsidRDefault="00A416E9" w:rsidP="007D125E">
            <w:pPr>
              <w:keepNext/>
              <w:rPr>
                <w:rFonts w:ascii="Arial Narrow" w:hAnsi="Arial Narrow"/>
                <w:b/>
                <w:color w:val="000000" w:themeColor="text1"/>
                <w:sz w:val="18"/>
                <w:szCs w:val="18"/>
              </w:rPr>
            </w:pPr>
            <w:r w:rsidRPr="004E025C">
              <w:rPr>
                <w:rFonts w:ascii="Arial Narrow" w:hAnsi="Arial Narrow"/>
                <w:b/>
                <w:color w:val="000000" w:themeColor="text1"/>
                <w:sz w:val="18"/>
                <w:szCs w:val="18"/>
              </w:rPr>
              <w:t>Proprietary Name and Manufacturer</w:t>
            </w:r>
          </w:p>
        </w:tc>
      </w:tr>
      <w:tr w:rsidR="00A416E9" w:rsidRPr="004E025C" w:rsidTr="007D125E">
        <w:trPr>
          <w:cantSplit/>
          <w:trHeight w:val="346"/>
        </w:trPr>
        <w:tc>
          <w:tcPr>
            <w:tcW w:w="2062" w:type="pct"/>
          </w:tcPr>
          <w:p w:rsidR="00A416E9" w:rsidRPr="004E025C" w:rsidRDefault="00A416E9" w:rsidP="007D125E">
            <w:pPr>
              <w:keepNext/>
              <w:ind w:left="-108"/>
              <w:rPr>
                <w:rFonts w:ascii="Arial Narrow" w:hAnsi="Arial Narrow"/>
                <w:sz w:val="18"/>
                <w:szCs w:val="18"/>
              </w:rPr>
            </w:pPr>
            <w:r w:rsidRPr="004E025C">
              <w:rPr>
                <w:rFonts w:ascii="Arial Narrow" w:hAnsi="Arial Narrow" w:cstheme="minorHAnsi"/>
                <w:sz w:val="18"/>
                <w:szCs w:val="18"/>
              </w:rPr>
              <w:t>VEDOLIZUMAB 108 mg/0.68 mL injection, 2 x 0.68 mL syringes</w:t>
            </w:r>
          </w:p>
          <w:p w:rsidR="00A416E9" w:rsidRPr="004E025C" w:rsidRDefault="00A416E9" w:rsidP="007D125E">
            <w:pPr>
              <w:keepNext/>
              <w:ind w:left="-108"/>
              <w:rPr>
                <w:rFonts w:ascii="Arial Narrow" w:hAnsi="Arial Narrow"/>
                <w:color w:val="000000" w:themeColor="text1"/>
                <w:sz w:val="18"/>
                <w:szCs w:val="18"/>
              </w:rPr>
            </w:pPr>
          </w:p>
        </w:tc>
        <w:tc>
          <w:tcPr>
            <w:tcW w:w="476" w:type="pct"/>
          </w:tcPr>
          <w:p w:rsidR="00A416E9" w:rsidRPr="004E025C" w:rsidRDefault="00A416E9" w:rsidP="007D125E">
            <w:pPr>
              <w:keepNext/>
              <w:ind w:left="-108"/>
              <w:jc w:val="center"/>
              <w:rPr>
                <w:rFonts w:ascii="Arial Narrow" w:hAnsi="Arial Narrow"/>
                <w:sz w:val="18"/>
                <w:szCs w:val="18"/>
              </w:rPr>
            </w:pPr>
            <w:r w:rsidRPr="004E025C">
              <w:rPr>
                <w:rFonts w:ascii="Arial Narrow" w:hAnsi="Arial Narrow"/>
                <w:sz w:val="18"/>
                <w:szCs w:val="18"/>
              </w:rPr>
              <w:t>NEW</w:t>
            </w:r>
          </w:p>
          <w:p w:rsidR="00A416E9" w:rsidRPr="004E025C" w:rsidRDefault="00A416E9" w:rsidP="007D125E">
            <w:pPr>
              <w:keepNext/>
              <w:ind w:left="-108"/>
              <w:jc w:val="center"/>
              <w:rPr>
                <w:rFonts w:ascii="Arial Narrow" w:hAnsi="Arial Narrow"/>
                <w:color w:val="000000" w:themeColor="text1"/>
                <w:sz w:val="18"/>
                <w:szCs w:val="18"/>
              </w:rPr>
            </w:pPr>
            <w:r w:rsidRPr="004E025C">
              <w:rPr>
                <w:rFonts w:ascii="Arial Narrow" w:hAnsi="Arial Narrow"/>
                <w:sz w:val="18"/>
                <w:szCs w:val="18"/>
              </w:rPr>
              <w:t>NEW</w:t>
            </w:r>
          </w:p>
        </w:tc>
        <w:tc>
          <w:tcPr>
            <w:tcW w:w="397" w:type="pct"/>
          </w:tcPr>
          <w:p w:rsidR="00A416E9" w:rsidRPr="004E025C" w:rsidRDefault="00A416E9" w:rsidP="007D125E">
            <w:pPr>
              <w:keepNext/>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A416E9" w:rsidRPr="004E025C" w:rsidRDefault="00A416E9" w:rsidP="007D125E">
            <w:pPr>
              <w:keepNext/>
              <w:ind w:left="-108"/>
              <w:jc w:val="center"/>
              <w:rPr>
                <w:rFonts w:ascii="Arial Narrow" w:hAnsi="Arial Narrow"/>
                <w:color w:val="000000" w:themeColor="text1"/>
                <w:sz w:val="18"/>
                <w:szCs w:val="18"/>
              </w:rPr>
            </w:pPr>
            <w:r w:rsidRPr="004E025C">
              <w:rPr>
                <w:rFonts w:ascii="Arial Narrow" w:hAnsi="Arial Narrow"/>
                <w:sz w:val="18"/>
                <w:szCs w:val="18"/>
              </w:rPr>
              <w:t>2</w:t>
            </w:r>
          </w:p>
        </w:tc>
        <w:tc>
          <w:tcPr>
            <w:tcW w:w="397" w:type="pct"/>
          </w:tcPr>
          <w:p w:rsidR="00A416E9" w:rsidRPr="004E025C" w:rsidRDefault="00A416E9" w:rsidP="007D125E">
            <w:pPr>
              <w:keepNext/>
              <w:ind w:left="-108"/>
              <w:jc w:val="center"/>
              <w:rPr>
                <w:rFonts w:ascii="Arial Narrow" w:hAnsi="Arial Narrow"/>
                <w:sz w:val="18"/>
                <w:szCs w:val="18"/>
              </w:rPr>
            </w:pPr>
            <w:r w:rsidRPr="004E025C">
              <w:rPr>
                <w:rFonts w:ascii="Arial Narrow" w:hAnsi="Arial Narrow"/>
                <w:sz w:val="18"/>
                <w:szCs w:val="18"/>
              </w:rPr>
              <w:t>1</w:t>
            </w:r>
          </w:p>
          <w:p w:rsidR="00A416E9" w:rsidRPr="004E025C" w:rsidRDefault="00A416E9" w:rsidP="007D125E">
            <w:pPr>
              <w:keepNext/>
              <w:rPr>
                <w:rFonts w:ascii="Arial Narrow" w:hAnsi="Arial Narrow"/>
                <w:color w:val="000000" w:themeColor="text1"/>
                <w:sz w:val="18"/>
                <w:szCs w:val="18"/>
              </w:rPr>
            </w:pPr>
          </w:p>
        </w:tc>
        <w:tc>
          <w:tcPr>
            <w:tcW w:w="476" w:type="pct"/>
          </w:tcPr>
          <w:p w:rsidR="00A416E9" w:rsidRPr="004E025C" w:rsidRDefault="00A416E9" w:rsidP="007D125E">
            <w:pPr>
              <w:keepNext/>
              <w:rPr>
                <w:rFonts w:ascii="Arial Narrow" w:hAnsi="Arial Narrow"/>
                <w:color w:val="000000" w:themeColor="text1"/>
                <w:sz w:val="18"/>
                <w:szCs w:val="18"/>
              </w:rPr>
            </w:pPr>
            <w:r w:rsidRPr="004E025C">
              <w:rPr>
                <w:rFonts w:ascii="Arial Narrow" w:hAnsi="Arial Narrow"/>
                <w:sz w:val="18"/>
                <w:szCs w:val="18"/>
              </w:rPr>
              <w:t>Entyvio</w:t>
            </w:r>
            <w:r w:rsidRPr="004E025C">
              <w:rPr>
                <w:rFonts w:ascii="Arial Narrow" w:hAnsi="Arial Narrow"/>
                <w:sz w:val="18"/>
                <w:szCs w:val="18"/>
                <w:vertAlign w:val="superscript"/>
              </w:rPr>
              <w:t>®</w:t>
            </w:r>
          </w:p>
          <w:p w:rsidR="00A416E9" w:rsidRPr="004E025C" w:rsidRDefault="00A416E9" w:rsidP="007D125E">
            <w:pPr>
              <w:rPr>
                <w:rFonts w:ascii="Arial Narrow" w:hAnsi="Arial Narrow"/>
                <w:sz w:val="18"/>
                <w:szCs w:val="18"/>
              </w:rPr>
            </w:pPr>
          </w:p>
        </w:tc>
        <w:tc>
          <w:tcPr>
            <w:tcW w:w="794" w:type="pct"/>
          </w:tcPr>
          <w:p w:rsidR="00A416E9" w:rsidRPr="004E025C" w:rsidRDefault="00A416E9" w:rsidP="007D125E">
            <w:pPr>
              <w:keepNext/>
              <w:rPr>
                <w:rFonts w:ascii="Arial Narrow" w:hAnsi="Arial Narrow"/>
                <w:color w:val="000000" w:themeColor="text1"/>
                <w:sz w:val="18"/>
                <w:szCs w:val="18"/>
              </w:rPr>
            </w:pPr>
            <w:r w:rsidRPr="004E025C">
              <w:rPr>
                <w:rFonts w:ascii="Arial Narrow" w:hAnsi="Arial Narrow"/>
                <w:sz w:val="18"/>
                <w:szCs w:val="18"/>
              </w:rPr>
              <w:t>Takeda Pharmaceuticals Australia Pty Ltd</w:t>
            </w:r>
          </w:p>
        </w:tc>
      </w:tr>
      <w:tr w:rsidR="00A416E9" w:rsidRPr="004E025C" w:rsidTr="007D125E">
        <w:trPr>
          <w:cantSplit/>
          <w:trHeight w:val="346"/>
        </w:trPr>
        <w:tc>
          <w:tcPr>
            <w:tcW w:w="2062" w:type="pct"/>
          </w:tcPr>
          <w:p w:rsidR="00A416E9" w:rsidRPr="004E025C" w:rsidRDefault="00A416E9" w:rsidP="007D125E">
            <w:pPr>
              <w:keepNext/>
              <w:ind w:left="-108"/>
              <w:rPr>
                <w:rFonts w:ascii="Arial Narrow" w:hAnsi="Arial Narrow" w:cstheme="minorHAnsi"/>
                <w:sz w:val="18"/>
                <w:szCs w:val="18"/>
              </w:rPr>
            </w:pPr>
            <w:r w:rsidRPr="004E025C">
              <w:rPr>
                <w:rFonts w:ascii="Arial Narrow" w:hAnsi="Arial Narrow" w:cstheme="minorHAnsi"/>
                <w:sz w:val="18"/>
                <w:szCs w:val="18"/>
              </w:rPr>
              <w:t>VEDOLIZUMAB 108 mg/0.68 mL injection, 2 x 0.68 mL pen devices</w:t>
            </w:r>
          </w:p>
        </w:tc>
        <w:tc>
          <w:tcPr>
            <w:tcW w:w="476" w:type="pct"/>
          </w:tcPr>
          <w:p w:rsidR="00A416E9" w:rsidRPr="004E025C" w:rsidRDefault="00A416E9" w:rsidP="007D125E">
            <w:pPr>
              <w:keepNext/>
              <w:ind w:left="-108"/>
              <w:jc w:val="center"/>
              <w:rPr>
                <w:rFonts w:ascii="Arial Narrow" w:hAnsi="Arial Narrow"/>
                <w:sz w:val="18"/>
                <w:szCs w:val="18"/>
              </w:rPr>
            </w:pPr>
            <w:r w:rsidRPr="004E025C">
              <w:rPr>
                <w:rFonts w:ascii="Arial Narrow" w:hAnsi="Arial Narrow"/>
                <w:sz w:val="18"/>
                <w:szCs w:val="18"/>
              </w:rPr>
              <w:t>NEW</w:t>
            </w:r>
          </w:p>
          <w:p w:rsidR="00A416E9" w:rsidRPr="004E025C" w:rsidRDefault="00A416E9" w:rsidP="007D125E">
            <w:pPr>
              <w:keepNext/>
              <w:ind w:left="-108"/>
              <w:jc w:val="center"/>
              <w:rPr>
                <w:rFonts w:ascii="Arial Narrow" w:hAnsi="Arial Narrow"/>
                <w:sz w:val="18"/>
                <w:szCs w:val="18"/>
              </w:rPr>
            </w:pPr>
            <w:r w:rsidRPr="004E025C">
              <w:rPr>
                <w:rFonts w:ascii="Arial Narrow" w:hAnsi="Arial Narrow"/>
                <w:sz w:val="18"/>
                <w:szCs w:val="18"/>
              </w:rPr>
              <w:t>NEW</w:t>
            </w:r>
          </w:p>
        </w:tc>
        <w:tc>
          <w:tcPr>
            <w:tcW w:w="397" w:type="pct"/>
          </w:tcPr>
          <w:p w:rsidR="00A416E9" w:rsidRPr="004E025C" w:rsidRDefault="00A416E9" w:rsidP="007D125E">
            <w:pPr>
              <w:keepNext/>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A416E9" w:rsidRPr="004E025C" w:rsidRDefault="00A416E9" w:rsidP="007D125E">
            <w:pPr>
              <w:keepNext/>
              <w:ind w:left="-108"/>
              <w:jc w:val="center"/>
              <w:rPr>
                <w:rFonts w:ascii="Arial Narrow" w:hAnsi="Arial Narrow"/>
                <w:sz w:val="18"/>
                <w:szCs w:val="18"/>
              </w:rPr>
            </w:pPr>
            <w:r w:rsidRPr="004E025C">
              <w:rPr>
                <w:rFonts w:ascii="Arial Narrow" w:hAnsi="Arial Narrow"/>
                <w:sz w:val="18"/>
                <w:szCs w:val="18"/>
              </w:rPr>
              <w:t>2</w:t>
            </w:r>
          </w:p>
        </w:tc>
        <w:tc>
          <w:tcPr>
            <w:tcW w:w="397" w:type="pct"/>
          </w:tcPr>
          <w:p w:rsidR="00A416E9" w:rsidRPr="004E025C" w:rsidRDefault="00A416E9" w:rsidP="007D125E">
            <w:pPr>
              <w:keepNext/>
              <w:ind w:left="-108"/>
              <w:jc w:val="center"/>
              <w:rPr>
                <w:rFonts w:ascii="Arial Narrow" w:hAnsi="Arial Narrow"/>
                <w:sz w:val="18"/>
                <w:szCs w:val="18"/>
              </w:rPr>
            </w:pPr>
            <w:r w:rsidRPr="004E025C">
              <w:rPr>
                <w:rFonts w:ascii="Arial Narrow" w:hAnsi="Arial Narrow"/>
                <w:sz w:val="18"/>
                <w:szCs w:val="18"/>
              </w:rPr>
              <w:t>1</w:t>
            </w:r>
          </w:p>
          <w:p w:rsidR="00A416E9" w:rsidRPr="004E025C" w:rsidRDefault="00A416E9" w:rsidP="007D125E">
            <w:pPr>
              <w:keepNext/>
              <w:ind w:left="-108"/>
              <w:jc w:val="center"/>
              <w:rPr>
                <w:rFonts w:ascii="Arial Narrow" w:hAnsi="Arial Narrow"/>
                <w:sz w:val="18"/>
                <w:szCs w:val="18"/>
              </w:rPr>
            </w:pPr>
          </w:p>
        </w:tc>
        <w:tc>
          <w:tcPr>
            <w:tcW w:w="476" w:type="pct"/>
          </w:tcPr>
          <w:p w:rsidR="00A416E9" w:rsidRPr="004E025C" w:rsidRDefault="00A416E9" w:rsidP="007D125E">
            <w:pPr>
              <w:keepNext/>
              <w:rPr>
                <w:rFonts w:ascii="Arial Narrow" w:hAnsi="Arial Narrow"/>
                <w:sz w:val="18"/>
                <w:szCs w:val="18"/>
              </w:rPr>
            </w:pPr>
            <w:r w:rsidRPr="004E025C">
              <w:rPr>
                <w:rFonts w:ascii="Arial Narrow" w:hAnsi="Arial Narrow"/>
                <w:sz w:val="18"/>
                <w:szCs w:val="18"/>
              </w:rPr>
              <w:t>Entyvio</w:t>
            </w:r>
            <w:r w:rsidRPr="004E025C">
              <w:rPr>
                <w:rFonts w:ascii="Arial Narrow" w:hAnsi="Arial Narrow"/>
                <w:sz w:val="18"/>
                <w:szCs w:val="18"/>
                <w:vertAlign w:val="superscript"/>
              </w:rPr>
              <w:t xml:space="preserve"> ®</w:t>
            </w:r>
          </w:p>
        </w:tc>
        <w:tc>
          <w:tcPr>
            <w:tcW w:w="794" w:type="pct"/>
          </w:tcPr>
          <w:p w:rsidR="00A416E9" w:rsidRPr="004E025C" w:rsidRDefault="00A416E9" w:rsidP="007D125E">
            <w:pPr>
              <w:keepNext/>
              <w:rPr>
                <w:rFonts w:ascii="Arial Narrow" w:hAnsi="Arial Narrow"/>
                <w:sz w:val="18"/>
                <w:szCs w:val="18"/>
              </w:rPr>
            </w:pPr>
            <w:r w:rsidRPr="004E025C">
              <w:rPr>
                <w:rFonts w:ascii="Arial Narrow" w:hAnsi="Arial Narrow"/>
                <w:sz w:val="18"/>
                <w:szCs w:val="18"/>
              </w:rPr>
              <w:t>Takeda Pharmaceuticals Australia Pty Ltd</w:t>
            </w:r>
          </w:p>
        </w:tc>
      </w:tr>
    </w:tbl>
    <w:p w:rsidR="00A416E9" w:rsidRPr="004E025C" w:rsidRDefault="00A416E9" w:rsidP="00A416E9">
      <w:pPr>
        <w:rPr>
          <w:rFonts w:ascii="Arial Narrow" w:hAnsi="Arial Narrow"/>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17"/>
      </w:tblGrid>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sz w:val="18"/>
                <w:szCs w:val="18"/>
              </w:rPr>
              <w:t>Category / Program: GENERAL – General Schedule (Code GE)</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sz w:val="18"/>
                <w:szCs w:val="18"/>
              </w:rPr>
              <w:t>Prescriber Type(s): Medical Practitioners</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sz w:val="18"/>
                <w:szCs w:val="18"/>
              </w:rPr>
              <w:t xml:space="preserve">PBS Indication: Severe Crohn disease </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sz w:val="18"/>
                <w:szCs w:val="18"/>
              </w:rPr>
              <w:t xml:space="preserve">Treatment phase : </w:t>
            </w:r>
            <w:r w:rsidRPr="004E025C">
              <w:rPr>
                <w:rFonts w:ascii="Arial Narrow" w:hAnsi="Arial Narrow"/>
                <w:b/>
                <w:sz w:val="18"/>
                <w:szCs w:val="18"/>
              </w:rPr>
              <w:t>Initial treatment with subcutaneous form at weeks 6, 8, 10 and 12</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sz w:val="18"/>
                <w:szCs w:val="18"/>
              </w:rPr>
              <w:t xml:space="preserve">Restriction Type: Authority required - </w:t>
            </w:r>
            <w:r w:rsidRPr="004E025C">
              <w:rPr>
                <w:rFonts w:ascii="Arial Narrow" w:eastAsia="Calibri" w:hAnsi="Arial Narrow"/>
                <w:sz w:val="18"/>
                <w:szCs w:val="18"/>
              </w:rPr>
              <w:t>immediate/real time assessment by Medicare (telephone/online/emergency)</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Treatment criteria</w:t>
            </w:r>
          </w:p>
          <w:p w:rsidR="00D65CDD" w:rsidRPr="004E025C" w:rsidRDefault="00D65CDD" w:rsidP="007D125E">
            <w:pPr>
              <w:rPr>
                <w:rFonts w:ascii="Arial Narrow" w:hAnsi="Arial Narrow"/>
                <w:sz w:val="18"/>
                <w:szCs w:val="18"/>
              </w:rPr>
            </w:pPr>
            <w:r w:rsidRPr="004E025C">
              <w:rPr>
                <w:rFonts w:ascii="Arial Narrow" w:hAnsi="Arial Narrow"/>
                <w:sz w:val="18"/>
                <w:szCs w:val="18"/>
              </w:rPr>
              <w:t>Must be treated by a gastroenterologist (code 87); or</w:t>
            </w:r>
          </w:p>
          <w:p w:rsidR="00D65CDD" w:rsidRPr="004E025C" w:rsidRDefault="00D65CDD" w:rsidP="007D125E">
            <w:pPr>
              <w:rPr>
                <w:rFonts w:ascii="Arial Narrow" w:hAnsi="Arial Narrow"/>
                <w:sz w:val="18"/>
                <w:szCs w:val="18"/>
              </w:rPr>
            </w:pPr>
            <w:r w:rsidRPr="004E025C">
              <w:rPr>
                <w:rFonts w:ascii="Arial Narrow" w:hAnsi="Arial Narrow"/>
                <w:sz w:val="18"/>
                <w:szCs w:val="18"/>
              </w:rPr>
              <w:t>Must be treated by a consultant physician [internal medicine specialising in gastroenterology (code 81)]; or</w:t>
            </w:r>
          </w:p>
          <w:p w:rsidR="00D65CDD" w:rsidRPr="004E025C" w:rsidRDefault="00D65CDD" w:rsidP="007D125E">
            <w:pPr>
              <w:rPr>
                <w:rFonts w:ascii="Arial Narrow" w:hAnsi="Arial Narrow"/>
                <w:sz w:val="18"/>
                <w:szCs w:val="18"/>
              </w:rPr>
            </w:pPr>
            <w:r w:rsidRPr="004E025C">
              <w:rPr>
                <w:rFonts w:ascii="Arial Narrow" w:hAnsi="Arial Narrow"/>
                <w:sz w:val="18"/>
                <w:szCs w:val="18"/>
              </w:rPr>
              <w:t>Must be treated by a consultant physician [general medicine specialising in gastroenterology (code 82)]</w:t>
            </w:r>
          </w:p>
          <w:p w:rsidR="00D65CDD" w:rsidRPr="004E025C" w:rsidRDefault="00D65CDD" w:rsidP="007D125E">
            <w:pPr>
              <w:rPr>
                <w:rFonts w:ascii="Arial Narrow" w:hAnsi="Arial Narrow"/>
                <w:sz w:val="18"/>
                <w:szCs w:val="18"/>
              </w:rPr>
            </w:pP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b/>
                <w:sz w:val="18"/>
                <w:szCs w:val="18"/>
              </w:rPr>
              <w:t>Clinical criteria</w:t>
            </w:r>
          </w:p>
          <w:p w:rsidR="00D65CDD" w:rsidRPr="004E025C" w:rsidRDefault="00D65CDD" w:rsidP="007D125E">
            <w:pPr>
              <w:rPr>
                <w:rFonts w:ascii="Arial Narrow" w:hAnsi="Arial Narrow"/>
                <w:sz w:val="18"/>
                <w:szCs w:val="18"/>
              </w:rPr>
            </w:pPr>
            <w:r w:rsidRPr="004E025C">
              <w:rPr>
                <w:rFonts w:ascii="Arial Narrow" w:hAnsi="Arial Narrow"/>
                <w:sz w:val="18"/>
                <w:szCs w:val="18"/>
              </w:rPr>
              <w:t>Patient must have received insufficient therapy with this drug for this condition under the Initial 1 (new patient) restriction to complete  14 weeks treatment if the patient wants to switch to the subcutaneous form at week 6 dose (the initial infusion regimen at 0 and 2); or</w:t>
            </w:r>
          </w:p>
          <w:p w:rsidR="00D65CDD" w:rsidRPr="004E025C" w:rsidRDefault="00D65CDD" w:rsidP="007D125E">
            <w:pPr>
              <w:rPr>
                <w:rFonts w:ascii="Arial Narrow" w:hAnsi="Arial Narrow"/>
                <w:sz w:val="18"/>
                <w:szCs w:val="18"/>
              </w:rPr>
            </w:pPr>
            <w:r w:rsidRPr="004E025C">
              <w:rPr>
                <w:rFonts w:ascii="Arial Narrow" w:hAnsi="Arial Narrow"/>
                <w:sz w:val="18"/>
                <w:szCs w:val="18"/>
              </w:rPr>
              <w:t>Patient must have received insufficient therapy with this drug for this condition under the Initial 2 (change or recommencement of treatment after a break in biological medicine of less than 5 years) restriction to complete  14 weeks treatment if the patient wants to switch to the subcutaneous form at week 6 dose (the initial infusion regimen at 0and 2); or</w:t>
            </w:r>
          </w:p>
          <w:p w:rsidR="00D65CDD" w:rsidRPr="004E025C" w:rsidRDefault="00D65CDD" w:rsidP="007D125E">
            <w:pPr>
              <w:rPr>
                <w:rFonts w:ascii="Arial Narrow" w:hAnsi="Arial Narrow"/>
                <w:sz w:val="18"/>
                <w:szCs w:val="18"/>
              </w:rPr>
            </w:pPr>
            <w:r w:rsidRPr="004E025C">
              <w:rPr>
                <w:rFonts w:ascii="Arial Narrow" w:hAnsi="Arial Narrow"/>
                <w:sz w:val="18"/>
                <w:szCs w:val="18"/>
              </w:rPr>
              <w:t>Patient must have received insufficient therapy with this drug for this condition under the Initial 3 (recommencement of treatment after a break in biological medicine of more than 5 years) restriction to complete 14 weeks treatment if the patient wants to switch to the subcutaneous form at week 6 dose (the initial infusion regimen at 0 and 2)</w:t>
            </w:r>
          </w:p>
          <w:p w:rsidR="00D65CDD" w:rsidRPr="004E025C" w:rsidRDefault="00D65CDD" w:rsidP="007D125E">
            <w:pPr>
              <w:rPr>
                <w:rFonts w:ascii="Arial Narrow" w:hAnsi="Arial Narrow"/>
                <w:sz w:val="18"/>
                <w:szCs w:val="18"/>
              </w:rPr>
            </w:pPr>
            <w:r w:rsidRPr="004E025C">
              <w:rPr>
                <w:rFonts w:ascii="Arial Narrow" w:hAnsi="Arial Narrow"/>
                <w:sz w:val="18"/>
                <w:szCs w:val="18"/>
              </w:rPr>
              <w:t>AND</w:t>
            </w:r>
          </w:p>
          <w:p w:rsidR="00D65CDD" w:rsidRPr="004E025C" w:rsidRDefault="00D65CDD" w:rsidP="007D125E">
            <w:pPr>
              <w:rPr>
                <w:rFonts w:ascii="Arial Narrow" w:hAnsi="Arial Narrow"/>
                <w:sz w:val="18"/>
                <w:szCs w:val="18"/>
              </w:rPr>
            </w:pPr>
            <w:r w:rsidRPr="004E025C">
              <w:rPr>
                <w:rFonts w:ascii="Arial Narrow" w:hAnsi="Arial Narrow"/>
                <w:sz w:val="18"/>
                <w:szCs w:val="18"/>
              </w:rPr>
              <w:t>The treatment must provide no more than the balance of up to 4 doses of subcutaneous form to complete 14 weeks of therapy available under Initial 1, 2 or 3 treatment</w:t>
            </w:r>
          </w:p>
          <w:p w:rsidR="00D65CDD" w:rsidRPr="004E025C" w:rsidRDefault="00D65CDD" w:rsidP="007D125E">
            <w:pPr>
              <w:rPr>
                <w:rFonts w:ascii="Arial Narrow" w:hAnsi="Arial Narrow"/>
                <w:sz w:val="18"/>
                <w:szCs w:val="18"/>
              </w:rPr>
            </w:pPr>
            <w:r w:rsidRPr="004E025C">
              <w:rPr>
                <w:rFonts w:ascii="Arial Narrow" w:hAnsi="Arial Narrow"/>
                <w:sz w:val="18"/>
                <w:szCs w:val="18"/>
              </w:rPr>
              <w:t>AND</w:t>
            </w:r>
          </w:p>
          <w:p w:rsidR="00D65CDD" w:rsidRPr="004E025C" w:rsidRDefault="00D65CDD" w:rsidP="007D125E">
            <w:pPr>
              <w:rPr>
                <w:rFonts w:ascii="Arial Narrow" w:hAnsi="Arial Narrow"/>
                <w:sz w:val="18"/>
                <w:szCs w:val="18"/>
              </w:rPr>
            </w:pPr>
            <w:r w:rsidRPr="004E025C">
              <w:rPr>
                <w:rFonts w:ascii="Arial Narrow" w:hAnsi="Arial Narrow"/>
                <w:sz w:val="18"/>
                <w:szCs w:val="18"/>
              </w:rPr>
              <w:t>Patient must be appropriately assessed for the risk of developing progressive multifocal leukoencephalopathy whilst on this treatment</w:t>
            </w:r>
          </w:p>
          <w:p w:rsidR="00D65CDD" w:rsidRPr="004E025C" w:rsidRDefault="00D65CDD" w:rsidP="007D125E">
            <w:pPr>
              <w:rPr>
                <w:rFonts w:ascii="Arial Narrow" w:hAnsi="Arial Narrow"/>
                <w:sz w:val="18"/>
                <w:szCs w:val="18"/>
              </w:rPr>
            </w:pPr>
          </w:p>
        </w:tc>
      </w:tr>
      <w:tr w:rsidR="00D65CDD" w:rsidRPr="004E025C" w:rsidTr="00D65CDD">
        <w:tc>
          <w:tcPr>
            <w:tcW w:w="5000" w:type="pct"/>
          </w:tcPr>
          <w:p w:rsidR="00D65CDD" w:rsidRPr="004E025C" w:rsidRDefault="00D65CDD" w:rsidP="00717A78">
            <w:pPr>
              <w:rPr>
                <w:rFonts w:ascii="Arial Narrow" w:hAnsi="Arial Narrow"/>
                <w:sz w:val="18"/>
                <w:szCs w:val="18"/>
              </w:rPr>
            </w:pPr>
            <w:r w:rsidRPr="00717A78">
              <w:rPr>
                <w:rFonts w:ascii="Arial Narrow" w:hAnsi="Arial Narrow"/>
                <w:i/>
                <w:sz w:val="18"/>
                <w:szCs w:val="18"/>
              </w:rPr>
              <w:t>At least</w:t>
            </w:r>
            <w:r>
              <w:rPr>
                <w:rFonts w:ascii="Arial Narrow" w:hAnsi="Arial Narrow"/>
                <w:sz w:val="18"/>
                <w:szCs w:val="18"/>
              </w:rPr>
              <w:t xml:space="preserve"> t</w:t>
            </w:r>
            <w:r w:rsidRPr="004E025C">
              <w:rPr>
                <w:rFonts w:ascii="Arial Narrow" w:hAnsi="Arial Narrow"/>
                <w:sz w:val="18"/>
                <w:szCs w:val="18"/>
              </w:rPr>
              <w:t>wo initial doses of vedolizumab (at weeks 0 and 2) must be administered via intravenous infusion.</w:t>
            </w:r>
          </w:p>
        </w:tc>
      </w:tr>
      <w:tr w:rsidR="00D65CDD" w:rsidRPr="004E025C" w:rsidTr="00D65CDD">
        <w:tc>
          <w:tcPr>
            <w:tcW w:w="5000" w:type="pct"/>
          </w:tcPr>
          <w:p w:rsidR="00D65CDD" w:rsidRPr="004E025C" w:rsidRDefault="00D65CDD" w:rsidP="007D125E">
            <w:pPr>
              <w:rPr>
                <w:rFonts w:ascii="Arial Narrow" w:hAnsi="Arial Narrow"/>
                <w:sz w:val="18"/>
                <w:szCs w:val="18"/>
              </w:rPr>
            </w:pPr>
            <w:r w:rsidRPr="004E025C">
              <w:rPr>
                <w:rFonts w:ascii="Arial Narrow" w:hAnsi="Arial Narrow"/>
                <w:sz w:val="18"/>
                <w:szCs w:val="18"/>
              </w:rPr>
              <w:t>[19606] Authority approval for sufficient therapy to complete the balance of supply may be requested by telephone by contacting the Department of Human Services on 1800 700 270 (hours of operation 8 a.m. to 5 p.m. EST Monday to Friday).</w:t>
            </w:r>
          </w:p>
        </w:tc>
      </w:tr>
    </w:tbl>
    <w:p w:rsidR="00A416E9" w:rsidRPr="004E025C" w:rsidRDefault="00A416E9" w:rsidP="00A416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858"/>
        <w:gridCol w:w="716"/>
        <w:gridCol w:w="716"/>
        <w:gridCol w:w="716"/>
        <w:gridCol w:w="858"/>
        <w:gridCol w:w="1432"/>
      </w:tblGrid>
      <w:tr w:rsidR="00717A78" w:rsidRPr="00717A78" w:rsidTr="00D65CDD">
        <w:trPr>
          <w:cantSplit/>
          <w:trHeight w:val="471"/>
        </w:trPr>
        <w:tc>
          <w:tcPr>
            <w:tcW w:w="2063" w:type="pct"/>
          </w:tcPr>
          <w:p w:rsidR="00A416E9" w:rsidRPr="00717A78" w:rsidRDefault="00A416E9" w:rsidP="007D125E">
            <w:pPr>
              <w:keepNext/>
              <w:ind w:left="-108"/>
              <w:rPr>
                <w:rFonts w:ascii="Arial Narrow" w:hAnsi="Arial Narrow"/>
                <w:b/>
                <w:sz w:val="18"/>
                <w:szCs w:val="18"/>
              </w:rPr>
            </w:pPr>
            <w:r w:rsidRPr="00717A78">
              <w:rPr>
                <w:rFonts w:ascii="Arial Narrow" w:hAnsi="Arial Narrow"/>
                <w:b/>
                <w:sz w:val="18"/>
                <w:szCs w:val="18"/>
              </w:rPr>
              <w:lastRenderedPageBreak/>
              <w:t>Name, Restriction,</w:t>
            </w:r>
          </w:p>
          <w:p w:rsidR="00A416E9" w:rsidRPr="00717A78" w:rsidRDefault="00A416E9" w:rsidP="007D125E">
            <w:pPr>
              <w:keepNext/>
              <w:ind w:left="-108"/>
              <w:rPr>
                <w:rFonts w:ascii="Arial Narrow" w:hAnsi="Arial Narrow"/>
                <w:b/>
                <w:sz w:val="18"/>
                <w:szCs w:val="18"/>
              </w:rPr>
            </w:pPr>
            <w:r w:rsidRPr="00717A78">
              <w:rPr>
                <w:rFonts w:ascii="Arial Narrow" w:hAnsi="Arial Narrow"/>
                <w:b/>
                <w:sz w:val="18"/>
                <w:szCs w:val="18"/>
              </w:rPr>
              <w:t>Manner of administration and form</w:t>
            </w:r>
          </w:p>
        </w:tc>
        <w:tc>
          <w:tcPr>
            <w:tcW w:w="476" w:type="pct"/>
          </w:tcPr>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PBS item code</w:t>
            </w:r>
          </w:p>
        </w:tc>
        <w:tc>
          <w:tcPr>
            <w:tcW w:w="397" w:type="pct"/>
          </w:tcPr>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Max. qty packs</w:t>
            </w:r>
          </w:p>
        </w:tc>
        <w:tc>
          <w:tcPr>
            <w:tcW w:w="397" w:type="pct"/>
          </w:tcPr>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Max. qty units</w:t>
            </w:r>
          </w:p>
        </w:tc>
        <w:tc>
          <w:tcPr>
            <w:tcW w:w="397" w:type="pct"/>
          </w:tcPr>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№.of</w:t>
            </w:r>
          </w:p>
          <w:p w:rsidR="00A416E9" w:rsidRPr="00717A78" w:rsidRDefault="00A416E9" w:rsidP="007D125E">
            <w:pPr>
              <w:keepNext/>
              <w:ind w:left="-108"/>
              <w:jc w:val="center"/>
              <w:rPr>
                <w:rFonts w:ascii="Arial Narrow" w:hAnsi="Arial Narrow"/>
                <w:b/>
                <w:sz w:val="18"/>
                <w:szCs w:val="18"/>
              </w:rPr>
            </w:pPr>
            <w:r w:rsidRPr="00717A78">
              <w:rPr>
                <w:rFonts w:ascii="Arial Narrow" w:hAnsi="Arial Narrow"/>
                <w:b/>
                <w:sz w:val="18"/>
                <w:szCs w:val="18"/>
              </w:rPr>
              <w:t>Rpts</w:t>
            </w:r>
          </w:p>
        </w:tc>
        <w:tc>
          <w:tcPr>
            <w:tcW w:w="1270" w:type="pct"/>
            <w:gridSpan w:val="2"/>
          </w:tcPr>
          <w:p w:rsidR="00A416E9" w:rsidRPr="00717A78" w:rsidRDefault="00A416E9" w:rsidP="007D125E">
            <w:pPr>
              <w:keepNext/>
              <w:rPr>
                <w:rFonts w:ascii="Arial Narrow" w:hAnsi="Arial Narrow"/>
                <w:b/>
                <w:sz w:val="18"/>
                <w:szCs w:val="18"/>
              </w:rPr>
            </w:pPr>
            <w:r w:rsidRPr="00717A78">
              <w:rPr>
                <w:rFonts w:ascii="Arial Narrow" w:hAnsi="Arial Narrow"/>
                <w:b/>
                <w:sz w:val="18"/>
                <w:szCs w:val="18"/>
              </w:rPr>
              <w:t>Proprietary Name and Manufacturer</w:t>
            </w:r>
          </w:p>
        </w:tc>
      </w:tr>
      <w:tr w:rsidR="00717A78" w:rsidRPr="00717A78" w:rsidTr="00D65CDD">
        <w:trPr>
          <w:cantSplit/>
          <w:trHeight w:val="346"/>
        </w:trPr>
        <w:tc>
          <w:tcPr>
            <w:tcW w:w="2063" w:type="pct"/>
          </w:tcPr>
          <w:p w:rsidR="00A416E9" w:rsidRPr="00717A78" w:rsidRDefault="00A416E9" w:rsidP="007D125E">
            <w:pPr>
              <w:keepNext/>
              <w:ind w:left="-108"/>
              <w:rPr>
                <w:rFonts w:ascii="Arial Narrow" w:hAnsi="Arial Narrow"/>
                <w:sz w:val="18"/>
                <w:szCs w:val="18"/>
              </w:rPr>
            </w:pPr>
            <w:r w:rsidRPr="00717A78">
              <w:rPr>
                <w:rFonts w:ascii="Arial Narrow" w:hAnsi="Arial Narrow" w:cstheme="minorHAnsi"/>
                <w:sz w:val="18"/>
                <w:szCs w:val="18"/>
              </w:rPr>
              <w:t>VEDOLIZUMAB 108 mg/0.68 mL injection, 2 x 0.68 mL syringes</w:t>
            </w:r>
          </w:p>
          <w:p w:rsidR="00A416E9" w:rsidRPr="00717A78" w:rsidRDefault="00A416E9" w:rsidP="007D125E">
            <w:pPr>
              <w:keepNext/>
              <w:ind w:left="-108"/>
              <w:rPr>
                <w:rFonts w:ascii="Arial Narrow" w:hAnsi="Arial Narrow"/>
                <w:sz w:val="18"/>
                <w:szCs w:val="18"/>
              </w:rPr>
            </w:pPr>
          </w:p>
        </w:tc>
        <w:tc>
          <w:tcPr>
            <w:tcW w:w="476"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NEW</w:t>
            </w:r>
          </w:p>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NEW</w:t>
            </w:r>
          </w:p>
        </w:tc>
        <w:tc>
          <w:tcPr>
            <w:tcW w:w="397" w:type="pct"/>
          </w:tcPr>
          <w:p w:rsidR="00A416E9" w:rsidRPr="00717A78" w:rsidRDefault="00A416E9" w:rsidP="007D125E">
            <w:pPr>
              <w:keepNext/>
              <w:jc w:val="center"/>
              <w:rPr>
                <w:rFonts w:ascii="Arial Narrow" w:hAnsi="Arial Narrow"/>
                <w:sz w:val="18"/>
                <w:szCs w:val="18"/>
              </w:rPr>
            </w:pPr>
            <w:r w:rsidRPr="00717A78">
              <w:rPr>
                <w:rFonts w:ascii="Arial Narrow" w:hAnsi="Arial Narrow"/>
                <w:sz w:val="18"/>
                <w:szCs w:val="18"/>
              </w:rPr>
              <w:t>1</w:t>
            </w:r>
          </w:p>
        </w:tc>
        <w:tc>
          <w:tcPr>
            <w:tcW w:w="397"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2</w:t>
            </w:r>
          </w:p>
        </w:tc>
        <w:tc>
          <w:tcPr>
            <w:tcW w:w="397"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5</w:t>
            </w:r>
          </w:p>
          <w:p w:rsidR="00A416E9" w:rsidRPr="00717A78" w:rsidRDefault="00A416E9" w:rsidP="007D125E">
            <w:pPr>
              <w:keepNext/>
              <w:rPr>
                <w:rFonts w:ascii="Arial Narrow" w:hAnsi="Arial Narrow"/>
                <w:sz w:val="18"/>
                <w:szCs w:val="18"/>
              </w:rPr>
            </w:pPr>
          </w:p>
        </w:tc>
        <w:tc>
          <w:tcPr>
            <w:tcW w:w="476" w:type="pct"/>
          </w:tcPr>
          <w:p w:rsidR="00A416E9" w:rsidRPr="00717A78" w:rsidRDefault="00A416E9" w:rsidP="007D125E">
            <w:pPr>
              <w:keepNext/>
              <w:rPr>
                <w:rFonts w:ascii="Arial Narrow" w:hAnsi="Arial Narrow"/>
                <w:sz w:val="18"/>
                <w:szCs w:val="18"/>
              </w:rPr>
            </w:pPr>
            <w:r w:rsidRPr="00717A78">
              <w:rPr>
                <w:rFonts w:ascii="Arial Narrow" w:hAnsi="Arial Narrow"/>
                <w:sz w:val="18"/>
                <w:szCs w:val="18"/>
              </w:rPr>
              <w:t>Entyvio</w:t>
            </w:r>
            <w:r w:rsidRPr="00717A78">
              <w:rPr>
                <w:rFonts w:ascii="Arial Narrow" w:hAnsi="Arial Narrow"/>
                <w:sz w:val="18"/>
                <w:szCs w:val="18"/>
                <w:vertAlign w:val="superscript"/>
              </w:rPr>
              <w:t>®</w:t>
            </w:r>
          </w:p>
          <w:p w:rsidR="00A416E9" w:rsidRPr="00717A78" w:rsidRDefault="00A416E9" w:rsidP="007D125E">
            <w:pPr>
              <w:rPr>
                <w:rFonts w:ascii="Arial Narrow" w:hAnsi="Arial Narrow"/>
                <w:sz w:val="18"/>
                <w:szCs w:val="18"/>
              </w:rPr>
            </w:pPr>
          </w:p>
        </w:tc>
        <w:tc>
          <w:tcPr>
            <w:tcW w:w="794" w:type="pct"/>
          </w:tcPr>
          <w:p w:rsidR="00A416E9" w:rsidRPr="00717A78" w:rsidRDefault="00A416E9" w:rsidP="007D125E">
            <w:pPr>
              <w:keepNext/>
              <w:rPr>
                <w:rFonts w:ascii="Arial Narrow" w:hAnsi="Arial Narrow"/>
                <w:sz w:val="18"/>
                <w:szCs w:val="18"/>
              </w:rPr>
            </w:pPr>
            <w:r w:rsidRPr="00717A78">
              <w:rPr>
                <w:rFonts w:ascii="Arial Narrow" w:hAnsi="Arial Narrow"/>
                <w:sz w:val="18"/>
                <w:szCs w:val="18"/>
              </w:rPr>
              <w:t>Takeda Pharmaceuticals Australia Pty Ltd</w:t>
            </w:r>
          </w:p>
        </w:tc>
      </w:tr>
      <w:tr w:rsidR="00717A78" w:rsidRPr="00717A78" w:rsidTr="00D65CDD">
        <w:trPr>
          <w:cantSplit/>
          <w:trHeight w:val="346"/>
        </w:trPr>
        <w:tc>
          <w:tcPr>
            <w:tcW w:w="2063" w:type="pct"/>
          </w:tcPr>
          <w:p w:rsidR="00A416E9" w:rsidRPr="00717A78" w:rsidRDefault="00A416E9" w:rsidP="007D125E">
            <w:pPr>
              <w:keepNext/>
              <w:ind w:left="-108"/>
              <w:rPr>
                <w:rFonts w:ascii="Arial Narrow" w:hAnsi="Arial Narrow" w:cstheme="minorHAnsi"/>
                <w:sz w:val="18"/>
                <w:szCs w:val="18"/>
              </w:rPr>
            </w:pPr>
            <w:r w:rsidRPr="00717A78">
              <w:rPr>
                <w:rFonts w:ascii="Arial Narrow" w:hAnsi="Arial Narrow" w:cstheme="minorHAnsi"/>
                <w:sz w:val="18"/>
                <w:szCs w:val="18"/>
              </w:rPr>
              <w:t>VEDOLIZUMAB 108 mg/0.68 mL injection, 2 x 0.68 mL pen devices</w:t>
            </w:r>
          </w:p>
        </w:tc>
        <w:tc>
          <w:tcPr>
            <w:tcW w:w="476"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NEW</w:t>
            </w:r>
          </w:p>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NEW</w:t>
            </w:r>
          </w:p>
        </w:tc>
        <w:tc>
          <w:tcPr>
            <w:tcW w:w="397" w:type="pct"/>
          </w:tcPr>
          <w:p w:rsidR="00A416E9" w:rsidRPr="00717A78" w:rsidRDefault="00A416E9" w:rsidP="007D125E">
            <w:pPr>
              <w:keepNext/>
              <w:jc w:val="center"/>
              <w:rPr>
                <w:rFonts w:ascii="Arial Narrow" w:hAnsi="Arial Narrow"/>
                <w:sz w:val="18"/>
                <w:szCs w:val="18"/>
              </w:rPr>
            </w:pPr>
            <w:r w:rsidRPr="00717A78">
              <w:rPr>
                <w:rFonts w:ascii="Arial Narrow" w:hAnsi="Arial Narrow"/>
                <w:sz w:val="18"/>
                <w:szCs w:val="18"/>
              </w:rPr>
              <w:t>1</w:t>
            </w:r>
          </w:p>
        </w:tc>
        <w:tc>
          <w:tcPr>
            <w:tcW w:w="397"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2</w:t>
            </w:r>
          </w:p>
        </w:tc>
        <w:tc>
          <w:tcPr>
            <w:tcW w:w="397" w:type="pct"/>
          </w:tcPr>
          <w:p w:rsidR="00A416E9" w:rsidRPr="00717A78" w:rsidRDefault="00A416E9" w:rsidP="007D125E">
            <w:pPr>
              <w:keepNext/>
              <w:ind w:left="-108"/>
              <w:jc w:val="center"/>
              <w:rPr>
                <w:rFonts w:ascii="Arial Narrow" w:hAnsi="Arial Narrow"/>
                <w:sz w:val="18"/>
                <w:szCs w:val="18"/>
              </w:rPr>
            </w:pPr>
            <w:r w:rsidRPr="00717A78">
              <w:rPr>
                <w:rFonts w:ascii="Arial Narrow" w:hAnsi="Arial Narrow"/>
                <w:sz w:val="18"/>
                <w:szCs w:val="18"/>
              </w:rPr>
              <w:t>5</w:t>
            </w:r>
          </w:p>
          <w:p w:rsidR="00A416E9" w:rsidRPr="00717A78" w:rsidRDefault="00A416E9" w:rsidP="007D125E">
            <w:pPr>
              <w:keepNext/>
              <w:ind w:left="-108"/>
              <w:jc w:val="center"/>
              <w:rPr>
                <w:rFonts w:ascii="Arial Narrow" w:hAnsi="Arial Narrow"/>
                <w:sz w:val="18"/>
                <w:szCs w:val="18"/>
              </w:rPr>
            </w:pPr>
          </w:p>
        </w:tc>
        <w:tc>
          <w:tcPr>
            <w:tcW w:w="476" w:type="pct"/>
          </w:tcPr>
          <w:p w:rsidR="00A416E9" w:rsidRPr="00717A78" w:rsidRDefault="00A416E9" w:rsidP="007D125E">
            <w:pPr>
              <w:keepNext/>
              <w:rPr>
                <w:rFonts w:ascii="Arial Narrow" w:hAnsi="Arial Narrow"/>
                <w:sz w:val="18"/>
                <w:szCs w:val="18"/>
              </w:rPr>
            </w:pPr>
            <w:r w:rsidRPr="00717A78">
              <w:rPr>
                <w:rFonts w:ascii="Arial Narrow" w:hAnsi="Arial Narrow"/>
                <w:sz w:val="18"/>
                <w:szCs w:val="18"/>
              </w:rPr>
              <w:t>Entyvio</w:t>
            </w:r>
            <w:r w:rsidRPr="00717A78">
              <w:rPr>
                <w:rFonts w:ascii="Arial Narrow" w:hAnsi="Arial Narrow"/>
                <w:sz w:val="18"/>
                <w:szCs w:val="18"/>
                <w:vertAlign w:val="superscript"/>
              </w:rPr>
              <w:t xml:space="preserve"> ®</w:t>
            </w:r>
          </w:p>
        </w:tc>
        <w:tc>
          <w:tcPr>
            <w:tcW w:w="794" w:type="pct"/>
          </w:tcPr>
          <w:p w:rsidR="00A416E9" w:rsidRPr="00717A78" w:rsidRDefault="00A416E9" w:rsidP="007D125E">
            <w:pPr>
              <w:keepNext/>
              <w:rPr>
                <w:rFonts w:ascii="Arial Narrow" w:hAnsi="Arial Narrow"/>
                <w:sz w:val="18"/>
                <w:szCs w:val="18"/>
              </w:rPr>
            </w:pPr>
            <w:r w:rsidRPr="00717A78">
              <w:rPr>
                <w:rFonts w:ascii="Arial Narrow" w:hAnsi="Arial Narrow"/>
                <w:sz w:val="18"/>
                <w:szCs w:val="18"/>
              </w:rPr>
              <w:t>Takeda Pharmaceuticals Australia Pty Ltd</w:t>
            </w:r>
          </w:p>
        </w:tc>
      </w:tr>
    </w:tbl>
    <w:p w:rsidR="00A416E9" w:rsidRPr="004E025C" w:rsidRDefault="00A416E9" w:rsidP="00A416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D65CDD" w:rsidRPr="00717A78" w:rsidTr="00D65CDD">
        <w:trPr>
          <w:trHeight w:val="57"/>
        </w:trPr>
        <w:tc>
          <w:tcPr>
            <w:tcW w:w="5000" w:type="pct"/>
            <w:tcBorders>
              <w:top w:val="single" w:sz="4" w:space="0" w:color="auto"/>
              <w:left w:val="single" w:sz="4" w:space="0" w:color="auto"/>
              <w:bottom w:val="single" w:sz="4" w:space="0" w:color="auto"/>
              <w:right w:val="single" w:sz="4" w:space="0" w:color="auto"/>
            </w:tcBorders>
          </w:tcPr>
          <w:p w:rsidR="00D65CDD" w:rsidRPr="00717A78" w:rsidRDefault="00D65CDD" w:rsidP="007D125E">
            <w:pPr>
              <w:rPr>
                <w:rFonts w:ascii="Arial Narrow" w:hAnsi="Arial Narrow"/>
                <w:sz w:val="18"/>
                <w:szCs w:val="18"/>
              </w:rPr>
            </w:pPr>
            <w:r w:rsidRPr="00717A78">
              <w:rPr>
                <w:rFonts w:ascii="Arial Narrow" w:hAnsi="Arial Narrow"/>
                <w:b/>
                <w:sz w:val="18"/>
                <w:szCs w:val="18"/>
              </w:rPr>
              <w:t xml:space="preserve">Category / Program:   </w:t>
            </w:r>
            <w:r w:rsidRPr="00717A78">
              <w:rPr>
                <w:rFonts w:ascii="Arial Narrow" w:hAnsi="Arial Narrow"/>
                <w:sz w:val="18"/>
                <w:szCs w:val="18"/>
              </w:rPr>
              <w:t xml:space="preserve">GENERAL – General Schedule (Code GE) </w:t>
            </w:r>
          </w:p>
        </w:tc>
      </w:tr>
      <w:tr w:rsidR="00D65CDD" w:rsidRPr="00717A78" w:rsidTr="00D65CDD">
        <w:trPr>
          <w:trHeight w:val="240"/>
        </w:trPr>
        <w:tc>
          <w:tcPr>
            <w:tcW w:w="5000" w:type="pct"/>
            <w:tcBorders>
              <w:top w:val="single" w:sz="4" w:space="0" w:color="auto"/>
              <w:left w:val="single" w:sz="4" w:space="0" w:color="auto"/>
              <w:bottom w:val="single" w:sz="4" w:space="0" w:color="auto"/>
              <w:right w:val="single" w:sz="4" w:space="0" w:color="auto"/>
            </w:tcBorders>
          </w:tcPr>
          <w:p w:rsidR="00D65CDD" w:rsidRPr="00717A78" w:rsidRDefault="00D65CDD" w:rsidP="007D125E">
            <w:pPr>
              <w:rPr>
                <w:rFonts w:ascii="Arial Narrow" w:hAnsi="Arial Narrow"/>
                <w:b/>
                <w:sz w:val="18"/>
                <w:szCs w:val="18"/>
              </w:rPr>
            </w:pPr>
            <w:r w:rsidRPr="00717A78">
              <w:rPr>
                <w:rFonts w:ascii="Arial Narrow" w:hAnsi="Arial Narrow"/>
                <w:b/>
                <w:sz w:val="18"/>
                <w:szCs w:val="18"/>
              </w:rPr>
              <w:t xml:space="preserve">Prescriber type:   </w:t>
            </w:r>
            <w:r w:rsidRPr="00717A78">
              <w:rPr>
                <w:rFonts w:ascii="Arial Narrow" w:hAnsi="Arial Narrow"/>
                <w:sz w:val="18"/>
                <w:szCs w:val="18"/>
              </w:rPr>
              <w:fldChar w:fldCharType="begin">
                <w:ffData>
                  <w:name w:val="Check1"/>
                  <w:enabled/>
                  <w:calcOnExit w:val="0"/>
                  <w:checkBox>
                    <w:sizeAuto/>
                    <w:default w:val="0"/>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 xml:space="preserve">Dental    </w:t>
            </w:r>
            <w:r w:rsidRPr="00717A78">
              <w:rPr>
                <w:rFonts w:ascii="Arial Narrow" w:hAnsi="Arial Narrow"/>
                <w:sz w:val="18"/>
                <w:szCs w:val="18"/>
              </w:rPr>
              <w:fldChar w:fldCharType="begin">
                <w:ffData>
                  <w:name w:val=""/>
                  <w:enabled/>
                  <w:calcOnExit w:val="0"/>
                  <w:checkBox>
                    <w:sizeAuto/>
                    <w:default w:val="1"/>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 xml:space="preserve">Medical Practitioners    </w:t>
            </w:r>
            <w:r w:rsidRPr="00717A78">
              <w:rPr>
                <w:rFonts w:ascii="Arial Narrow" w:hAnsi="Arial Narrow"/>
                <w:sz w:val="18"/>
                <w:szCs w:val="18"/>
              </w:rPr>
              <w:fldChar w:fldCharType="begin">
                <w:ffData>
                  <w:name w:val="Check3"/>
                  <w:enabled/>
                  <w:calcOnExit w:val="0"/>
                  <w:checkBox>
                    <w:sizeAuto/>
                    <w:default w:val="0"/>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 xml:space="preserve">Nurse practitioners     </w:t>
            </w:r>
            <w:r w:rsidRPr="00717A78">
              <w:rPr>
                <w:rFonts w:ascii="Arial Narrow" w:hAnsi="Arial Narrow"/>
                <w:sz w:val="18"/>
                <w:szCs w:val="18"/>
              </w:rPr>
              <w:fldChar w:fldCharType="begin">
                <w:ffData>
                  <w:name w:val=""/>
                  <w:enabled/>
                  <w:calcOnExit w:val="0"/>
                  <w:checkBox>
                    <w:sizeAuto/>
                    <w:default w:val="0"/>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 xml:space="preserve">Optometrists    </w:t>
            </w:r>
            <w:r w:rsidRPr="00717A78">
              <w:rPr>
                <w:rFonts w:ascii="Arial Narrow" w:hAnsi="Arial Narrow"/>
                <w:sz w:val="18"/>
                <w:szCs w:val="18"/>
              </w:rPr>
              <w:fldChar w:fldCharType="begin">
                <w:ffData>
                  <w:name w:val="Check5"/>
                  <w:enabled/>
                  <w:calcOnExit w:val="0"/>
                  <w:checkBox>
                    <w:sizeAuto/>
                    <w:default w:val="0"/>
                  </w:checkBox>
                </w:ffData>
              </w:fldChar>
            </w:r>
            <w:r w:rsidRPr="00717A7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717A78">
              <w:rPr>
                <w:rFonts w:ascii="Arial Narrow" w:hAnsi="Arial Narrow"/>
                <w:sz w:val="18"/>
                <w:szCs w:val="18"/>
              </w:rPr>
              <w:fldChar w:fldCharType="end"/>
            </w:r>
            <w:r w:rsidRPr="00717A78">
              <w:rPr>
                <w:rFonts w:ascii="Arial Narrow" w:hAnsi="Arial Narrow"/>
                <w:sz w:val="18"/>
                <w:szCs w:val="18"/>
              </w:rPr>
              <w:t>Midwives</w:t>
            </w:r>
          </w:p>
        </w:tc>
      </w:tr>
      <w:tr w:rsidR="00D65CDD" w:rsidRPr="00717A78" w:rsidTr="00D65CDD">
        <w:trPr>
          <w:trHeight w:val="170"/>
        </w:trPr>
        <w:tc>
          <w:tcPr>
            <w:tcW w:w="5000" w:type="pct"/>
            <w:tcBorders>
              <w:top w:val="single" w:sz="4" w:space="0" w:color="auto"/>
              <w:left w:val="single" w:sz="4" w:space="0" w:color="auto"/>
              <w:bottom w:val="single" w:sz="4" w:space="0" w:color="auto"/>
              <w:right w:val="single" w:sz="4" w:space="0" w:color="auto"/>
            </w:tcBorders>
          </w:tcPr>
          <w:p w:rsidR="00D65CDD" w:rsidRPr="00717A78" w:rsidRDefault="00D65CDD" w:rsidP="007D125E">
            <w:pPr>
              <w:rPr>
                <w:rFonts w:ascii="Arial Narrow" w:eastAsia="Calibri" w:hAnsi="Arial Narrow"/>
                <w:sz w:val="18"/>
                <w:szCs w:val="18"/>
              </w:rPr>
            </w:pPr>
            <w:r w:rsidRPr="00717A78">
              <w:rPr>
                <w:rFonts w:ascii="Arial Narrow" w:hAnsi="Arial Narrow"/>
                <w:b/>
                <w:sz w:val="18"/>
                <w:szCs w:val="18"/>
              </w:rPr>
              <w:t xml:space="preserve">Restriction Type – </w:t>
            </w:r>
            <w:r w:rsidRPr="00717A78">
              <w:rPr>
                <w:rFonts w:ascii="Arial Narrow" w:eastAsia="Calibri" w:hAnsi="Arial Narrow"/>
                <w:sz w:val="18"/>
                <w:szCs w:val="18"/>
              </w:rPr>
              <w:fldChar w:fldCharType="begin">
                <w:ffData>
                  <w:name w:val=""/>
                  <w:enabled/>
                  <w:calcOnExit w:val="0"/>
                  <w:checkBox>
                    <w:sizeAuto/>
                    <w:default w:val="1"/>
                  </w:checkBox>
                </w:ffData>
              </w:fldChar>
            </w:r>
            <w:r w:rsidRPr="00717A78">
              <w:rPr>
                <w:rFonts w:ascii="Arial Narrow" w:eastAsia="Calibri" w:hAnsi="Arial Narrow"/>
                <w:sz w:val="18"/>
                <w:szCs w:val="18"/>
              </w:rPr>
              <w:instrText xml:space="preserve"> FORMCHECKBOX </w:instrText>
            </w:r>
            <w:r w:rsidR="00226F00">
              <w:rPr>
                <w:rFonts w:ascii="Arial Narrow" w:eastAsia="Calibri" w:hAnsi="Arial Narrow"/>
                <w:sz w:val="18"/>
                <w:szCs w:val="18"/>
              </w:rPr>
            </w:r>
            <w:r w:rsidR="00226F00">
              <w:rPr>
                <w:rFonts w:ascii="Arial Narrow" w:eastAsia="Calibri" w:hAnsi="Arial Narrow"/>
                <w:sz w:val="18"/>
                <w:szCs w:val="18"/>
              </w:rPr>
              <w:fldChar w:fldCharType="separate"/>
            </w:r>
            <w:r w:rsidRPr="00717A78">
              <w:rPr>
                <w:rFonts w:ascii="Arial Narrow" w:eastAsia="Calibri" w:hAnsi="Arial Narrow"/>
                <w:sz w:val="18"/>
                <w:szCs w:val="18"/>
              </w:rPr>
              <w:fldChar w:fldCharType="end"/>
            </w:r>
            <w:r w:rsidRPr="00717A78">
              <w:rPr>
                <w:rFonts w:ascii="Arial Narrow" w:eastAsia="Calibri" w:hAnsi="Arial Narrow"/>
                <w:sz w:val="18"/>
                <w:szCs w:val="18"/>
              </w:rPr>
              <w:t xml:space="preserve"> Authority Required – in writing</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
                <w:bCs/>
                <w:sz w:val="18"/>
                <w:szCs w:val="18"/>
              </w:rPr>
              <w:t xml:space="preserve">Severity: </w:t>
            </w:r>
            <w:r w:rsidRPr="00717A78">
              <w:rPr>
                <w:rFonts w:ascii="Arial Narrow" w:hAnsi="Arial Narrow"/>
                <w:sz w:val="18"/>
                <w:szCs w:val="18"/>
              </w:rPr>
              <w:t>Severe</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
                <w:bCs/>
                <w:sz w:val="18"/>
                <w:szCs w:val="18"/>
              </w:rPr>
              <w:t xml:space="preserve">Condition: </w:t>
            </w:r>
            <w:r w:rsidRPr="00717A78">
              <w:rPr>
                <w:rFonts w:ascii="Arial Narrow" w:hAnsi="Arial Narrow"/>
                <w:sz w:val="18"/>
                <w:szCs w:val="18"/>
              </w:rPr>
              <w:t>Crohn’s disease</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Indication:</w:t>
            </w:r>
            <w:r w:rsidRPr="00717A78">
              <w:rPr>
                <w:rFonts w:ascii="Arial Narrow" w:hAnsi="Arial Narrow"/>
                <w:sz w:val="18"/>
                <w:szCs w:val="18"/>
              </w:rPr>
              <w:t xml:space="preserve"> Severe Crohn’s disease</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Treatment Phase:</w:t>
            </w:r>
            <w:r w:rsidRPr="00717A78">
              <w:rPr>
                <w:rFonts w:ascii="Arial Narrow" w:hAnsi="Arial Narrow"/>
                <w:sz w:val="18"/>
                <w:szCs w:val="18"/>
              </w:rPr>
              <w:t xml:space="preserve"> Continuing</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
                <w:bCs/>
                <w:sz w:val="18"/>
                <w:szCs w:val="18"/>
              </w:rPr>
              <w:t>Treatment criteria:</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Cs/>
                <w:sz w:val="18"/>
                <w:szCs w:val="18"/>
              </w:rPr>
              <w:t>Must be treated by a gastroenterologist; or</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Cs/>
                <w:sz w:val="18"/>
                <w:szCs w:val="18"/>
              </w:rPr>
              <w:t>Must be treated by a consultant physician [internal medicine specialising in gastroenterology]; or</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Cs/>
                <w:sz w:val="18"/>
                <w:szCs w:val="18"/>
              </w:rPr>
              <w:t>Must be treated by a consultant physician [general medicine specialising in gastroenterology]</w:t>
            </w:r>
          </w:p>
        </w:tc>
      </w:tr>
      <w:tr w:rsidR="00D65CDD" w:rsidRPr="00717A78" w:rsidTr="00D65CDD">
        <w:tc>
          <w:tcPr>
            <w:tcW w:w="5000" w:type="pct"/>
            <w:vAlign w:val="center"/>
          </w:tcPr>
          <w:p w:rsidR="00D65CDD" w:rsidRPr="00717A78" w:rsidRDefault="00D65CDD" w:rsidP="007D125E">
            <w:pPr>
              <w:rPr>
                <w:rFonts w:ascii="Arial Narrow" w:hAnsi="Arial Narrow"/>
                <w:b/>
                <w:bCs/>
                <w:sz w:val="18"/>
                <w:szCs w:val="18"/>
              </w:rPr>
            </w:pPr>
            <w:r w:rsidRPr="00717A78">
              <w:rPr>
                <w:rFonts w:ascii="Arial Narrow" w:hAnsi="Arial Narrow"/>
                <w:b/>
                <w:bCs/>
                <w:sz w:val="18"/>
                <w:szCs w:val="18"/>
              </w:rPr>
              <w:t>AND</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Clinical criteria:</w:t>
            </w:r>
          </w:p>
        </w:tc>
      </w:tr>
      <w:tr w:rsidR="00D65CDD" w:rsidRPr="00717A78" w:rsidTr="00D65CDD">
        <w:tc>
          <w:tcPr>
            <w:tcW w:w="5000" w:type="pct"/>
            <w:hideMark/>
          </w:tcPr>
          <w:p w:rsidR="00D65CDD" w:rsidRPr="00717A78" w:rsidRDefault="00D65CDD" w:rsidP="007D125E">
            <w:pPr>
              <w:rPr>
                <w:rFonts w:ascii="Arial Narrow" w:hAnsi="Arial Narrow"/>
                <w:sz w:val="18"/>
                <w:szCs w:val="18"/>
              </w:rPr>
            </w:pPr>
            <w:r w:rsidRPr="00717A78">
              <w:rPr>
                <w:rFonts w:ascii="Arial Narrow" w:hAnsi="Arial Narrow"/>
                <w:sz w:val="18"/>
                <w:szCs w:val="18"/>
              </w:rPr>
              <w:t>Patient must have previously received this drug as their most recent course of PBS-subsidised biological medicine treatment for this condition</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AND</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Clinical criteria:</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sz w:val="18"/>
                <w:szCs w:val="18"/>
              </w:rPr>
              <w:t>Patient must not receive more than 24 weeks of treatment under this restriction</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AND</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Clinical criteria:</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sz w:val="18"/>
                <w:szCs w:val="18"/>
              </w:rPr>
              <w:t>Patient must be appropriately assessed for the risk of developing progressive multifocal leukoencephalopathy whilst on this treatment,</w:t>
            </w:r>
          </w:p>
        </w:tc>
      </w:tr>
      <w:tr w:rsidR="00D65CDD" w:rsidRPr="00717A78" w:rsidTr="00D65CDD">
        <w:tc>
          <w:tcPr>
            <w:tcW w:w="5000" w:type="pct"/>
            <w:vAlign w:val="center"/>
          </w:tcPr>
          <w:p w:rsidR="00D65CDD" w:rsidRPr="00717A78" w:rsidRDefault="00D65CDD" w:rsidP="007D125E">
            <w:pPr>
              <w:rPr>
                <w:rFonts w:ascii="Arial Narrow" w:hAnsi="Arial Narrow"/>
                <w:sz w:val="18"/>
                <w:szCs w:val="18"/>
              </w:rPr>
            </w:pPr>
            <w:r w:rsidRPr="00717A78">
              <w:rPr>
                <w:rFonts w:ascii="Arial Narrow" w:hAnsi="Arial Narrow"/>
                <w:b/>
                <w:bCs/>
                <w:sz w:val="18"/>
                <w:szCs w:val="18"/>
              </w:rPr>
              <w:t>AND</w:t>
            </w:r>
          </w:p>
        </w:tc>
      </w:tr>
      <w:tr w:rsidR="00D65CDD" w:rsidRPr="00717A78" w:rsidTr="00D65CDD">
        <w:tc>
          <w:tcPr>
            <w:tcW w:w="5000" w:type="pct"/>
            <w:vAlign w:val="center"/>
          </w:tcPr>
          <w:p w:rsidR="00D65CDD" w:rsidRPr="00717A78" w:rsidRDefault="00D65CDD" w:rsidP="007D125E">
            <w:pPr>
              <w:rPr>
                <w:rFonts w:ascii="Arial Narrow" w:hAnsi="Arial Narrow"/>
                <w:sz w:val="18"/>
                <w:szCs w:val="18"/>
              </w:rPr>
            </w:pPr>
            <w:r w:rsidRPr="00717A78">
              <w:rPr>
                <w:rFonts w:ascii="Arial Narrow" w:hAnsi="Arial Narrow"/>
                <w:b/>
                <w:bCs/>
                <w:sz w:val="18"/>
                <w:szCs w:val="18"/>
              </w:rPr>
              <w:t>Clinical criteria:</w:t>
            </w:r>
          </w:p>
        </w:tc>
      </w:tr>
      <w:tr w:rsidR="00D65CDD" w:rsidRPr="00717A78" w:rsidTr="00D65CDD">
        <w:trPr>
          <w:trHeight w:val="227"/>
        </w:trPr>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sz w:val="18"/>
                <w:szCs w:val="18"/>
              </w:rPr>
              <w:t xml:space="preserve">Patient must have an adequate response to this drug defined as a reduction in Crohn’s Disease Activity Index (CDAI) Score to a level no greater than 150 if assessed by CDAI or if affected by extensive small intestine disease; </w:t>
            </w:r>
          </w:p>
        </w:tc>
      </w:tr>
      <w:tr w:rsidR="00D65CDD" w:rsidRPr="00717A78" w:rsidTr="00D65CDD">
        <w:trPr>
          <w:trHeight w:val="113"/>
        </w:trPr>
        <w:tc>
          <w:tcPr>
            <w:tcW w:w="5000" w:type="pct"/>
            <w:vAlign w:val="center"/>
          </w:tcPr>
          <w:p w:rsidR="00D65CDD" w:rsidRPr="00717A78" w:rsidRDefault="00D65CDD" w:rsidP="007D125E">
            <w:pPr>
              <w:rPr>
                <w:lang w:eastAsia="en-GB"/>
              </w:rPr>
            </w:pPr>
            <w:r w:rsidRPr="00717A78">
              <w:rPr>
                <w:rFonts w:ascii="Arial Narrow" w:hAnsi="Arial Narrow"/>
                <w:b/>
                <w:bCs/>
                <w:sz w:val="18"/>
                <w:szCs w:val="18"/>
              </w:rPr>
              <w:t>OR</w:t>
            </w:r>
          </w:p>
        </w:tc>
      </w:tr>
      <w:tr w:rsidR="00D65CDD" w:rsidRPr="00717A78" w:rsidTr="00D65CDD">
        <w:tc>
          <w:tcPr>
            <w:tcW w:w="5000" w:type="pct"/>
            <w:vAlign w:val="center"/>
          </w:tcPr>
          <w:p w:rsidR="00D65CDD" w:rsidRPr="00717A78" w:rsidRDefault="00D65CDD" w:rsidP="007D125E">
            <w:pPr>
              <w:rPr>
                <w:lang w:eastAsia="en-GB"/>
              </w:rPr>
            </w:pPr>
            <w:r w:rsidRPr="00717A78">
              <w:rPr>
                <w:rFonts w:ascii="Arial Narrow" w:hAnsi="Arial Narrow"/>
                <w:b/>
                <w:bCs/>
                <w:sz w:val="18"/>
                <w:szCs w:val="18"/>
              </w:rPr>
              <w:t>Clinical criteria:</w:t>
            </w:r>
          </w:p>
        </w:tc>
      </w:tr>
      <w:tr w:rsidR="00D65CDD" w:rsidRPr="00717A78" w:rsidTr="00D65CDD">
        <w:tc>
          <w:tcPr>
            <w:tcW w:w="5000" w:type="pct"/>
            <w:vAlign w:val="center"/>
          </w:tcPr>
          <w:p w:rsidR="00D65CDD" w:rsidRPr="00717A78" w:rsidRDefault="00D65CDD" w:rsidP="007D125E">
            <w:pPr>
              <w:rPr>
                <w:rFonts w:ascii="Arial Narrow" w:hAnsi="Arial Narrow"/>
                <w:sz w:val="18"/>
                <w:szCs w:val="18"/>
              </w:rPr>
            </w:pPr>
            <w:r w:rsidRPr="00717A78">
              <w:rPr>
                <w:rFonts w:ascii="Arial Narrow" w:hAnsi="Arial Narrow"/>
                <w:sz w:val="18"/>
                <w:szCs w:val="18"/>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disease or is an ostomy patient.</w:t>
            </w:r>
          </w:p>
        </w:tc>
      </w:tr>
      <w:tr w:rsidR="00D65CDD" w:rsidRPr="00717A78" w:rsidTr="00D65CDD">
        <w:tc>
          <w:tcPr>
            <w:tcW w:w="5000" w:type="pct"/>
            <w:vAlign w:val="center"/>
          </w:tcPr>
          <w:p w:rsidR="00D65CDD" w:rsidRPr="00717A78" w:rsidRDefault="00D65CDD" w:rsidP="007D125E">
            <w:pPr>
              <w:rPr>
                <w:rFonts w:ascii="Arial Narrow" w:hAnsi="Arial Narrow"/>
                <w:sz w:val="18"/>
                <w:szCs w:val="18"/>
              </w:rPr>
            </w:pPr>
            <w:r w:rsidRPr="00717A78">
              <w:rPr>
                <w:rFonts w:ascii="Arial Narrow" w:hAnsi="Arial Narrow"/>
                <w:b/>
                <w:bCs/>
                <w:sz w:val="18"/>
                <w:szCs w:val="18"/>
              </w:rPr>
              <w:t xml:space="preserve">Population criteria: </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sz w:val="18"/>
                <w:szCs w:val="18"/>
              </w:rPr>
              <w:t>Patient must be aged 18 years or older.</w:t>
            </w:r>
          </w:p>
        </w:tc>
      </w:tr>
      <w:tr w:rsidR="00D65CDD" w:rsidRPr="00717A78" w:rsidTr="00D65CDD">
        <w:tc>
          <w:tcPr>
            <w:tcW w:w="5000" w:type="pct"/>
            <w:vAlign w:val="center"/>
            <w:hideMark/>
          </w:tcPr>
          <w:p w:rsidR="00D65CDD" w:rsidRPr="00717A78" w:rsidRDefault="00D65CDD" w:rsidP="007D125E">
            <w:pPr>
              <w:rPr>
                <w:rFonts w:ascii="Arial Narrow" w:hAnsi="Arial Narrow"/>
                <w:sz w:val="18"/>
                <w:szCs w:val="18"/>
              </w:rPr>
            </w:pPr>
            <w:r w:rsidRPr="00717A78">
              <w:rPr>
                <w:rFonts w:ascii="Arial Narrow" w:hAnsi="Arial Narrow"/>
                <w:b/>
                <w:bCs/>
                <w:sz w:val="18"/>
                <w:szCs w:val="18"/>
              </w:rPr>
              <w:t>Prescribing Instructions:</w:t>
            </w:r>
          </w:p>
          <w:p w:rsidR="00D65CDD" w:rsidRPr="00717A78" w:rsidRDefault="00D65CDD" w:rsidP="007D125E">
            <w:pPr>
              <w:spacing w:after="150" w:line="300" w:lineRule="atLeast"/>
              <w:rPr>
                <w:rFonts w:ascii="Arial Narrow" w:hAnsi="Arial Narrow" w:cs="Arial Narrow"/>
                <w:iCs/>
                <w:sz w:val="18"/>
                <w:szCs w:val="18"/>
              </w:rPr>
            </w:pPr>
            <w:r w:rsidRPr="00717A78">
              <w:rPr>
                <w:rFonts w:ascii="Arial Narrow" w:hAnsi="Arial Narrow" w:cs="Arial Narrow"/>
                <w:iCs/>
                <w:sz w:val="18"/>
                <w:szCs w:val="18"/>
              </w:rPr>
              <w:t>Applications for authorisation must be made in writing and must include:</w:t>
            </w:r>
          </w:p>
          <w:p w:rsidR="00D65CDD" w:rsidRPr="00717A78" w:rsidRDefault="00D65CDD" w:rsidP="007D125E">
            <w:pPr>
              <w:rPr>
                <w:rFonts w:ascii="Arial Narrow" w:hAnsi="Arial Narrow" w:cs="Arial Narrow"/>
                <w:iCs/>
                <w:sz w:val="18"/>
                <w:szCs w:val="18"/>
              </w:rPr>
            </w:pPr>
            <w:r w:rsidRPr="00717A78">
              <w:rPr>
                <w:rFonts w:ascii="Arial Narrow" w:hAnsi="Arial Narrow" w:cs="Arial Narrow"/>
                <w:iCs/>
                <w:sz w:val="18"/>
                <w:szCs w:val="18"/>
              </w:rPr>
              <w:t>(a) a completed authority prescription form; and</w:t>
            </w:r>
          </w:p>
          <w:p w:rsidR="00D65CDD" w:rsidRPr="00717A78" w:rsidRDefault="00D65CDD" w:rsidP="007D125E">
            <w:pPr>
              <w:rPr>
                <w:rFonts w:ascii="Arial Narrow" w:hAnsi="Arial Narrow" w:cs="Arial Narrow"/>
                <w:iCs/>
                <w:sz w:val="18"/>
                <w:szCs w:val="18"/>
              </w:rPr>
            </w:pPr>
            <w:r w:rsidRPr="00717A78">
              <w:rPr>
                <w:rFonts w:ascii="Arial Narrow" w:hAnsi="Arial Narrow" w:cs="Arial Narrow"/>
                <w:iCs/>
                <w:sz w:val="18"/>
                <w:szCs w:val="18"/>
              </w:rPr>
              <w:t xml:space="preserve">(b) a completed Crohn Disease PBS Authority Application - Supporting Information Form which includes the following: </w:t>
            </w:r>
          </w:p>
          <w:p w:rsidR="00D65CDD" w:rsidRPr="00717A78" w:rsidRDefault="00D65CDD" w:rsidP="007D125E">
            <w:pPr>
              <w:rPr>
                <w:rFonts w:ascii="Arial Narrow" w:hAnsi="Arial Narrow" w:cs="Arial Narrow"/>
                <w:iCs/>
                <w:sz w:val="18"/>
                <w:szCs w:val="18"/>
              </w:rPr>
            </w:pPr>
            <w:r w:rsidRPr="00717A78">
              <w:rPr>
                <w:rFonts w:ascii="Arial Narrow" w:hAnsi="Arial Narrow" w:cs="Arial Narrow"/>
                <w:iCs/>
                <w:sz w:val="18"/>
                <w:szCs w:val="18"/>
              </w:rPr>
              <w:t xml:space="preserve">(i) the completed Crohn Disease Activity Index (CDAI) Score calculation sheet including the date of the assessment of the patient's condition, if relevant; or </w:t>
            </w:r>
          </w:p>
          <w:p w:rsidR="00D65CDD" w:rsidRPr="00717A78" w:rsidRDefault="00D65CDD" w:rsidP="007D125E">
            <w:pPr>
              <w:rPr>
                <w:rFonts w:ascii="Arial Narrow" w:hAnsi="Arial Narrow" w:cs="Arial Narrow"/>
                <w:iCs/>
                <w:sz w:val="18"/>
                <w:szCs w:val="18"/>
              </w:rPr>
            </w:pPr>
            <w:r w:rsidRPr="00717A78">
              <w:rPr>
                <w:rFonts w:ascii="Arial Narrow" w:hAnsi="Arial Narrow" w:cs="Arial Narrow"/>
                <w:iCs/>
                <w:sz w:val="18"/>
                <w:szCs w:val="18"/>
              </w:rPr>
              <w:t xml:space="preserve">(ii) the reports and dates of the pathology test or diagnostic imaging test(s) used to assess response to therapy for patients with short gut syndrome, extensive small intestine disease or an ostomy, if relevant; and </w:t>
            </w:r>
          </w:p>
          <w:p w:rsidR="00D65CDD" w:rsidRPr="00717A78" w:rsidRDefault="00D65CDD" w:rsidP="007D125E">
            <w:pPr>
              <w:rPr>
                <w:rFonts w:ascii="Arial Narrow" w:hAnsi="Arial Narrow" w:cs="Arial Narrow"/>
                <w:iCs/>
                <w:sz w:val="18"/>
                <w:szCs w:val="18"/>
              </w:rPr>
            </w:pPr>
            <w:r w:rsidRPr="00717A78">
              <w:rPr>
                <w:rFonts w:ascii="Arial Narrow" w:hAnsi="Arial Narrow" w:cs="Arial Narrow"/>
                <w:iCs/>
                <w:sz w:val="18"/>
                <w:szCs w:val="18"/>
              </w:rPr>
              <w:t>(iii) the date of clinical assessment.</w:t>
            </w:r>
          </w:p>
          <w:p w:rsidR="00D65CDD" w:rsidRPr="00717A78" w:rsidRDefault="00D65CDD" w:rsidP="007D125E">
            <w:pPr>
              <w:rPr>
                <w:rFonts w:ascii="Arial Narrow" w:hAnsi="Arial Narrow" w:cs="Arial Narrow"/>
                <w:iCs/>
                <w:sz w:val="18"/>
                <w:szCs w:val="18"/>
              </w:rPr>
            </w:pP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Two initial doses of vedolizumab must be administered with vedolizumab intravenous infusion. Subsequent doses may be administered with either intravenous or subcutaneous vedolizumab.</w:t>
            </w:r>
          </w:p>
          <w:p w:rsidR="00D65CDD" w:rsidRPr="00717A78" w:rsidRDefault="00D65CDD" w:rsidP="007D125E">
            <w:pPr>
              <w:spacing w:after="150"/>
              <w:rPr>
                <w:rFonts w:ascii="Arial Narrow" w:hAnsi="Arial Narrow" w:cs="Open Sans"/>
                <w:bCs/>
                <w:sz w:val="18"/>
                <w:szCs w:val="18"/>
                <w:bdr w:val="none" w:sz="0" w:space="0" w:color="auto" w:frame="1"/>
              </w:rPr>
            </w:pPr>
            <w:r w:rsidRPr="00717A78">
              <w:rPr>
                <w:rFonts w:ascii="Arial Narrow" w:hAnsi="Arial Narrow" w:cs="Open Sans"/>
                <w:bCs/>
                <w:sz w:val="18"/>
                <w:szCs w:val="18"/>
                <w:bdr w:val="none" w:sz="0" w:space="0" w:color="auto" w:frame="1"/>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Open Sans"/>
                <w:sz w:val="18"/>
                <w:szCs w:val="18"/>
              </w:rPr>
              <w:t xml:space="preserve">Where a response assessment is not </w:t>
            </w:r>
            <w:r w:rsidRPr="00717A78">
              <w:rPr>
                <w:rFonts w:ascii="Arial Narrow" w:hAnsi="Arial Narrow"/>
                <w:sz w:val="18"/>
                <w:szCs w:val="18"/>
              </w:rPr>
              <w:t>conducted</w:t>
            </w:r>
            <w:r w:rsidRPr="00717A78">
              <w:rPr>
                <w:rFonts w:ascii="Arial Narrow" w:hAnsi="Arial Narrow" w:cs="Open Sans"/>
                <w:sz w:val="18"/>
                <w:szCs w:val="18"/>
              </w:rPr>
              <w:t xml:space="preserve"> within this timeframe, the patient will be deemed to have failed to respond to treatment with this drug, unless the patient has experienced a serious adverse reaction of a severity resulting in the necessity for permanent withdrawal of treatment.</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Patients are eligible to receive continuing treatment with this drug in courses of up to 24 weeks providing they continue to sustain the response.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At the time of the authority application, medical practitioners should request sufficient quantity for up to 24 weeks of treatment under this restriction.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Up to a maximum of 5 repeats will be authorised. </w:t>
            </w:r>
          </w:p>
          <w:p w:rsidR="00D65CDD" w:rsidRPr="00717A78" w:rsidRDefault="00D65CDD" w:rsidP="007D125E">
            <w:pPr>
              <w:spacing w:after="150"/>
              <w:rPr>
                <w:rFonts w:ascii="Arial Narrow" w:hAnsi="Arial Narrow" w:cs="Arial Narrow"/>
                <w:iCs/>
                <w:sz w:val="18"/>
                <w:szCs w:val="18"/>
              </w:rPr>
            </w:pPr>
            <w:r w:rsidRPr="00717A78">
              <w:rPr>
                <w:rFonts w:ascii="Arial Narrow" w:hAnsi="Arial Narrow" w:cs="Arial Narrow"/>
                <w:iCs/>
                <w:sz w:val="18"/>
                <w:szCs w:val="18"/>
              </w:rPr>
              <w:t xml:space="preserve">If fewer than 5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 </w:t>
            </w:r>
          </w:p>
          <w:p w:rsidR="00D65CDD" w:rsidRPr="00717A78" w:rsidRDefault="00D65CDD" w:rsidP="007D125E">
            <w:pPr>
              <w:rPr>
                <w:rFonts w:ascii="Arial Narrow" w:hAnsi="Arial Narrow"/>
                <w:b/>
                <w:sz w:val="18"/>
                <w:szCs w:val="18"/>
              </w:rPr>
            </w:pPr>
            <w:r w:rsidRPr="00717A78">
              <w:rPr>
                <w:rFonts w:ascii="Arial Narrow" w:hAnsi="Arial Narrow"/>
                <w:b/>
                <w:sz w:val="18"/>
                <w:szCs w:val="18"/>
              </w:rPr>
              <w:t>Note</w:t>
            </w:r>
          </w:p>
          <w:p w:rsidR="00D65CDD" w:rsidRPr="00717A78" w:rsidRDefault="00D65CDD" w:rsidP="007D125E">
            <w:pPr>
              <w:rPr>
                <w:rFonts w:ascii="Arial Narrow" w:hAnsi="Arial Narrow"/>
                <w:sz w:val="18"/>
                <w:szCs w:val="18"/>
              </w:rPr>
            </w:pPr>
            <w:r w:rsidRPr="00717A78">
              <w:rPr>
                <w:rFonts w:ascii="Arial Narrow" w:hAnsi="Arial Narrow"/>
                <w:sz w:val="18"/>
                <w:szCs w:val="18"/>
              </w:rPr>
              <w:t>Any queries concerning the arrangements to prescribe may be directed to Services Australia on 1800 700 270 (hours of operation 8 a.m. to 5 p.m. EST Monday to Friday).</w:t>
            </w:r>
          </w:p>
          <w:p w:rsidR="00D65CDD" w:rsidRPr="00717A78" w:rsidRDefault="00D65CDD" w:rsidP="007D125E">
            <w:pPr>
              <w:rPr>
                <w:rFonts w:ascii="Arial Narrow" w:hAnsi="Arial Narrow"/>
                <w:sz w:val="18"/>
                <w:szCs w:val="18"/>
              </w:rPr>
            </w:pPr>
          </w:p>
          <w:p w:rsidR="00D65CDD" w:rsidRPr="00717A78" w:rsidRDefault="00D65CDD" w:rsidP="007D125E">
            <w:pPr>
              <w:rPr>
                <w:rFonts w:ascii="Arial Narrow" w:hAnsi="Arial Narrow"/>
                <w:sz w:val="18"/>
                <w:szCs w:val="18"/>
              </w:rPr>
            </w:pPr>
            <w:r w:rsidRPr="00717A78">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rsidR="00D65CDD" w:rsidRPr="00717A78" w:rsidRDefault="00D65CDD" w:rsidP="007D125E">
            <w:pPr>
              <w:rPr>
                <w:rFonts w:ascii="Arial Narrow" w:hAnsi="Arial Narrow"/>
                <w:sz w:val="18"/>
                <w:szCs w:val="18"/>
              </w:rPr>
            </w:pPr>
          </w:p>
          <w:p w:rsidR="00D65CDD" w:rsidRPr="00717A78" w:rsidRDefault="00D65CDD" w:rsidP="007D125E">
            <w:pPr>
              <w:rPr>
                <w:rFonts w:ascii="Arial Narrow" w:hAnsi="Arial Narrow"/>
                <w:sz w:val="18"/>
                <w:szCs w:val="18"/>
              </w:rPr>
            </w:pPr>
            <w:r w:rsidRPr="00717A78">
              <w:rPr>
                <w:rFonts w:ascii="Arial Narrow" w:hAnsi="Arial Narrow"/>
                <w:sz w:val="18"/>
                <w:szCs w:val="18"/>
              </w:rPr>
              <w:t>Applications for authority to prescribe should be submitted online using the form upload facility in Health Professional Online Services (HPOS) at www.servicesaustralia.gov.au/hpos</w:t>
            </w:r>
          </w:p>
          <w:p w:rsidR="00D65CDD" w:rsidRPr="00717A78" w:rsidRDefault="00D65CDD" w:rsidP="007D125E">
            <w:pPr>
              <w:rPr>
                <w:rFonts w:ascii="Arial Narrow" w:hAnsi="Arial Narrow"/>
                <w:sz w:val="18"/>
                <w:szCs w:val="18"/>
              </w:rPr>
            </w:pPr>
          </w:p>
          <w:p w:rsidR="00D65CDD" w:rsidRPr="00717A78" w:rsidRDefault="00D65CDD" w:rsidP="007D125E">
            <w:pPr>
              <w:rPr>
                <w:rFonts w:ascii="Arial Narrow" w:hAnsi="Arial Narrow"/>
                <w:sz w:val="18"/>
                <w:szCs w:val="18"/>
              </w:rPr>
            </w:pPr>
            <w:r w:rsidRPr="00717A78">
              <w:rPr>
                <w:rFonts w:ascii="Arial Narrow" w:hAnsi="Arial Narrow"/>
                <w:sz w:val="18"/>
                <w:szCs w:val="18"/>
              </w:rPr>
              <w:t>Or mailed to:</w:t>
            </w:r>
          </w:p>
          <w:p w:rsidR="00D65CDD" w:rsidRPr="00717A78" w:rsidRDefault="00D65CDD" w:rsidP="007D125E">
            <w:pPr>
              <w:rPr>
                <w:rFonts w:ascii="Arial Narrow" w:hAnsi="Arial Narrow"/>
                <w:sz w:val="18"/>
                <w:szCs w:val="18"/>
              </w:rPr>
            </w:pPr>
            <w:r w:rsidRPr="00717A78">
              <w:rPr>
                <w:rFonts w:ascii="Arial Narrow" w:hAnsi="Arial Narrow"/>
                <w:sz w:val="18"/>
                <w:szCs w:val="18"/>
              </w:rPr>
              <w:t>Services Australia</w:t>
            </w:r>
          </w:p>
          <w:p w:rsidR="00D65CDD" w:rsidRPr="00717A78" w:rsidRDefault="00D65CDD" w:rsidP="007D125E">
            <w:pPr>
              <w:rPr>
                <w:rFonts w:ascii="Arial Narrow" w:hAnsi="Arial Narrow"/>
                <w:sz w:val="18"/>
                <w:szCs w:val="18"/>
              </w:rPr>
            </w:pPr>
            <w:r w:rsidRPr="00717A78">
              <w:rPr>
                <w:rFonts w:ascii="Arial Narrow" w:hAnsi="Arial Narrow"/>
                <w:sz w:val="18"/>
                <w:szCs w:val="18"/>
              </w:rPr>
              <w:t>Complex Drugs</w:t>
            </w:r>
          </w:p>
          <w:p w:rsidR="00D65CDD" w:rsidRPr="00717A78" w:rsidRDefault="00D65CDD" w:rsidP="007D125E">
            <w:pPr>
              <w:rPr>
                <w:rFonts w:ascii="Arial Narrow" w:hAnsi="Arial Narrow"/>
                <w:sz w:val="18"/>
                <w:szCs w:val="18"/>
              </w:rPr>
            </w:pPr>
            <w:r w:rsidRPr="00717A78">
              <w:rPr>
                <w:rFonts w:ascii="Arial Narrow" w:hAnsi="Arial Narrow"/>
                <w:sz w:val="18"/>
                <w:szCs w:val="18"/>
              </w:rPr>
              <w:t>Reply Paid 9826</w:t>
            </w:r>
          </w:p>
          <w:p w:rsidR="00D65CDD" w:rsidRPr="00717A78" w:rsidRDefault="00D65CDD" w:rsidP="007D125E">
            <w:pPr>
              <w:rPr>
                <w:rFonts w:ascii="Arial Narrow" w:hAnsi="Arial Narrow"/>
                <w:sz w:val="18"/>
                <w:szCs w:val="18"/>
              </w:rPr>
            </w:pPr>
            <w:r w:rsidRPr="00717A78">
              <w:rPr>
                <w:rFonts w:ascii="Arial Narrow" w:hAnsi="Arial Narrow"/>
                <w:sz w:val="18"/>
                <w:szCs w:val="18"/>
              </w:rPr>
              <w:t>HOBART TAS 7001</w:t>
            </w:r>
          </w:p>
        </w:tc>
      </w:tr>
    </w:tbl>
    <w:p w:rsidR="00773709" w:rsidRPr="004E025C" w:rsidRDefault="00773709" w:rsidP="00773709">
      <w:pPr>
        <w:pStyle w:val="TableFigureFooter"/>
      </w:pPr>
    </w:p>
    <w:p w:rsidR="003F3C01" w:rsidRPr="004E025C" w:rsidRDefault="009E6296" w:rsidP="00B93BAA">
      <w:pPr>
        <w:pStyle w:val="3-BodyText"/>
      </w:pPr>
      <w:r w:rsidRPr="004E025C">
        <w:t xml:space="preserve">The submission proposed that the current special pricing arrangement (SPA) for </w:t>
      </w:r>
      <w:r w:rsidR="00621C90" w:rsidRPr="004E025C">
        <w:t>VDZ IV</w:t>
      </w:r>
      <w:r w:rsidRPr="004E025C">
        <w:t xml:space="preserve"> be extended to </w:t>
      </w:r>
      <w:r w:rsidR="00621C90" w:rsidRPr="004E025C">
        <w:t>VDZ SC</w:t>
      </w:r>
      <w:r w:rsidRPr="004E025C">
        <w:t xml:space="preserve">. </w:t>
      </w:r>
    </w:p>
    <w:p w:rsidR="001D59A0" w:rsidRPr="004E025C" w:rsidRDefault="009E6296" w:rsidP="003F3C01">
      <w:pPr>
        <w:pStyle w:val="3-BodyText"/>
      </w:pPr>
      <w:r w:rsidRPr="004E025C">
        <w:t xml:space="preserve">As patients must </w:t>
      </w:r>
      <w:r w:rsidR="003E34D0" w:rsidRPr="004E025C">
        <w:t>receive</w:t>
      </w:r>
      <w:r w:rsidRPr="004E025C">
        <w:t xml:space="preserve"> </w:t>
      </w:r>
      <w:r w:rsidR="003E34D0" w:rsidRPr="004E025C">
        <w:t xml:space="preserve">initial </w:t>
      </w:r>
      <w:r w:rsidRPr="004E025C">
        <w:t xml:space="preserve">treatment with </w:t>
      </w:r>
      <w:r w:rsidR="00621C90" w:rsidRPr="004E025C">
        <w:t>VDZ IV</w:t>
      </w:r>
      <w:r w:rsidRPr="004E025C">
        <w:t xml:space="preserve"> to be eligible for </w:t>
      </w:r>
      <w:r w:rsidR="003E34D0" w:rsidRPr="004E025C">
        <w:t>continuing</w:t>
      </w:r>
      <w:r w:rsidRPr="004E025C">
        <w:t xml:space="preserve"> therapy with </w:t>
      </w:r>
      <w:r w:rsidR="00621C90" w:rsidRPr="004E025C">
        <w:t>VDZ SC</w:t>
      </w:r>
      <w:r w:rsidRPr="004E025C">
        <w:t xml:space="preserve">, it is the restriction for initial treatment with </w:t>
      </w:r>
      <w:r w:rsidR="00621C90" w:rsidRPr="004E025C">
        <w:t>VDZ IV</w:t>
      </w:r>
      <w:r w:rsidRPr="004E025C">
        <w:t xml:space="preserve"> that will effectively restrict eligibility for </w:t>
      </w:r>
      <w:r w:rsidR="00621C90" w:rsidRPr="004E025C">
        <w:t>VDZ SC</w:t>
      </w:r>
      <w:r w:rsidRPr="004E025C">
        <w:t xml:space="preserve"> to the proposed PBS population. </w:t>
      </w:r>
    </w:p>
    <w:p w:rsidR="009E6296" w:rsidRPr="004E025C" w:rsidRDefault="009E6296" w:rsidP="001C61AF">
      <w:pPr>
        <w:pStyle w:val="3-BodyText"/>
      </w:pPr>
      <w:r w:rsidRPr="004E025C">
        <w:t xml:space="preserve">The submission did not include a restriction for balance of supply for continuing treatment with </w:t>
      </w:r>
      <w:r w:rsidR="00621C90" w:rsidRPr="004E025C">
        <w:t>VDZ SC</w:t>
      </w:r>
      <w:r w:rsidRPr="004E025C">
        <w:t xml:space="preserve"> for either MSUC or severe </w:t>
      </w:r>
      <w:r w:rsidR="00211FCA" w:rsidRPr="004E025C">
        <w:t>CD</w:t>
      </w:r>
      <w:r w:rsidRPr="004E025C">
        <w:t xml:space="preserve">. The submission also did not provide a restriction for grandfathering treatment despite requesting a grandfathering clause for 12 patients currently enrolled in an extension study of the key trials for </w:t>
      </w:r>
      <w:r w:rsidR="00621C90" w:rsidRPr="004E025C">
        <w:t>VDZ SC</w:t>
      </w:r>
      <w:r w:rsidRPr="004E025C">
        <w:t>.</w:t>
      </w:r>
    </w:p>
    <w:p w:rsidR="009E6296" w:rsidRPr="004E025C" w:rsidRDefault="009E6296" w:rsidP="001C61AF">
      <w:pPr>
        <w:pStyle w:val="3-BodyText"/>
      </w:pPr>
      <w:r w:rsidRPr="004E025C">
        <w:lastRenderedPageBreak/>
        <w:t xml:space="preserve">The restriction for initial treatment with </w:t>
      </w:r>
      <w:r w:rsidR="00621C90" w:rsidRPr="004E025C">
        <w:t>VDZ IV</w:t>
      </w:r>
      <w:r w:rsidRPr="004E025C">
        <w:t xml:space="preserve">, for both MSUC and severe </w:t>
      </w:r>
      <w:r w:rsidR="00211FCA" w:rsidRPr="004E025C">
        <w:t>CD</w:t>
      </w:r>
      <w:r w:rsidRPr="004E025C">
        <w:t>, states that an application for continuing treatment must be accompanied by the assessment of response following a minimum of 12 weeks of therapy with this drug</w:t>
      </w:r>
      <w:r w:rsidR="003E34D0" w:rsidRPr="004E025C">
        <w:t xml:space="preserve"> (</w:t>
      </w:r>
      <w:r w:rsidR="009826ED" w:rsidRPr="004E025C">
        <w:t xml:space="preserve">i.e. </w:t>
      </w:r>
      <w:r w:rsidR="003E34D0" w:rsidRPr="004E025C">
        <w:t>doses at Week 0, 2 and 6)</w:t>
      </w:r>
      <w:r w:rsidRPr="004E025C">
        <w:t>; patients who fail to demonstrate a response to treatment will not be eligible to receive further PBS-subsidised treatment with this drug for this condition. In contrast:</w:t>
      </w:r>
    </w:p>
    <w:p w:rsidR="009E6296" w:rsidRPr="004E025C" w:rsidRDefault="009E6296" w:rsidP="00B93BAA">
      <w:pPr>
        <w:pStyle w:val="ListParagraph"/>
        <w:numPr>
          <w:ilvl w:val="0"/>
          <w:numId w:val="30"/>
        </w:numPr>
        <w:ind w:left="1134"/>
      </w:pPr>
      <w:r w:rsidRPr="004E025C">
        <w:t xml:space="preserve">The TGA recommended dosage regimen for </w:t>
      </w:r>
      <w:r w:rsidR="00621C90" w:rsidRPr="004E025C">
        <w:t>VDZ SC</w:t>
      </w:r>
      <w:r w:rsidRPr="004E025C">
        <w:t xml:space="preserve"> states that maintenance treatment with </w:t>
      </w:r>
      <w:r w:rsidR="00621C90" w:rsidRPr="004E025C">
        <w:t>VDZ SC</w:t>
      </w:r>
      <w:r w:rsidRPr="004E025C">
        <w:t xml:space="preserve"> should be initiated following at least 2 intravenous infusion</w:t>
      </w:r>
      <w:r w:rsidR="00D05F64" w:rsidRPr="004E025C">
        <w:t>s</w:t>
      </w:r>
      <w:r w:rsidRPr="004E025C">
        <w:t xml:space="preserve"> (i.e. at 0 and 2 weeks), with the first dose administered in place of the next scheduled IV dose (i.e. patients can receive the SC formulation from Week 6); and </w:t>
      </w:r>
    </w:p>
    <w:p w:rsidR="00CC35EA" w:rsidRPr="004E025C" w:rsidRDefault="009E6296" w:rsidP="00B93BAA">
      <w:pPr>
        <w:pStyle w:val="ListParagraph"/>
        <w:numPr>
          <w:ilvl w:val="0"/>
          <w:numId w:val="30"/>
        </w:numPr>
        <w:ind w:left="1134"/>
      </w:pPr>
      <w:r w:rsidRPr="004E025C">
        <w:t xml:space="preserve">In the key clinical trials for </w:t>
      </w:r>
      <w:r w:rsidR="00621C90" w:rsidRPr="004E025C">
        <w:t>VDZ SC</w:t>
      </w:r>
      <w:r w:rsidRPr="004E025C">
        <w:t xml:space="preserve"> for the treatment of patients with MSUC (VISIBLE 1) and severe </w:t>
      </w:r>
      <w:r w:rsidR="00211FCA" w:rsidRPr="004E025C">
        <w:t>CD</w:t>
      </w:r>
      <w:r w:rsidRPr="004E025C">
        <w:t xml:space="preserve"> (VISIBLE 2), patients received induction treatment with </w:t>
      </w:r>
      <w:r w:rsidR="00621C90" w:rsidRPr="004E025C">
        <w:t>VDZ IV</w:t>
      </w:r>
      <w:r w:rsidRPr="004E025C">
        <w:t xml:space="preserve"> at Weeks 0 and 2, and only those who had achieved a clinical response at Week 6 were randomised into the maintenance phase of the trial.</w:t>
      </w:r>
    </w:p>
    <w:p w:rsidR="007404FC" w:rsidRPr="004E025C" w:rsidRDefault="007404FC" w:rsidP="007404FC">
      <w:pPr>
        <w:pStyle w:val="3-BodyText"/>
      </w:pPr>
      <w:r w:rsidRPr="004E025C">
        <w:t xml:space="preserve">The Sponsor stated in their pre-PBAC response that allowing for a switch from the IV to SC formulation during the induction phase of treatment increases the administrative burden for an inflammatory bowel disease (IBD) clinic to ensure patients have sufficient injections and are appropriately trained </w:t>
      </w:r>
      <w:r w:rsidR="00243C00" w:rsidRPr="004E025C">
        <w:t xml:space="preserve">to self-inject prior to the 12 to </w:t>
      </w:r>
      <w:r w:rsidRPr="004E025C">
        <w:t xml:space="preserve">14 week response assessment window. </w:t>
      </w:r>
      <w:r w:rsidR="00243C00" w:rsidRPr="004E025C">
        <w:t>The Sponsor maintained</w:t>
      </w:r>
      <w:r w:rsidRPr="004E025C">
        <w:t xml:space="preserve"> that VDZ SC </w:t>
      </w:r>
      <w:r w:rsidR="00243C00" w:rsidRPr="004E025C">
        <w:t xml:space="preserve">should </w:t>
      </w:r>
      <w:r w:rsidRPr="004E025C">
        <w:t>only</w:t>
      </w:r>
      <w:r w:rsidR="00243C00" w:rsidRPr="004E025C">
        <w:t xml:space="preserve"> become</w:t>
      </w:r>
      <w:r w:rsidRPr="004E025C">
        <w:t xml:space="preserve"> a treatment option once a patient has qualified for maintenance treatment under the current PBS criteria.</w:t>
      </w:r>
    </w:p>
    <w:p w:rsidR="000D3D47" w:rsidRPr="004E025C" w:rsidRDefault="00285D72" w:rsidP="00A3364E">
      <w:pPr>
        <w:pStyle w:val="3-BodyText"/>
      </w:pPr>
      <w:r w:rsidRPr="004E025C">
        <w:t xml:space="preserve">The </w:t>
      </w:r>
      <w:r w:rsidR="00AC65E8" w:rsidRPr="004E025C">
        <w:t>CD</w:t>
      </w:r>
      <w:r w:rsidRPr="004E025C">
        <w:t xml:space="preserve"> trials</w:t>
      </w:r>
      <w:r w:rsidR="001A0CA0" w:rsidRPr="004E025C">
        <w:t xml:space="preserve"> (</w:t>
      </w:r>
      <w:r w:rsidRPr="004E025C">
        <w:t>VISIBLE 2 and GEMINI 2</w:t>
      </w:r>
      <w:r w:rsidR="001A0CA0" w:rsidRPr="004E025C">
        <w:t>)</w:t>
      </w:r>
      <w:r w:rsidRPr="004E025C">
        <w:t xml:space="preserve"> included patients with moderate </w:t>
      </w:r>
      <w:r w:rsidR="001A0CA0" w:rsidRPr="004E025C">
        <w:t xml:space="preserve">to severe </w:t>
      </w:r>
      <w:r w:rsidRPr="004E025C">
        <w:t>disease (</w:t>
      </w:r>
      <w:r w:rsidR="00211FCA" w:rsidRPr="004E025C">
        <w:t>m</w:t>
      </w:r>
      <w:r w:rsidR="001A0CA0" w:rsidRPr="004E025C">
        <w:t>oderate defined as a</w:t>
      </w:r>
      <w:r w:rsidRPr="004E025C">
        <w:t xml:space="preserve"> </w:t>
      </w:r>
      <w:r w:rsidR="009F57DC" w:rsidRPr="004E025C">
        <w:t>CD</w:t>
      </w:r>
      <w:r w:rsidRPr="004E025C">
        <w:t xml:space="preserve"> Activity Index (CDAI) score of 220 to 450)</w:t>
      </w:r>
      <w:r w:rsidR="001A0CA0" w:rsidRPr="004E025C">
        <w:t xml:space="preserve">. However, </w:t>
      </w:r>
      <w:r w:rsidRPr="004E025C">
        <w:t xml:space="preserve">the PBS population for initiation of </w:t>
      </w:r>
      <w:r w:rsidR="00EF6D33" w:rsidRPr="004E025C">
        <w:rPr>
          <w:snapToGrid/>
        </w:rPr>
        <w:t>VDZ</w:t>
      </w:r>
      <w:r w:rsidR="00EF6D33" w:rsidRPr="004E025C">
        <w:t xml:space="preserve"> </w:t>
      </w:r>
      <w:r w:rsidRPr="004E025C">
        <w:t xml:space="preserve">induction therapy are patients with severe </w:t>
      </w:r>
      <w:r w:rsidR="009F57DC" w:rsidRPr="004E025C">
        <w:t>CD</w:t>
      </w:r>
      <w:r w:rsidRPr="004E025C">
        <w:t xml:space="preserve"> (defined as a CDAI score of ≥ 300 or CDAI ≥ 220 with extensive intestinal inflammation ≥ 50 cm or short gut syndrome). </w:t>
      </w:r>
      <w:r w:rsidR="001A0CA0" w:rsidRPr="004E025C">
        <w:t xml:space="preserve">The mean baseline CDAI scores were 318.3-320.0 in VISIBLE 2 and 325.2-325.5 in GEMINI 2. </w:t>
      </w:r>
      <w:r w:rsidRPr="004E025C">
        <w:t>The proportions of patients</w:t>
      </w:r>
      <w:r w:rsidR="001A0CA0" w:rsidRPr="004E025C">
        <w:t xml:space="preserve"> </w:t>
      </w:r>
      <w:r w:rsidRPr="004E025C">
        <w:t xml:space="preserve">by </w:t>
      </w:r>
      <w:r w:rsidR="001A0CA0" w:rsidRPr="004E025C">
        <w:t xml:space="preserve">disease </w:t>
      </w:r>
      <w:r w:rsidRPr="004E025C">
        <w:t>sever</w:t>
      </w:r>
      <w:r w:rsidR="001A0CA0" w:rsidRPr="004E025C">
        <w:t xml:space="preserve">ity </w:t>
      </w:r>
      <w:r w:rsidRPr="004E025C">
        <w:t>status were not provided</w:t>
      </w:r>
      <w:r w:rsidR="001A0CA0" w:rsidRPr="004E025C">
        <w:t xml:space="preserve"> for the trials</w:t>
      </w:r>
      <w:r w:rsidRPr="004E025C">
        <w:t>.</w:t>
      </w:r>
    </w:p>
    <w:p w:rsidR="000D3D47" w:rsidRPr="004E025C" w:rsidRDefault="000D3D47" w:rsidP="000D3D47">
      <w:pPr>
        <w:contextualSpacing/>
        <w:rPr>
          <w:rFonts w:cs="Times New Roman"/>
          <w:i/>
        </w:rPr>
      </w:pPr>
      <w:r w:rsidRPr="004E025C">
        <w:rPr>
          <w:rFonts w:cs="Times New Roman"/>
          <w:i/>
        </w:rPr>
        <w:t>For more detail on PBAC’s view, see section 7 PBAC outcome.</w:t>
      </w:r>
    </w:p>
    <w:p w:rsidR="00B50DB8" w:rsidRPr="004E025C" w:rsidRDefault="00203181" w:rsidP="004E18E9">
      <w:pPr>
        <w:pStyle w:val="2-SectionHeading"/>
      </w:pPr>
      <w:bookmarkStart w:id="6" w:name="_Toc51141257"/>
      <w:r w:rsidRPr="004E025C">
        <w:t xml:space="preserve">Population and </w:t>
      </w:r>
      <w:r w:rsidR="008E0D3C" w:rsidRPr="004E025C">
        <w:t>d</w:t>
      </w:r>
      <w:r w:rsidRPr="004E025C">
        <w:t>isease</w:t>
      </w:r>
      <w:bookmarkEnd w:id="6"/>
    </w:p>
    <w:p w:rsidR="009E6296" w:rsidRPr="004E025C" w:rsidRDefault="009E6296" w:rsidP="001C61AF">
      <w:pPr>
        <w:pStyle w:val="3-BodyText"/>
      </w:pPr>
      <w:r w:rsidRPr="004E025C">
        <w:t xml:space="preserve">Australia has one of the highest incidence and prevalence rates of IBD in the world. Crohn’s disease and </w:t>
      </w:r>
      <w:r w:rsidR="009F57DC" w:rsidRPr="004E025C">
        <w:t>UC</w:t>
      </w:r>
      <w:r w:rsidRPr="004E025C">
        <w:t xml:space="preserve"> are the two most common types of IBD. It is estimated that approximately 75,000 Australians are living with IBD and over 1,622 new cases are diagnosed every year: 846 with </w:t>
      </w:r>
      <w:r w:rsidR="009F57DC" w:rsidRPr="004E025C">
        <w:t>UC</w:t>
      </w:r>
      <w:r w:rsidRPr="004E025C">
        <w:t xml:space="preserve"> and 776 with </w:t>
      </w:r>
      <w:r w:rsidR="009F57DC" w:rsidRPr="004E025C">
        <w:t>CD</w:t>
      </w:r>
      <w:r w:rsidRPr="004E025C">
        <w:t>.</w:t>
      </w:r>
    </w:p>
    <w:p w:rsidR="009E6296" w:rsidRPr="004E025C" w:rsidRDefault="009E6296" w:rsidP="001C61AF">
      <w:pPr>
        <w:pStyle w:val="3-BodyText"/>
      </w:pPr>
      <w:r w:rsidRPr="004E025C">
        <w:t>Ulcerative colitis characteristically involves the large bowel. Patients usually present with diarrhoea, which is commonly associated with blood</w:t>
      </w:r>
      <w:r w:rsidR="00D05F64" w:rsidRPr="004E025C">
        <w:t xml:space="preserve"> in the stool</w:t>
      </w:r>
      <w:r w:rsidRPr="004E025C">
        <w:t xml:space="preserve">. Bowel movements are frequent and small in volume as a result of rectal inflammation. Associated symptoms include abdominal pain, urgency, tenesmus and incontinence. </w:t>
      </w:r>
      <w:r w:rsidRPr="004E025C">
        <w:lastRenderedPageBreak/>
        <w:t>Patient</w:t>
      </w:r>
      <w:r w:rsidR="00D05F64" w:rsidRPr="004E025C">
        <w:t>s</w:t>
      </w:r>
      <w:r w:rsidRPr="004E025C">
        <w:t xml:space="preserve"> with mainly distal disease may have constipation accompanied by frequent discharge of blood and mucous.</w:t>
      </w:r>
    </w:p>
    <w:p w:rsidR="009E6296" w:rsidRPr="004E025C" w:rsidRDefault="009E6296" w:rsidP="005928CC">
      <w:pPr>
        <w:pStyle w:val="3-BodyText"/>
      </w:pPr>
      <w:r w:rsidRPr="004E025C">
        <w:t>Crohn’s disease is typically characterised by transmural inflammation of the intestine and c</w:t>
      </w:r>
      <w:r w:rsidR="00D05F64" w:rsidRPr="004E025C">
        <w:t>an</w:t>
      </w:r>
      <w:r w:rsidRPr="004E025C">
        <w:t xml:space="preserve"> affect any part of the gastrointestinal tract from mouth to perianal area, although it most commonly affects the small intestine and/or the colon. Patients with </w:t>
      </w:r>
      <w:r w:rsidR="009F57DC" w:rsidRPr="004E025C">
        <w:t>CD</w:t>
      </w:r>
      <w:r w:rsidRPr="004E025C">
        <w:t xml:space="preserve"> usually present with abdominal pain, weight loss, fever, anaemia and clinical signs of bowel obstruction or diarrhoea with pas</w:t>
      </w:r>
      <w:r w:rsidR="005928CC" w:rsidRPr="004E025C">
        <w:t>sage of blood, mucous, or both.</w:t>
      </w:r>
    </w:p>
    <w:p w:rsidR="009E6296" w:rsidRPr="004E025C" w:rsidRDefault="009E6296" w:rsidP="001C61AF">
      <w:pPr>
        <w:pStyle w:val="3-BodyText"/>
      </w:pPr>
      <w:r w:rsidRPr="004E025C">
        <w:t xml:space="preserve">In both </w:t>
      </w:r>
      <w:r w:rsidR="00277380" w:rsidRPr="004E025C">
        <w:t>UC</w:t>
      </w:r>
      <w:r w:rsidRPr="004E025C">
        <w:t xml:space="preserve"> and </w:t>
      </w:r>
      <w:r w:rsidR="00277380" w:rsidRPr="004E025C">
        <w:t>CD</w:t>
      </w:r>
      <w:r w:rsidRPr="004E025C">
        <w:t xml:space="preserve">, </w:t>
      </w:r>
      <w:r w:rsidR="00277380" w:rsidRPr="004E025C">
        <w:t xml:space="preserve">treatment </w:t>
      </w:r>
      <w:r w:rsidRPr="004E025C">
        <w:t xml:space="preserve">guidelines recommend a step-up treatment strategy. For patients with MSUC and </w:t>
      </w:r>
      <w:r w:rsidR="009F57DC" w:rsidRPr="004E025C">
        <w:t>CD</w:t>
      </w:r>
      <w:r w:rsidRPr="004E025C">
        <w:t>, conventional therapies, including 5-aminosalicylic acid (5-ASA) preparations, corticosteroids, and immunomodulators (e.g. azathioprine, 6-mercaptopurine, and methotrexate) are given as first-line therapies. If a patient has inadequate response to, or is unable to tolerate conventional therapy,</w:t>
      </w:r>
      <w:r w:rsidR="00F06820" w:rsidRPr="004E025C">
        <w:t xml:space="preserve"> biological disease modifying drugs</w:t>
      </w:r>
      <w:r w:rsidRPr="004E025C">
        <w:t xml:space="preserve"> </w:t>
      </w:r>
      <w:r w:rsidR="00F06820" w:rsidRPr="004E025C">
        <w:t>(</w:t>
      </w:r>
      <w:r w:rsidRPr="004E025C">
        <w:t>bDMDs</w:t>
      </w:r>
      <w:r w:rsidR="00F06820" w:rsidRPr="004E025C">
        <w:t>)</w:t>
      </w:r>
      <w:r w:rsidRPr="004E025C">
        <w:t xml:space="preserve"> are initiated. There is currently limited data to determine the optimal sequencing of biological therapies for these conditions.</w:t>
      </w:r>
      <w:r w:rsidR="00432EA7" w:rsidRPr="004E025C">
        <w:rPr>
          <w:rStyle w:val="FootnoteReference"/>
        </w:rPr>
        <w:footnoteReference w:id="1"/>
      </w:r>
    </w:p>
    <w:p w:rsidR="00244429" w:rsidRPr="004E025C" w:rsidRDefault="00EF783B" w:rsidP="001C61AF">
      <w:pPr>
        <w:pStyle w:val="3-BodyText"/>
      </w:pPr>
      <w:r w:rsidRPr="004E025C">
        <w:t xml:space="preserve">VDZ </w:t>
      </w:r>
      <w:r w:rsidR="009E6296" w:rsidRPr="004E025C">
        <w:t xml:space="preserve">is a humanised monoclonal antibody that binds to the </w:t>
      </w:r>
      <w:r w:rsidR="009E6296" w:rsidRPr="004E025C">
        <w:rPr>
          <w:rFonts w:cs="Calibri"/>
        </w:rPr>
        <w:t>α</w:t>
      </w:r>
      <w:r w:rsidR="009E6296" w:rsidRPr="004E025C">
        <w:t>4</w:t>
      </w:r>
      <w:r w:rsidR="009E6296" w:rsidRPr="004E025C">
        <w:rPr>
          <w:rFonts w:cs="Calibri"/>
        </w:rPr>
        <w:t>β</w:t>
      </w:r>
      <w:r w:rsidR="009E6296" w:rsidRPr="004E025C">
        <w:t>7 integrin, a receptor which is expressed on the surface of various leukocytes, including T lymphocytes, preventing adhesion of these cells to mucosal addressin</w:t>
      </w:r>
      <w:r w:rsidR="00244429" w:rsidRPr="004E025C">
        <w:t>g</w:t>
      </w:r>
      <w:r w:rsidR="009E6296" w:rsidRPr="004E025C">
        <w:t xml:space="preserve"> cell adhesion molecule-1 (MAdCAM-1). A subset of memory T lymphocytes preferentially migrates into the gastrointestinal tract and causes inflammation that is characteristic of </w:t>
      </w:r>
      <w:r w:rsidR="009F57DC" w:rsidRPr="004E025C">
        <w:t>UC</w:t>
      </w:r>
      <w:r w:rsidR="009E6296" w:rsidRPr="004E025C">
        <w:t xml:space="preserve"> and </w:t>
      </w:r>
      <w:r w:rsidR="009F57DC" w:rsidRPr="004E025C">
        <w:t>CD</w:t>
      </w:r>
      <w:r w:rsidR="009E6296" w:rsidRPr="004E025C">
        <w:t xml:space="preserve">. </w:t>
      </w:r>
    </w:p>
    <w:p w:rsidR="000D3D47" w:rsidRPr="004E025C" w:rsidRDefault="000D3D47" w:rsidP="0090597E">
      <w:pPr>
        <w:pStyle w:val="3-BodyText"/>
        <w:numPr>
          <w:ilvl w:val="0"/>
          <w:numId w:val="0"/>
        </w:numPr>
        <w:ind w:left="720"/>
      </w:pPr>
      <w:r w:rsidRPr="004E025C">
        <w:rPr>
          <w:rFonts w:cs="Times New Roman"/>
          <w:i/>
          <w:snapToGrid/>
        </w:rPr>
        <w:t>For more detail on PBAC’s view, see section 7 PBAC outcome.</w:t>
      </w:r>
    </w:p>
    <w:p w:rsidR="00B50DB8" w:rsidRPr="004E025C" w:rsidRDefault="00B50DB8" w:rsidP="004E18E9">
      <w:pPr>
        <w:pStyle w:val="2-SectionHeading"/>
      </w:pPr>
      <w:bookmarkStart w:id="7" w:name="_Toc51141258"/>
      <w:r w:rsidRPr="004E025C">
        <w:t>Comparator</w:t>
      </w:r>
      <w:bookmarkEnd w:id="7"/>
    </w:p>
    <w:p w:rsidR="00244429" w:rsidRPr="004E025C" w:rsidRDefault="00244429" w:rsidP="001C61AF">
      <w:pPr>
        <w:pStyle w:val="3-BodyText"/>
      </w:pPr>
      <w:r w:rsidRPr="004E025C">
        <w:t xml:space="preserve">The submission nominated </w:t>
      </w:r>
      <w:r w:rsidR="006E11C6" w:rsidRPr="004E025C">
        <w:t xml:space="preserve">VDZ </w:t>
      </w:r>
      <w:r w:rsidRPr="004E025C">
        <w:t xml:space="preserve">300 mg for </w:t>
      </w:r>
      <w:r w:rsidR="006E11C6" w:rsidRPr="004E025C">
        <w:t xml:space="preserve">IV </w:t>
      </w:r>
      <w:r w:rsidRPr="004E025C">
        <w:t>injection as th</w:t>
      </w:r>
      <w:r w:rsidR="00D05F64" w:rsidRPr="004E025C">
        <w:t>e</w:t>
      </w:r>
      <w:r w:rsidRPr="004E025C">
        <w:t xml:space="preserve"> comparator. </w:t>
      </w:r>
      <w:r w:rsidR="00621C90" w:rsidRPr="004E025C">
        <w:t>VDZ IV</w:t>
      </w:r>
      <w:r w:rsidRPr="004E025C">
        <w:t xml:space="preserve"> was recommended for listing for the treatment of MSUC on a cost-minimisation basis with infliximab, and for severe </w:t>
      </w:r>
      <w:r w:rsidR="009F57DC" w:rsidRPr="004E025C">
        <w:t>CD</w:t>
      </w:r>
      <w:r w:rsidRPr="004E025C">
        <w:t xml:space="preserve"> on a cost-minimisation </w:t>
      </w:r>
      <w:r w:rsidR="00EB6C1E" w:rsidRPr="004E025C">
        <w:t xml:space="preserve">basis </w:t>
      </w:r>
      <w:r w:rsidRPr="004E025C">
        <w:t>with infliximab and adalimumab, at the March 2015 PBAC Meeting (para</w:t>
      </w:r>
      <w:r w:rsidR="00FF4E94" w:rsidRPr="004E025C">
        <w:t>graph 7.2, 7.06 v</w:t>
      </w:r>
      <w:r w:rsidRPr="004E025C">
        <w:t>edolizumab Public Summary Document (PSD) and para</w:t>
      </w:r>
      <w:r w:rsidR="00FF4E94" w:rsidRPr="004E025C">
        <w:t>graph</w:t>
      </w:r>
      <w:r w:rsidRPr="004E025C">
        <w:t xml:space="preserve"> 7.2</w:t>
      </w:r>
      <w:r w:rsidR="00FF4E94" w:rsidRPr="004E025C">
        <w:t>,</w:t>
      </w:r>
      <w:r w:rsidRPr="004E025C">
        <w:t xml:space="preserve"> </w:t>
      </w:r>
      <w:r w:rsidR="000023D0" w:rsidRPr="004E025C">
        <w:t xml:space="preserve">5.25 </w:t>
      </w:r>
      <w:r w:rsidR="00FF4E94" w:rsidRPr="004E025C">
        <w:t>v</w:t>
      </w:r>
      <w:r w:rsidRPr="004E025C">
        <w:t xml:space="preserve">edolizumab PSD,  March 2015 PBAC Meeting). </w:t>
      </w:r>
    </w:p>
    <w:p w:rsidR="00B50DB8" w:rsidRPr="004E025C" w:rsidRDefault="00244429" w:rsidP="001C61AF">
      <w:pPr>
        <w:pStyle w:val="3-BodyText"/>
        <w:rPr>
          <w:snapToGrid/>
        </w:rPr>
      </w:pPr>
      <w:r w:rsidRPr="004E025C">
        <w:t xml:space="preserve">As discussed above, the availability of a subcutaneously administered formulation of </w:t>
      </w:r>
      <w:r w:rsidR="00EF6D33" w:rsidRPr="004E025C">
        <w:t xml:space="preserve">VDZ </w:t>
      </w:r>
      <w:r w:rsidRPr="004E025C">
        <w:t xml:space="preserve">may result in </w:t>
      </w:r>
      <w:r w:rsidR="00EF6D33" w:rsidRPr="004E025C">
        <w:t xml:space="preserve">VDZ </w:t>
      </w:r>
      <w:r w:rsidRPr="004E025C">
        <w:t xml:space="preserve">replacing other currently used bDMDs listed on the PBS for the treatment of MSUC and severe </w:t>
      </w:r>
      <w:r w:rsidR="009F57DC" w:rsidRPr="004E025C">
        <w:t>CD</w:t>
      </w:r>
      <w:r w:rsidR="0078672A" w:rsidRPr="004E025C">
        <w:t xml:space="preserve">. These are </w:t>
      </w:r>
      <w:r w:rsidR="006A6C02" w:rsidRPr="004E025C">
        <w:t>s</w:t>
      </w:r>
      <w:r w:rsidR="00A507C5" w:rsidRPr="004E025C">
        <w:t>u</w:t>
      </w:r>
      <w:r w:rsidR="006A6C02" w:rsidRPr="004E025C">
        <w:t>mmarised</w:t>
      </w:r>
      <w:r w:rsidR="0078672A" w:rsidRPr="004E025C">
        <w:t xml:space="preserve"> in </w:t>
      </w:r>
      <w:r w:rsidR="007E6865" w:rsidRPr="004E025C">
        <w:t xml:space="preserve">Table </w:t>
      </w:r>
      <w:r w:rsidR="007E6865">
        <w:t>2</w:t>
      </w:r>
      <w:r w:rsidR="0078672A" w:rsidRPr="004E025C">
        <w:t>.</w:t>
      </w:r>
    </w:p>
    <w:p w:rsidR="00244429" w:rsidRPr="004E025C" w:rsidRDefault="00244429" w:rsidP="00244429">
      <w:pPr>
        <w:pStyle w:val="TableFigureHeading"/>
      </w:pPr>
      <w:bookmarkStart w:id="8" w:name="_Ref50008940"/>
      <w:r w:rsidRPr="004E025C">
        <w:lastRenderedPageBreak/>
        <w:t xml:space="preserve">Table </w:t>
      </w:r>
      <w:r w:rsidR="007E6865">
        <w:rPr>
          <w:noProof/>
        </w:rPr>
        <w:t>2</w:t>
      </w:r>
      <w:bookmarkEnd w:id="8"/>
      <w:r w:rsidRPr="004E025C">
        <w:t xml:space="preserve">: Comparison of bDMDs listed on the PBS for the treatment of MSUC and severe </w:t>
      </w:r>
      <w:r w:rsidR="009F57DC" w:rsidRPr="004E025C">
        <w:t>CD</w:t>
      </w:r>
      <w:r w:rsidRPr="004E025C">
        <w:t xml:space="preserve"> </w:t>
      </w:r>
    </w:p>
    <w:tbl>
      <w:tblPr>
        <w:tblStyle w:val="TableGrid"/>
        <w:tblW w:w="5000" w:type="pct"/>
        <w:tblLook w:val="04A0" w:firstRow="1" w:lastRow="0" w:firstColumn="1" w:lastColumn="0" w:noHBand="0" w:noVBand="1"/>
        <w:tblCaption w:val="Table 2"/>
      </w:tblPr>
      <w:tblGrid>
        <w:gridCol w:w="1434"/>
        <w:gridCol w:w="1518"/>
        <w:gridCol w:w="1362"/>
        <w:gridCol w:w="1585"/>
        <w:gridCol w:w="1477"/>
        <w:gridCol w:w="1641"/>
      </w:tblGrid>
      <w:tr w:rsidR="00244429" w:rsidRPr="004E025C" w:rsidTr="00B17A96">
        <w:trPr>
          <w:trHeight w:val="469"/>
          <w:tblHeader/>
        </w:trPr>
        <w:tc>
          <w:tcPr>
            <w:tcW w:w="795" w:type="pct"/>
            <w:vAlign w:val="center"/>
          </w:tcPr>
          <w:p w:rsidR="00244429" w:rsidRPr="004E025C" w:rsidRDefault="00244429" w:rsidP="007E7CFF">
            <w:pPr>
              <w:pStyle w:val="In-tableHeading"/>
              <w:jc w:val="center"/>
              <w:rPr>
                <w:lang w:val="en-AU"/>
              </w:rPr>
            </w:pPr>
          </w:p>
        </w:tc>
        <w:tc>
          <w:tcPr>
            <w:tcW w:w="842" w:type="pct"/>
            <w:vAlign w:val="center"/>
          </w:tcPr>
          <w:p w:rsidR="00244429" w:rsidRPr="004E025C" w:rsidRDefault="00EF783B" w:rsidP="007E7CFF">
            <w:pPr>
              <w:pStyle w:val="In-tableHeading"/>
              <w:jc w:val="center"/>
              <w:rPr>
                <w:lang w:val="en-AU"/>
              </w:rPr>
            </w:pPr>
            <w:r w:rsidRPr="004E025C">
              <w:rPr>
                <w:lang w:val="en-AU"/>
              </w:rPr>
              <w:t>VDZ</w:t>
            </w:r>
          </w:p>
          <w:p w:rsidR="00244429" w:rsidRPr="004E025C" w:rsidRDefault="00244429" w:rsidP="007E7CFF">
            <w:pPr>
              <w:pStyle w:val="In-tableHeading"/>
              <w:jc w:val="center"/>
              <w:rPr>
                <w:lang w:val="en-AU"/>
              </w:rPr>
            </w:pPr>
            <w:r w:rsidRPr="004E025C">
              <w:rPr>
                <w:lang w:val="en-AU"/>
              </w:rPr>
              <w:t>IV/SC</w:t>
            </w:r>
          </w:p>
        </w:tc>
        <w:tc>
          <w:tcPr>
            <w:tcW w:w="755" w:type="pct"/>
            <w:vAlign w:val="center"/>
          </w:tcPr>
          <w:p w:rsidR="00244429" w:rsidRPr="004E025C" w:rsidRDefault="00244429" w:rsidP="007E7CFF">
            <w:pPr>
              <w:pStyle w:val="In-tableHeading"/>
              <w:jc w:val="center"/>
              <w:rPr>
                <w:vertAlign w:val="superscript"/>
                <w:lang w:val="en-AU"/>
              </w:rPr>
            </w:pPr>
            <w:r w:rsidRPr="004E025C">
              <w:rPr>
                <w:lang w:val="en-AU"/>
              </w:rPr>
              <w:t>Infliximab</w:t>
            </w:r>
            <w:r w:rsidR="00E5401B" w:rsidRPr="004E025C">
              <w:rPr>
                <w:vertAlign w:val="superscript"/>
                <w:lang w:val="en-AU"/>
              </w:rPr>
              <w:t>d</w:t>
            </w:r>
          </w:p>
        </w:tc>
        <w:tc>
          <w:tcPr>
            <w:tcW w:w="879" w:type="pct"/>
            <w:vAlign w:val="center"/>
          </w:tcPr>
          <w:p w:rsidR="00244429" w:rsidRPr="004E025C" w:rsidRDefault="00244429" w:rsidP="007E7CFF">
            <w:pPr>
              <w:pStyle w:val="In-tableHeading"/>
              <w:jc w:val="center"/>
              <w:rPr>
                <w:lang w:val="en-AU"/>
              </w:rPr>
            </w:pPr>
            <w:r w:rsidRPr="004E025C">
              <w:rPr>
                <w:lang w:val="en-AU"/>
              </w:rPr>
              <w:t>Adalimumab</w:t>
            </w:r>
          </w:p>
        </w:tc>
        <w:tc>
          <w:tcPr>
            <w:tcW w:w="819" w:type="pct"/>
            <w:vAlign w:val="center"/>
          </w:tcPr>
          <w:p w:rsidR="00244429" w:rsidRPr="004E025C" w:rsidRDefault="00244429" w:rsidP="007E7CFF">
            <w:pPr>
              <w:pStyle w:val="In-tableHeading"/>
              <w:jc w:val="center"/>
              <w:rPr>
                <w:lang w:val="en-AU"/>
              </w:rPr>
            </w:pPr>
            <w:r w:rsidRPr="004E025C">
              <w:rPr>
                <w:lang w:val="en-AU"/>
              </w:rPr>
              <w:t>Ustekinumab</w:t>
            </w:r>
          </w:p>
        </w:tc>
        <w:tc>
          <w:tcPr>
            <w:tcW w:w="910" w:type="pct"/>
            <w:vAlign w:val="center"/>
          </w:tcPr>
          <w:p w:rsidR="00244429" w:rsidRPr="004E025C" w:rsidRDefault="00244429" w:rsidP="007E7CFF">
            <w:pPr>
              <w:pStyle w:val="In-tableHeading"/>
              <w:jc w:val="center"/>
              <w:rPr>
                <w:lang w:val="en-AU"/>
              </w:rPr>
            </w:pPr>
            <w:r w:rsidRPr="004E025C">
              <w:rPr>
                <w:lang w:val="en-AU"/>
              </w:rPr>
              <w:t>Golimumab</w:t>
            </w:r>
          </w:p>
        </w:tc>
      </w:tr>
      <w:tr w:rsidR="00244429" w:rsidRPr="004E025C" w:rsidTr="007E7CFF">
        <w:tc>
          <w:tcPr>
            <w:tcW w:w="795" w:type="pct"/>
            <w:tcBorders>
              <w:right w:val="single" w:sz="4" w:space="0" w:color="auto"/>
            </w:tcBorders>
            <w:vAlign w:val="center"/>
          </w:tcPr>
          <w:p w:rsidR="00244429" w:rsidRPr="004E025C" w:rsidRDefault="00244429" w:rsidP="007E7CFF">
            <w:pPr>
              <w:pStyle w:val="TableText0"/>
            </w:pPr>
            <w:r w:rsidRPr="004E025C">
              <w:t>Pharmacological action</w:t>
            </w:r>
          </w:p>
        </w:tc>
        <w:tc>
          <w:tcPr>
            <w:tcW w:w="842" w:type="pct"/>
            <w:tcBorders>
              <w:left w:val="single" w:sz="4" w:space="0" w:color="auto"/>
              <w:right w:val="single" w:sz="4" w:space="0" w:color="auto"/>
            </w:tcBorders>
            <w:vAlign w:val="center"/>
          </w:tcPr>
          <w:p w:rsidR="00244429" w:rsidRPr="004E025C" w:rsidRDefault="00244429" w:rsidP="007E7CFF">
            <w:pPr>
              <w:pStyle w:val="TableText0"/>
              <w:jc w:val="center"/>
            </w:pPr>
            <w:r w:rsidRPr="004E025C">
              <w:rPr>
                <w:rFonts w:cs="Calibri"/>
              </w:rPr>
              <w:t>α</w:t>
            </w:r>
            <w:r w:rsidRPr="004E025C">
              <w:t>4</w:t>
            </w:r>
            <w:r w:rsidRPr="004E025C">
              <w:rPr>
                <w:rFonts w:cs="Calibri"/>
              </w:rPr>
              <w:t>β</w:t>
            </w:r>
            <w:r w:rsidRPr="004E025C">
              <w:t>7 integrin monoclonal antibody</w:t>
            </w:r>
          </w:p>
        </w:tc>
        <w:tc>
          <w:tcPr>
            <w:tcW w:w="755" w:type="pct"/>
            <w:tcBorders>
              <w:left w:val="single" w:sz="4" w:space="0" w:color="auto"/>
              <w:right w:val="single" w:sz="4" w:space="0" w:color="auto"/>
            </w:tcBorders>
            <w:vAlign w:val="center"/>
          </w:tcPr>
          <w:p w:rsidR="00244429" w:rsidRPr="004E025C" w:rsidRDefault="00244429" w:rsidP="007E7CFF">
            <w:pPr>
              <w:pStyle w:val="TableText0"/>
              <w:jc w:val="center"/>
            </w:pPr>
            <w:r w:rsidRPr="004E025C">
              <w:t>TNFα inhibitor</w:t>
            </w:r>
          </w:p>
        </w:tc>
        <w:tc>
          <w:tcPr>
            <w:tcW w:w="879" w:type="pct"/>
            <w:tcBorders>
              <w:left w:val="single" w:sz="4" w:space="0" w:color="auto"/>
              <w:right w:val="single" w:sz="4" w:space="0" w:color="auto"/>
            </w:tcBorders>
            <w:vAlign w:val="center"/>
          </w:tcPr>
          <w:p w:rsidR="00244429" w:rsidRPr="004E025C" w:rsidRDefault="00244429" w:rsidP="007E7CFF">
            <w:pPr>
              <w:pStyle w:val="TableText0"/>
              <w:jc w:val="center"/>
            </w:pPr>
            <w:r w:rsidRPr="004E025C">
              <w:t>TNFα inhibitor</w:t>
            </w:r>
          </w:p>
        </w:tc>
        <w:tc>
          <w:tcPr>
            <w:tcW w:w="819" w:type="pct"/>
            <w:tcBorders>
              <w:left w:val="single" w:sz="4" w:space="0" w:color="auto"/>
            </w:tcBorders>
            <w:vAlign w:val="center"/>
          </w:tcPr>
          <w:p w:rsidR="00244429" w:rsidRPr="004E025C" w:rsidRDefault="00244429" w:rsidP="007E7CFF">
            <w:pPr>
              <w:pStyle w:val="TableText0"/>
              <w:jc w:val="center"/>
            </w:pPr>
            <w:r w:rsidRPr="004E025C">
              <w:t>IgG1</w:t>
            </w:r>
            <w:r w:rsidRPr="004E025C">
              <w:rPr>
                <w:rFonts w:cs="Calibri"/>
              </w:rPr>
              <w:t>κ</w:t>
            </w:r>
            <w:r w:rsidRPr="004E025C">
              <w:t xml:space="preserve"> monoclonal antibody</w:t>
            </w:r>
          </w:p>
        </w:tc>
        <w:tc>
          <w:tcPr>
            <w:tcW w:w="910" w:type="pct"/>
            <w:tcBorders>
              <w:left w:val="single" w:sz="4" w:space="0" w:color="auto"/>
            </w:tcBorders>
          </w:tcPr>
          <w:p w:rsidR="00244429" w:rsidRPr="004E025C" w:rsidRDefault="00244429" w:rsidP="007E7CFF">
            <w:pPr>
              <w:pStyle w:val="TableText0"/>
              <w:jc w:val="center"/>
            </w:pPr>
            <w:r w:rsidRPr="004E025C">
              <w:t>IgG1</w:t>
            </w:r>
            <w:r w:rsidRPr="004E025C">
              <w:rPr>
                <w:rFonts w:cs="Calibri"/>
              </w:rPr>
              <w:t>κ</w:t>
            </w:r>
            <w:r w:rsidRPr="004E025C">
              <w:t xml:space="preserve"> monoclonal antibody</w:t>
            </w:r>
          </w:p>
        </w:tc>
      </w:tr>
      <w:tr w:rsidR="00244429" w:rsidRPr="004E025C" w:rsidTr="007E7CFF">
        <w:tc>
          <w:tcPr>
            <w:tcW w:w="795" w:type="pct"/>
            <w:tcBorders>
              <w:right w:val="nil"/>
            </w:tcBorders>
          </w:tcPr>
          <w:p w:rsidR="00244429" w:rsidRPr="004E025C" w:rsidRDefault="00244429" w:rsidP="007E7CFF">
            <w:pPr>
              <w:pStyle w:val="TableText0"/>
            </w:pPr>
            <w:r w:rsidRPr="004E025C">
              <w:t>PBS indication</w:t>
            </w:r>
          </w:p>
        </w:tc>
        <w:tc>
          <w:tcPr>
            <w:tcW w:w="842" w:type="pct"/>
            <w:tcBorders>
              <w:left w:val="nil"/>
              <w:right w:val="nil"/>
            </w:tcBorders>
          </w:tcPr>
          <w:p w:rsidR="00244429" w:rsidRPr="004E025C" w:rsidRDefault="00244429" w:rsidP="007E7CFF">
            <w:pPr>
              <w:pStyle w:val="TableText0"/>
            </w:pPr>
          </w:p>
        </w:tc>
        <w:tc>
          <w:tcPr>
            <w:tcW w:w="755" w:type="pct"/>
            <w:tcBorders>
              <w:left w:val="nil"/>
              <w:right w:val="nil"/>
            </w:tcBorders>
          </w:tcPr>
          <w:p w:rsidR="00244429" w:rsidRPr="004E025C" w:rsidRDefault="00244429" w:rsidP="007E7CFF">
            <w:pPr>
              <w:pStyle w:val="TableText0"/>
            </w:pPr>
          </w:p>
        </w:tc>
        <w:tc>
          <w:tcPr>
            <w:tcW w:w="879" w:type="pct"/>
            <w:tcBorders>
              <w:left w:val="nil"/>
              <w:right w:val="nil"/>
            </w:tcBorders>
          </w:tcPr>
          <w:p w:rsidR="00244429" w:rsidRPr="004E025C" w:rsidRDefault="00244429" w:rsidP="007E7CFF">
            <w:pPr>
              <w:pStyle w:val="TableText0"/>
            </w:pPr>
          </w:p>
        </w:tc>
        <w:tc>
          <w:tcPr>
            <w:tcW w:w="819" w:type="pct"/>
            <w:tcBorders>
              <w:left w:val="nil"/>
            </w:tcBorders>
          </w:tcPr>
          <w:p w:rsidR="00244429" w:rsidRPr="004E025C" w:rsidRDefault="00244429" w:rsidP="007E7CFF">
            <w:pPr>
              <w:pStyle w:val="TableText0"/>
            </w:pPr>
          </w:p>
        </w:tc>
        <w:tc>
          <w:tcPr>
            <w:tcW w:w="910" w:type="pct"/>
            <w:tcBorders>
              <w:left w:val="nil"/>
            </w:tcBorders>
          </w:tcPr>
          <w:p w:rsidR="00244429" w:rsidRPr="004E025C" w:rsidRDefault="00244429" w:rsidP="007E7CFF">
            <w:pPr>
              <w:pStyle w:val="TableText0"/>
            </w:pPr>
          </w:p>
        </w:tc>
      </w:tr>
      <w:tr w:rsidR="00244429" w:rsidRPr="004E025C" w:rsidTr="007E7CFF">
        <w:tc>
          <w:tcPr>
            <w:tcW w:w="795" w:type="pct"/>
          </w:tcPr>
          <w:p w:rsidR="00244429" w:rsidRPr="004E025C" w:rsidRDefault="00244429" w:rsidP="007E7CFF">
            <w:pPr>
              <w:pStyle w:val="TableText0"/>
              <w:ind w:left="171"/>
            </w:pPr>
            <w:r w:rsidRPr="004E025C">
              <w:t>MSUC</w:t>
            </w:r>
          </w:p>
        </w:tc>
        <w:tc>
          <w:tcPr>
            <w:tcW w:w="842" w:type="pct"/>
            <w:vAlign w:val="center"/>
          </w:tcPr>
          <w:p w:rsidR="00244429" w:rsidRPr="004E025C" w:rsidRDefault="00244429" w:rsidP="007E7CFF">
            <w:pPr>
              <w:pStyle w:val="TableText0"/>
              <w:jc w:val="center"/>
            </w:pPr>
            <w:r w:rsidRPr="004E025C">
              <w:sym w:font="Wingdings" w:char="F0FC"/>
            </w:r>
          </w:p>
        </w:tc>
        <w:tc>
          <w:tcPr>
            <w:tcW w:w="755" w:type="pct"/>
            <w:vAlign w:val="center"/>
          </w:tcPr>
          <w:p w:rsidR="00244429" w:rsidRPr="004E025C" w:rsidRDefault="00244429" w:rsidP="007E7CFF">
            <w:pPr>
              <w:pStyle w:val="TableText0"/>
              <w:jc w:val="center"/>
            </w:pPr>
            <w:r w:rsidRPr="004E025C">
              <w:sym w:font="Wingdings" w:char="F0FC"/>
            </w:r>
          </w:p>
        </w:tc>
        <w:tc>
          <w:tcPr>
            <w:tcW w:w="879" w:type="pct"/>
            <w:vAlign w:val="center"/>
          </w:tcPr>
          <w:p w:rsidR="00244429" w:rsidRPr="004E025C" w:rsidRDefault="00244429" w:rsidP="007E7CFF">
            <w:pPr>
              <w:pStyle w:val="TableText0"/>
              <w:jc w:val="center"/>
            </w:pPr>
            <w:r w:rsidRPr="004E025C">
              <w:sym w:font="Wingdings" w:char="F0FC"/>
            </w:r>
          </w:p>
        </w:tc>
        <w:tc>
          <w:tcPr>
            <w:tcW w:w="819" w:type="pct"/>
            <w:vAlign w:val="center"/>
          </w:tcPr>
          <w:p w:rsidR="00244429" w:rsidRPr="004E025C" w:rsidRDefault="00244429" w:rsidP="007E7CFF">
            <w:pPr>
              <w:pStyle w:val="TableText0"/>
              <w:jc w:val="center"/>
            </w:pPr>
            <w:r w:rsidRPr="004E025C">
              <w:sym w:font="Wingdings" w:char="F0FB"/>
            </w:r>
          </w:p>
        </w:tc>
        <w:tc>
          <w:tcPr>
            <w:tcW w:w="910" w:type="pct"/>
          </w:tcPr>
          <w:p w:rsidR="00244429" w:rsidRPr="004E025C" w:rsidRDefault="00244429" w:rsidP="007E7CFF">
            <w:pPr>
              <w:pStyle w:val="TableText0"/>
              <w:jc w:val="center"/>
            </w:pPr>
            <w:r w:rsidRPr="004E025C">
              <w:sym w:font="Wingdings" w:char="F0FC"/>
            </w:r>
          </w:p>
        </w:tc>
      </w:tr>
      <w:tr w:rsidR="00244429" w:rsidRPr="004E025C" w:rsidTr="007E7CFF">
        <w:tc>
          <w:tcPr>
            <w:tcW w:w="795" w:type="pct"/>
            <w:tcBorders>
              <w:bottom w:val="single" w:sz="4" w:space="0" w:color="auto"/>
            </w:tcBorders>
          </w:tcPr>
          <w:p w:rsidR="00244429" w:rsidRPr="004E025C" w:rsidRDefault="00244429" w:rsidP="007E7CFF">
            <w:pPr>
              <w:pStyle w:val="TableText0"/>
              <w:ind w:left="171"/>
            </w:pPr>
            <w:r w:rsidRPr="004E025C">
              <w:t>S</w:t>
            </w:r>
            <w:r w:rsidR="00C20745" w:rsidRPr="004E025C">
              <w:t xml:space="preserve">evere </w:t>
            </w:r>
            <w:r w:rsidRPr="004E025C">
              <w:t xml:space="preserve">CD </w:t>
            </w:r>
          </w:p>
        </w:tc>
        <w:tc>
          <w:tcPr>
            <w:tcW w:w="842" w:type="pct"/>
            <w:tcBorders>
              <w:bottom w:val="single" w:sz="4" w:space="0" w:color="auto"/>
            </w:tcBorders>
            <w:vAlign w:val="center"/>
          </w:tcPr>
          <w:p w:rsidR="00244429" w:rsidRPr="004E025C" w:rsidRDefault="00244429" w:rsidP="007E7CFF">
            <w:pPr>
              <w:pStyle w:val="TableText0"/>
              <w:jc w:val="center"/>
            </w:pPr>
            <w:r w:rsidRPr="004E025C">
              <w:sym w:font="Wingdings" w:char="F0FC"/>
            </w:r>
          </w:p>
        </w:tc>
        <w:tc>
          <w:tcPr>
            <w:tcW w:w="755" w:type="pct"/>
            <w:tcBorders>
              <w:bottom w:val="single" w:sz="4" w:space="0" w:color="auto"/>
            </w:tcBorders>
            <w:vAlign w:val="center"/>
          </w:tcPr>
          <w:p w:rsidR="00244429" w:rsidRPr="004E025C" w:rsidRDefault="00244429" w:rsidP="007E7CFF">
            <w:pPr>
              <w:pStyle w:val="TableText0"/>
              <w:jc w:val="center"/>
            </w:pPr>
            <w:r w:rsidRPr="004E025C">
              <w:sym w:font="Wingdings" w:char="F0FC"/>
            </w:r>
          </w:p>
        </w:tc>
        <w:tc>
          <w:tcPr>
            <w:tcW w:w="879" w:type="pct"/>
            <w:tcBorders>
              <w:bottom w:val="single" w:sz="4" w:space="0" w:color="auto"/>
            </w:tcBorders>
            <w:vAlign w:val="center"/>
          </w:tcPr>
          <w:p w:rsidR="00244429" w:rsidRPr="004E025C" w:rsidRDefault="00244429" w:rsidP="007E7CFF">
            <w:pPr>
              <w:pStyle w:val="TableText0"/>
              <w:jc w:val="center"/>
            </w:pPr>
            <w:r w:rsidRPr="004E025C">
              <w:sym w:font="Wingdings" w:char="F0FC"/>
            </w:r>
          </w:p>
        </w:tc>
        <w:tc>
          <w:tcPr>
            <w:tcW w:w="819" w:type="pct"/>
            <w:tcBorders>
              <w:bottom w:val="single" w:sz="4" w:space="0" w:color="auto"/>
            </w:tcBorders>
            <w:vAlign w:val="center"/>
          </w:tcPr>
          <w:p w:rsidR="00244429" w:rsidRPr="004E025C" w:rsidRDefault="00244429" w:rsidP="007E7CFF">
            <w:pPr>
              <w:pStyle w:val="TableText0"/>
              <w:jc w:val="center"/>
            </w:pPr>
            <w:r w:rsidRPr="004E025C">
              <w:sym w:font="Wingdings" w:char="F0FC"/>
            </w:r>
          </w:p>
        </w:tc>
        <w:tc>
          <w:tcPr>
            <w:tcW w:w="910" w:type="pct"/>
            <w:tcBorders>
              <w:bottom w:val="single" w:sz="4" w:space="0" w:color="auto"/>
            </w:tcBorders>
          </w:tcPr>
          <w:p w:rsidR="00244429" w:rsidRPr="004E025C" w:rsidRDefault="00244429" w:rsidP="007E7CFF">
            <w:pPr>
              <w:pStyle w:val="TableText0"/>
              <w:jc w:val="center"/>
            </w:pPr>
            <w:r w:rsidRPr="004E025C">
              <w:sym w:font="Wingdings" w:char="F0FB"/>
            </w:r>
          </w:p>
        </w:tc>
      </w:tr>
      <w:tr w:rsidR="00244429" w:rsidRPr="004E025C" w:rsidTr="007E7CFF">
        <w:tc>
          <w:tcPr>
            <w:tcW w:w="795" w:type="pct"/>
            <w:tcBorders>
              <w:right w:val="nil"/>
            </w:tcBorders>
          </w:tcPr>
          <w:p w:rsidR="00244429" w:rsidRPr="004E025C" w:rsidRDefault="00244429" w:rsidP="007E7CFF">
            <w:pPr>
              <w:pStyle w:val="TableText0"/>
              <w:ind w:left="29"/>
              <w:rPr>
                <w:vertAlign w:val="superscript"/>
              </w:rPr>
            </w:pPr>
            <w:r w:rsidRPr="004E025C">
              <w:t>Dose regimen</w:t>
            </w:r>
            <w:r w:rsidRPr="004E025C">
              <w:rPr>
                <w:vertAlign w:val="superscript"/>
              </w:rPr>
              <w:t>a</w:t>
            </w:r>
          </w:p>
        </w:tc>
        <w:tc>
          <w:tcPr>
            <w:tcW w:w="842" w:type="pct"/>
            <w:tcBorders>
              <w:left w:val="nil"/>
              <w:right w:val="nil"/>
            </w:tcBorders>
            <w:vAlign w:val="center"/>
          </w:tcPr>
          <w:p w:rsidR="00244429" w:rsidRPr="004E025C" w:rsidRDefault="00244429" w:rsidP="007E7CFF">
            <w:pPr>
              <w:pStyle w:val="TableText0"/>
              <w:jc w:val="center"/>
            </w:pPr>
          </w:p>
        </w:tc>
        <w:tc>
          <w:tcPr>
            <w:tcW w:w="755" w:type="pct"/>
            <w:tcBorders>
              <w:left w:val="nil"/>
              <w:right w:val="nil"/>
            </w:tcBorders>
            <w:vAlign w:val="center"/>
          </w:tcPr>
          <w:p w:rsidR="00244429" w:rsidRPr="004E025C" w:rsidRDefault="00244429" w:rsidP="007E7CFF">
            <w:pPr>
              <w:pStyle w:val="TableText0"/>
              <w:jc w:val="center"/>
            </w:pPr>
          </w:p>
        </w:tc>
        <w:tc>
          <w:tcPr>
            <w:tcW w:w="879" w:type="pct"/>
            <w:tcBorders>
              <w:left w:val="nil"/>
              <w:right w:val="nil"/>
            </w:tcBorders>
            <w:vAlign w:val="center"/>
          </w:tcPr>
          <w:p w:rsidR="00244429" w:rsidRPr="004E025C" w:rsidRDefault="00244429" w:rsidP="007E7CFF">
            <w:pPr>
              <w:pStyle w:val="TableText0"/>
              <w:jc w:val="center"/>
            </w:pPr>
          </w:p>
        </w:tc>
        <w:tc>
          <w:tcPr>
            <w:tcW w:w="819" w:type="pct"/>
            <w:tcBorders>
              <w:left w:val="nil"/>
            </w:tcBorders>
            <w:vAlign w:val="center"/>
          </w:tcPr>
          <w:p w:rsidR="00244429" w:rsidRPr="004E025C" w:rsidRDefault="00244429" w:rsidP="007E7CFF">
            <w:pPr>
              <w:pStyle w:val="TableText0"/>
              <w:jc w:val="center"/>
            </w:pPr>
          </w:p>
        </w:tc>
        <w:tc>
          <w:tcPr>
            <w:tcW w:w="910" w:type="pct"/>
            <w:tcBorders>
              <w:left w:val="nil"/>
            </w:tcBorders>
          </w:tcPr>
          <w:p w:rsidR="00244429" w:rsidRPr="004E025C" w:rsidRDefault="00244429" w:rsidP="007E7CFF">
            <w:pPr>
              <w:pStyle w:val="TableText0"/>
              <w:jc w:val="center"/>
            </w:pPr>
          </w:p>
        </w:tc>
      </w:tr>
      <w:tr w:rsidR="00244429" w:rsidRPr="004E025C" w:rsidTr="007E7CFF">
        <w:tc>
          <w:tcPr>
            <w:tcW w:w="795" w:type="pct"/>
          </w:tcPr>
          <w:p w:rsidR="00244429" w:rsidRPr="004E025C" w:rsidRDefault="00244429" w:rsidP="007E7CFF">
            <w:pPr>
              <w:pStyle w:val="TableText0"/>
              <w:ind w:left="171"/>
            </w:pPr>
            <w:r w:rsidRPr="004E025C">
              <w:t>Induction</w:t>
            </w:r>
          </w:p>
        </w:tc>
        <w:tc>
          <w:tcPr>
            <w:tcW w:w="842" w:type="pct"/>
          </w:tcPr>
          <w:p w:rsidR="00244429" w:rsidRPr="004E025C" w:rsidRDefault="00244429" w:rsidP="00D23C7D">
            <w:pPr>
              <w:pStyle w:val="TableText0"/>
              <w:jc w:val="center"/>
            </w:pPr>
            <w:r w:rsidRPr="004E025C">
              <w:t>300 mg IV at 0</w:t>
            </w:r>
            <w:r w:rsidR="00D23C7D" w:rsidRPr="004E025C">
              <w:t xml:space="preserve"> and</w:t>
            </w:r>
            <w:r w:rsidRPr="004E025C">
              <w:t xml:space="preserve"> 2 </w:t>
            </w:r>
            <w:r w:rsidR="00D23C7D" w:rsidRPr="004E025C">
              <w:t xml:space="preserve">weeks ± </w:t>
            </w:r>
            <w:r w:rsidRPr="004E025C">
              <w:t>6 weeks</w:t>
            </w:r>
            <w:r w:rsidRPr="004E025C">
              <w:rPr>
                <w:vertAlign w:val="superscript"/>
              </w:rPr>
              <w:t>b</w:t>
            </w:r>
          </w:p>
        </w:tc>
        <w:tc>
          <w:tcPr>
            <w:tcW w:w="755" w:type="pct"/>
          </w:tcPr>
          <w:p w:rsidR="00244429" w:rsidRPr="004E025C" w:rsidRDefault="00244429" w:rsidP="007E7CFF">
            <w:pPr>
              <w:pStyle w:val="TableText0"/>
              <w:jc w:val="center"/>
            </w:pPr>
            <w:r w:rsidRPr="004E025C">
              <w:t>5 mg/kg IV at 0, 2 and 6 weeks</w:t>
            </w:r>
          </w:p>
        </w:tc>
        <w:tc>
          <w:tcPr>
            <w:tcW w:w="879" w:type="pct"/>
          </w:tcPr>
          <w:p w:rsidR="00244429" w:rsidRPr="004E025C" w:rsidRDefault="00244429" w:rsidP="007E7CFF">
            <w:pPr>
              <w:pStyle w:val="TableText0"/>
              <w:jc w:val="center"/>
              <w:rPr>
                <w:vertAlign w:val="superscript"/>
              </w:rPr>
            </w:pPr>
            <w:r w:rsidRPr="004E025C">
              <w:t>160 mg SC Day 0</w:t>
            </w:r>
            <w:r w:rsidR="00E5401B" w:rsidRPr="004E025C">
              <w:rPr>
                <w:vertAlign w:val="superscript"/>
              </w:rPr>
              <w:t>e</w:t>
            </w:r>
          </w:p>
          <w:p w:rsidR="00244429" w:rsidRPr="004E025C" w:rsidRDefault="00244429" w:rsidP="007E7CFF">
            <w:pPr>
              <w:pStyle w:val="TableText0"/>
              <w:jc w:val="center"/>
            </w:pPr>
            <w:r w:rsidRPr="004E025C">
              <w:t>80 mg SC Day 14</w:t>
            </w:r>
          </w:p>
        </w:tc>
        <w:tc>
          <w:tcPr>
            <w:tcW w:w="819" w:type="pct"/>
            <w:vMerge w:val="restart"/>
          </w:tcPr>
          <w:p w:rsidR="00244429" w:rsidRPr="004E025C" w:rsidRDefault="00244429" w:rsidP="007E7CFF">
            <w:pPr>
              <w:pStyle w:val="TableText0"/>
              <w:jc w:val="center"/>
            </w:pPr>
            <w:r w:rsidRPr="004E025C">
              <w:t>Single IV infusion (tiered dose), then</w:t>
            </w:r>
          </w:p>
          <w:p w:rsidR="00244429" w:rsidRPr="004E025C" w:rsidRDefault="00244429" w:rsidP="007E7CFF">
            <w:pPr>
              <w:pStyle w:val="TableText0"/>
              <w:jc w:val="center"/>
            </w:pPr>
            <w:r w:rsidRPr="004E025C">
              <w:t>90 mg SC Q8W from Week 8</w:t>
            </w:r>
          </w:p>
        </w:tc>
        <w:tc>
          <w:tcPr>
            <w:tcW w:w="910" w:type="pct"/>
          </w:tcPr>
          <w:p w:rsidR="00244429" w:rsidRPr="004E025C" w:rsidRDefault="00244429" w:rsidP="007E7CFF">
            <w:pPr>
              <w:pStyle w:val="TableText0"/>
              <w:jc w:val="center"/>
            </w:pPr>
            <w:r w:rsidRPr="004E025C">
              <w:t>200 mg SC Week 0</w:t>
            </w:r>
            <w:r w:rsidRPr="004E025C">
              <w:br/>
              <w:t>100 mg at Week 2</w:t>
            </w:r>
          </w:p>
        </w:tc>
      </w:tr>
      <w:tr w:rsidR="00244429" w:rsidRPr="004E025C" w:rsidTr="007E7CFF">
        <w:tc>
          <w:tcPr>
            <w:tcW w:w="795" w:type="pct"/>
          </w:tcPr>
          <w:p w:rsidR="00244429" w:rsidRPr="004E025C" w:rsidRDefault="00244429" w:rsidP="007E7CFF">
            <w:pPr>
              <w:pStyle w:val="TableText0"/>
              <w:ind w:left="171"/>
            </w:pPr>
            <w:r w:rsidRPr="004E025C">
              <w:t>Maintenance</w:t>
            </w:r>
          </w:p>
        </w:tc>
        <w:tc>
          <w:tcPr>
            <w:tcW w:w="842" w:type="pct"/>
            <w:vAlign w:val="center"/>
          </w:tcPr>
          <w:p w:rsidR="00244429" w:rsidRPr="004E025C" w:rsidRDefault="00244429" w:rsidP="007E7CFF">
            <w:pPr>
              <w:pStyle w:val="TableText0"/>
              <w:jc w:val="center"/>
            </w:pPr>
            <w:r w:rsidRPr="004E025C">
              <w:t xml:space="preserve">300 mg IV Q8W, </w:t>
            </w:r>
            <w:r w:rsidR="003E34D0" w:rsidRPr="004E025C">
              <w:t>commencing</w:t>
            </w:r>
            <w:r w:rsidRPr="004E025C">
              <w:t xml:space="preserve"> </w:t>
            </w:r>
            <w:r w:rsidR="003E34D0" w:rsidRPr="004E025C">
              <w:t>8 weeks after last induction dose</w:t>
            </w:r>
            <w:r w:rsidRPr="004E025C">
              <w:t>, OR</w:t>
            </w:r>
          </w:p>
          <w:p w:rsidR="00244429" w:rsidRPr="004E025C" w:rsidRDefault="00244429" w:rsidP="00557491">
            <w:pPr>
              <w:pStyle w:val="TableText0"/>
              <w:jc w:val="center"/>
            </w:pPr>
            <w:r w:rsidRPr="004E025C">
              <w:t>108 mg SC Q2W, commencing in place of the next scheduled IV dose</w:t>
            </w:r>
            <w:r w:rsidR="00E5401B" w:rsidRPr="004E025C">
              <w:rPr>
                <w:vertAlign w:val="superscript"/>
              </w:rPr>
              <w:t>c</w:t>
            </w:r>
          </w:p>
        </w:tc>
        <w:tc>
          <w:tcPr>
            <w:tcW w:w="755" w:type="pct"/>
          </w:tcPr>
          <w:p w:rsidR="00244429" w:rsidRPr="004E025C" w:rsidRDefault="00244429" w:rsidP="007E7CFF">
            <w:pPr>
              <w:pStyle w:val="TableText0"/>
              <w:jc w:val="center"/>
            </w:pPr>
            <w:r w:rsidRPr="004E025C">
              <w:t>5 mg/kg IV Q8W, commencing 8 weeks after last induction dose.</w:t>
            </w:r>
          </w:p>
        </w:tc>
        <w:tc>
          <w:tcPr>
            <w:tcW w:w="879" w:type="pct"/>
          </w:tcPr>
          <w:p w:rsidR="00244429" w:rsidRPr="004E025C" w:rsidRDefault="00244429" w:rsidP="007E7CFF">
            <w:pPr>
              <w:pStyle w:val="TableText0"/>
              <w:jc w:val="center"/>
            </w:pPr>
            <w:r w:rsidRPr="004E025C">
              <w:t>40 mg SC Q2W from Day 28</w:t>
            </w:r>
          </w:p>
        </w:tc>
        <w:tc>
          <w:tcPr>
            <w:tcW w:w="819" w:type="pct"/>
            <w:vMerge/>
          </w:tcPr>
          <w:p w:rsidR="00244429" w:rsidRPr="004E025C" w:rsidRDefault="00244429" w:rsidP="007E7CFF">
            <w:pPr>
              <w:pStyle w:val="TableText0"/>
              <w:jc w:val="center"/>
            </w:pPr>
          </w:p>
        </w:tc>
        <w:tc>
          <w:tcPr>
            <w:tcW w:w="910" w:type="pct"/>
          </w:tcPr>
          <w:p w:rsidR="00244429" w:rsidRPr="004E025C" w:rsidRDefault="00244429" w:rsidP="007E7CFF">
            <w:pPr>
              <w:pStyle w:val="TableText0"/>
              <w:jc w:val="center"/>
            </w:pPr>
            <w:r w:rsidRPr="004E025C">
              <w:t xml:space="preserve">100 mg SC Q4W from Week 6 </w:t>
            </w:r>
          </w:p>
        </w:tc>
      </w:tr>
    </w:tbl>
    <w:p w:rsidR="00244429" w:rsidRPr="004E025C" w:rsidRDefault="00244429" w:rsidP="00244429">
      <w:pPr>
        <w:pStyle w:val="TableFigureFooter"/>
      </w:pPr>
      <w:r w:rsidRPr="004E025C">
        <w:t>Source: compiled during the evaluation based on the PBS listings and the Product Information documents.</w:t>
      </w:r>
    </w:p>
    <w:p w:rsidR="00244429" w:rsidRPr="004E025C" w:rsidRDefault="00244429" w:rsidP="00244429">
      <w:pPr>
        <w:pStyle w:val="TableFigureFooter"/>
      </w:pPr>
      <w:r w:rsidRPr="004E025C">
        <w:t>bDMD = biological disease modifying drug;</w:t>
      </w:r>
      <w:r w:rsidR="00C20745" w:rsidRPr="004E025C">
        <w:t xml:space="preserve"> CD = Crohn’s disease;</w:t>
      </w:r>
      <w:r w:rsidRPr="004E025C">
        <w:t xml:space="preserve"> IV = intravenous; MSUC = moderate to severe ulcerative colitis; Q2W = every 2 weeks; Q8W = every 8 weeks; SC = subcutaneous; TNF = tumour necrosis factor.</w:t>
      </w:r>
    </w:p>
    <w:p w:rsidR="00244429" w:rsidRPr="004E025C" w:rsidRDefault="00244429" w:rsidP="00244429">
      <w:pPr>
        <w:pStyle w:val="TableFigureFooter"/>
        <w:ind w:left="142" w:hanging="142"/>
      </w:pPr>
      <w:r w:rsidRPr="004E025C">
        <w:rPr>
          <w:vertAlign w:val="superscript"/>
        </w:rPr>
        <w:t>a</w:t>
      </w:r>
      <w:r w:rsidRPr="004E025C">
        <w:t xml:space="preserve"> TGA-recommended dose for adult patients.</w:t>
      </w:r>
    </w:p>
    <w:p w:rsidR="00244429" w:rsidRPr="004E025C" w:rsidRDefault="00244429" w:rsidP="00E5401B">
      <w:pPr>
        <w:pStyle w:val="TableFigureFooter"/>
        <w:ind w:left="142" w:hanging="142"/>
      </w:pPr>
      <w:r w:rsidRPr="004E025C">
        <w:rPr>
          <w:vertAlign w:val="superscript"/>
        </w:rPr>
        <w:t>b</w:t>
      </w:r>
      <w:r w:rsidR="00557491" w:rsidRPr="004E025C">
        <w:t xml:space="preserve"> The TGA</w:t>
      </w:r>
      <w:r w:rsidR="00D23C7D" w:rsidRPr="004E025C">
        <w:t xml:space="preserve"> </w:t>
      </w:r>
      <w:r w:rsidR="00557491" w:rsidRPr="004E025C">
        <w:t xml:space="preserve">recommends three IV infusions (at 0,2 and 6 weeks) prior to maintenance with </w:t>
      </w:r>
      <w:r w:rsidR="00621C90" w:rsidRPr="004E025C">
        <w:t>VDZ IV</w:t>
      </w:r>
      <w:r w:rsidR="00557491" w:rsidRPr="004E025C">
        <w:t xml:space="preserve">, while maintenance therapy with </w:t>
      </w:r>
      <w:r w:rsidR="00621C90" w:rsidRPr="004E025C">
        <w:t>VDZ SC</w:t>
      </w:r>
      <w:r w:rsidR="00557491" w:rsidRPr="004E025C">
        <w:t xml:space="preserve"> may be commenced following a minimum of 2 IV infusions (i.e. at 0 and 2 weeks).</w:t>
      </w:r>
    </w:p>
    <w:p w:rsidR="00244429" w:rsidRPr="004E025C" w:rsidRDefault="00E5401B" w:rsidP="00244429">
      <w:pPr>
        <w:pStyle w:val="TableFigureFooter"/>
        <w:ind w:left="142" w:hanging="142"/>
      </w:pPr>
      <w:r w:rsidRPr="004E025C">
        <w:rPr>
          <w:vertAlign w:val="superscript"/>
        </w:rPr>
        <w:t>c</w:t>
      </w:r>
      <w:r w:rsidR="00557491" w:rsidRPr="004E025C">
        <w:rPr>
          <w:vertAlign w:val="superscript"/>
        </w:rPr>
        <w:t xml:space="preserve"> </w:t>
      </w:r>
      <w:r w:rsidR="00244429" w:rsidRPr="004E025C">
        <w:t xml:space="preserve">The </w:t>
      </w:r>
      <w:r w:rsidRPr="004E025C">
        <w:t xml:space="preserve">TGA dosage recommendations indicate that </w:t>
      </w:r>
      <w:r w:rsidR="00621C90" w:rsidRPr="004E025C">
        <w:t>VDZ SC</w:t>
      </w:r>
      <w:r w:rsidRPr="004E025C">
        <w:t xml:space="preserve"> </w:t>
      </w:r>
      <w:r w:rsidR="00A54262" w:rsidRPr="004E025C">
        <w:t>may be commenced</w:t>
      </w:r>
      <w:r w:rsidRPr="004E025C">
        <w:t xml:space="preserve"> from week 6 (following IV infusions at 0 and 2 weeks)</w:t>
      </w:r>
      <w:r w:rsidR="00244429" w:rsidRPr="004E025C">
        <w:t xml:space="preserve">. </w:t>
      </w:r>
      <w:r w:rsidR="00A54262" w:rsidRPr="004E025C">
        <w:t xml:space="preserve">In contrast, as the PBS listing for </w:t>
      </w:r>
      <w:r w:rsidR="00621C90" w:rsidRPr="004E025C">
        <w:t>VDZ IV</w:t>
      </w:r>
      <w:r w:rsidR="00A54262" w:rsidRPr="004E025C">
        <w:t xml:space="preserve"> for both MSUC and severe </w:t>
      </w:r>
      <w:r w:rsidR="009F57DC" w:rsidRPr="004E025C">
        <w:t>CD</w:t>
      </w:r>
      <w:r w:rsidR="00A54262" w:rsidRPr="004E025C">
        <w:t xml:space="preserve"> states that an application for continuing treatment must be accompanied by an assessment of response following a minimum of 12 weeks of therapy, patients would only be eligible for PBS-subsidised </w:t>
      </w:r>
      <w:r w:rsidR="00621C90" w:rsidRPr="004E025C">
        <w:t>VDZ SC</w:t>
      </w:r>
      <w:r w:rsidR="00A54262" w:rsidRPr="004E025C">
        <w:t xml:space="preserve"> from week 12.</w:t>
      </w:r>
    </w:p>
    <w:p w:rsidR="00244429" w:rsidRPr="004E025C" w:rsidRDefault="00E5401B" w:rsidP="00557491">
      <w:pPr>
        <w:pStyle w:val="TableFigureFooter"/>
        <w:ind w:left="142" w:hanging="142"/>
      </w:pPr>
      <w:r w:rsidRPr="004E025C">
        <w:rPr>
          <w:vertAlign w:val="superscript"/>
        </w:rPr>
        <w:t>d</w:t>
      </w:r>
      <w:r w:rsidR="00244429" w:rsidRPr="004E025C">
        <w:t xml:space="preserve"> Currently, the only formulation of infliximab on the PBS is for IV infusion. A submission for a subcutaneous formulation of infliximab for the treatment of both MSUC and </w:t>
      </w:r>
      <w:r w:rsidR="009F57DC" w:rsidRPr="004E025C">
        <w:t>CD</w:t>
      </w:r>
      <w:r w:rsidR="00244429" w:rsidRPr="004E025C">
        <w:t xml:space="preserve"> will be considered at the November 2020 PBAC meeting.</w:t>
      </w:r>
    </w:p>
    <w:p w:rsidR="00244429" w:rsidRPr="004E025C" w:rsidRDefault="00E5401B" w:rsidP="00244429">
      <w:pPr>
        <w:pStyle w:val="TableFigureFooter"/>
      </w:pPr>
      <w:r w:rsidRPr="004E025C">
        <w:rPr>
          <w:vertAlign w:val="superscript"/>
        </w:rPr>
        <w:t>e</w:t>
      </w:r>
      <w:r w:rsidR="00244429" w:rsidRPr="004E025C">
        <w:t xml:space="preserve"> The initial 160 mg dose may be administered in one day or over two days</w:t>
      </w:r>
      <w:r w:rsidR="00557491" w:rsidRPr="004E025C">
        <w:t>.</w:t>
      </w:r>
    </w:p>
    <w:p w:rsidR="00244429" w:rsidRPr="004E025C" w:rsidRDefault="00393886" w:rsidP="001C61AF">
      <w:pPr>
        <w:pStyle w:val="3-BodyText"/>
        <w:rPr>
          <w:snapToGrid/>
        </w:rPr>
      </w:pPr>
      <w:r w:rsidRPr="004E025C">
        <w:t>U</w:t>
      </w:r>
      <w:r w:rsidR="00244429" w:rsidRPr="004E025C">
        <w:t xml:space="preserve">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p>
    <w:p w:rsidR="00244429" w:rsidRPr="004E025C" w:rsidRDefault="00244429" w:rsidP="001C61AF">
      <w:pPr>
        <w:pStyle w:val="3-BodyText"/>
        <w:rPr>
          <w:snapToGrid/>
        </w:rPr>
      </w:pPr>
      <w:r w:rsidRPr="004E025C">
        <w:t xml:space="preserve">For the populations for which </w:t>
      </w:r>
      <w:r w:rsidR="00026DF1" w:rsidRPr="004E025C">
        <w:t xml:space="preserve">listing of </w:t>
      </w:r>
      <w:r w:rsidR="00621C90" w:rsidRPr="004E025C">
        <w:t>VDZ SC</w:t>
      </w:r>
      <w:r w:rsidRPr="004E025C">
        <w:t xml:space="preserve"> is requested, the following PBS-listed medicines may be considered alternative therapies because they could be replaced in practice: </w:t>
      </w:r>
      <w:r w:rsidR="005818AC" w:rsidRPr="004E025C">
        <w:t xml:space="preserve">(i) </w:t>
      </w:r>
      <w:r w:rsidRPr="004E025C">
        <w:t xml:space="preserve">infliximab, adalimumab and golimumab for the treatment of MSUC, and </w:t>
      </w:r>
      <w:r w:rsidR="005818AC" w:rsidRPr="004E025C">
        <w:t xml:space="preserve">(ii) </w:t>
      </w:r>
      <w:r w:rsidRPr="004E025C">
        <w:t xml:space="preserve">infliximab, adalimumab and ustekinumab for the treatment of severe </w:t>
      </w:r>
      <w:r w:rsidR="009F57DC" w:rsidRPr="004E025C">
        <w:t>CD</w:t>
      </w:r>
      <w:r w:rsidRPr="004E025C">
        <w:t xml:space="preserve">. Some of these alternative therapies may be less costly than initial treatment with </w:t>
      </w:r>
      <w:r w:rsidR="00621C90" w:rsidRPr="004E025C">
        <w:t>VDZ IV</w:t>
      </w:r>
      <w:r w:rsidRPr="004E025C">
        <w:t xml:space="preserve"> followed by continuing treatment with </w:t>
      </w:r>
      <w:r w:rsidR="00621C90" w:rsidRPr="004E025C">
        <w:t>VDZ SC</w:t>
      </w:r>
      <w:r w:rsidRPr="004E025C">
        <w:t xml:space="preserve">. </w:t>
      </w:r>
    </w:p>
    <w:p w:rsidR="0064763B" w:rsidRPr="007267D4" w:rsidRDefault="0064763B" w:rsidP="004520D9">
      <w:pPr>
        <w:pStyle w:val="3-BodyText"/>
        <w:numPr>
          <w:ilvl w:val="1"/>
          <w:numId w:val="1"/>
        </w:numPr>
        <w:rPr>
          <w:snapToGrid/>
        </w:rPr>
      </w:pPr>
      <w:r w:rsidRPr="004E025C">
        <w:t>The</w:t>
      </w:r>
      <w:r w:rsidR="00CB16D6" w:rsidRPr="004E025C">
        <w:t xml:space="preserve"> Sponsor</w:t>
      </w:r>
      <w:r w:rsidRPr="004E025C">
        <w:t xml:space="preserve"> argued</w:t>
      </w:r>
      <w:r w:rsidR="00CB16D6" w:rsidRPr="004E025C">
        <w:t xml:space="preserve"> in the </w:t>
      </w:r>
      <w:r w:rsidR="005964A0">
        <w:t>Pre-Sub-Committee Response</w:t>
      </w:r>
      <w:r w:rsidR="005964A0" w:rsidRPr="004E025C">
        <w:t xml:space="preserve"> </w:t>
      </w:r>
      <w:r w:rsidR="005964A0">
        <w:t>(</w:t>
      </w:r>
      <w:r w:rsidR="00CB16D6" w:rsidRPr="004E025C">
        <w:t>PSCR</w:t>
      </w:r>
      <w:r w:rsidR="005964A0">
        <w:t>)</w:t>
      </w:r>
      <w:r w:rsidR="00CB16D6" w:rsidRPr="004E025C">
        <w:t xml:space="preserve"> and pre-PBAC response</w:t>
      </w:r>
      <w:r w:rsidRPr="004E025C">
        <w:t xml:space="preserve"> that the treatment choices for MSUC and CD are based on the drug</w:t>
      </w:r>
      <w:r w:rsidR="00B34B57" w:rsidRPr="004E025C">
        <w:t xml:space="preserve"> class (e.g. TNF-α antagonists [adalimumab, golimumab, infliximab], anti-interleukin-12/23 </w:t>
      </w:r>
      <w:r w:rsidR="00B34B57" w:rsidRPr="004E025C">
        <w:lastRenderedPageBreak/>
        <w:t>antibody [ustekinumab], anti-α4β7 integrin antibody [</w:t>
      </w:r>
      <w:r w:rsidR="00EF783B" w:rsidRPr="004E025C">
        <w:t>VDZ</w:t>
      </w:r>
      <w:r w:rsidR="00B34B57" w:rsidRPr="004E025C">
        <w:t>])</w:t>
      </w:r>
      <w:r w:rsidRPr="004E025C">
        <w:t xml:space="preserve"> rather than the route of administration</w:t>
      </w:r>
      <w:r w:rsidR="00B34B57" w:rsidRPr="004E025C">
        <w:t>, and that the availability of VDZ SC will not change clinical decision making with respect to drug selection</w:t>
      </w:r>
      <w:r w:rsidRPr="004E025C">
        <w:t>. The PSCR further state</w:t>
      </w:r>
      <w:r w:rsidR="00281FEF" w:rsidRPr="004E025C">
        <w:t>d</w:t>
      </w:r>
      <w:r w:rsidRPr="004E025C">
        <w:t xml:space="preserve"> that </w:t>
      </w:r>
      <w:r w:rsidRPr="007267D4">
        <w:rPr>
          <w:spacing w:val="-1"/>
        </w:rPr>
        <w:t>V</w:t>
      </w:r>
      <w:r w:rsidRPr="004E025C">
        <w:t xml:space="preserve">DZ </w:t>
      </w:r>
      <w:r w:rsidRPr="007267D4">
        <w:rPr>
          <w:spacing w:val="-1"/>
        </w:rPr>
        <w:t>S</w:t>
      </w:r>
      <w:r w:rsidRPr="004E025C">
        <w:t>C</w:t>
      </w:r>
      <w:r w:rsidRPr="007267D4">
        <w:rPr>
          <w:spacing w:val="-2"/>
        </w:rPr>
        <w:t xml:space="preserve"> </w:t>
      </w:r>
      <w:r w:rsidRPr="007267D4">
        <w:rPr>
          <w:spacing w:val="-1"/>
        </w:rPr>
        <w:t>i</w:t>
      </w:r>
      <w:r w:rsidRPr="004E025C">
        <w:t xml:space="preserve">s </w:t>
      </w:r>
      <w:r w:rsidRPr="007267D4">
        <w:rPr>
          <w:spacing w:val="-3"/>
        </w:rPr>
        <w:t>s</w:t>
      </w:r>
      <w:r w:rsidRPr="007267D4">
        <w:rPr>
          <w:spacing w:val="1"/>
        </w:rPr>
        <w:t>o</w:t>
      </w:r>
      <w:r w:rsidRPr="007267D4">
        <w:rPr>
          <w:spacing w:val="-3"/>
        </w:rPr>
        <w:t>l</w:t>
      </w:r>
      <w:r w:rsidRPr="004E025C">
        <w:t>e</w:t>
      </w:r>
      <w:r w:rsidRPr="007267D4">
        <w:rPr>
          <w:spacing w:val="-1"/>
        </w:rPr>
        <w:t>l</w:t>
      </w:r>
      <w:r w:rsidRPr="004E025C">
        <w:t>y</w:t>
      </w:r>
      <w:r w:rsidRPr="007267D4">
        <w:rPr>
          <w:spacing w:val="1"/>
        </w:rPr>
        <w:t xml:space="preserve"> </w:t>
      </w:r>
      <w:r w:rsidRPr="007267D4">
        <w:rPr>
          <w:spacing w:val="-3"/>
        </w:rPr>
        <w:t>f</w:t>
      </w:r>
      <w:r w:rsidRPr="007267D4">
        <w:rPr>
          <w:spacing w:val="1"/>
        </w:rPr>
        <w:t>o</w:t>
      </w:r>
      <w:r w:rsidRPr="004E025C">
        <w:t xml:space="preserve">r </w:t>
      </w:r>
      <w:r w:rsidRPr="007267D4">
        <w:rPr>
          <w:spacing w:val="-1"/>
        </w:rPr>
        <w:t>u</w:t>
      </w:r>
      <w:r w:rsidRPr="004E025C">
        <w:t>se</w:t>
      </w:r>
      <w:r w:rsidRPr="007267D4">
        <w:rPr>
          <w:spacing w:val="-2"/>
        </w:rPr>
        <w:t xml:space="preserve"> </w:t>
      </w:r>
      <w:r w:rsidRPr="007267D4">
        <w:rPr>
          <w:spacing w:val="-1"/>
        </w:rPr>
        <w:t>i</w:t>
      </w:r>
      <w:r w:rsidRPr="004E025C">
        <w:t>n</w:t>
      </w:r>
      <w:r w:rsidRPr="007267D4">
        <w:rPr>
          <w:spacing w:val="-1"/>
        </w:rPr>
        <w:t xml:space="preserve"> pa</w:t>
      </w:r>
      <w:r w:rsidRPr="004E025C">
        <w:t>t</w:t>
      </w:r>
      <w:r w:rsidRPr="007267D4">
        <w:rPr>
          <w:spacing w:val="-1"/>
        </w:rPr>
        <w:t>i</w:t>
      </w:r>
      <w:r w:rsidRPr="004E025C">
        <w:t>e</w:t>
      </w:r>
      <w:r w:rsidRPr="007267D4">
        <w:rPr>
          <w:spacing w:val="-4"/>
        </w:rPr>
        <w:t>n</w:t>
      </w:r>
      <w:r w:rsidRPr="004E025C">
        <w:t>ts w</w:t>
      </w:r>
      <w:r w:rsidRPr="007267D4">
        <w:rPr>
          <w:spacing w:val="-4"/>
        </w:rPr>
        <w:t>h</w:t>
      </w:r>
      <w:r w:rsidRPr="004E025C">
        <w:t>o</w:t>
      </w:r>
      <w:r w:rsidRPr="007267D4">
        <w:rPr>
          <w:spacing w:val="-1"/>
        </w:rPr>
        <w:t xml:space="preserve"> a</w:t>
      </w:r>
      <w:r w:rsidRPr="004E025C">
        <w:t>c</w:t>
      </w:r>
      <w:r w:rsidRPr="007267D4">
        <w:rPr>
          <w:spacing w:val="-1"/>
        </w:rPr>
        <w:t>hi</w:t>
      </w:r>
      <w:r w:rsidRPr="004E025C">
        <w:t>e</w:t>
      </w:r>
      <w:r w:rsidRPr="007267D4">
        <w:rPr>
          <w:spacing w:val="1"/>
        </w:rPr>
        <w:t>v</w:t>
      </w:r>
      <w:r w:rsidRPr="004E025C">
        <w:t>e</w:t>
      </w:r>
      <w:r w:rsidRPr="007267D4">
        <w:rPr>
          <w:spacing w:val="-2"/>
        </w:rPr>
        <w:t xml:space="preserve"> </w:t>
      </w:r>
      <w:r w:rsidRPr="004E025C">
        <w:t xml:space="preserve">a </w:t>
      </w:r>
      <w:r w:rsidRPr="007267D4">
        <w:rPr>
          <w:spacing w:val="-3"/>
        </w:rPr>
        <w:t>r</w:t>
      </w:r>
      <w:r w:rsidRPr="004E025C">
        <w:t>es</w:t>
      </w:r>
      <w:r w:rsidRPr="007267D4">
        <w:rPr>
          <w:spacing w:val="-1"/>
        </w:rPr>
        <w:t>p</w:t>
      </w:r>
      <w:r w:rsidRPr="007267D4">
        <w:rPr>
          <w:spacing w:val="1"/>
        </w:rPr>
        <w:t>o</w:t>
      </w:r>
      <w:r w:rsidRPr="007267D4">
        <w:rPr>
          <w:spacing w:val="-1"/>
        </w:rPr>
        <w:t>n</w:t>
      </w:r>
      <w:r w:rsidRPr="007267D4">
        <w:rPr>
          <w:spacing w:val="-3"/>
        </w:rPr>
        <w:t>s</w:t>
      </w:r>
      <w:r w:rsidRPr="004E025C">
        <w:t>e</w:t>
      </w:r>
      <w:r w:rsidRPr="007267D4">
        <w:rPr>
          <w:spacing w:val="1"/>
        </w:rPr>
        <w:t xml:space="preserve"> </w:t>
      </w:r>
      <w:r w:rsidRPr="007267D4">
        <w:rPr>
          <w:spacing w:val="-2"/>
        </w:rPr>
        <w:t>t</w:t>
      </w:r>
      <w:r w:rsidRPr="004E025C">
        <w:t>o</w:t>
      </w:r>
      <w:r w:rsidRPr="007267D4">
        <w:rPr>
          <w:spacing w:val="1"/>
        </w:rPr>
        <w:t xml:space="preserve"> </w:t>
      </w:r>
      <w:r w:rsidRPr="007267D4">
        <w:rPr>
          <w:spacing w:val="-3"/>
        </w:rPr>
        <w:t>V</w:t>
      </w:r>
      <w:r w:rsidRPr="004E025C">
        <w:t>DZ</w:t>
      </w:r>
      <w:r w:rsidRPr="007267D4">
        <w:rPr>
          <w:spacing w:val="-2"/>
        </w:rPr>
        <w:t xml:space="preserve"> </w:t>
      </w:r>
      <w:r w:rsidRPr="007267D4">
        <w:rPr>
          <w:spacing w:val="-1"/>
        </w:rPr>
        <w:t>I</w:t>
      </w:r>
      <w:r w:rsidRPr="004E025C">
        <w:t xml:space="preserve">V </w:t>
      </w:r>
      <w:r w:rsidRPr="007267D4">
        <w:rPr>
          <w:spacing w:val="-1"/>
        </w:rPr>
        <w:t>i</w:t>
      </w:r>
      <w:r w:rsidRPr="004E025C">
        <w:t>n</w:t>
      </w:r>
      <w:r w:rsidRPr="007267D4">
        <w:rPr>
          <w:spacing w:val="-1"/>
        </w:rPr>
        <w:t xml:space="preserve"> </w:t>
      </w:r>
      <w:r w:rsidRPr="004E025C">
        <w:t>t</w:t>
      </w:r>
      <w:r w:rsidRPr="007267D4">
        <w:rPr>
          <w:spacing w:val="-1"/>
        </w:rPr>
        <w:t>h</w:t>
      </w:r>
      <w:r w:rsidRPr="004E025C">
        <w:t>e</w:t>
      </w:r>
      <w:r w:rsidRPr="007267D4">
        <w:rPr>
          <w:spacing w:val="1"/>
        </w:rPr>
        <w:t xml:space="preserve"> </w:t>
      </w:r>
      <w:r w:rsidRPr="007267D4">
        <w:rPr>
          <w:spacing w:val="-1"/>
        </w:rPr>
        <w:t>indu</w:t>
      </w:r>
      <w:r w:rsidRPr="004E025C">
        <w:t>ct</w:t>
      </w:r>
      <w:r w:rsidRPr="007267D4">
        <w:rPr>
          <w:spacing w:val="-3"/>
        </w:rPr>
        <w:t>i</w:t>
      </w:r>
      <w:r w:rsidRPr="007267D4">
        <w:rPr>
          <w:spacing w:val="1"/>
        </w:rPr>
        <w:t>o</w:t>
      </w:r>
      <w:r w:rsidRPr="004E025C">
        <w:t>n</w:t>
      </w:r>
      <w:r w:rsidRPr="007267D4">
        <w:rPr>
          <w:spacing w:val="-1"/>
        </w:rPr>
        <w:t xml:space="preserve"> pha</w:t>
      </w:r>
      <w:r w:rsidRPr="004E025C">
        <w:t xml:space="preserve">se and can only substitute </w:t>
      </w:r>
      <w:r w:rsidR="00281FEF" w:rsidRPr="004E025C">
        <w:t>for</w:t>
      </w:r>
      <w:r w:rsidRPr="004E025C">
        <w:t xml:space="preserve"> VD</w:t>
      </w:r>
      <w:r w:rsidR="00281FEF" w:rsidRPr="004E025C">
        <w:t>Z</w:t>
      </w:r>
      <w:r w:rsidRPr="004E025C">
        <w:t xml:space="preserve"> IV as maintenance treatment.</w:t>
      </w:r>
      <w:r w:rsidR="00F06820" w:rsidRPr="004E025C">
        <w:t xml:space="preserve"> The PSCR stated that patients will be unable to switch to maintenance treatment with VDZ SC directly from alternative</w:t>
      </w:r>
      <w:r w:rsidRPr="004E025C">
        <w:t xml:space="preserve"> </w:t>
      </w:r>
      <w:r w:rsidR="00F06820" w:rsidRPr="004E025C">
        <w:t>bDMDs.</w:t>
      </w:r>
      <w:r w:rsidR="00A7610F" w:rsidRPr="004E025C">
        <w:t xml:space="preserve"> The ESC noted that, notwithstanding the comments in the PSCR, VDZ IV followed by VDZ SC may </w:t>
      </w:r>
      <w:r w:rsidR="00EC0950" w:rsidRPr="004E025C">
        <w:t xml:space="preserve">also </w:t>
      </w:r>
      <w:r w:rsidR="00A7610F" w:rsidRPr="004E025C">
        <w:t xml:space="preserve">replace the alternative therapies identified in Table 2. </w:t>
      </w:r>
      <w:r w:rsidR="00CB16D6" w:rsidRPr="004E025C">
        <w:t xml:space="preserve">The PBAC </w:t>
      </w:r>
      <w:r w:rsidR="00443D9F">
        <w:t>considered</w:t>
      </w:r>
      <w:r w:rsidR="00443D9F" w:rsidRPr="004E025C">
        <w:t xml:space="preserve"> </w:t>
      </w:r>
      <w:r w:rsidR="00CB16D6" w:rsidRPr="004E025C">
        <w:t>that</w:t>
      </w:r>
      <w:r w:rsidR="00A5529A">
        <w:t xml:space="preserve"> the relevant alternative therapy is VDZ IV, noting </w:t>
      </w:r>
      <w:r w:rsidR="00A5529A" w:rsidRPr="007267D4">
        <w:rPr>
          <w:iCs/>
        </w:rPr>
        <w:t>that for patients who had already received initial VDZ IV, transfer to VDZ SC for maintenance therapy is likely to deliver</w:t>
      </w:r>
      <w:r w:rsidR="00EC7BBF">
        <w:rPr>
          <w:iCs/>
        </w:rPr>
        <w:t xml:space="preserve"> improved</w:t>
      </w:r>
      <w:r w:rsidR="00EC7BBF" w:rsidRPr="007267D4">
        <w:rPr>
          <w:iCs/>
        </w:rPr>
        <w:t xml:space="preserve"> outcome</w:t>
      </w:r>
      <w:r w:rsidR="00EC7BBF">
        <w:rPr>
          <w:iCs/>
        </w:rPr>
        <w:t>s</w:t>
      </w:r>
      <w:r w:rsidR="00A5529A" w:rsidRPr="007267D4">
        <w:rPr>
          <w:iCs/>
        </w:rPr>
        <w:t xml:space="preserve">, for some patients, </w:t>
      </w:r>
      <w:r w:rsidR="00EC7BBF">
        <w:rPr>
          <w:iCs/>
        </w:rPr>
        <w:t>compared with</w:t>
      </w:r>
      <w:r w:rsidR="00A5529A" w:rsidRPr="007267D4">
        <w:rPr>
          <w:iCs/>
        </w:rPr>
        <w:t xml:space="preserve"> a switch to an alternative agent</w:t>
      </w:r>
      <w:r w:rsidR="00A5529A">
        <w:t>.</w:t>
      </w:r>
      <w:r w:rsidR="006E6665" w:rsidRPr="004E025C">
        <w:t xml:space="preserve"> </w:t>
      </w:r>
      <w:r w:rsidR="007267D4" w:rsidRPr="007267D4">
        <w:rPr>
          <w:iCs/>
        </w:rPr>
        <w:t xml:space="preserve"> The PBAC noted that VDZ acts selectively on the intestine, unlike other bDMDs approved for these conditions, and that VDZ SC is the only SC formulation in the </w:t>
      </w:r>
      <w:r w:rsidR="007267D4" w:rsidRPr="007267D4">
        <w:rPr>
          <w:rFonts w:cs="Calibri"/>
        </w:rPr>
        <w:t>α</w:t>
      </w:r>
      <w:r w:rsidR="007267D4" w:rsidRPr="004E025C">
        <w:t>4</w:t>
      </w:r>
      <w:r w:rsidR="007267D4" w:rsidRPr="007267D4">
        <w:rPr>
          <w:rFonts w:cs="Calibri"/>
        </w:rPr>
        <w:t>β</w:t>
      </w:r>
      <w:r w:rsidR="007267D4" w:rsidRPr="004E025C">
        <w:t>7 integrin monoclonal antibody</w:t>
      </w:r>
      <w:r w:rsidR="007267D4" w:rsidRPr="007267D4">
        <w:rPr>
          <w:iCs/>
        </w:rPr>
        <w:t xml:space="preserve"> class of drugs.</w:t>
      </w:r>
    </w:p>
    <w:p w:rsidR="00E46774" w:rsidRDefault="00FD1849" w:rsidP="00AF24CB">
      <w:pPr>
        <w:pStyle w:val="3-BodyText"/>
      </w:pPr>
      <w:r w:rsidRPr="004E025C">
        <w:t xml:space="preserve">For MSUC, there are two tiers </w:t>
      </w:r>
      <w:r w:rsidR="00DA5D82" w:rsidRPr="004E025C">
        <w:t xml:space="preserve">of </w:t>
      </w:r>
      <w:r w:rsidRPr="004E025C">
        <w:t>relativity for bDMDs. Tier 1 (more effective) comprises VDZ IV (nominated comparator) and infliximab IV. Tier 2 (less eff</w:t>
      </w:r>
      <w:r w:rsidR="00D0639F" w:rsidRPr="004E025C">
        <w:t>ective) comprises adalimumab SC and</w:t>
      </w:r>
      <w:r w:rsidR="00CB362D" w:rsidRPr="004E025C">
        <w:t xml:space="preserve"> golimumab SC.</w:t>
      </w:r>
      <w:r w:rsidR="00D0639F" w:rsidRPr="004E025C">
        <w:t xml:space="preserve"> </w:t>
      </w:r>
      <w:r w:rsidR="00A74253" w:rsidRPr="004E025C">
        <w:t>The ESC</w:t>
      </w:r>
      <w:r w:rsidR="00A7610F" w:rsidRPr="004E025C">
        <w:t xml:space="preserve"> noted the submission did not provide any clinical evidence to support the superiority of VDZ IV followed by VZD SC versus </w:t>
      </w:r>
      <w:r w:rsidR="00EC0950" w:rsidRPr="004E025C">
        <w:t>adalimumab and golimumab</w:t>
      </w:r>
      <w:r w:rsidR="00A7610F" w:rsidRPr="004E025C">
        <w:t>.</w:t>
      </w:r>
      <w:r w:rsidR="00EC0950" w:rsidRPr="004E025C">
        <w:t xml:space="preserve"> </w:t>
      </w:r>
      <w:r w:rsidR="00352F10" w:rsidRPr="004E025C">
        <w:t xml:space="preserve">The Sponsor </w:t>
      </w:r>
      <w:r w:rsidR="00E47DC2" w:rsidRPr="004E025C">
        <w:t>stated</w:t>
      </w:r>
      <w:r w:rsidR="00352F10" w:rsidRPr="004E025C">
        <w:t xml:space="preserve"> in their pre-PBAC response that </w:t>
      </w:r>
      <w:r w:rsidR="00E47DC2" w:rsidRPr="004E025C">
        <w:t>the</w:t>
      </w:r>
      <w:r w:rsidR="00352F10" w:rsidRPr="004E025C">
        <w:t xml:space="preserve"> </w:t>
      </w:r>
      <w:r w:rsidR="00E47DC2" w:rsidRPr="004E025C">
        <w:t xml:space="preserve">VARSITY </w:t>
      </w:r>
      <w:r w:rsidR="00352F10" w:rsidRPr="004E025C">
        <w:t xml:space="preserve">study of VDZ </w:t>
      </w:r>
      <w:r w:rsidR="00E47DC2" w:rsidRPr="004E025C">
        <w:t>versus</w:t>
      </w:r>
      <w:r w:rsidR="00352F10" w:rsidRPr="004E025C">
        <w:t xml:space="preserve"> </w:t>
      </w:r>
      <w:r w:rsidR="00E47DC2" w:rsidRPr="004E025C">
        <w:t>adalimumab in MSUC</w:t>
      </w:r>
      <w:r w:rsidR="00352F10" w:rsidRPr="004E025C">
        <w:t xml:space="preserve"> (Sands et al 2019</w:t>
      </w:r>
      <w:r w:rsidR="00A03286" w:rsidRPr="004E025C">
        <w:rPr>
          <w:rStyle w:val="FootnoteReference"/>
        </w:rPr>
        <w:footnoteReference w:id="2"/>
      </w:r>
      <w:r w:rsidR="00A03286" w:rsidRPr="004E025C">
        <w:t>)</w:t>
      </w:r>
      <w:r w:rsidR="00352F10" w:rsidRPr="004E025C">
        <w:t xml:space="preserve"> showed that VDZ</w:t>
      </w:r>
      <w:r w:rsidR="00EB01FC" w:rsidRPr="004E025C">
        <w:t xml:space="preserve"> IV</w:t>
      </w:r>
      <w:r w:rsidR="00352F10" w:rsidRPr="004E025C">
        <w:t xml:space="preserve"> was superior to </w:t>
      </w:r>
      <w:r w:rsidR="00A03286" w:rsidRPr="004E025C">
        <w:t>adalimumab</w:t>
      </w:r>
      <w:r w:rsidR="00EB01FC" w:rsidRPr="004E025C">
        <w:t xml:space="preserve"> SC</w:t>
      </w:r>
      <w:r w:rsidR="00352F10" w:rsidRPr="004E025C">
        <w:t xml:space="preserve"> in achieving clinical remission (primary endpoint), mucosal healing and the absence of active histologic d</w:t>
      </w:r>
      <w:r w:rsidR="00A03286" w:rsidRPr="004E025C">
        <w:t>isease at W</w:t>
      </w:r>
      <w:r w:rsidR="00352F10" w:rsidRPr="004E025C">
        <w:t>eek 52.</w:t>
      </w:r>
      <w:r w:rsidR="00EB01FC" w:rsidRPr="004E025C">
        <w:t xml:space="preserve"> However, this trial did not investigate the combination of VDZ IV followed by VZD SC </w:t>
      </w:r>
      <w:r w:rsidR="001F4A65" w:rsidRPr="004E025C">
        <w:t>[</w:t>
      </w:r>
      <w:r w:rsidR="00EB01FC" w:rsidRPr="004E025C">
        <w:t>versus adalimumab</w:t>
      </w:r>
      <w:r w:rsidR="001F4A65" w:rsidRPr="004E025C">
        <w:t>]</w:t>
      </w:r>
      <w:r w:rsidR="00EB01FC" w:rsidRPr="004E025C">
        <w:t>.</w:t>
      </w:r>
      <w:r w:rsidR="00AF24CB">
        <w:t xml:space="preserve"> </w:t>
      </w:r>
      <w:r w:rsidR="00E46774">
        <w:t>T</w:t>
      </w:r>
      <w:r w:rsidR="00EC0950" w:rsidRPr="004E025C">
        <w:t>he PBAC</w:t>
      </w:r>
      <w:r w:rsidR="000C172F" w:rsidRPr="004E025C">
        <w:t xml:space="preserve"> acknowledged that</w:t>
      </w:r>
      <w:r w:rsidR="00EC0950" w:rsidRPr="004E025C">
        <w:t xml:space="preserve"> non-inferiority of VDZ IV followed by VDZ SC </w:t>
      </w:r>
      <w:r w:rsidR="000C172F" w:rsidRPr="004E025C">
        <w:t>[</w:t>
      </w:r>
      <w:r w:rsidR="00EC0950" w:rsidRPr="004E025C">
        <w:t>versus VDZ IV</w:t>
      </w:r>
      <w:r w:rsidR="000C172F" w:rsidRPr="004E025C">
        <w:t>]</w:t>
      </w:r>
      <w:r w:rsidR="00EC0950" w:rsidRPr="004E025C">
        <w:t xml:space="preserve"> </w:t>
      </w:r>
      <w:r w:rsidR="000C172F" w:rsidRPr="004E025C">
        <w:t xml:space="preserve">should be </w:t>
      </w:r>
      <w:r w:rsidR="00EC0950" w:rsidRPr="004E025C">
        <w:t>adequately support</w:t>
      </w:r>
      <w:r w:rsidR="000C172F" w:rsidRPr="004E025C">
        <w:t>ed</w:t>
      </w:r>
      <w:r w:rsidR="00EC0950" w:rsidRPr="004E025C">
        <w:t xml:space="preserve"> </w:t>
      </w:r>
      <w:r w:rsidR="000C172F" w:rsidRPr="004E025C">
        <w:t xml:space="preserve">by </w:t>
      </w:r>
      <w:r w:rsidR="00EC0950" w:rsidRPr="004E025C">
        <w:t>superiority</w:t>
      </w:r>
      <w:r w:rsidR="000C172F" w:rsidRPr="004E025C">
        <w:t xml:space="preserve"> of VDZ IV followed by VDZ SC</w:t>
      </w:r>
      <w:r w:rsidR="00EC0950" w:rsidRPr="004E025C">
        <w:t xml:space="preserve"> </w:t>
      </w:r>
      <w:r w:rsidR="00640BB6" w:rsidRPr="004E025C">
        <w:t xml:space="preserve">compared to </w:t>
      </w:r>
      <w:r w:rsidR="00EC0950" w:rsidRPr="004E025C">
        <w:t>adalimumab and golimumab</w:t>
      </w:r>
      <w:r w:rsidR="000C172F" w:rsidRPr="004E025C">
        <w:t>,</w:t>
      </w:r>
      <w:r w:rsidR="00EC0950" w:rsidRPr="004E025C">
        <w:t xml:space="preserve"> for the purposes of </w:t>
      </w:r>
      <w:r w:rsidR="00EC0950" w:rsidRPr="007267D4">
        <w:t>Section 101(3B) of the National Health Act 1953 (paragraph 5.3)</w:t>
      </w:r>
      <w:r w:rsidR="00E46774">
        <w:t>. However,</w:t>
      </w:r>
      <w:r w:rsidR="000C172F" w:rsidRPr="007267D4">
        <w:t xml:space="preserve"> </w:t>
      </w:r>
      <w:r w:rsidR="00A5529A" w:rsidRPr="007267D4">
        <w:t>as noted above</w:t>
      </w:r>
      <w:r w:rsidR="000C172F" w:rsidRPr="007267D4">
        <w:t xml:space="preserve"> for patients who had already received initial VDZ IV, </w:t>
      </w:r>
      <w:r w:rsidR="00E46774">
        <w:t xml:space="preserve">the PBAC considered that </w:t>
      </w:r>
      <w:r w:rsidR="000C172F" w:rsidRPr="007267D4">
        <w:t>transfer to VDZ SC for maintenance therapy is likely to deliver</w:t>
      </w:r>
      <w:r w:rsidR="00EC7BBF">
        <w:t xml:space="preserve"> improved</w:t>
      </w:r>
      <w:r w:rsidR="00EC7BBF" w:rsidRPr="007267D4">
        <w:t xml:space="preserve"> outcome</w:t>
      </w:r>
      <w:r w:rsidR="00EC7BBF">
        <w:t>s</w:t>
      </w:r>
      <w:r w:rsidR="000C172F" w:rsidRPr="007267D4">
        <w:t xml:space="preserve">, for some patients, </w:t>
      </w:r>
      <w:r w:rsidR="00EC7BBF">
        <w:t>compared with</w:t>
      </w:r>
      <w:r w:rsidR="000C172F" w:rsidRPr="007267D4">
        <w:t xml:space="preserve"> a switch to a</w:t>
      </w:r>
      <w:r w:rsidR="006A752E" w:rsidRPr="007267D4">
        <w:t>n</w:t>
      </w:r>
      <w:r w:rsidR="000C172F" w:rsidRPr="007267D4">
        <w:t xml:space="preserve"> </w:t>
      </w:r>
      <w:r w:rsidR="006A752E" w:rsidRPr="007267D4">
        <w:t>alternative</w:t>
      </w:r>
      <w:r w:rsidR="000C172F" w:rsidRPr="007267D4">
        <w:t xml:space="preserve"> </w:t>
      </w:r>
      <w:r w:rsidR="00B85F83" w:rsidRPr="007267D4">
        <w:t>agent</w:t>
      </w:r>
      <w:r w:rsidR="004E025C" w:rsidRPr="007267D4">
        <w:t xml:space="preserve">. </w:t>
      </w:r>
    </w:p>
    <w:p w:rsidR="000D3D47" w:rsidRPr="004E025C" w:rsidRDefault="000D3D47" w:rsidP="00E46774">
      <w:pPr>
        <w:pStyle w:val="3-BodyText"/>
        <w:numPr>
          <w:ilvl w:val="0"/>
          <w:numId w:val="0"/>
        </w:numPr>
        <w:ind w:left="720"/>
      </w:pPr>
      <w:r w:rsidRPr="007267D4">
        <w:rPr>
          <w:rFonts w:cs="Times New Roman"/>
          <w:i/>
          <w:snapToGrid/>
        </w:rPr>
        <w:t>For more detail on PBAC’s view, see section 7 PBAC outcome.</w:t>
      </w:r>
    </w:p>
    <w:p w:rsidR="00223D5A" w:rsidRPr="004E025C" w:rsidRDefault="00223D5A" w:rsidP="00223D5A">
      <w:pPr>
        <w:pStyle w:val="2-SectionHeading"/>
        <w:numPr>
          <w:ilvl w:val="0"/>
          <w:numId w:val="1"/>
        </w:numPr>
      </w:pPr>
      <w:bookmarkStart w:id="9" w:name="_Toc51141259"/>
      <w:bookmarkStart w:id="10" w:name="_Toc22897640"/>
      <w:r w:rsidRPr="004E025C">
        <w:t>Consideration of the evidence</w:t>
      </w:r>
      <w:bookmarkEnd w:id="9"/>
    </w:p>
    <w:p w:rsidR="000D3D47" w:rsidRPr="004E025C" w:rsidRDefault="000D3D47" w:rsidP="000D3D47">
      <w:pPr>
        <w:pStyle w:val="4-SubsectionHeading"/>
      </w:pPr>
      <w:bookmarkStart w:id="11" w:name="_Toc51141260"/>
      <w:r w:rsidRPr="004E025C">
        <w:t>Sponsor hearing</w:t>
      </w:r>
    </w:p>
    <w:p w:rsidR="000D3D47" w:rsidRPr="004E025C" w:rsidRDefault="000D3D47" w:rsidP="00DC4044">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The</w:t>
      </w:r>
      <w:r w:rsidR="00DC4044" w:rsidRPr="004E025C">
        <w:rPr>
          <w:rFonts w:asciiTheme="minorHAnsi" w:hAnsiTheme="minorHAnsi"/>
          <w:bCs/>
          <w:snapToGrid w:val="0"/>
        </w:rPr>
        <w:t>re was no hearing for this item</w:t>
      </w:r>
      <w:r w:rsidRPr="004E025C">
        <w:rPr>
          <w:rFonts w:asciiTheme="minorHAnsi" w:hAnsiTheme="minorHAnsi"/>
          <w:bCs/>
          <w:snapToGrid w:val="0"/>
        </w:rPr>
        <w:t>.</w:t>
      </w:r>
    </w:p>
    <w:p w:rsidR="000D3D47" w:rsidRPr="004E025C" w:rsidRDefault="000D3D47" w:rsidP="000D3D47">
      <w:pPr>
        <w:pStyle w:val="4-SubsectionHeading"/>
      </w:pPr>
      <w:r w:rsidRPr="004E025C">
        <w:lastRenderedPageBreak/>
        <w:t>Consumer comments</w:t>
      </w:r>
    </w:p>
    <w:p w:rsidR="000D3D47" w:rsidRPr="004E025C" w:rsidRDefault="000D3D47" w:rsidP="00463B6B">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noted and welcomed the input from </w:t>
      </w:r>
      <w:r w:rsidR="00463B6B" w:rsidRPr="004E025C">
        <w:rPr>
          <w:rFonts w:asciiTheme="minorHAnsi" w:hAnsiTheme="minorHAnsi"/>
          <w:bCs/>
          <w:snapToGrid w:val="0"/>
        </w:rPr>
        <w:t>health care professionals (</w:t>
      </w:r>
      <w:r w:rsidR="006A752E" w:rsidRPr="004E025C">
        <w:rPr>
          <w:rFonts w:asciiTheme="minorHAnsi" w:hAnsiTheme="minorHAnsi"/>
          <w:bCs/>
          <w:snapToGrid w:val="0"/>
        </w:rPr>
        <w:t xml:space="preserve">HCPs; </w:t>
      </w:r>
      <w:r w:rsidR="00463B6B" w:rsidRPr="004E025C">
        <w:rPr>
          <w:rFonts w:asciiTheme="minorHAnsi" w:hAnsiTheme="minorHAnsi"/>
          <w:bCs/>
          <w:snapToGrid w:val="0"/>
        </w:rPr>
        <w:t>3) and organisation</w:t>
      </w:r>
      <w:r w:rsidRPr="004E025C">
        <w:rPr>
          <w:rFonts w:asciiTheme="minorHAnsi" w:hAnsiTheme="minorHAnsi"/>
          <w:bCs/>
          <w:snapToGrid w:val="0"/>
        </w:rPr>
        <w:t xml:space="preserve"> (1) via the Consumer Comments facility on the PBS website. The comments</w:t>
      </w:r>
      <w:r w:rsidR="006A752E" w:rsidRPr="004E025C">
        <w:rPr>
          <w:rFonts w:asciiTheme="minorHAnsi" w:hAnsiTheme="minorHAnsi"/>
          <w:bCs/>
          <w:snapToGrid w:val="0"/>
        </w:rPr>
        <w:t xml:space="preserve"> from HCPs</w:t>
      </w:r>
      <w:r w:rsidRPr="004E025C">
        <w:rPr>
          <w:rFonts w:asciiTheme="minorHAnsi" w:hAnsiTheme="minorHAnsi"/>
          <w:bCs/>
          <w:snapToGrid w:val="0"/>
        </w:rPr>
        <w:t xml:space="preserve"> described a range of benefits of treatment with </w:t>
      </w:r>
      <w:r w:rsidR="00463B6B" w:rsidRPr="004E025C">
        <w:rPr>
          <w:rFonts w:asciiTheme="minorHAnsi" w:hAnsiTheme="minorHAnsi"/>
          <w:bCs/>
          <w:snapToGrid w:val="0"/>
        </w:rPr>
        <w:t>VDZ SC</w:t>
      </w:r>
      <w:r w:rsidRPr="004E025C">
        <w:rPr>
          <w:rFonts w:asciiTheme="minorHAnsi" w:hAnsiTheme="minorHAnsi"/>
          <w:bCs/>
          <w:snapToGrid w:val="0"/>
        </w:rPr>
        <w:t xml:space="preserve"> including </w:t>
      </w:r>
      <w:r w:rsidR="00463B6B" w:rsidRPr="004E025C">
        <w:rPr>
          <w:rFonts w:asciiTheme="minorHAnsi" w:hAnsiTheme="minorHAnsi"/>
          <w:bCs/>
          <w:snapToGrid w:val="0"/>
        </w:rPr>
        <w:t xml:space="preserve">patient convenience and reduced cost associated with decreased hospital infusion requirements. </w:t>
      </w:r>
      <w:r w:rsidR="00A03286" w:rsidRPr="004E025C">
        <w:rPr>
          <w:rFonts w:asciiTheme="minorHAnsi" w:hAnsiTheme="minorHAnsi"/>
          <w:bCs/>
          <w:snapToGrid w:val="0"/>
        </w:rPr>
        <w:t>A HCP comment</w:t>
      </w:r>
      <w:r w:rsidR="004E3E39" w:rsidRPr="004E025C">
        <w:rPr>
          <w:rFonts w:asciiTheme="minorHAnsi" w:hAnsiTheme="minorHAnsi"/>
          <w:bCs/>
          <w:snapToGrid w:val="0"/>
        </w:rPr>
        <w:t>ed that once available, the SC formulation is likely to be the usual mode of prescribing VDZ.</w:t>
      </w:r>
    </w:p>
    <w:p w:rsidR="006A752E" w:rsidRPr="004E025C" w:rsidRDefault="004E3E39" w:rsidP="00463B6B">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organisation </w:t>
      </w:r>
      <w:r w:rsidR="006A752E" w:rsidRPr="004E025C">
        <w:rPr>
          <w:rFonts w:asciiTheme="minorHAnsi" w:hAnsiTheme="minorHAnsi"/>
          <w:bCs/>
          <w:snapToGrid w:val="0"/>
        </w:rPr>
        <w:t xml:space="preserve">Crohn’s and Colitis Australia stated that </w:t>
      </w:r>
      <w:r w:rsidRPr="004E025C">
        <w:rPr>
          <w:rFonts w:asciiTheme="minorHAnsi" w:hAnsiTheme="minorHAnsi"/>
          <w:bCs/>
          <w:snapToGrid w:val="0"/>
        </w:rPr>
        <w:t>it supports the listing of the self-injectable SC form of VDZ because, in addition to the points mentioned by HCPs, patients will be able to avoid work</w:t>
      </w:r>
      <w:r w:rsidR="00A03286" w:rsidRPr="004E025C">
        <w:rPr>
          <w:rFonts w:asciiTheme="minorHAnsi" w:hAnsiTheme="minorHAnsi"/>
          <w:bCs/>
          <w:snapToGrid w:val="0"/>
        </w:rPr>
        <w:t xml:space="preserve"> absences</w:t>
      </w:r>
      <w:r w:rsidRPr="004E025C">
        <w:rPr>
          <w:rFonts w:asciiTheme="minorHAnsi" w:hAnsiTheme="minorHAnsi"/>
          <w:bCs/>
          <w:snapToGrid w:val="0"/>
        </w:rPr>
        <w:t xml:space="preserve"> and travel </w:t>
      </w:r>
      <w:r w:rsidR="00835E1F" w:rsidRPr="004E025C">
        <w:rPr>
          <w:rFonts w:asciiTheme="minorHAnsi" w:hAnsiTheme="minorHAnsi"/>
          <w:bCs/>
          <w:snapToGrid w:val="0"/>
        </w:rPr>
        <w:t>associated with</w:t>
      </w:r>
      <w:r w:rsidRPr="004E025C">
        <w:rPr>
          <w:rFonts w:asciiTheme="minorHAnsi" w:hAnsiTheme="minorHAnsi"/>
          <w:bCs/>
          <w:snapToGrid w:val="0"/>
        </w:rPr>
        <w:t xml:space="preserve"> infusions </w:t>
      </w:r>
      <w:r w:rsidR="00835E1F" w:rsidRPr="004E025C">
        <w:rPr>
          <w:rFonts w:asciiTheme="minorHAnsi" w:hAnsiTheme="minorHAnsi"/>
          <w:bCs/>
          <w:snapToGrid w:val="0"/>
        </w:rPr>
        <w:t>in a</w:t>
      </w:r>
      <w:r w:rsidRPr="004E025C">
        <w:rPr>
          <w:rFonts w:asciiTheme="minorHAnsi" w:hAnsiTheme="minorHAnsi"/>
          <w:bCs/>
          <w:snapToGrid w:val="0"/>
        </w:rPr>
        <w:t xml:space="preserve"> medical facility.</w:t>
      </w:r>
    </w:p>
    <w:p w:rsidR="00B60939" w:rsidRPr="004E025C" w:rsidRDefault="00B60939" w:rsidP="002E4F02">
      <w:pPr>
        <w:pStyle w:val="4-SubsectionHeading"/>
      </w:pPr>
      <w:r w:rsidRPr="004E025C">
        <w:t xml:space="preserve">Clinical </w:t>
      </w:r>
      <w:r w:rsidR="005364D2" w:rsidRPr="004E025C">
        <w:t>t</w:t>
      </w:r>
      <w:r w:rsidRPr="004E025C">
        <w:t>rials</w:t>
      </w:r>
      <w:bookmarkEnd w:id="10"/>
      <w:bookmarkEnd w:id="11"/>
    </w:p>
    <w:p w:rsidR="00244429" w:rsidRPr="004E025C" w:rsidRDefault="00244429" w:rsidP="00266EA7">
      <w:pPr>
        <w:pStyle w:val="5-SubsectionSubheading"/>
        <w:rPr>
          <w:i/>
        </w:rPr>
      </w:pPr>
      <w:bookmarkStart w:id="12" w:name="_Toc51141261"/>
      <w:r w:rsidRPr="004E025C">
        <w:rPr>
          <w:i/>
        </w:rPr>
        <w:t>Moderate and severe ulcerative colitis (MSUC)</w:t>
      </w:r>
      <w:bookmarkEnd w:id="12"/>
      <w:r w:rsidRPr="004E025C">
        <w:rPr>
          <w:i/>
        </w:rPr>
        <w:t xml:space="preserve"> </w:t>
      </w:r>
    </w:p>
    <w:p w:rsidR="002C40BE" w:rsidRPr="004E025C" w:rsidRDefault="002C40BE" w:rsidP="002C40BE">
      <w:pPr>
        <w:pStyle w:val="3-BodyText"/>
        <w:numPr>
          <w:ilvl w:val="1"/>
          <w:numId w:val="1"/>
        </w:numPr>
      </w:pPr>
      <w:r w:rsidRPr="004E025C">
        <w:t xml:space="preserve">The submission was based on a post-hoc analysis of the </w:t>
      </w:r>
      <w:r w:rsidR="00621C90" w:rsidRPr="004E025C">
        <w:t>VDZ SC</w:t>
      </w:r>
      <w:r w:rsidRPr="004E025C">
        <w:t xml:space="preserve"> and IV arms in the VISIBLE 1 trial. This trial was a phase 3, multicentre, randomised, double blind, double-dummy, controlled trial in patients with MSUC. All patients received open label </w:t>
      </w:r>
      <w:r w:rsidR="00621C90" w:rsidRPr="004E025C">
        <w:t>VDZ IV</w:t>
      </w:r>
      <w:r w:rsidRPr="004E025C">
        <w:t xml:space="preserve"> 300 mg at Weeks 0 and 2. At Week 6, the patients were assessed for clinical response (defined as a reduction in complete Mayo score of ≥3 points and ≥30% from baseline (Week 0)). Only patients who achieved a clinical response to induction therapy at Week 6 were randomised into the double-blind maintenance phase at a ratio of 2:1:1 to </w:t>
      </w:r>
      <w:r w:rsidR="00621C90" w:rsidRPr="004E025C">
        <w:t>VDZ SC</w:t>
      </w:r>
      <w:r w:rsidRPr="004E025C">
        <w:t xml:space="preserve"> 108 mg every 2 weeks (Q2W), </w:t>
      </w:r>
      <w:r w:rsidR="00621C90" w:rsidRPr="004E025C">
        <w:t>VDZ IV</w:t>
      </w:r>
      <w:r w:rsidRPr="004E025C">
        <w:t xml:space="preserve"> 300 mg every 8 weeks (Q8W) and placebo.</w:t>
      </w:r>
    </w:p>
    <w:p w:rsidR="002C40BE" w:rsidRPr="004E025C" w:rsidRDefault="002C40BE" w:rsidP="002C40BE">
      <w:pPr>
        <w:pStyle w:val="3-BodyText"/>
        <w:numPr>
          <w:ilvl w:val="1"/>
          <w:numId w:val="1"/>
        </w:numPr>
      </w:pPr>
      <w:r w:rsidRPr="004E025C">
        <w:t xml:space="preserve">Details of the included trial are summarised in the </w:t>
      </w:r>
      <w:r w:rsidR="006A6C02" w:rsidRPr="004E025C">
        <w:t>Table 3</w:t>
      </w:r>
      <w:r w:rsidRPr="004E025C">
        <w:t>.</w:t>
      </w:r>
    </w:p>
    <w:p w:rsidR="00B123C7" w:rsidRPr="004E025C" w:rsidRDefault="00B123C7" w:rsidP="00B123C7">
      <w:pPr>
        <w:pStyle w:val="TableFigureHeading"/>
      </w:pPr>
      <w:r w:rsidRPr="004E025C">
        <w:t xml:space="preserve">Table </w:t>
      </w:r>
      <w:r w:rsidR="007E6865">
        <w:rPr>
          <w:noProof/>
        </w:rPr>
        <w:t>3</w:t>
      </w:r>
      <w:r w:rsidRPr="004E025C">
        <w:t>: Trials and associated reports presented in the submission</w:t>
      </w:r>
    </w:p>
    <w:tbl>
      <w:tblPr>
        <w:tblStyle w:val="TableGrid"/>
        <w:tblW w:w="5000" w:type="pct"/>
        <w:tblLook w:val="01E0" w:firstRow="1" w:lastRow="1" w:firstColumn="1" w:lastColumn="1" w:noHBand="0" w:noVBand="0"/>
        <w:tblCaption w:val="Table 3"/>
      </w:tblPr>
      <w:tblGrid>
        <w:gridCol w:w="1436"/>
        <w:gridCol w:w="5363"/>
        <w:gridCol w:w="2218"/>
      </w:tblGrid>
      <w:tr w:rsidR="00B123C7" w:rsidRPr="004E025C" w:rsidTr="00B17A96">
        <w:trPr>
          <w:tblHeader/>
        </w:trPr>
        <w:tc>
          <w:tcPr>
            <w:tcW w:w="796" w:type="pct"/>
          </w:tcPr>
          <w:p w:rsidR="00B123C7" w:rsidRPr="004E025C" w:rsidRDefault="00B123C7" w:rsidP="00D14B50">
            <w:pPr>
              <w:pStyle w:val="In-tableHeading"/>
              <w:rPr>
                <w:lang w:val="en-AU"/>
              </w:rPr>
            </w:pPr>
            <w:r w:rsidRPr="004E025C">
              <w:rPr>
                <w:lang w:val="en-AU"/>
              </w:rPr>
              <w:t>Trial ID</w:t>
            </w:r>
          </w:p>
        </w:tc>
        <w:tc>
          <w:tcPr>
            <w:tcW w:w="2974" w:type="pct"/>
          </w:tcPr>
          <w:p w:rsidR="00B123C7" w:rsidRPr="004E025C" w:rsidRDefault="00B123C7" w:rsidP="00D14B50">
            <w:pPr>
              <w:pStyle w:val="In-tableHeading"/>
              <w:rPr>
                <w:lang w:val="en-AU"/>
              </w:rPr>
            </w:pPr>
            <w:r w:rsidRPr="004E025C">
              <w:rPr>
                <w:lang w:val="en-AU"/>
              </w:rPr>
              <w:t>Protocol title/ Publication title</w:t>
            </w:r>
          </w:p>
        </w:tc>
        <w:tc>
          <w:tcPr>
            <w:tcW w:w="1230" w:type="pct"/>
          </w:tcPr>
          <w:p w:rsidR="00B123C7" w:rsidRPr="004E025C" w:rsidRDefault="00B123C7" w:rsidP="00D14B50">
            <w:pPr>
              <w:pStyle w:val="In-tableHeading"/>
              <w:rPr>
                <w:lang w:val="en-AU"/>
              </w:rPr>
            </w:pPr>
            <w:r w:rsidRPr="004E025C">
              <w:rPr>
                <w:lang w:val="en-AU"/>
              </w:rPr>
              <w:t>Publication citation</w:t>
            </w:r>
          </w:p>
        </w:tc>
      </w:tr>
      <w:tr w:rsidR="00B123C7" w:rsidRPr="004E025C" w:rsidTr="00D14B50">
        <w:tc>
          <w:tcPr>
            <w:tcW w:w="5000" w:type="pct"/>
            <w:gridSpan w:val="3"/>
            <w:tcBorders>
              <w:bottom w:val="single" w:sz="4" w:space="0" w:color="auto"/>
            </w:tcBorders>
          </w:tcPr>
          <w:p w:rsidR="00B123C7" w:rsidRPr="004E025C" w:rsidRDefault="00B123C7" w:rsidP="00EF783B">
            <w:pPr>
              <w:pStyle w:val="In-tableHeading"/>
              <w:rPr>
                <w:lang w:val="en-AU"/>
              </w:rPr>
            </w:pPr>
            <w:r w:rsidRPr="004E025C">
              <w:rPr>
                <w:lang w:val="en-AU"/>
              </w:rPr>
              <w:t xml:space="preserve">Ulcerative colitis trials – Direct comparison between </w:t>
            </w:r>
            <w:r w:rsidR="00EF783B" w:rsidRPr="004E025C">
              <w:rPr>
                <w:lang w:val="en-AU"/>
              </w:rPr>
              <w:t xml:space="preserve">VDZ </w:t>
            </w:r>
            <w:r w:rsidRPr="004E025C">
              <w:rPr>
                <w:lang w:val="en-AU"/>
              </w:rPr>
              <w:t xml:space="preserve">SC and </w:t>
            </w:r>
            <w:r w:rsidR="00EF783B" w:rsidRPr="004E025C">
              <w:rPr>
                <w:lang w:val="en-AU"/>
              </w:rPr>
              <w:t xml:space="preserve">VDZ </w:t>
            </w:r>
            <w:r w:rsidRPr="004E025C">
              <w:rPr>
                <w:lang w:val="en-AU"/>
              </w:rPr>
              <w:t>IV</w:t>
            </w:r>
          </w:p>
        </w:tc>
      </w:tr>
      <w:tr w:rsidR="00F303C8" w:rsidRPr="004E025C" w:rsidTr="00F303C8">
        <w:tc>
          <w:tcPr>
            <w:tcW w:w="796" w:type="pct"/>
            <w:tcBorders>
              <w:bottom w:val="nil"/>
            </w:tcBorders>
          </w:tcPr>
          <w:p w:rsidR="00F303C8" w:rsidRPr="004E025C" w:rsidRDefault="00F303C8" w:rsidP="00F303C8">
            <w:pPr>
              <w:pStyle w:val="TableText0"/>
              <w:rPr>
                <w:b/>
              </w:rPr>
            </w:pPr>
            <w:r w:rsidRPr="004E025C">
              <w:t>VISIBLE 1</w:t>
            </w:r>
          </w:p>
        </w:tc>
        <w:tc>
          <w:tcPr>
            <w:tcW w:w="2974" w:type="pct"/>
            <w:tcBorders>
              <w:bottom w:val="single" w:sz="4" w:space="0" w:color="auto"/>
            </w:tcBorders>
          </w:tcPr>
          <w:p w:rsidR="00F303C8" w:rsidRPr="004E025C" w:rsidRDefault="00F303C8" w:rsidP="00F303C8">
            <w:pPr>
              <w:pStyle w:val="TableText0"/>
              <w:rPr>
                <w:szCs w:val="18"/>
              </w:rPr>
            </w:pPr>
            <w:r w:rsidRPr="004E025C">
              <w:rPr>
                <w:szCs w:val="18"/>
              </w:rPr>
              <w:t>Clinical Study Report/Protocol</w:t>
            </w:r>
          </w:p>
          <w:p w:rsidR="00F303C8" w:rsidRPr="004E025C" w:rsidRDefault="00F303C8" w:rsidP="00F303C8">
            <w:pPr>
              <w:pStyle w:val="TableText0"/>
              <w:rPr>
                <w:b/>
              </w:rPr>
            </w:pPr>
            <w:r w:rsidRPr="004E025C">
              <w:rPr>
                <w:szCs w:val="18"/>
              </w:rPr>
              <w:t>A Phase 3 Randomized, Double-Blind, Placebo-Controlled Study, with a Vedolizumab IV Reference Arm, to Evaluate the Efficacy and Safety of Vedolizumab Subcutaneous as Maintenance Therapy in Subjects With Moderately to Severely Active Ulcerative Colitis Who Achieved Clinical Response Following Open-Label Vedolizumab Intravenous Therapy.</w:t>
            </w:r>
          </w:p>
        </w:tc>
        <w:tc>
          <w:tcPr>
            <w:tcW w:w="1230" w:type="pct"/>
            <w:tcBorders>
              <w:bottom w:val="single" w:sz="4" w:space="0" w:color="auto"/>
            </w:tcBorders>
          </w:tcPr>
          <w:p w:rsidR="00F303C8" w:rsidRPr="004E025C" w:rsidRDefault="00F303C8" w:rsidP="00F303C8">
            <w:pPr>
              <w:pStyle w:val="TableText0"/>
              <w:rPr>
                <w:b/>
              </w:rPr>
            </w:pPr>
            <w:r w:rsidRPr="004E025C">
              <w:rPr>
                <w:szCs w:val="18"/>
              </w:rPr>
              <w:t>7 February 2019</w:t>
            </w:r>
          </w:p>
        </w:tc>
      </w:tr>
      <w:tr w:rsidR="00F303C8" w:rsidRPr="004E025C" w:rsidTr="00F303C8">
        <w:tc>
          <w:tcPr>
            <w:tcW w:w="796" w:type="pct"/>
            <w:tcBorders>
              <w:top w:val="nil"/>
            </w:tcBorders>
          </w:tcPr>
          <w:p w:rsidR="00F303C8" w:rsidRPr="004E025C" w:rsidRDefault="00F303C8" w:rsidP="00F303C8">
            <w:pPr>
              <w:pStyle w:val="TableText0"/>
              <w:rPr>
                <w:b/>
              </w:rPr>
            </w:pPr>
          </w:p>
        </w:tc>
        <w:tc>
          <w:tcPr>
            <w:tcW w:w="2974" w:type="pct"/>
            <w:tcBorders>
              <w:top w:val="single" w:sz="4" w:space="0" w:color="auto"/>
            </w:tcBorders>
          </w:tcPr>
          <w:p w:rsidR="00F303C8" w:rsidRPr="004E025C" w:rsidRDefault="008E1204" w:rsidP="00F303C8">
            <w:pPr>
              <w:pStyle w:val="TableText0"/>
              <w:rPr>
                <w:b/>
              </w:rPr>
            </w:pPr>
            <w:r w:rsidRPr="004E025C">
              <w:rPr>
                <w:szCs w:val="18"/>
              </w:rPr>
              <w:t>Sandborn et al</w:t>
            </w:r>
            <w:r w:rsidR="00F303C8" w:rsidRPr="004E025C">
              <w:rPr>
                <w:szCs w:val="18"/>
              </w:rPr>
              <w:t>. Efficacy and Safety of Vedolizumab Subcutaneous Formulation in a Randomized Trial of Patients With Ulcerative Colitis.</w:t>
            </w:r>
          </w:p>
        </w:tc>
        <w:tc>
          <w:tcPr>
            <w:tcW w:w="1230" w:type="pct"/>
            <w:tcBorders>
              <w:top w:val="single" w:sz="4" w:space="0" w:color="auto"/>
            </w:tcBorders>
          </w:tcPr>
          <w:p w:rsidR="00F303C8" w:rsidRPr="004E025C" w:rsidRDefault="00F303C8" w:rsidP="00F303C8">
            <w:pPr>
              <w:pStyle w:val="TableText0"/>
              <w:rPr>
                <w:b/>
              </w:rPr>
            </w:pPr>
            <w:r w:rsidRPr="004E025C">
              <w:t>Gastroenterology 2020; 158 (3): 562-572.e12.</w:t>
            </w:r>
          </w:p>
        </w:tc>
      </w:tr>
    </w:tbl>
    <w:p w:rsidR="00B123C7" w:rsidRPr="004E025C" w:rsidRDefault="00B123C7" w:rsidP="00B123C7">
      <w:pPr>
        <w:pStyle w:val="TableFigureFooter"/>
      </w:pPr>
      <w:r w:rsidRPr="004E025C">
        <w:t>Source: Table 2.2.3, p28 of the main submission</w:t>
      </w:r>
    </w:p>
    <w:p w:rsidR="00B123C7" w:rsidRPr="004E025C" w:rsidRDefault="00B123C7" w:rsidP="00B123C7">
      <w:pPr>
        <w:pStyle w:val="TableFigureFooter"/>
      </w:pPr>
    </w:p>
    <w:p w:rsidR="00B123C7" w:rsidRPr="004E025C" w:rsidRDefault="00B123C7" w:rsidP="00B123C7">
      <w:pPr>
        <w:pStyle w:val="3-BodyText"/>
        <w:numPr>
          <w:ilvl w:val="1"/>
          <w:numId w:val="1"/>
        </w:numPr>
      </w:pPr>
      <w:r w:rsidRPr="004E025C">
        <w:t xml:space="preserve">The key features of the included trial are summarised </w:t>
      </w:r>
      <w:r w:rsidR="006A6C02" w:rsidRPr="004E025C">
        <w:t xml:space="preserve">in Table 4. </w:t>
      </w:r>
    </w:p>
    <w:p w:rsidR="00B123C7" w:rsidRPr="004E025C" w:rsidRDefault="00B123C7" w:rsidP="00B123C7">
      <w:pPr>
        <w:pStyle w:val="TableFigureHeading"/>
      </w:pPr>
      <w:r w:rsidRPr="004E025C">
        <w:t xml:space="preserve">Table </w:t>
      </w:r>
      <w:r w:rsidR="007E6865">
        <w:rPr>
          <w:noProof/>
        </w:rPr>
        <w:t>4</w:t>
      </w:r>
      <w:r w:rsidRPr="004E025C">
        <w:t>: Key features of the included evidence for MSUC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0"/>
        <w:gridCol w:w="655"/>
        <w:gridCol w:w="1035"/>
        <w:gridCol w:w="1172"/>
        <w:gridCol w:w="2218"/>
        <w:gridCol w:w="1647"/>
        <w:gridCol w:w="1470"/>
      </w:tblGrid>
      <w:tr w:rsidR="00B123C7" w:rsidRPr="004E025C" w:rsidTr="00D14B50">
        <w:trPr>
          <w:cantSplit/>
        </w:trPr>
        <w:tc>
          <w:tcPr>
            <w:tcW w:w="455" w:type="pct"/>
            <w:shd w:val="clear" w:color="auto" w:fill="auto"/>
            <w:vAlign w:val="center"/>
          </w:tcPr>
          <w:p w:rsidR="00B123C7" w:rsidRPr="004E025C" w:rsidRDefault="00B123C7" w:rsidP="00D14B50">
            <w:pPr>
              <w:pStyle w:val="In-tableHeading"/>
              <w:rPr>
                <w:lang w:val="en-AU"/>
              </w:rPr>
            </w:pPr>
            <w:r w:rsidRPr="004E025C">
              <w:rPr>
                <w:lang w:val="en-AU"/>
              </w:rPr>
              <w:t>Trial</w:t>
            </w:r>
          </w:p>
        </w:tc>
        <w:tc>
          <w:tcPr>
            <w:tcW w:w="363" w:type="pct"/>
            <w:shd w:val="clear" w:color="auto" w:fill="auto"/>
            <w:vAlign w:val="center"/>
          </w:tcPr>
          <w:p w:rsidR="00B123C7" w:rsidRPr="004E025C" w:rsidRDefault="00B123C7" w:rsidP="00D14B50">
            <w:pPr>
              <w:pStyle w:val="In-tableHeading"/>
              <w:rPr>
                <w:lang w:val="en-AU"/>
              </w:rPr>
            </w:pPr>
            <w:r w:rsidRPr="004E025C">
              <w:rPr>
                <w:lang w:val="en-AU"/>
              </w:rPr>
              <w:t>N</w:t>
            </w:r>
          </w:p>
        </w:tc>
        <w:tc>
          <w:tcPr>
            <w:tcW w:w="574" w:type="pct"/>
            <w:shd w:val="clear" w:color="auto" w:fill="auto"/>
            <w:vAlign w:val="center"/>
          </w:tcPr>
          <w:p w:rsidR="00B123C7" w:rsidRPr="004E025C" w:rsidRDefault="00B123C7" w:rsidP="00D14B50">
            <w:pPr>
              <w:pStyle w:val="In-tableHeading"/>
              <w:rPr>
                <w:lang w:val="en-AU"/>
              </w:rPr>
            </w:pPr>
            <w:r w:rsidRPr="004E025C">
              <w:rPr>
                <w:lang w:val="en-AU"/>
              </w:rPr>
              <w:t>Design/ duration</w:t>
            </w:r>
          </w:p>
        </w:tc>
        <w:tc>
          <w:tcPr>
            <w:tcW w:w="650" w:type="pct"/>
            <w:shd w:val="clear" w:color="auto" w:fill="auto"/>
            <w:vAlign w:val="center"/>
          </w:tcPr>
          <w:p w:rsidR="00B123C7" w:rsidRPr="004E025C" w:rsidRDefault="00B123C7" w:rsidP="00D14B50">
            <w:pPr>
              <w:pStyle w:val="In-tableHeading"/>
              <w:rPr>
                <w:lang w:val="en-AU"/>
              </w:rPr>
            </w:pPr>
            <w:r w:rsidRPr="004E025C">
              <w:rPr>
                <w:lang w:val="en-AU"/>
              </w:rPr>
              <w:t>Risk of bias in the individual trials</w:t>
            </w:r>
          </w:p>
        </w:tc>
        <w:tc>
          <w:tcPr>
            <w:tcW w:w="1230" w:type="pct"/>
            <w:shd w:val="clear" w:color="auto" w:fill="auto"/>
            <w:vAlign w:val="center"/>
          </w:tcPr>
          <w:p w:rsidR="00B123C7" w:rsidRPr="004E025C" w:rsidRDefault="00B123C7" w:rsidP="00D14B50">
            <w:pPr>
              <w:pStyle w:val="In-tableHeading"/>
              <w:rPr>
                <w:lang w:val="en-AU"/>
              </w:rPr>
            </w:pPr>
            <w:r w:rsidRPr="004E025C">
              <w:rPr>
                <w:lang w:val="en-AU"/>
              </w:rPr>
              <w:t>Patient population</w:t>
            </w:r>
          </w:p>
        </w:tc>
        <w:tc>
          <w:tcPr>
            <w:tcW w:w="913" w:type="pct"/>
            <w:shd w:val="clear" w:color="auto" w:fill="auto"/>
            <w:vAlign w:val="center"/>
          </w:tcPr>
          <w:p w:rsidR="00B123C7" w:rsidRPr="004E025C" w:rsidRDefault="00B123C7" w:rsidP="00D14B50">
            <w:pPr>
              <w:pStyle w:val="In-tableHeading"/>
              <w:rPr>
                <w:lang w:val="en-AU"/>
              </w:rPr>
            </w:pPr>
            <w:r w:rsidRPr="004E025C">
              <w:rPr>
                <w:lang w:val="en-AU"/>
              </w:rPr>
              <w:t>Outcomes</w:t>
            </w:r>
          </w:p>
        </w:tc>
        <w:tc>
          <w:tcPr>
            <w:tcW w:w="815" w:type="pct"/>
            <w:shd w:val="clear" w:color="auto" w:fill="auto"/>
            <w:vAlign w:val="center"/>
          </w:tcPr>
          <w:p w:rsidR="00B123C7" w:rsidRPr="004E025C" w:rsidRDefault="00B123C7" w:rsidP="00D14B50">
            <w:pPr>
              <w:pStyle w:val="In-tableHeading"/>
              <w:rPr>
                <w:lang w:val="en-AU"/>
              </w:rPr>
            </w:pPr>
            <w:r w:rsidRPr="004E025C">
              <w:rPr>
                <w:lang w:val="en-AU"/>
              </w:rPr>
              <w:t>Use in cost- minimisation</w:t>
            </w:r>
          </w:p>
        </w:tc>
      </w:tr>
      <w:tr w:rsidR="00B123C7" w:rsidRPr="004E025C" w:rsidTr="00D14B50">
        <w:trPr>
          <w:cantSplit/>
        </w:trPr>
        <w:tc>
          <w:tcPr>
            <w:tcW w:w="455" w:type="pct"/>
            <w:shd w:val="clear" w:color="auto" w:fill="auto"/>
            <w:vAlign w:val="center"/>
          </w:tcPr>
          <w:p w:rsidR="00B123C7" w:rsidRPr="004E025C" w:rsidRDefault="00B123C7" w:rsidP="00D14B50">
            <w:pPr>
              <w:pStyle w:val="TableText0"/>
            </w:pPr>
            <w:r w:rsidRPr="004E025C">
              <w:t>VISIBLE 1</w:t>
            </w:r>
          </w:p>
        </w:tc>
        <w:tc>
          <w:tcPr>
            <w:tcW w:w="363" w:type="pct"/>
            <w:shd w:val="clear" w:color="auto" w:fill="auto"/>
            <w:vAlign w:val="center"/>
          </w:tcPr>
          <w:p w:rsidR="00B123C7" w:rsidRPr="004E025C" w:rsidRDefault="00B123C7" w:rsidP="00D14B50">
            <w:pPr>
              <w:pStyle w:val="TableText0"/>
            </w:pPr>
            <w:r w:rsidRPr="004E025C">
              <w:t>216</w:t>
            </w:r>
            <w:r w:rsidRPr="004E025C">
              <w:rPr>
                <w:vertAlign w:val="superscript"/>
              </w:rPr>
              <w:t>a</w:t>
            </w:r>
          </w:p>
        </w:tc>
        <w:tc>
          <w:tcPr>
            <w:tcW w:w="574" w:type="pct"/>
            <w:shd w:val="clear" w:color="auto" w:fill="auto"/>
            <w:vAlign w:val="center"/>
          </w:tcPr>
          <w:p w:rsidR="00B123C7" w:rsidRPr="004E025C" w:rsidRDefault="00B123C7" w:rsidP="00D14B50">
            <w:pPr>
              <w:pStyle w:val="TableText0"/>
            </w:pPr>
            <w:r w:rsidRPr="004E025C">
              <w:t>R, DB, DD/</w:t>
            </w:r>
          </w:p>
          <w:p w:rsidR="00B123C7" w:rsidRPr="004E025C" w:rsidRDefault="00B123C7" w:rsidP="00D14B50">
            <w:pPr>
              <w:pStyle w:val="TableText0"/>
            </w:pPr>
            <w:r w:rsidRPr="004E025C">
              <w:t>52 weeks</w:t>
            </w:r>
            <w:r w:rsidRPr="004E025C">
              <w:rPr>
                <w:vertAlign w:val="superscript"/>
              </w:rPr>
              <w:t>b</w:t>
            </w:r>
          </w:p>
        </w:tc>
        <w:tc>
          <w:tcPr>
            <w:tcW w:w="650" w:type="pct"/>
            <w:shd w:val="clear" w:color="auto" w:fill="auto"/>
            <w:vAlign w:val="center"/>
          </w:tcPr>
          <w:p w:rsidR="00B123C7" w:rsidRPr="004E025C" w:rsidRDefault="00B123C7" w:rsidP="00D14B50">
            <w:pPr>
              <w:pStyle w:val="TableText0"/>
            </w:pPr>
            <w:r w:rsidRPr="004E025C">
              <w:t xml:space="preserve">Low </w:t>
            </w:r>
          </w:p>
        </w:tc>
        <w:tc>
          <w:tcPr>
            <w:tcW w:w="1230" w:type="pct"/>
            <w:shd w:val="clear" w:color="auto" w:fill="auto"/>
          </w:tcPr>
          <w:p w:rsidR="00B123C7" w:rsidRPr="004E025C" w:rsidRDefault="00B123C7" w:rsidP="00D14B50">
            <w:pPr>
              <w:pStyle w:val="TableText0"/>
            </w:pPr>
            <w:r w:rsidRPr="004E025C">
              <w:t>Adult patients with MSUC who had inadequate response to, loss of response to or intolerance of at least one of an immunomodulator, TNFα antagonist or  corticosteroid</w:t>
            </w:r>
          </w:p>
        </w:tc>
        <w:tc>
          <w:tcPr>
            <w:tcW w:w="913" w:type="pct"/>
            <w:shd w:val="clear" w:color="auto" w:fill="auto"/>
            <w:vAlign w:val="center"/>
          </w:tcPr>
          <w:p w:rsidR="00B123C7" w:rsidRPr="004E025C" w:rsidRDefault="00B123C7" w:rsidP="00D14B50">
            <w:pPr>
              <w:pStyle w:val="TableText0"/>
            </w:pPr>
            <w:r w:rsidRPr="004E025C">
              <w:t>Clinical remission at Week 52</w:t>
            </w:r>
          </w:p>
        </w:tc>
        <w:tc>
          <w:tcPr>
            <w:tcW w:w="815" w:type="pct"/>
            <w:shd w:val="clear" w:color="auto" w:fill="auto"/>
            <w:vAlign w:val="center"/>
          </w:tcPr>
          <w:p w:rsidR="00B123C7" w:rsidRPr="004E025C" w:rsidRDefault="00B123C7" w:rsidP="00D14B50">
            <w:pPr>
              <w:pStyle w:val="TableText0"/>
            </w:pPr>
            <w:r w:rsidRPr="004E025C">
              <w:t xml:space="preserve">Yes </w:t>
            </w:r>
          </w:p>
        </w:tc>
      </w:tr>
    </w:tbl>
    <w:p w:rsidR="00B123C7" w:rsidRPr="004E025C" w:rsidRDefault="00B123C7" w:rsidP="00B123C7">
      <w:pPr>
        <w:pStyle w:val="TableFigureFooter"/>
      </w:pPr>
      <w:r w:rsidRPr="004E025C">
        <w:t>Source:  Generated during the evaluation using data from section 2.3 and 2.4 of the submission</w:t>
      </w:r>
    </w:p>
    <w:p w:rsidR="00B123C7" w:rsidRPr="004E025C" w:rsidRDefault="00B123C7" w:rsidP="00B123C7">
      <w:pPr>
        <w:pStyle w:val="TableFigureFooter"/>
      </w:pPr>
      <w:r w:rsidRPr="004E025C">
        <w:t xml:space="preserve">DB = double blind; DD= double dummy; R = randomised; MSUC= moderate or severe ulcerative colitis; NR= not reported; </w:t>
      </w:r>
      <w:r w:rsidR="00B90994" w:rsidRPr="004E025C">
        <w:t>T</w:t>
      </w:r>
      <w:r w:rsidRPr="004E025C">
        <w:t xml:space="preserve">NF = tumour necrosis factor; </w:t>
      </w:r>
    </w:p>
    <w:p w:rsidR="00B123C7" w:rsidRPr="004E025C" w:rsidRDefault="00B123C7" w:rsidP="00B123C7">
      <w:pPr>
        <w:pStyle w:val="TableFigureFooter"/>
      </w:pPr>
      <w:r w:rsidRPr="004E025C">
        <w:rPr>
          <w:vertAlign w:val="superscript"/>
        </w:rPr>
        <w:t>a</w:t>
      </w:r>
      <w:r w:rsidRPr="004E025C">
        <w:t>Number of patients representing the ITT population for the maintenance phase of VISIBLE 1</w:t>
      </w:r>
    </w:p>
    <w:p w:rsidR="00B123C7" w:rsidRPr="004E025C" w:rsidRDefault="00B123C7" w:rsidP="00B123C7">
      <w:pPr>
        <w:pStyle w:val="TableFigureFooter"/>
      </w:pPr>
      <w:r w:rsidRPr="004E025C">
        <w:rPr>
          <w:vertAlign w:val="superscript"/>
        </w:rPr>
        <w:t>b</w:t>
      </w:r>
      <w:r w:rsidRPr="004E025C">
        <w:t>Duration of follow up was not reported in VISIBLE 1 trial</w:t>
      </w:r>
    </w:p>
    <w:p w:rsidR="002C40BE" w:rsidRPr="004E025C" w:rsidRDefault="002C40BE" w:rsidP="002C40BE">
      <w:pPr>
        <w:pStyle w:val="3-BodyText"/>
        <w:numPr>
          <w:ilvl w:val="1"/>
          <w:numId w:val="1"/>
        </w:numPr>
      </w:pPr>
      <w:r w:rsidRPr="004E025C">
        <w:t xml:space="preserve">The evidence was derived from the comparison between the </w:t>
      </w:r>
      <w:r w:rsidR="00621C90" w:rsidRPr="004E025C">
        <w:t>VDZ SC</w:t>
      </w:r>
      <w:r w:rsidRPr="004E025C">
        <w:t xml:space="preserve"> arm and the </w:t>
      </w:r>
      <w:r w:rsidR="00621C90" w:rsidRPr="004E025C">
        <w:t>VDZ IV</w:t>
      </w:r>
      <w:r w:rsidRPr="004E025C">
        <w:t xml:space="preserve"> arm in the VISIBLE 1 trial. Overall, the baseline demographics and disease characteristics were well balanced between the VISIBLE 1 trial arms suggesting successful randomisation</w:t>
      </w:r>
      <w:r w:rsidR="004E025C">
        <w:t xml:space="preserve">. </w:t>
      </w:r>
    </w:p>
    <w:p w:rsidR="002C40BE" w:rsidRPr="004E025C" w:rsidRDefault="002C40BE" w:rsidP="002C40BE">
      <w:pPr>
        <w:pStyle w:val="3-BodyText"/>
        <w:numPr>
          <w:ilvl w:val="1"/>
          <w:numId w:val="1"/>
        </w:numPr>
      </w:pPr>
      <w:r w:rsidRPr="004E025C">
        <w:t xml:space="preserve">Note that VISIBLE 1 trial was not powered to detect a difference between </w:t>
      </w:r>
      <w:r w:rsidR="00621C90" w:rsidRPr="004E025C">
        <w:t>VDZ SC</w:t>
      </w:r>
      <w:r w:rsidRPr="004E025C">
        <w:t xml:space="preserve"> and IV arms. </w:t>
      </w:r>
      <w:r w:rsidR="00277380" w:rsidRPr="004E025C">
        <w:t>Also</w:t>
      </w:r>
      <w:r w:rsidRPr="004E025C">
        <w:t xml:space="preserve">, </w:t>
      </w:r>
      <w:r w:rsidR="00277380" w:rsidRPr="004E025C">
        <w:t xml:space="preserve">while </w:t>
      </w:r>
      <w:r w:rsidRPr="004E025C">
        <w:t xml:space="preserve">the submission claimed non-inferiority of the </w:t>
      </w:r>
      <w:r w:rsidR="00621C90" w:rsidRPr="004E025C">
        <w:t>VDZ SC</w:t>
      </w:r>
      <w:r w:rsidRPr="004E025C">
        <w:t xml:space="preserve"> compared to </w:t>
      </w:r>
      <w:r w:rsidR="00621C90" w:rsidRPr="004E025C">
        <w:t>VDZ IV</w:t>
      </w:r>
      <w:r w:rsidRPr="004E025C">
        <w:t xml:space="preserve">, </w:t>
      </w:r>
      <w:r w:rsidR="00277380" w:rsidRPr="004E025C">
        <w:t xml:space="preserve">the </w:t>
      </w:r>
      <w:r w:rsidRPr="004E025C">
        <w:t xml:space="preserve">VISIBLE 1 trial was not a non-inferiority designed trial. In addition, no non-inferiority margin was pre-specified for the interpretation of this post-hoc analysis. </w:t>
      </w:r>
    </w:p>
    <w:p w:rsidR="005364D2" w:rsidRPr="004E025C" w:rsidRDefault="00330977" w:rsidP="00266EA7">
      <w:pPr>
        <w:pStyle w:val="5-SubsectionSubheading"/>
        <w:rPr>
          <w:i/>
        </w:rPr>
      </w:pPr>
      <w:bookmarkStart w:id="13" w:name="_Toc51141262"/>
      <w:r w:rsidRPr="004E025C">
        <w:rPr>
          <w:i/>
        </w:rPr>
        <w:t>C</w:t>
      </w:r>
      <w:r w:rsidR="00244429" w:rsidRPr="004E025C">
        <w:rPr>
          <w:i/>
        </w:rPr>
        <w:t>rohn’s</w:t>
      </w:r>
      <w:r w:rsidRPr="004E025C">
        <w:rPr>
          <w:i/>
        </w:rPr>
        <w:t xml:space="preserve"> </w:t>
      </w:r>
      <w:r w:rsidR="00244429" w:rsidRPr="004E025C">
        <w:rPr>
          <w:i/>
        </w:rPr>
        <w:t>disease</w:t>
      </w:r>
      <w:bookmarkEnd w:id="13"/>
    </w:p>
    <w:p w:rsidR="00862502" w:rsidRPr="004E025C" w:rsidRDefault="000215F3" w:rsidP="00024F7C">
      <w:pPr>
        <w:pStyle w:val="3-BodyText"/>
      </w:pPr>
      <w:r w:rsidRPr="004E025C">
        <w:t xml:space="preserve">The submission was based on an </w:t>
      </w:r>
      <w:r w:rsidR="005364D2" w:rsidRPr="004E025C">
        <w:t xml:space="preserve">adjusted </w:t>
      </w:r>
      <w:r w:rsidRPr="004E025C">
        <w:t xml:space="preserve">indirect comparison between </w:t>
      </w:r>
      <w:r w:rsidR="00621C90" w:rsidRPr="004E025C">
        <w:t>VDZ SC</w:t>
      </w:r>
      <w:r w:rsidRPr="004E025C">
        <w:t xml:space="preserve"> (</w:t>
      </w:r>
      <w:r w:rsidR="005364D2" w:rsidRPr="004E025C">
        <w:t xml:space="preserve">Phase III VISIBLE 2 trial: </w:t>
      </w:r>
      <w:r w:rsidR="00621C90" w:rsidRPr="004E025C">
        <w:t>VDZ SC</w:t>
      </w:r>
      <w:r w:rsidR="005364D2" w:rsidRPr="004E025C">
        <w:t xml:space="preserve"> </w:t>
      </w:r>
      <w:r w:rsidRPr="004E025C">
        <w:t>108 mg Q2W</w:t>
      </w:r>
      <w:r w:rsidR="00E347CC" w:rsidRPr="004E025C">
        <w:t xml:space="preserve"> maintenance therapy</w:t>
      </w:r>
      <w:r w:rsidR="005364D2" w:rsidRPr="004E025C">
        <w:t xml:space="preserve"> versus placebo</w:t>
      </w:r>
      <w:r w:rsidRPr="004E025C">
        <w:t xml:space="preserve">), and </w:t>
      </w:r>
      <w:r w:rsidR="00621C90" w:rsidRPr="004E025C">
        <w:t>VDZ IV</w:t>
      </w:r>
      <w:r w:rsidRPr="004E025C">
        <w:t xml:space="preserve"> (</w:t>
      </w:r>
      <w:r w:rsidR="005364D2" w:rsidRPr="004E025C">
        <w:t xml:space="preserve">Phase III GEMINI 2 trial: </w:t>
      </w:r>
      <w:r w:rsidR="00621C90" w:rsidRPr="004E025C">
        <w:t>VDZ IV</w:t>
      </w:r>
      <w:r w:rsidR="005364D2" w:rsidRPr="004E025C">
        <w:t xml:space="preserve"> </w:t>
      </w:r>
      <w:r w:rsidRPr="004E025C">
        <w:t>300 mg Q8W</w:t>
      </w:r>
      <w:r w:rsidR="005364D2" w:rsidRPr="004E025C">
        <w:t xml:space="preserve"> </w:t>
      </w:r>
      <w:r w:rsidR="00E347CC" w:rsidRPr="004E025C">
        <w:t xml:space="preserve">maintenance therapy </w:t>
      </w:r>
      <w:r w:rsidR="005364D2" w:rsidRPr="004E025C">
        <w:t>versus placebo</w:t>
      </w:r>
      <w:r w:rsidRPr="004E025C">
        <w:t>)</w:t>
      </w:r>
      <w:r w:rsidR="005364D2" w:rsidRPr="004E025C">
        <w:t xml:space="preserve">, </w:t>
      </w:r>
      <w:r w:rsidR="00E347CC" w:rsidRPr="004E025C">
        <w:t xml:space="preserve">using placebo as the common reference, </w:t>
      </w:r>
      <w:r w:rsidR="00244429" w:rsidRPr="004E025C">
        <w:t>in moderately to severely active Crohn’s disease.</w:t>
      </w:r>
      <w:r w:rsidR="001A0CA0" w:rsidRPr="004E025C">
        <w:t xml:space="preserve"> </w:t>
      </w:r>
      <w:r w:rsidR="00A73134" w:rsidRPr="004E025C">
        <w:rPr>
          <w:snapToGrid/>
        </w:rPr>
        <w:t>Details of the trials</w:t>
      </w:r>
      <w:r w:rsidR="005364D2" w:rsidRPr="004E025C">
        <w:rPr>
          <w:snapToGrid/>
        </w:rPr>
        <w:t xml:space="preserve"> included</w:t>
      </w:r>
      <w:r w:rsidR="00244429" w:rsidRPr="004E025C">
        <w:rPr>
          <w:snapToGrid/>
        </w:rPr>
        <w:t xml:space="preserve"> </w:t>
      </w:r>
      <w:r w:rsidR="003C7CDC" w:rsidRPr="004E025C">
        <w:rPr>
          <w:snapToGrid/>
        </w:rPr>
        <w:t>for the indirect comparison</w:t>
      </w:r>
      <w:r w:rsidR="005364D2" w:rsidRPr="004E025C">
        <w:rPr>
          <w:snapToGrid/>
        </w:rPr>
        <w:t xml:space="preserve"> </w:t>
      </w:r>
      <w:r w:rsidR="006A6C02" w:rsidRPr="004E025C">
        <w:rPr>
          <w:snapToGrid/>
        </w:rPr>
        <w:t>are provided in the Table 5</w:t>
      </w:r>
      <w:r w:rsidRPr="004E025C">
        <w:rPr>
          <w:snapToGrid/>
        </w:rPr>
        <w:t>.</w:t>
      </w:r>
    </w:p>
    <w:p w:rsidR="00244429" w:rsidRPr="004E025C" w:rsidRDefault="005364D2" w:rsidP="000610AF">
      <w:pPr>
        <w:pStyle w:val="TableFigureHeading"/>
        <w:keepLines/>
      </w:pPr>
      <w:r w:rsidRPr="004E025C">
        <w:t xml:space="preserve">Table </w:t>
      </w:r>
      <w:r w:rsidR="007E6865">
        <w:rPr>
          <w:noProof/>
        </w:rPr>
        <w:t>5</w:t>
      </w:r>
      <w:r w:rsidRPr="004E025C">
        <w:t xml:space="preserve">: </w:t>
      </w:r>
      <w:r w:rsidR="003C7CDC" w:rsidRPr="004E025C">
        <w:t xml:space="preserve">Crohn’s disease - </w:t>
      </w:r>
      <w:r w:rsidR="00244429" w:rsidRPr="004E025C">
        <w:t>Trials and associated reports presented in the submission</w:t>
      </w:r>
    </w:p>
    <w:tbl>
      <w:tblPr>
        <w:tblStyle w:val="TableGrid"/>
        <w:tblW w:w="5000" w:type="pct"/>
        <w:tblLook w:val="01E0" w:firstRow="1" w:lastRow="1" w:firstColumn="1" w:lastColumn="1" w:noHBand="0" w:noVBand="0"/>
        <w:tblCaption w:val="Table 5"/>
      </w:tblPr>
      <w:tblGrid>
        <w:gridCol w:w="1436"/>
        <w:gridCol w:w="5363"/>
        <w:gridCol w:w="2218"/>
      </w:tblGrid>
      <w:tr w:rsidR="00244429" w:rsidRPr="004E025C" w:rsidTr="00B17A96">
        <w:trPr>
          <w:tblHeader/>
        </w:trPr>
        <w:tc>
          <w:tcPr>
            <w:tcW w:w="796" w:type="pct"/>
          </w:tcPr>
          <w:p w:rsidR="00244429" w:rsidRPr="004E025C" w:rsidRDefault="00244429" w:rsidP="000610AF">
            <w:pPr>
              <w:pStyle w:val="In-tableHeading"/>
              <w:keepLines/>
              <w:rPr>
                <w:lang w:val="en-AU"/>
              </w:rPr>
            </w:pPr>
            <w:r w:rsidRPr="004E025C">
              <w:rPr>
                <w:lang w:val="en-AU"/>
              </w:rPr>
              <w:t>Trial ID</w:t>
            </w:r>
          </w:p>
        </w:tc>
        <w:tc>
          <w:tcPr>
            <w:tcW w:w="2974" w:type="pct"/>
          </w:tcPr>
          <w:p w:rsidR="00244429" w:rsidRPr="004E025C" w:rsidRDefault="00244429" w:rsidP="000610AF">
            <w:pPr>
              <w:pStyle w:val="In-tableHeading"/>
              <w:keepLines/>
              <w:rPr>
                <w:lang w:val="en-AU"/>
              </w:rPr>
            </w:pPr>
            <w:r w:rsidRPr="004E025C">
              <w:rPr>
                <w:lang w:val="en-AU"/>
              </w:rPr>
              <w:t>Protocol title/ Publication title</w:t>
            </w:r>
          </w:p>
        </w:tc>
        <w:tc>
          <w:tcPr>
            <w:tcW w:w="1230" w:type="pct"/>
          </w:tcPr>
          <w:p w:rsidR="00244429" w:rsidRPr="004E025C" w:rsidRDefault="00244429" w:rsidP="000610AF">
            <w:pPr>
              <w:pStyle w:val="In-tableHeading"/>
              <w:keepLines/>
              <w:rPr>
                <w:lang w:val="en-AU"/>
              </w:rPr>
            </w:pPr>
            <w:r w:rsidRPr="004E025C">
              <w:rPr>
                <w:lang w:val="en-AU"/>
              </w:rPr>
              <w:t>Publication citation</w:t>
            </w:r>
          </w:p>
        </w:tc>
      </w:tr>
      <w:tr w:rsidR="00244429" w:rsidRPr="004E025C" w:rsidTr="007E7CFF">
        <w:tc>
          <w:tcPr>
            <w:tcW w:w="5000" w:type="pct"/>
            <w:gridSpan w:val="3"/>
          </w:tcPr>
          <w:p w:rsidR="00244429" w:rsidRPr="004E025C" w:rsidRDefault="00EF783B" w:rsidP="000610AF">
            <w:pPr>
              <w:pStyle w:val="In-tableHeading"/>
              <w:keepLines/>
              <w:rPr>
                <w:lang w:val="en-AU"/>
              </w:rPr>
            </w:pPr>
            <w:r w:rsidRPr="004E025C">
              <w:rPr>
                <w:lang w:val="en-AU"/>
              </w:rPr>
              <w:t xml:space="preserve">VDZ </w:t>
            </w:r>
            <w:r w:rsidR="003C7CDC" w:rsidRPr="004E025C">
              <w:rPr>
                <w:lang w:val="en-AU"/>
              </w:rPr>
              <w:t xml:space="preserve">108 mg SC Q2W </w:t>
            </w:r>
            <w:r w:rsidR="00244429" w:rsidRPr="004E025C">
              <w:rPr>
                <w:lang w:val="en-AU"/>
              </w:rPr>
              <w:t>maintenance therapy versus placebo</w:t>
            </w:r>
          </w:p>
        </w:tc>
      </w:tr>
      <w:tr w:rsidR="00244429" w:rsidRPr="004E025C" w:rsidTr="007E7CFF">
        <w:trPr>
          <w:trHeight w:val="239"/>
        </w:trPr>
        <w:tc>
          <w:tcPr>
            <w:tcW w:w="796" w:type="pct"/>
            <w:vMerge w:val="restart"/>
            <w:tcBorders>
              <w:bottom w:val="single" w:sz="4" w:space="0" w:color="auto"/>
            </w:tcBorders>
          </w:tcPr>
          <w:p w:rsidR="00244429" w:rsidRPr="004E025C" w:rsidRDefault="00244429" w:rsidP="000610AF">
            <w:pPr>
              <w:pStyle w:val="TableText0"/>
              <w:keepLines/>
            </w:pPr>
            <w:r w:rsidRPr="004E025C">
              <w:t>VISIBLE 2</w:t>
            </w:r>
          </w:p>
        </w:tc>
        <w:tc>
          <w:tcPr>
            <w:tcW w:w="2974" w:type="pct"/>
            <w:tcBorders>
              <w:bottom w:val="nil"/>
            </w:tcBorders>
          </w:tcPr>
          <w:p w:rsidR="00244429" w:rsidRPr="004E025C" w:rsidRDefault="00244429" w:rsidP="000610AF">
            <w:pPr>
              <w:pStyle w:val="TableText0"/>
              <w:keepLines/>
              <w:rPr>
                <w:szCs w:val="18"/>
              </w:rPr>
            </w:pPr>
            <w:r w:rsidRPr="004E025C">
              <w:rPr>
                <w:szCs w:val="18"/>
              </w:rPr>
              <w:t>Clinical Study Report/Protocol</w:t>
            </w:r>
          </w:p>
          <w:p w:rsidR="00244429" w:rsidRPr="004E025C" w:rsidRDefault="00244429" w:rsidP="000610AF">
            <w:pPr>
              <w:pStyle w:val="TableText0"/>
              <w:keepLines/>
              <w:spacing w:after="60"/>
              <w:rPr>
                <w:szCs w:val="18"/>
              </w:rPr>
            </w:pPr>
            <w:r w:rsidRPr="004E025C">
              <w:rPr>
                <w:szCs w:val="18"/>
              </w:rPr>
              <w:t xml:space="preserve">A Phase 3 Randomised, Double-Blind, Placebo-Controlled Study to Evaluate the Efficacy and Safety of Vedolizumab Subcutaneous as Maintenance Therapy in Subjects With Moderately to Severely Active Crohn’s Disease Who Achieved Clinical Response Following Open-Label Vedolizumab Intravenous Therapy. </w:t>
            </w:r>
          </w:p>
        </w:tc>
        <w:tc>
          <w:tcPr>
            <w:tcW w:w="1230" w:type="pct"/>
            <w:tcBorders>
              <w:bottom w:val="nil"/>
            </w:tcBorders>
          </w:tcPr>
          <w:p w:rsidR="00244429" w:rsidRPr="004E025C" w:rsidRDefault="00244429" w:rsidP="000610AF">
            <w:pPr>
              <w:pStyle w:val="TableText0"/>
              <w:keepLines/>
            </w:pPr>
            <w:r w:rsidRPr="004E025C">
              <w:rPr>
                <w:szCs w:val="18"/>
              </w:rPr>
              <w:t>2 October 2019</w:t>
            </w:r>
          </w:p>
        </w:tc>
      </w:tr>
      <w:tr w:rsidR="00244429" w:rsidRPr="004E025C" w:rsidTr="007E7CFF">
        <w:tc>
          <w:tcPr>
            <w:tcW w:w="796" w:type="pct"/>
            <w:vMerge/>
          </w:tcPr>
          <w:p w:rsidR="00244429" w:rsidRPr="004E025C" w:rsidRDefault="00244429" w:rsidP="000610AF">
            <w:pPr>
              <w:pStyle w:val="TableText0"/>
              <w:keepLines/>
            </w:pPr>
          </w:p>
        </w:tc>
        <w:tc>
          <w:tcPr>
            <w:tcW w:w="2974" w:type="pct"/>
            <w:tcBorders>
              <w:top w:val="nil"/>
            </w:tcBorders>
          </w:tcPr>
          <w:p w:rsidR="00244429" w:rsidRPr="004E025C" w:rsidRDefault="00244429" w:rsidP="000610AF">
            <w:pPr>
              <w:pStyle w:val="TableText0"/>
              <w:keepLines/>
              <w:rPr>
                <w:szCs w:val="18"/>
              </w:rPr>
            </w:pPr>
            <w:r w:rsidRPr="004E025C">
              <w:rPr>
                <w:szCs w:val="18"/>
              </w:rPr>
              <w:t>Protocol</w:t>
            </w:r>
          </w:p>
          <w:p w:rsidR="00244429" w:rsidRPr="004E025C" w:rsidRDefault="00244429" w:rsidP="000610AF">
            <w:pPr>
              <w:pStyle w:val="TableText0"/>
              <w:keepLines/>
              <w:rPr>
                <w:szCs w:val="18"/>
              </w:rPr>
            </w:pPr>
            <w:r w:rsidRPr="004E025C">
              <w:rPr>
                <w:szCs w:val="18"/>
              </w:rPr>
              <w:t>A Phase 3 Randomised, Double-Blind, Placebo-Controlled Study to Evaluate the Efficacy and Safety of Vedolizumab Subcutaneous as Maintenance Therapy in Subjects With Moderately to Severely Active Crohn’s Disease Who Achieved Clinical Response Following Open-Label Vedolizumab Intravenous Therapy. Amendment 6</w:t>
            </w:r>
          </w:p>
        </w:tc>
        <w:tc>
          <w:tcPr>
            <w:tcW w:w="1230" w:type="pct"/>
            <w:tcBorders>
              <w:top w:val="nil"/>
            </w:tcBorders>
          </w:tcPr>
          <w:p w:rsidR="00244429" w:rsidRPr="004E025C" w:rsidRDefault="00244429" w:rsidP="000610AF">
            <w:pPr>
              <w:pStyle w:val="TableText0"/>
              <w:keepLines/>
              <w:rPr>
                <w:szCs w:val="18"/>
              </w:rPr>
            </w:pPr>
            <w:r w:rsidRPr="004E025C">
              <w:rPr>
                <w:szCs w:val="18"/>
              </w:rPr>
              <w:t>24 August 2017</w:t>
            </w:r>
          </w:p>
        </w:tc>
      </w:tr>
      <w:tr w:rsidR="00244429" w:rsidRPr="004E025C" w:rsidTr="007E7CFF">
        <w:tc>
          <w:tcPr>
            <w:tcW w:w="5000" w:type="pct"/>
            <w:gridSpan w:val="3"/>
          </w:tcPr>
          <w:p w:rsidR="00244429" w:rsidRPr="004E025C" w:rsidRDefault="00EF783B" w:rsidP="000610AF">
            <w:pPr>
              <w:pStyle w:val="TableText0"/>
              <w:keepLines/>
              <w:rPr>
                <w:b/>
              </w:rPr>
            </w:pPr>
            <w:r w:rsidRPr="004E025C">
              <w:rPr>
                <w:b/>
              </w:rPr>
              <w:t xml:space="preserve">VDZ </w:t>
            </w:r>
            <w:r w:rsidR="003C7CDC" w:rsidRPr="004E025C">
              <w:rPr>
                <w:b/>
              </w:rPr>
              <w:t xml:space="preserve">300 mg </w:t>
            </w:r>
            <w:r w:rsidR="00244429" w:rsidRPr="004E025C">
              <w:rPr>
                <w:b/>
              </w:rPr>
              <w:t xml:space="preserve">IV </w:t>
            </w:r>
            <w:r w:rsidR="003C7CDC" w:rsidRPr="004E025C">
              <w:rPr>
                <w:b/>
              </w:rPr>
              <w:t xml:space="preserve">Q8W </w:t>
            </w:r>
            <w:r w:rsidR="00244429" w:rsidRPr="004E025C">
              <w:rPr>
                <w:b/>
              </w:rPr>
              <w:t>maintenance therapy versus placebo</w:t>
            </w:r>
          </w:p>
        </w:tc>
      </w:tr>
      <w:tr w:rsidR="00244429" w:rsidRPr="004E025C" w:rsidTr="0092031D">
        <w:trPr>
          <w:trHeight w:val="582"/>
        </w:trPr>
        <w:tc>
          <w:tcPr>
            <w:tcW w:w="796" w:type="pct"/>
            <w:vMerge w:val="restart"/>
          </w:tcPr>
          <w:p w:rsidR="00244429" w:rsidRPr="004E025C" w:rsidRDefault="00244429" w:rsidP="000610AF">
            <w:pPr>
              <w:pStyle w:val="TableText0"/>
              <w:keepLines/>
            </w:pPr>
            <w:r w:rsidRPr="004E025C">
              <w:t>GEMINI 2</w:t>
            </w:r>
          </w:p>
        </w:tc>
        <w:tc>
          <w:tcPr>
            <w:tcW w:w="2974" w:type="pct"/>
            <w:tcBorders>
              <w:bottom w:val="nil"/>
            </w:tcBorders>
          </w:tcPr>
          <w:p w:rsidR="00244429" w:rsidRPr="004E025C" w:rsidRDefault="00244429" w:rsidP="000610AF">
            <w:pPr>
              <w:pStyle w:val="TableText0"/>
              <w:keepLines/>
              <w:rPr>
                <w:szCs w:val="18"/>
              </w:rPr>
            </w:pPr>
            <w:r w:rsidRPr="004E025C">
              <w:rPr>
                <w:szCs w:val="18"/>
              </w:rPr>
              <w:t>Clinical study report</w:t>
            </w:r>
          </w:p>
          <w:p w:rsidR="00244429" w:rsidRPr="004E025C" w:rsidRDefault="00244429" w:rsidP="000610AF">
            <w:pPr>
              <w:pStyle w:val="TableText0"/>
              <w:keepLines/>
              <w:spacing w:after="60"/>
            </w:pPr>
            <w:r w:rsidRPr="004E025C">
              <w:rPr>
                <w:szCs w:val="18"/>
              </w:rPr>
              <w:t xml:space="preserve">A Phase 3, Randomised, Placebo-Controlled, Blinded, </w:t>
            </w:r>
            <w:r w:rsidR="005964A0" w:rsidRPr="004E025C">
              <w:rPr>
                <w:szCs w:val="18"/>
              </w:rPr>
              <w:t>Multicentre</w:t>
            </w:r>
            <w:r w:rsidRPr="004E025C">
              <w:rPr>
                <w:szCs w:val="18"/>
              </w:rPr>
              <w:t xml:space="preserve"> Study of the Induction and Maintenance of Clinical Response and Remission by Vedolizumab (MLN0002) in Patients With Moderate to Severe Crohn’s Disease. </w:t>
            </w:r>
          </w:p>
        </w:tc>
        <w:tc>
          <w:tcPr>
            <w:tcW w:w="1230" w:type="pct"/>
            <w:tcBorders>
              <w:bottom w:val="nil"/>
            </w:tcBorders>
          </w:tcPr>
          <w:p w:rsidR="00244429" w:rsidRPr="004E025C" w:rsidRDefault="00244429" w:rsidP="000610AF">
            <w:pPr>
              <w:pStyle w:val="TableText0"/>
              <w:keepLines/>
            </w:pPr>
            <w:r w:rsidRPr="004E025C">
              <w:rPr>
                <w:szCs w:val="18"/>
              </w:rPr>
              <w:t>10 October 2012</w:t>
            </w:r>
          </w:p>
        </w:tc>
      </w:tr>
      <w:tr w:rsidR="00244429" w:rsidRPr="004E025C" w:rsidTr="0092031D">
        <w:trPr>
          <w:trHeight w:val="469"/>
        </w:trPr>
        <w:tc>
          <w:tcPr>
            <w:tcW w:w="796" w:type="pct"/>
            <w:vMerge/>
          </w:tcPr>
          <w:p w:rsidR="00244429" w:rsidRPr="004E025C" w:rsidRDefault="00244429" w:rsidP="000610AF">
            <w:pPr>
              <w:pStyle w:val="TableText0"/>
              <w:keepLines/>
            </w:pPr>
          </w:p>
        </w:tc>
        <w:tc>
          <w:tcPr>
            <w:tcW w:w="2974" w:type="pct"/>
            <w:tcBorders>
              <w:top w:val="nil"/>
              <w:bottom w:val="nil"/>
            </w:tcBorders>
          </w:tcPr>
          <w:p w:rsidR="00244429" w:rsidRPr="004E025C" w:rsidRDefault="00244429" w:rsidP="000610AF">
            <w:pPr>
              <w:pStyle w:val="TableText0"/>
              <w:keepLines/>
              <w:rPr>
                <w:szCs w:val="18"/>
              </w:rPr>
            </w:pPr>
            <w:r w:rsidRPr="004E025C">
              <w:rPr>
                <w:szCs w:val="18"/>
              </w:rPr>
              <w:t xml:space="preserve">Sandborn et al. Vedolizumab as Induction and Maintenance Therapy for Crohn’s Disease. </w:t>
            </w:r>
          </w:p>
        </w:tc>
        <w:tc>
          <w:tcPr>
            <w:tcW w:w="1230" w:type="pct"/>
            <w:tcBorders>
              <w:top w:val="nil"/>
              <w:bottom w:val="nil"/>
            </w:tcBorders>
          </w:tcPr>
          <w:p w:rsidR="00244429" w:rsidRPr="004E025C" w:rsidRDefault="00244429" w:rsidP="000610AF">
            <w:pPr>
              <w:pStyle w:val="TableText0"/>
              <w:keepLines/>
              <w:rPr>
                <w:szCs w:val="18"/>
              </w:rPr>
            </w:pPr>
            <w:r w:rsidRPr="004E025C">
              <w:rPr>
                <w:szCs w:val="18"/>
              </w:rPr>
              <w:t>New England Journal of Medicine 2013; 369 (8): 711-721.</w:t>
            </w:r>
          </w:p>
        </w:tc>
      </w:tr>
      <w:tr w:rsidR="00244429" w:rsidRPr="004E025C" w:rsidTr="0092031D">
        <w:trPr>
          <w:trHeight w:val="776"/>
        </w:trPr>
        <w:tc>
          <w:tcPr>
            <w:tcW w:w="796" w:type="pct"/>
            <w:vMerge/>
          </w:tcPr>
          <w:p w:rsidR="00244429" w:rsidRPr="004E025C" w:rsidRDefault="00244429" w:rsidP="000610AF">
            <w:pPr>
              <w:pStyle w:val="TableText0"/>
              <w:keepLines/>
            </w:pPr>
          </w:p>
        </w:tc>
        <w:tc>
          <w:tcPr>
            <w:tcW w:w="2974" w:type="pct"/>
            <w:tcBorders>
              <w:top w:val="nil"/>
              <w:bottom w:val="nil"/>
            </w:tcBorders>
          </w:tcPr>
          <w:p w:rsidR="00244429" w:rsidRPr="004E025C" w:rsidRDefault="00244429" w:rsidP="000610AF">
            <w:pPr>
              <w:pStyle w:val="TableText0"/>
              <w:keepLines/>
              <w:rPr>
                <w:szCs w:val="18"/>
              </w:rPr>
            </w:pPr>
            <w:r w:rsidRPr="004E025C">
              <w:rPr>
                <w:szCs w:val="18"/>
              </w:rPr>
              <w:t xml:space="preserve">Sands et al. Vedolizumab as Induction and Maintenance Therapy for Crohn’s Disease in Patients Naïve to or Who Have Failed Tumor Necrosis Factor Antagonist Therapy. </w:t>
            </w:r>
          </w:p>
        </w:tc>
        <w:tc>
          <w:tcPr>
            <w:tcW w:w="1230" w:type="pct"/>
            <w:tcBorders>
              <w:top w:val="nil"/>
              <w:bottom w:val="nil"/>
            </w:tcBorders>
          </w:tcPr>
          <w:p w:rsidR="00244429" w:rsidRPr="004E025C" w:rsidRDefault="00244429" w:rsidP="000610AF">
            <w:pPr>
              <w:pStyle w:val="TableText0"/>
              <w:keepLines/>
            </w:pPr>
            <w:r w:rsidRPr="004E025C">
              <w:rPr>
                <w:szCs w:val="18"/>
              </w:rPr>
              <w:t>Inflammatory Bowel Disease 2017; 23 (1): 97-106.</w:t>
            </w:r>
          </w:p>
        </w:tc>
      </w:tr>
      <w:tr w:rsidR="00244429" w:rsidRPr="004E025C" w:rsidTr="0092031D">
        <w:trPr>
          <w:trHeight w:val="454"/>
        </w:trPr>
        <w:tc>
          <w:tcPr>
            <w:tcW w:w="796" w:type="pct"/>
            <w:vMerge/>
          </w:tcPr>
          <w:p w:rsidR="00244429" w:rsidRPr="004E025C" w:rsidRDefault="00244429" w:rsidP="000610AF">
            <w:pPr>
              <w:pStyle w:val="TableText0"/>
              <w:keepLines/>
            </w:pPr>
          </w:p>
        </w:tc>
        <w:tc>
          <w:tcPr>
            <w:tcW w:w="2974" w:type="pct"/>
            <w:tcBorders>
              <w:top w:val="nil"/>
            </w:tcBorders>
          </w:tcPr>
          <w:p w:rsidR="00244429" w:rsidRPr="004E025C" w:rsidRDefault="00244429" w:rsidP="000610AF">
            <w:pPr>
              <w:pStyle w:val="TableText0"/>
              <w:keepLines/>
              <w:rPr>
                <w:szCs w:val="18"/>
              </w:rPr>
            </w:pPr>
            <w:r w:rsidRPr="004E025C">
              <w:rPr>
                <w:szCs w:val="18"/>
              </w:rPr>
              <w:t xml:space="preserve">Feagan et al. Efficacy of Vedolizumab in Fistulising Crohn's Disease: Exploratory Analyses of Data from GEMINI 2. </w:t>
            </w:r>
          </w:p>
        </w:tc>
        <w:tc>
          <w:tcPr>
            <w:tcW w:w="1230" w:type="pct"/>
            <w:tcBorders>
              <w:top w:val="nil"/>
            </w:tcBorders>
          </w:tcPr>
          <w:p w:rsidR="00244429" w:rsidRPr="004E025C" w:rsidRDefault="00244429" w:rsidP="000610AF">
            <w:pPr>
              <w:pStyle w:val="TableText0"/>
              <w:keepLines/>
              <w:rPr>
                <w:szCs w:val="18"/>
              </w:rPr>
            </w:pPr>
            <w:r w:rsidRPr="004E025C">
              <w:rPr>
                <w:szCs w:val="18"/>
              </w:rPr>
              <w:t>Journal of Crohn’s and Colitis 2018;12(5):621–626</w:t>
            </w:r>
          </w:p>
        </w:tc>
      </w:tr>
    </w:tbl>
    <w:p w:rsidR="00330977" w:rsidRPr="004E025C" w:rsidRDefault="00244429" w:rsidP="000610AF">
      <w:pPr>
        <w:pStyle w:val="TableFigureFooter"/>
        <w:keepNext/>
        <w:keepLines/>
      </w:pPr>
      <w:r w:rsidRPr="004E025C">
        <w:t>Source: Table 2.2.3, p28 and Table 2.2-34, p71 of the main submission</w:t>
      </w:r>
    </w:p>
    <w:p w:rsidR="003C7CDC" w:rsidRPr="004E025C" w:rsidRDefault="003C7CDC" w:rsidP="000610AF">
      <w:pPr>
        <w:pStyle w:val="TableFigureFooter"/>
        <w:keepNext/>
        <w:keepLines/>
        <w:rPr>
          <w:sz w:val="20"/>
        </w:rPr>
      </w:pPr>
      <w:r w:rsidRPr="004E025C">
        <w:t>SC = subcutaneous; IV = intravenous; Q2W = every 2 weeks; Q8W = every 8 weeks.</w:t>
      </w:r>
    </w:p>
    <w:p w:rsidR="003A6069" w:rsidRPr="004E025C" w:rsidRDefault="003A6069" w:rsidP="00EC5836">
      <w:pPr>
        <w:pStyle w:val="TableFigureFooter"/>
        <w:rPr>
          <w:sz w:val="20"/>
        </w:rPr>
      </w:pPr>
    </w:p>
    <w:p w:rsidR="007F1017" w:rsidRPr="004E025C" w:rsidRDefault="008F120A" w:rsidP="001C61AF">
      <w:pPr>
        <w:pStyle w:val="3-BodyText"/>
      </w:pPr>
      <w:r w:rsidRPr="004E025C">
        <w:t>The key features of the trials</w:t>
      </w:r>
      <w:r w:rsidR="002F2F87" w:rsidRPr="004E025C">
        <w:t xml:space="preserve"> included for the indirect comparison </w:t>
      </w:r>
      <w:r w:rsidRPr="004E025C">
        <w:t xml:space="preserve">are summarised </w:t>
      </w:r>
      <w:r w:rsidR="006A6C02" w:rsidRPr="004E025C">
        <w:t>in Table 6</w:t>
      </w:r>
      <w:r w:rsidR="00B6761C" w:rsidRPr="004E025C">
        <w:t>.</w:t>
      </w:r>
    </w:p>
    <w:p w:rsidR="003866C0" w:rsidRPr="004E025C" w:rsidRDefault="003866C0" w:rsidP="003866C0">
      <w:pPr>
        <w:pStyle w:val="TableFigureHeading"/>
      </w:pPr>
      <w:bookmarkStart w:id="14" w:name="_Ref49510113"/>
      <w:r w:rsidRPr="004E025C">
        <w:t xml:space="preserve">Table </w:t>
      </w:r>
      <w:r w:rsidR="007E6865">
        <w:rPr>
          <w:noProof/>
        </w:rPr>
        <w:t>6</w:t>
      </w:r>
      <w:bookmarkEnd w:id="14"/>
      <w:r w:rsidRPr="004E025C">
        <w:t xml:space="preserve">: Key </w:t>
      </w:r>
      <w:r w:rsidR="00B6761C" w:rsidRPr="004E025C">
        <w:t xml:space="preserve">features of the evidence </w:t>
      </w:r>
      <w:r w:rsidRPr="004E025C">
        <w:t xml:space="preserve">included for the indirect comparison </w:t>
      </w:r>
    </w:p>
    <w:tbl>
      <w:tblPr>
        <w:tblStyle w:val="TableGrid62"/>
        <w:tblW w:w="5000" w:type="pct"/>
        <w:tblLook w:val="04A0" w:firstRow="1" w:lastRow="0" w:firstColumn="1" w:lastColumn="0" w:noHBand="0" w:noVBand="1"/>
        <w:tblCaption w:val="Table 6"/>
      </w:tblPr>
      <w:tblGrid>
        <w:gridCol w:w="1373"/>
        <w:gridCol w:w="3821"/>
        <w:gridCol w:w="3823"/>
      </w:tblGrid>
      <w:tr w:rsidR="003866C0" w:rsidRPr="004E025C" w:rsidTr="00623CF8">
        <w:trPr>
          <w:trHeight w:val="244"/>
          <w:tblHeader/>
        </w:trPr>
        <w:tc>
          <w:tcPr>
            <w:tcW w:w="761" w:type="pct"/>
            <w:shd w:val="clear" w:color="auto" w:fill="auto"/>
            <w:vAlign w:val="center"/>
          </w:tcPr>
          <w:p w:rsidR="003866C0" w:rsidRPr="004E025C" w:rsidRDefault="003866C0" w:rsidP="006576F1">
            <w:pPr>
              <w:pStyle w:val="Tabletext"/>
              <w:rPr>
                <w:b/>
                <w:lang w:eastAsia="en-AU"/>
              </w:rPr>
            </w:pPr>
          </w:p>
        </w:tc>
        <w:tc>
          <w:tcPr>
            <w:tcW w:w="2119" w:type="pct"/>
            <w:shd w:val="clear" w:color="auto" w:fill="auto"/>
            <w:vAlign w:val="center"/>
          </w:tcPr>
          <w:p w:rsidR="003866C0" w:rsidRPr="004E025C" w:rsidRDefault="003866C0" w:rsidP="00421CAF">
            <w:pPr>
              <w:pStyle w:val="Tabletext"/>
              <w:rPr>
                <w:b/>
                <w:lang w:eastAsia="en-AU"/>
              </w:rPr>
            </w:pPr>
            <w:r w:rsidRPr="004E025C">
              <w:rPr>
                <w:b/>
                <w:lang w:eastAsia="en-AU"/>
              </w:rPr>
              <w:t>VISIBLE 2</w:t>
            </w:r>
            <w:r w:rsidR="00421CAF" w:rsidRPr="004E025C">
              <w:rPr>
                <w:b/>
                <w:lang w:eastAsia="en-AU"/>
              </w:rPr>
              <w:t xml:space="preserve"> (</w:t>
            </w:r>
            <w:r w:rsidR="006576F1" w:rsidRPr="004E025C">
              <w:t>VDZ N = 275; PBO N = 134</w:t>
            </w:r>
            <w:r w:rsidR="00421CAF" w:rsidRPr="004E025C">
              <w:t>)</w:t>
            </w:r>
          </w:p>
        </w:tc>
        <w:tc>
          <w:tcPr>
            <w:tcW w:w="2120" w:type="pct"/>
            <w:shd w:val="clear" w:color="auto" w:fill="auto"/>
          </w:tcPr>
          <w:p w:rsidR="006576F1" w:rsidRPr="004E025C" w:rsidRDefault="003866C0" w:rsidP="00421CAF">
            <w:pPr>
              <w:pStyle w:val="Tabletext"/>
              <w:rPr>
                <w:b/>
                <w:lang w:eastAsia="en-AU"/>
              </w:rPr>
            </w:pPr>
            <w:r w:rsidRPr="004E025C">
              <w:rPr>
                <w:b/>
                <w:lang w:eastAsia="en-AU"/>
              </w:rPr>
              <w:t>GEMINI 2</w:t>
            </w:r>
            <w:r w:rsidR="00421CAF" w:rsidRPr="004E025C">
              <w:rPr>
                <w:b/>
                <w:lang w:eastAsia="en-AU"/>
              </w:rPr>
              <w:t xml:space="preserve"> (</w:t>
            </w:r>
            <w:r w:rsidR="006576F1" w:rsidRPr="004E025C">
              <w:t>VDZ N = 154; PBO N = 153</w:t>
            </w:r>
            <w:r w:rsidR="00421CAF" w:rsidRPr="004E025C">
              <w:t>)</w:t>
            </w:r>
          </w:p>
        </w:tc>
      </w:tr>
      <w:tr w:rsidR="003866C0" w:rsidRPr="004E025C" w:rsidTr="00623CF8">
        <w:trPr>
          <w:trHeight w:val="244"/>
        </w:trPr>
        <w:tc>
          <w:tcPr>
            <w:tcW w:w="761" w:type="pct"/>
          </w:tcPr>
          <w:p w:rsidR="003866C0" w:rsidRPr="004E025C" w:rsidRDefault="003866C0" w:rsidP="00623CF8">
            <w:pPr>
              <w:pStyle w:val="TableText0"/>
              <w:spacing w:line="240" w:lineRule="auto"/>
              <w:rPr>
                <w:b/>
                <w:lang w:eastAsia="en-AU"/>
              </w:rPr>
            </w:pPr>
            <w:r w:rsidRPr="004E025C">
              <w:rPr>
                <w:b/>
                <w:lang w:eastAsia="en-AU"/>
              </w:rPr>
              <w:t>Design</w:t>
            </w:r>
          </w:p>
        </w:tc>
        <w:tc>
          <w:tcPr>
            <w:tcW w:w="2119" w:type="pct"/>
          </w:tcPr>
          <w:p w:rsidR="00421CAF" w:rsidRPr="004E025C" w:rsidRDefault="00421CAF" w:rsidP="00C637BD">
            <w:pPr>
              <w:pStyle w:val="TableText0"/>
              <w:spacing w:line="240" w:lineRule="auto"/>
            </w:pPr>
            <w:r w:rsidRPr="004E025C">
              <w:t>R, DB.</w:t>
            </w:r>
          </w:p>
          <w:p w:rsidR="00C637BD" w:rsidRPr="004E025C" w:rsidRDefault="003866C0" w:rsidP="00C637BD">
            <w:pPr>
              <w:pStyle w:val="TableText0"/>
              <w:spacing w:line="240" w:lineRule="auto"/>
              <w:rPr>
                <w:rFonts w:eastAsia="TimesNewRoman"/>
              </w:rPr>
            </w:pPr>
            <w:r w:rsidRPr="004E025C">
              <w:rPr>
                <w:rFonts w:eastAsia="TimesNewRoman"/>
              </w:rPr>
              <w:t xml:space="preserve">VDZ SC </w:t>
            </w:r>
            <w:r w:rsidR="00421CAF" w:rsidRPr="004E025C">
              <w:rPr>
                <w:rFonts w:eastAsia="TimesNewRoman"/>
              </w:rPr>
              <w:t xml:space="preserve">vs. PBO as </w:t>
            </w:r>
            <w:r w:rsidRPr="004E025C">
              <w:rPr>
                <w:rFonts w:eastAsia="TimesNewRoman"/>
              </w:rPr>
              <w:t>maintenance therapy</w:t>
            </w:r>
            <w:r w:rsidR="00421CAF" w:rsidRPr="004E025C">
              <w:rPr>
                <w:rFonts w:eastAsia="TimesNewRoman"/>
              </w:rPr>
              <w:t xml:space="preserve"> after c</w:t>
            </w:r>
            <w:r w:rsidRPr="004E025C">
              <w:rPr>
                <w:rFonts w:eastAsia="TimesNewRoman"/>
              </w:rPr>
              <w:t xml:space="preserve">linical response </w:t>
            </w:r>
            <w:r w:rsidR="00421CAF" w:rsidRPr="004E025C">
              <w:rPr>
                <w:rFonts w:eastAsia="TimesNewRoman"/>
              </w:rPr>
              <w:t>to</w:t>
            </w:r>
            <w:r w:rsidRPr="004E025C">
              <w:rPr>
                <w:rFonts w:eastAsia="TimesNewRoman"/>
              </w:rPr>
              <w:t xml:space="preserve"> VDZ IV </w:t>
            </w:r>
            <w:r w:rsidR="00421CAF" w:rsidRPr="004E025C">
              <w:rPr>
                <w:rFonts w:eastAsia="TimesNewRoman"/>
              </w:rPr>
              <w:t>induction</w:t>
            </w:r>
          </w:p>
        </w:tc>
        <w:tc>
          <w:tcPr>
            <w:tcW w:w="2120" w:type="pct"/>
          </w:tcPr>
          <w:p w:rsidR="00F027DB" w:rsidRPr="004E025C" w:rsidRDefault="00F027DB" w:rsidP="00F027DB">
            <w:pPr>
              <w:pStyle w:val="TableText0"/>
              <w:spacing w:line="240" w:lineRule="auto"/>
            </w:pPr>
            <w:r w:rsidRPr="004E025C">
              <w:t>Induction phase:</w:t>
            </w:r>
          </w:p>
          <w:p w:rsidR="00F027DB" w:rsidRPr="004E025C" w:rsidRDefault="00F027DB" w:rsidP="00F027DB">
            <w:pPr>
              <w:pStyle w:val="TableText0"/>
              <w:spacing w:line="240" w:lineRule="auto"/>
            </w:pPr>
            <w:r w:rsidRPr="004E025C">
              <w:t>Cohort 1 - R, DB, VDZ IV 300 mg vs PBO IV at Week 0 and 2.</w:t>
            </w:r>
          </w:p>
          <w:p w:rsidR="00F027DB" w:rsidRPr="004E025C" w:rsidRDefault="00F027DB" w:rsidP="00F027DB">
            <w:pPr>
              <w:pStyle w:val="TableText0"/>
              <w:spacing w:line="240" w:lineRule="auto"/>
            </w:pPr>
            <w:r w:rsidRPr="004E025C">
              <w:t>Cohort 2 – OL, single arm, VDZ IV 300 mg at Week 0 and 2</w:t>
            </w:r>
          </w:p>
          <w:p w:rsidR="00F027DB" w:rsidRPr="004E025C" w:rsidRDefault="00F027DB" w:rsidP="00F027DB">
            <w:pPr>
              <w:pStyle w:val="TableText0"/>
              <w:spacing w:line="240" w:lineRule="auto"/>
              <w:rPr>
                <w:rFonts w:eastAsia="TimesNewRoman"/>
              </w:rPr>
            </w:pPr>
            <w:r w:rsidRPr="004E025C">
              <w:rPr>
                <w:rFonts w:eastAsia="TimesNewRoman"/>
              </w:rPr>
              <w:t>Maintenance phase:</w:t>
            </w:r>
          </w:p>
          <w:p w:rsidR="006576F1" w:rsidRPr="004E025C" w:rsidRDefault="00421CAF" w:rsidP="00F027DB">
            <w:pPr>
              <w:pStyle w:val="TableText0"/>
              <w:spacing w:line="240" w:lineRule="auto"/>
              <w:rPr>
                <w:rFonts w:eastAsia="TimesNewRoman"/>
              </w:rPr>
            </w:pPr>
            <w:r w:rsidRPr="004E025C">
              <w:rPr>
                <w:rFonts w:eastAsia="TimesNewRoman"/>
              </w:rPr>
              <w:t>VDZ SC vs. PBO as maintenance therapy after clinical response to VDZ IV induction</w:t>
            </w:r>
          </w:p>
        </w:tc>
      </w:tr>
      <w:tr w:rsidR="003866C0" w:rsidRPr="004E025C" w:rsidTr="00623CF8">
        <w:trPr>
          <w:trHeight w:val="244"/>
        </w:trPr>
        <w:tc>
          <w:tcPr>
            <w:tcW w:w="761" w:type="pct"/>
            <w:vMerge w:val="restart"/>
          </w:tcPr>
          <w:p w:rsidR="003866C0" w:rsidRPr="004E025C" w:rsidRDefault="003866C0" w:rsidP="00623CF8">
            <w:pPr>
              <w:pStyle w:val="TableText0"/>
              <w:spacing w:line="240" w:lineRule="auto"/>
              <w:rPr>
                <w:b/>
                <w:lang w:eastAsia="en-AU"/>
              </w:rPr>
            </w:pPr>
            <w:r w:rsidRPr="004E025C">
              <w:rPr>
                <w:b/>
                <w:lang w:eastAsia="en-AU"/>
              </w:rPr>
              <w:t>Compared interventions</w:t>
            </w:r>
          </w:p>
          <w:p w:rsidR="003866C0" w:rsidRPr="004E025C" w:rsidRDefault="003866C0" w:rsidP="00623CF8">
            <w:pPr>
              <w:pStyle w:val="TableText0"/>
              <w:spacing w:line="240" w:lineRule="auto"/>
              <w:rPr>
                <w:b/>
                <w:lang w:eastAsia="en-AU"/>
              </w:rPr>
            </w:pPr>
            <w:r w:rsidRPr="004E025C">
              <w:rPr>
                <w:b/>
                <w:lang w:eastAsia="en-AU"/>
              </w:rPr>
              <w:t>(drug, dose, frequency)</w:t>
            </w:r>
          </w:p>
        </w:tc>
        <w:tc>
          <w:tcPr>
            <w:tcW w:w="2119" w:type="pct"/>
            <w:tcBorders>
              <w:bottom w:val="single" w:sz="4" w:space="0" w:color="auto"/>
            </w:tcBorders>
          </w:tcPr>
          <w:p w:rsidR="003866C0" w:rsidRPr="004E025C" w:rsidRDefault="003866C0" w:rsidP="00623CF8">
            <w:pPr>
              <w:pStyle w:val="TableText0"/>
              <w:spacing w:line="240" w:lineRule="auto"/>
            </w:pPr>
            <w:r w:rsidRPr="004E025C">
              <w:rPr>
                <w:b/>
              </w:rPr>
              <w:t>Induction</w:t>
            </w:r>
            <w:r w:rsidR="00421CAF" w:rsidRPr="004E025C">
              <w:rPr>
                <w:b/>
              </w:rPr>
              <w:t xml:space="preserve"> phase</w:t>
            </w:r>
            <w:r w:rsidR="00421CAF" w:rsidRPr="004E025C">
              <w:t xml:space="preserve">: </w:t>
            </w:r>
            <w:r w:rsidR="00142AB1" w:rsidRPr="004E025C">
              <w:t xml:space="preserve">non-randomised, </w:t>
            </w:r>
            <w:r w:rsidRPr="004E025C">
              <w:t>O</w:t>
            </w:r>
            <w:r w:rsidR="00421CAF" w:rsidRPr="004E025C">
              <w:t>L</w:t>
            </w:r>
            <w:r w:rsidRPr="004E025C">
              <w:t xml:space="preserve">, </w:t>
            </w:r>
          </w:p>
          <w:p w:rsidR="00421CAF" w:rsidRPr="004E025C" w:rsidRDefault="00421CAF" w:rsidP="00623CF8">
            <w:pPr>
              <w:pStyle w:val="TableText0"/>
              <w:spacing w:line="240" w:lineRule="auto"/>
            </w:pPr>
          </w:p>
          <w:p w:rsidR="003866C0" w:rsidRPr="004E025C" w:rsidRDefault="003866C0" w:rsidP="00623CF8">
            <w:pPr>
              <w:pStyle w:val="TableText0"/>
              <w:spacing w:line="240" w:lineRule="auto"/>
            </w:pPr>
            <w:r w:rsidRPr="004E025C">
              <w:t>VDZ IV 300 mg at Week 0 and 2</w:t>
            </w:r>
          </w:p>
        </w:tc>
        <w:tc>
          <w:tcPr>
            <w:tcW w:w="2120" w:type="pct"/>
            <w:tcBorders>
              <w:bottom w:val="single" w:sz="4" w:space="0" w:color="auto"/>
            </w:tcBorders>
          </w:tcPr>
          <w:p w:rsidR="00421CAF" w:rsidRPr="004E025C" w:rsidRDefault="00421CAF" w:rsidP="00623CF8">
            <w:pPr>
              <w:pStyle w:val="TableText0"/>
              <w:spacing w:line="240" w:lineRule="auto"/>
            </w:pPr>
            <w:r w:rsidRPr="004E025C">
              <w:rPr>
                <w:b/>
              </w:rPr>
              <w:t>Induction phase</w:t>
            </w:r>
          </w:p>
          <w:p w:rsidR="003866C0" w:rsidRPr="004E025C" w:rsidRDefault="003866C0" w:rsidP="00623CF8">
            <w:pPr>
              <w:pStyle w:val="TableText0"/>
              <w:spacing w:line="240" w:lineRule="auto"/>
            </w:pPr>
            <w:r w:rsidRPr="004E025C">
              <w:rPr>
                <w:u w:val="single"/>
              </w:rPr>
              <w:t>Cohort 1</w:t>
            </w:r>
            <w:r w:rsidRPr="004E025C">
              <w:t xml:space="preserve"> (</w:t>
            </w:r>
            <w:r w:rsidR="00421CAF" w:rsidRPr="004E025C">
              <w:t>R, DB</w:t>
            </w:r>
            <w:r w:rsidRPr="004E025C">
              <w:t>)</w:t>
            </w:r>
          </w:p>
          <w:p w:rsidR="003866C0" w:rsidRPr="004E025C" w:rsidRDefault="003866C0" w:rsidP="00623CF8">
            <w:pPr>
              <w:pStyle w:val="TableText0"/>
              <w:spacing w:line="240" w:lineRule="auto"/>
            </w:pPr>
            <w:r w:rsidRPr="004E025C">
              <w:t>VDZ IV 300 mg at Week 0 and 2</w:t>
            </w:r>
          </w:p>
          <w:p w:rsidR="003866C0" w:rsidRPr="004E025C" w:rsidRDefault="003866C0" w:rsidP="00623CF8">
            <w:pPr>
              <w:pStyle w:val="TableText0"/>
              <w:spacing w:line="240" w:lineRule="auto"/>
            </w:pPr>
            <w:r w:rsidRPr="004E025C">
              <w:t>Placebo IV at Week 0 and 2</w:t>
            </w:r>
          </w:p>
          <w:p w:rsidR="00421CAF" w:rsidRPr="004E025C" w:rsidRDefault="00421CAF" w:rsidP="00623CF8">
            <w:pPr>
              <w:pStyle w:val="TableText0"/>
              <w:spacing w:line="240" w:lineRule="auto"/>
            </w:pPr>
          </w:p>
          <w:p w:rsidR="003866C0" w:rsidRPr="004E025C" w:rsidRDefault="003866C0" w:rsidP="00623CF8">
            <w:pPr>
              <w:pStyle w:val="TableText0"/>
              <w:spacing w:line="240" w:lineRule="auto"/>
            </w:pPr>
            <w:r w:rsidRPr="004E025C">
              <w:rPr>
                <w:u w:val="single"/>
              </w:rPr>
              <w:t>Cohort 2</w:t>
            </w:r>
            <w:r w:rsidRPr="004E025C">
              <w:t xml:space="preserve"> (</w:t>
            </w:r>
            <w:r w:rsidR="00142AB1" w:rsidRPr="004E025C">
              <w:t>non-randomised, OL</w:t>
            </w:r>
            <w:r w:rsidRPr="004E025C">
              <w:t>)</w:t>
            </w:r>
          </w:p>
          <w:p w:rsidR="003866C0" w:rsidRPr="004E025C" w:rsidRDefault="003866C0" w:rsidP="00623CF8">
            <w:pPr>
              <w:pStyle w:val="TableText0"/>
              <w:spacing w:line="240" w:lineRule="auto"/>
            </w:pPr>
            <w:r w:rsidRPr="004E025C">
              <w:t>VDZ IV 300 mg at Week 0 and 2</w:t>
            </w:r>
          </w:p>
        </w:tc>
      </w:tr>
      <w:tr w:rsidR="003866C0" w:rsidRPr="004E025C" w:rsidTr="00623CF8">
        <w:trPr>
          <w:trHeight w:val="244"/>
        </w:trPr>
        <w:tc>
          <w:tcPr>
            <w:tcW w:w="761" w:type="pct"/>
            <w:vMerge/>
          </w:tcPr>
          <w:p w:rsidR="003866C0" w:rsidRPr="004E025C" w:rsidRDefault="003866C0" w:rsidP="00623CF8">
            <w:pPr>
              <w:pStyle w:val="TableText0"/>
              <w:spacing w:line="240" w:lineRule="auto"/>
            </w:pPr>
          </w:p>
        </w:tc>
        <w:tc>
          <w:tcPr>
            <w:tcW w:w="2119" w:type="pct"/>
            <w:tcBorders>
              <w:top w:val="single" w:sz="4" w:space="0" w:color="auto"/>
            </w:tcBorders>
          </w:tcPr>
          <w:p w:rsidR="003866C0" w:rsidRPr="004E025C" w:rsidRDefault="003866C0" w:rsidP="00623CF8">
            <w:pPr>
              <w:pStyle w:val="TableText0"/>
              <w:spacing w:line="240" w:lineRule="auto"/>
            </w:pPr>
            <w:r w:rsidRPr="004E025C">
              <w:rPr>
                <w:b/>
              </w:rPr>
              <w:t>Maintenance</w:t>
            </w:r>
            <w:r w:rsidR="00421CAF" w:rsidRPr="004E025C">
              <w:rPr>
                <w:b/>
              </w:rPr>
              <w:t xml:space="preserve"> phase</w:t>
            </w:r>
            <w:r w:rsidR="00421CAF" w:rsidRPr="004E025C">
              <w:t xml:space="preserve">: </w:t>
            </w:r>
            <w:r w:rsidR="00142AB1" w:rsidRPr="004E025C">
              <w:t xml:space="preserve">R, </w:t>
            </w:r>
            <w:r w:rsidR="00421CAF" w:rsidRPr="004E025C">
              <w:t xml:space="preserve">DB, </w:t>
            </w:r>
          </w:p>
          <w:p w:rsidR="00421CAF" w:rsidRPr="004E025C" w:rsidRDefault="00421CAF" w:rsidP="00623CF8">
            <w:pPr>
              <w:pStyle w:val="TableText0"/>
              <w:spacing w:line="240" w:lineRule="auto"/>
            </w:pPr>
          </w:p>
          <w:p w:rsidR="003866C0" w:rsidRPr="004E025C" w:rsidRDefault="003866C0" w:rsidP="00623CF8">
            <w:pPr>
              <w:pStyle w:val="TableText0"/>
              <w:spacing w:line="240" w:lineRule="auto"/>
            </w:pPr>
            <w:r w:rsidRPr="004E025C">
              <w:t>VDZ SC 108 mg Q2W from Week 6 (N = 275)</w:t>
            </w:r>
          </w:p>
          <w:p w:rsidR="003866C0" w:rsidRPr="004E025C" w:rsidRDefault="003866C0" w:rsidP="00623CF8">
            <w:pPr>
              <w:pStyle w:val="TableText0"/>
              <w:spacing w:line="240" w:lineRule="auto"/>
            </w:pPr>
            <w:r w:rsidRPr="004E025C">
              <w:t>Placebo SC Q2W from Week 6 (N = 134)</w:t>
            </w:r>
          </w:p>
          <w:p w:rsidR="00421CAF" w:rsidRPr="004E025C" w:rsidRDefault="00421CAF" w:rsidP="00623CF8">
            <w:pPr>
              <w:pStyle w:val="TableText0"/>
              <w:spacing w:line="240" w:lineRule="auto"/>
              <w:rPr>
                <w:rFonts w:eastAsia="TimesNewRoman"/>
              </w:rPr>
            </w:pPr>
          </w:p>
          <w:p w:rsidR="00142AB1" w:rsidRPr="004E025C" w:rsidRDefault="00142AB1" w:rsidP="00623CF8">
            <w:pPr>
              <w:pStyle w:val="TableText0"/>
              <w:spacing w:line="240" w:lineRule="auto"/>
              <w:rPr>
                <w:rFonts w:eastAsia="TimesNewRoman"/>
              </w:rPr>
            </w:pPr>
          </w:p>
          <w:p w:rsidR="00421CAF" w:rsidRPr="004E025C" w:rsidRDefault="00421CAF" w:rsidP="00623CF8">
            <w:pPr>
              <w:pStyle w:val="TableText0"/>
              <w:spacing w:line="240" w:lineRule="auto"/>
            </w:pPr>
            <w:r w:rsidRPr="004E025C">
              <w:rPr>
                <w:rFonts w:eastAsia="TimesNewRoman"/>
              </w:rPr>
              <w:t xml:space="preserve">Median VDZ treatment duration, </w:t>
            </w:r>
            <w:r w:rsidRPr="004E025C">
              <w:t>68.1 weeks</w:t>
            </w:r>
          </w:p>
        </w:tc>
        <w:tc>
          <w:tcPr>
            <w:tcW w:w="2120" w:type="pct"/>
            <w:tcBorders>
              <w:top w:val="single" w:sz="4" w:space="0" w:color="auto"/>
            </w:tcBorders>
          </w:tcPr>
          <w:p w:rsidR="003866C0" w:rsidRPr="004E025C" w:rsidRDefault="00421CAF" w:rsidP="00623CF8">
            <w:pPr>
              <w:pStyle w:val="TableText0"/>
              <w:spacing w:line="240" w:lineRule="auto"/>
            </w:pPr>
            <w:r w:rsidRPr="004E025C">
              <w:rPr>
                <w:b/>
              </w:rPr>
              <w:t>Maintenance phase</w:t>
            </w:r>
            <w:r w:rsidR="00142AB1" w:rsidRPr="004E025C">
              <w:t xml:space="preserve"> R, DB</w:t>
            </w:r>
          </w:p>
          <w:p w:rsidR="00142AB1" w:rsidRPr="004E025C" w:rsidRDefault="00142AB1" w:rsidP="00623CF8">
            <w:pPr>
              <w:pStyle w:val="TableText0"/>
              <w:spacing w:line="240" w:lineRule="auto"/>
            </w:pPr>
          </w:p>
          <w:p w:rsidR="003866C0" w:rsidRPr="004E025C" w:rsidRDefault="003866C0" w:rsidP="00623CF8">
            <w:pPr>
              <w:pStyle w:val="TableText0"/>
              <w:spacing w:line="240" w:lineRule="auto"/>
            </w:pPr>
            <w:r w:rsidRPr="004E025C">
              <w:t>VDZ IV 300 mg Q8W from Week 6 (N = 154)</w:t>
            </w:r>
          </w:p>
          <w:p w:rsidR="003866C0" w:rsidRPr="004E025C" w:rsidRDefault="003866C0" w:rsidP="00623CF8">
            <w:pPr>
              <w:pStyle w:val="TableText0"/>
              <w:spacing w:line="240" w:lineRule="auto"/>
            </w:pPr>
            <w:r w:rsidRPr="004E025C">
              <w:t>VDZ IV 300 mg Q4W from Week 6 (N = 154)</w:t>
            </w:r>
          </w:p>
          <w:p w:rsidR="003866C0" w:rsidRPr="004E025C" w:rsidRDefault="003866C0" w:rsidP="00623CF8">
            <w:pPr>
              <w:pStyle w:val="TableText0"/>
              <w:spacing w:line="240" w:lineRule="auto"/>
              <w:rPr>
                <w:rFonts w:cs="Arial"/>
                <w:highlight w:val="yellow"/>
              </w:rPr>
            </w:pPr>
            <w:r w:rsidRPr="004E025C">
              <w:t>Placebo IV Q4W from Week 6 (N = 153)</w:t>
            </w:r>
          </w:p>
          <w:p w:rsidR="00421CAF" w:rsidRPr="004E025C" w:rsidRDefault="00421CAF" w:rsidP="00623CF8">
            <w:pPr>
              <w:pStyle w:val="TableText0"/>
              <w:spacing w:line="240" w:lineRule="auto"/>
              <w:rPr>
                <w:rFonts w:cs="Arial"/>
              </w:rPr>
            </w:pPr>
          </w:p>
          <w:p w:rsidR="00421CAF" w:rsidRPr="004E025C" w:rsidRDefault="00421CAF" w:rsidP="00623CF8">
            <w:pPr>
              <w:pStyle w:val="TableText0"/>
              <w:spacing w:line="240" w:lineRule="auto"/>
            </w:pPr>
            <w:r w:rsidRPr="004E025C">
              <w:rPr>
                <w:rFonts w:eastAsia="TimesNewRoman"/>
              </w:rPr>
              <w:t>Median VDZ</w:t>
            </w:r>
            <w:r w:rsidR="00142AB1" w:rsidRPr="004E025C">
              <w:rPr>
                <w:rFonts w:eastAsia="TimesNewRoman"/>
              </w:rPr>
              <w:t xml:space="preserve"> </w:t>
            </w:r>
            <w:r w:rsidR="00142AB1" w:rsidRPr="004E025C">
              <w:t>Q8W</w:t>
            </w:r>
            <w:r w:rsidRPr="004E025C">
              <w:rPr>
                <w:rFonts w:eastAsia="TimesNewRoman"/>
              </w:rPr>
              <w:t xml:space="preserve"> treatment duration, </w:t>
            </w:r>
            <w:r w:rsidRPr="004E025C">
              <w:t>48.0 weeks</w:t>
            </w:r>
          </w:p>
        </w:tc>
      </w:tr>
      <w:tr w:rsidR="003866C0" w:rsidRPr="004E025C" w:rsidTr="00623CF8">
        <w:trPr>
          <w:trHeight w:val="244"/>
        </w:trPr>
        <w:tc>
          <w:tcPr>
            <w:tcW w:w="761" w:type="pct"/>
          </w:tcPr>
          <w:p w:rsidR="003866C0" w:rsidRPr="004E025C" w:rsidRDefault="003866C0" w:rsidP="00623CF8">
            <w:pPr>
              <w:pStyle w:val="TableText0"/>
              <w:spacing w:line="240" w:lineRule="auto"/>
              <w:rPr>
                <w:b/>
                <w:lang w:eastAsia="en-AU"/>
              </w:rPr>
            </w:pPr>
            <w:r w:rsidRPr="004E025C">
              <w:rPr>
                <w:b/>
                <w:lang w:eastAsia="en-AU"/>
              </w:rPr>
              <w:t>Eligibility criteria</w:t>
            </w:r>
          </w:p>
        </w:tc>
        <w:tc>
          <w:tcPr>
            <w:tcW w:w="2119" w:type="pct"/>
          </w:tcPr>
          <w:p w:rsidR="003866C0" w:rsidRPr="004E025C" w:rsidRDefault="003866C0" w:rsidP="00623CF8">
            <w:pPr>
              <w:pStyle w:val="TableText0"/>
              <w:spacing w:line="240" w:lineRule="auto"/>
            </w:pPr>
            <w:r w:rsidRPr="004E025C">
              <w:t xml:space="preserve">Age 18-80 years </w:t>
            </w:r>
          </w:p>
          <w:p w:rsidR="003866C0" w:rsidRPr="004E025C" w:rsidRDefault="003866C0" w:rsidP="00623CF8">
            <w:pPr>
              <w:pStyle w:val="TableText0"/>
              <w:spacing w:line="240" w:lineRule="auto"/>
            </w:pPr>
            <w:r w:rsidRPr="004E025C">
              <w:t>CD ≥ 3 months</w:t>
            </w:r>
          </w:p>
          <w:p w:rsidR="003866C0" w:rsidRPr="004E025C" w:rsidRDefault="003866C0" w:rsidP="00623CF8">
            <w:pPr>
              <w:pStyle w:val="TableText0"/>
              <w:spacing w:line="240" w:lineRule="auto"/>
            </w:pPr>
            <w:r w:rsidRPr="004E025C">
              <w:t>CDAI score of 220-450</w:t>
            </w:r>
          </w:p>
          <w:p w:rsidR="003866C0" w:rsidRPr="004E025C" w:rsidRDefault="003866C0" w:rsidP="00623CF8">
            <w:pPr>
              <w:pStyle w:val="TableText0"/>
              <w:spacing w:line="240" w:lineRule="auto"/>
            </w:pPr>
            <w:r w:rsidRPr="004E025C">
              <w:t>One of following:</w:t>
            </w:r>
          </w:p>
          <w:p w:rsidR="003866C0" w:rsidRPr="004E025C" w:rsidRDefault="003866C0" w:rsidP="00623CF8">
            <w:pPr>
              <w:pStyle w:val="TableText0"/>
              <w:spacing w:line="240" w:lineRule="auto"/>
            </w:pPr>
            <w:r w:rsidRPr="004E025C">
              <w:t>CRP &gt; 2.87 mg/L</w:t>
            </w:r>
          </w:p>
          <w:p w:rsidR="003866C0" w:rsidRPr="004E025C" w:rsidRDefault="003866C0" w:rsidP="00623CF8">
            <w:pPr>
              <w:pStyle w:val="TableText0"/>
              <w:spacing w:line="240" w:lineRule="auto"/>
            </w:pPr>
            <w:r w:rsidRPr="004E025C">
              <w:t xml:space="preserve">Ileocolonoscopy </w:t>
            </w:r>
            <w:r w:rsidR="007F748D" w:rsidRPr="004E025C">
              <w:t>(</w:t>
            </w:r>
            <w:r w:rsidRPr="004E025C">
              <w:rPr>
                <w:rFonts w:cstheme="minorHAnsi"/>
              </w:rPr>
              <w:t>≥</w:t>
            </w:r>
            <w:r w:rsidRPr="004E025C">
              <w:t xml:space="preserve"> 3 non-anastomotic ulcers or </w:t>
            </w:r>
            <w:r w:rsidRPr="004E025C">
              <w:rPr>
                <w:rFonts w:cstheme="minorHAnsi"/>
              </w:rPr>
              <w:t>≥</w:t>
            </w:r>
            <w:r w:rsidRPr="004E025C">
              <w:t xml:space="preserve"> 10 aphthous ulcers</w:t>
            </w:r>
            <w:r w:rsidR="007F748D" w:rsidRPr="004E025C">
              <w:t xml:space="preserve">), </w:t>
            </w:r>
          </w:p>
          <w:p w:rsidR="003866C0" w:rsidRPr="004E025C" w:rsidRDefault="00B6761C" w:rsidP="00623CF8">
            <w:pPr>
              <w:pStyle w:val="TableText0"/>
              <w:spacing w:line="240" w:lineRule="auto"/>
            </w:pPr>
            <w:r w:rsidRPr="004E025C">
              <w:t>Faecal</w:t>
            </w:r>
            <w:r w:rsidR="003866C0" w:rsidRPr="004E025C">
              <w:t xml:space="preserve"> calprotectin &gt; 250 mcg/g</w:t>
            </w:r>
          </w:p>
          <w:p w:rsidR="003866C0" w:rsidRPr="004E025C" w:rsidRDefault="00142AB1" w:rsidP="00142AB1">
            <w:pPr>
              <w:pStyle w:val="TableText0"/>
              <w:spacing w:line="240" w:lineRule="auto"/>
            </w:pPr>
            <w:r w:rsidRPr="004E025C">
              <w:t>I</w:t>
            </w:r>
            <w:r w:rsidR="003866C0" w:rsidRPr="004E025C">
              <w:t>nadequate</w:t>
            </w:r>
            <w:r w:rsidRPr="004E025C">
              <w:t xml:space="preserve"> or </w:t>
            </w:r>
            <w:r w:rsidR="003866C0" w:rsidRPr="004E025C">
              <w:t xml:space="preserve">loss of response to </w:t>
            </w:r>
            <w:r w:rsidRPr="004E025C">
              <w:t xml:space="preserve">≥ </w:t>
            </w:r>
            <w:r w:rsidR="003866C0" w:rsidRPr="004E025C">
              <w:t xml:space="preserve">one of the following: Immunomodulators, Corticosteroids, </w:t>
            </w:r>
            <w:r w:rsidR="00EB15E4" w:rsidRPr="004E025C">
              <w:t>TNF-α</w:t>
            </w:r>
            <w:r w:rsidR="003866C0" w:rsidRPr="004E025C">
              <w:t xml:space="preserve"> antagonists</w:t>
            </w:r>
          </w:p>
        </w:tc>
        <w:tc>
          <w:tcPr>
            <w:tcW w:w="2120" w:type="pct"/>
          </w:tcPr>
          <w:p w:rsidR="003866C0" w:rsidRPr="004E025C" w:rsidRDefault="003866C0" w:rsidP="00623CF8">
            <w:pPr>
              <w:pStyle w:val="TableText0"/>
              <w:spacing w:line="240" w:lineRule="auto"/>
            </w:pPr>
            <w:r w:rsidRPr="004E025C">
              <w:t xml:space="preserve">Age 18-80 years </w:t>
            </w:r>
          </w:p>
          <w:p w:rsidR="003866C0" w:rsidRPr="004E025C" w:rsidRDefault="003866C0" w:rsidP="00623CF8">
            <w:pPr>
              <w:pStyle w:val="TableText0"/>
              <w:spacing w:line="240" w:lineRule="auto"/>
            </w:pPr>
            <w:r w:rsidRPr="004E025C">
              <w:t>CD ≥ 3 months</w:t>
            </w:r>
          </w:p>
          <w:p w:rsidR="003866C0" w:rsidRPr="004E025C" w:rsidRDefault="003866C0" w:rsidP="00623CF8">
            <w:pPr>
              <w:pStyle w:val="TableText0"/>
              <w:spacing w:line="240" w:lineRule="auto"/>
            </w:pPr>
            <w:r w:rsidRPr="004E025C">
              <w:t xml:space="preserve">CDAI score of 220–450 points </w:t>
            </w:r>
          </w:p>
          <w:p w:rsidR="003866C0" w:rsidRPr="004E025C" w:rsidRDefault="003866C0" w:rsidP="00623CF8">
            <w:pPr>
              <w:pStyle w:val="TableText0"/>
              <w:spacing w:line="240" w:lineRule="auto"/>
            </w:pPr>
            <w:r w:rsidRPr="004E025C">
              <w:t>One of the following:</w:t>
            </w:r>
          </w:p>
          <w:p w:rsidR="003866C0" w:rsidRPr="004E025C" w:rsidRDefault="003866C0" w:rsidP="00623CF8">
            <w:pPr>
              <w:pStyle w:val="TableText0"/>
              <w:spacing w:line="240" w:lineRule="auto"/>
            </w:pPr>
            <w:r w:rsidRPr="004E025C">
              <w:t>CRP &gt; 2.87 mg/L</w:t>
            </w:r>
          </w:p>
          <w:p w:rsidR="003866C0" w:rsidRPr="004E025C" w:rsidRDefault="003866C0" w:rsidP="00623CF8">
            <w:pPr>
              <w:pStyle w:val="TableText0"/>
              <w:spacing w:line="240" w:lineRule="auto"/>
            </w:pPr>
            <w:r w:rsidRPr="004E025C">
              <w:t xml:space="preserve">Colonoscopy </w:t>
            </w:r>
            <w:r w:rsidR="007F748D" w:rsidRPr="004E025C">
              <w:t>(</w:t>
            </w:r>
            <w:r w:rsidRPr="004E025C">
              <w:rPr>
                <w:rFonts w:cstheme="minorHAnsi"/>
              </w:rPr>
              <w:t>≥</w:t>
            </w:r>
            <w:r w:rsidRPr="004E025C">
              <w:t xml:space="preserve"> 3 large ulcers or </w:t>
            </w:r>
            <w:r w:rsidRPr="004E025C">
              <w:rPr>
                <w:rFonts w:cstheme="minorHAnsi"/>
              </w:rPr>
              <w:t>≥</w:t>
            </w:r>
            <w:r w:rsidRPr="004E025C">
              <w:t xml:space="preserve"> 10 aphthous ulcers</w:t>
            </w:r>
            <w:r w:rsidR="007F748D" w:rsidRPr="004E025C">
              <w:t>)</w:t>
            </w:r>
          </w:p>
          <w:p w:rsidR="003866C0" w:rsidRPr="004E025C" w:rsidRDefault="003866C0" w:rsidP="00623CF8">
            <w:pPr>
              <w:pStyle w:val="TableText0"/>
              <w:spacing w:line="240" w:lineRule="auto"/>
            </w:pPr>
            <w:r w:rsidRPr="004E025C">
              <w:t>Faecal calprotectin &gt; 250 mcg/g</w:t>
            </w:r>
          </w:p>
          <w:p w:rsidR="003866C0" w:rsidRPr="004E025C" w:rsidRDefault="007F748D" w:rsidP="00623CF8">
            <w:pPr>
              <w:pStyle w:val="TableText0"/>
              <w:spacing w:line="240" w:lineRule="auto"/>
            </w:pPr>
            <w:r w:rsidRPr="004E025C">
              <w:t>Inadequate or loss of response to ≥ one of the following: Immunomodulators, Corticosteroids, TNF-α antagonists</w:t>
            </w:r>
          </w:p>
        </w:tc>
      </w:tr>
      <w:tr w:rsidR="003866C0" w:rsidRPr="004E025C" w:rsidTr="00623CF8">
        <w:trPr>
          <w:trHeight w:val="244"/>
        </w:trPr>
        <w:tc>
          <w:tcPr>
            <w:tcW w:w="761" w:type="pct"/>
          </w:tcPr>
          <w:p w:rsidR="003866C0" w:rsidRPr="004E025C" w:rsidRDefault="003866C0" w:rsidP="00623CF8">
            <w:pPr>
              <w:pStyle w:val="TableText0"/>
              <w:spacing w:line="240" w:lineRule="auto"/>
              <w:rPr>
                <w:b/>
              </w:rPr>
            </w:pPr>
            <w:r w:rsidRPr="004E025C">
              <w:rPr>
                <w:b/>
              </w:rPr>
              <w:t>Primary outcomes</w:t>
            </w:r>
          </w:p>
        </w:tc>
        <w:tc>
          <w:tcPr>
            <w:tcW w:w="2119" w:type="pct"/>
          </w:tcPr>
          <w:p w:rsidR="003866C0" w:rsidRPr="004E025C" w:rsidRDefault="003866C0" w:rsidP="00623CF8">
            <w:pPr>
              <w:pStyle w:val="TableText0"/>
              <w:spacing w:line="240" w:lineRule="auto"/>
            </w:pPr>
            <w:r w:rsidRPr="004E025C">
              <w:t>Clinical remission at Week 52</w:t>
            </w:r>
          </w:p>
        </w:tc>
        <w:tc>
          <w:tcPr>
            <w:tcW w:w="2120" w:type="pct"/>
          </w:tcPr>
          <w:p w:rsidR="003866C0" w:rsidRPr="004E025C" w:rsidRDefault="003866C0" w:rsidP="00623CF8">
            <w:pPr>
              <w:pStyle w:val="TableText0"/>
              <w:spacing w:line="240" w:lineRule="auto"/>
            </w:pPr>
            <w:r w:rsidRPr="004E025C">
              <w:t xml:space="preserve">Clinical remission at Week 52 </w:t>
            </w:r>
          </w:p>
        </w:tc>
      </w:tr>
      <w:tr w:rsidR="003866C0" w:rsidRPr="004E025C" w:rsidTr="00623CF8">
        <w:trPr>
          <w:trHeight w:val="244"/>
        </w:trPr>
        <w:tc>
          <w:tcPr>
            <w:tcW w:w="761" w:type="pct"/>
          </w:tcPr>
          <w:p w:rsidR="003866C0" w:rsidRPr="004E025C" w:rsidRDefault="003866C0" w:rsidP="00623CF8">
            <w:pPr>
              <w:pStyle w:val="TableText0"/>
              <w:spacing w:line="240" w:lineRule="auto"/>
              <w:rPr>
                <w:b/>
              </w:rPr>
            </w:pPr>
            <w:r w:rsidRPr="004E025C">
              <w:rPr>
                <w:b/>
              </w:rPr>
              <w:t>Secondary outcomes</w:t>
            </w:r>
          </w:p>
        </w:tc>
        <w:tc>
          <w:tcPr>
            <w:tcW w:w="2119" w:type="pct"/>
          </w:tcPr>
          <w:p w:rsidR="003866C0" w:rsidRPr="004E025C" w:rsidRDefault="003866C0" w:rsidP="00623CF8">
            <w:pPr>
              <w:pStyle w:val="TableText0"/>
              <w:spacing w:line="240" w:lineRule="auto"/>
            </w:pPr>
            <w:r w:rsidRPr="004E025C">
              <w:t>Enhanced clinical response (i.e. CDAI-100 response) at Week 52</w:t>
            </w:r>
          </w:p>
          <w:p w:rsidR="003866C0" w:rsidRPr="004E025C" w:rsidRDefault="003866C0" w:rsidP="00623CF8">
            <w:pPr>
              <w:pStyle w:val="TableText0"/>
              <w:spacing w:line="240" w:lineRule="auto"/>
            </w:pPr>
            <w:r w:rsidRPr="004E025C">
              <w:t>Corticosteroids-free remission at Week 52</w:t>
            </w:r>
          </w:p>
          <w:p w:rsidR="003866C0" w:rsidRPr="004E025C" w:rsidRDefault="003866C0" w:rsidP="00623CF8">
            <w:pPr>
              <w:pStyle w:val="TableText0"/>
              <w:spacing w:line="240" w:lineRule="auto"/>
            </w:pPr>
            <w:r w:rsidRPr="004E025C">
              <w:t xml:space="preserve">Clinical remission in </w:t>
            </w:r>
            <w:r w:rsidR="00EB15E4" w:rsidRPr="004E025C">
              <w:t>TNF-α</w:t>
            </w:r>
            <w:r w:rsidRPr="004E025C">
              <w:t xml:space="preserve"> antagonist naïve patients at Week 52</w:t>
            </w:r>
          </w:p>
        </w:tc>
        <w:tc>
          <w:tcPr>
            <w:tcW w:w="2120" w:type="pct"/>
          </w:tcPr>
          <w:p w:rsidR="003866C0" w:rsidRPr="004E025C" w:rsidRDefault="003866C0" w:rsidP="00623CF8">
            <w:pPr>
              <w:pStyle w:val="TableText0"/>
              <w:spacing w:line="240" w:lineRule="auto"/>
            </w:pPr>
            <w:r w:rsidRPr="004E025C">
              <w:t xml:space="preserve">CDAI-100 response at Week 52 </w:t>
            </w:r>
          </w:p>
          <w:p w:rsidR="003866C0" w:rsidRPr="004E025C" w:rsidRDefault="003866C0" w:rsidP="00623CF8">
            <w:pPr>
              <w:pStyle w:val="TableText0"/>
              <w:spacing w:line="240" w:lineRule="auto"/>
            </w:pPr>
            <w:r w:rsidRPr="004E025C">
              <w:t>Corticosteroid-free remission at Week 52</w:t>
            </w:r>
          </w:p>
          <w:p w:rsidR="003866C0" w:rsidRPr="004E025C" w:rsidRDefault="003866C0" w:rsidP="00623CF8">
            <w:pPr>
              <w:pStyle w:val="TableText0"/>
              <w:spacing w:line="240" w:lineRule="auto"/>
            </w:pPr>
            <w:r w:rsidRPr="004E025C">
              <w:t>Durable clinical remission</w:t>
            </w:r>
          </w:p>
        </w:tc>
      </w:tr>
      <w:tr w:rsidR="006576F1" w:rsidRPr="004E025C" w:rsidTr="00F133C3">
        <w:trPr>
          <w:trHeight w:val="244"/>
        </w:trPr>
        <w:tc>
          <w:tcPr>
            <w:tcW w:w="761" w:type="pct"/>
          </w:tcPr>
          <w:p w:rsidR="006576F1" w:rsidRPr="004E025C" w:rsidRDefault="006576F1" w:rsidP="00662BFB">
            <w:pPr>
              <w:pStyle w:val="TableText0"/>
              <w:spacing w:line="240" w:lineRule="auto"/>
              <w:rPr>
                <w:b/>
              </w:rPr>
            </w:pPr>
            <w:r w:rsidRPr="004E025C">
              <w:rPr>
                <w:b/>
              </w:rPr>
              <w:t>Risk of bias in individual trials</w:t>
            </w:r>
          </w:p>
        </w:tc>
        <w:tc>
          <w:tcPr>
            <w:tcW w:w="2119" w:type="pct"/>
            <w:shd w:val="clear" w:color="auto" w:fill="FFFFFF" w:themeFill="background1"/>
            <w:vAlign w:val="center"/>
          </w:tcPr>
          <w:p w:rsidR="006576F1" w:rsidRPr="004E025C" w:rsidRDefault="006576F1" w:rsidP="006576F1">
            <w:pPr>
              <w:pStyle w:val="TableText0"/>
            </w:pPr>
            <w:r w:rsidRPr="004E025C">
              <w:t>Generally low (possibility of unmasking unclear)</w:t>
            </w:r>
          </w:p>
        </w:tc>
        <w:tc>
          <w:tcPr>
            <w:tcW w:w="2120" w:type="pct"/>
            <w:vAlign w:val="center"/>
          </w:tcPr>
          <w:p w:rsidR="006576F1" w:rsidRPr="004E025C" w:rsidRDefault="006576F1" w:rsidP="006576F1">
            <w:pPr>
              <w:pStyle w:val="TableText0"/>
            </w:pPr>
            <w:r w:rsidRPr="004E025C">
              <w:t>Generally low (possibility of unmasking unclear)</w:t>
            </w:r>
          </w:p>
        </w:tc>
      </w:tr>
      <w:tr w:rsidR="006576F1" w:rsidRPr="004E025C" w:rsidTr="006576F1">
        <w:trPr>
          <w:trHeight w:val="244"/>
        </w:trPr>
        <w:tc>
          <w:tcPr>
            <w:tcW w:w="761" w:type="pct"/>
          </w:tcPr>
          <w:p w:rsidR="006576F1" w:rsidRPr="004E025C" w:rsidRDefault="006576F1" w:rsidP="00662BFB">
            <w:pPr>
              <w:pStyle w:val="TableText0"/>
              <w:spacing w:line="240" w:lineRule="auto"/>
              <w:rPr>
                <w:b/>
              </w:rPr>
            </w:pPr>
            <w:r w:rsidRPr="004E025C">
              <w:rPr>
                <w:b/>
              </w:rPr>
              <w:t>Risk of bias in the indirect comparison</w:t>
            </w:r>
          </w:p>
        </w:tc>
        <w:tc>
          <w:tcPr>
            <w:tcW w:w="4239" w:type="pct"/>
            <w:gridSpan w:val="2"/>
          </w:tcPr>
          <w:p w:rsidR="006576F1" w:rsidRPr="004E025C" w:rsidRDefault="006576F1" w:rsidP="007F748D">
            <w:pPr>
              <w:pStyle w:val="TableText0"/>
            </w:pPr>
            <w:r w:rsidRPr="004E025C">
              <w:t xml:space="preserve">High due to heterogeneity (direction of impact unclear). Results also have limited </w:t>
            </w:r>
            <w:r w:rsidR="007F748D" w:rsidRPr="004E025C">
              <w:t>precision</w:t>
            </w:r>
            <w:r w:rsidRPr="004E025C">
              <w:t xml:space="preserve"> </w:t>
            </w:r>
          </w:p>
        </w:tc>
      </w:tr>
    </w:tbl>
    <w:p w:rsidR="00B6761C" w:rsidRPr="004E025C" w:rsidRDefault="00B6761C" w:rsidP="00B6761C">
      <w:pPr>
        <w:pStyle w:val="TableFigureHeading"/>
        <w:rPr>
          <w:b w:val="0"/>
          <w:sz w:val="18"/>
          <w:szCs w:val="18"/>
        </w:rPr>
      </w:pPr>
      <w:r w:rsidRPr="004E025C">
        <w:rPr>
          <w:b w:val="0"/>
          <w:sz w:val="18"/>
          <w:szCs w:val="18"/>
        </w:rPr>
        <w:t>Source: Tables 2.2-35, 2.2-36, (pp75-8 of the main submission) and Table 2.3.1 of the evaluation.</w:t>
      </w:r>
    </w:p>
    <w:p w:rsidR="003866C0" w:rsidRPr="004E025C" w:rsidRDefault="00421CAF" w:rsidP="003866C0">
      <w:pPr>
        <w:pStyle w:val="TableFooter"/>
      </w:pPr>
      <w:r w:rsidRPr="004E025C">
        <w:t xml:space="preserve">R = randomised; DB = double blind; OL = open label; </w:t>
      </w:r>
      <w:r w:rsidR="003866C0" w:rsidRPr="004E025C">
        <w:t>CD = Crohn’s disease; CDAI = Crohn’s disease activity index; CRP = C-reactive protein; IV = intravenous; Q2W = every 2 weeks; Q4W = every 4 weeks; Q8W = every 8 weeks; SC = subcutaneous; TNF = tumour necrosis factor; VDZ = vedolizumab</w:t>
      </w:r>
      <w:r w:rsidRPr="004E025C">
        <w:t>.</w:t>
      </w:r>
    </w:p>
    <w:p w:rsidR="00B6761C" w:rsidRPr="004E025C" w:rsidRDefault="00B6761C" w:rsidP="003866C0">
      <w:pPr>
        <w:pStyle w:val="TableFooter"/>
      </w:pPr>
    </w:p>
    <w:p w:rsidR="008A7453" w:rsidRPr="004E025C" w:rsidRDefault="006A6C02" w:rsidP="001C61AF">
      <w:pPr>
        <w:pStyle w:val="3-BodyText"/>
      </w:pPr>
      <w:r w:rsidRPr="004E025C">
        <w:t>Table 7</w:t>
      </w:r>
      <w:r w:rsidR="00C358C9" w:rsidRPr="004E025C">
        <w:t xml:space="preserve"> summarises heterogeneity between the trials used for the indirect comparison. </w:t>
      </w:r>
    </w:p>
    <w:p w:rsidR="001123F1" w:rsidRPr="004E025C" w:rsidRDefault="001123F1" w:rsidP="00D25936">
      <w:pPr>
        <w:pStyle w:val="TableFigureHeading"/>
      </w:pPr>
      <w:bookmarkStart w:id="15" w:name="_Ref49516172"/>
      <w:r w:rsidRPr="004E025C">
        <w:t xml:space="preserve">Table </w:t>
      </w:r>
      <w:r w:rsidR="007E6865">
        <w:rPr>
          <w:noProof/>
        </w:rPr>
        <w:t>7</w:t>
      </w:r>
      <w:bookmarkEnd w:id="15"/>
      <w:r w:rsidRPr="004E025C">
        <w:t xml:space="preserve">: </w:t>
      </w:r>
      <w:r w:rsidR="009940C1" w:rsidRPr="004E025C">
        <w:t>Heterogeneity</w:t>
      </w:r>
      <w:r w:rsidRPr="004E025C">
        <w:t xml:space="preserve"> between the VISIBLE 2 and GEMINI 2 trials. </w:t>
      </w:r>
    </w:p>
    <w:tbl>
      <w:tblPr>
        <w:tblStyle w:val="TableGrid"/>
        <w:tblW w:w="5000" w:type="pct"/>
        <w:tblLook w:val="04A0" w:firstRow="1" w:lastRow="0" w:firstColumn="1" w:lastColumn="0" w:noHBand="0" w:noVBand="1"/>
        <w:tblCaption w:val="Table 7"/>
      </w:tblPr>
      <w:tblGrid>
        <w:gridCol w:w="1980"/>
        <w:gridCol w:w="1701"/>
        <w:gridCol w:w="1134"/>
        <w:gridCol w:w="4202"/>
      </w:tblGrid>
      <w:tr w:rsidR="001123F1" w:rsidRPr="004E025C" w:rsidTr="007F797B">
        <w:trPr>
          <w:cantSplit/>
          <w:tblHeader/>
        </w:trPr>
        <w:tc>
          <w:tcPr>
            <w:tcW w:w="1980" w:type="dxa"/>
          </w:tcPr>
          <w:p w:rsidR="001123F1" w:rsidRPr="004E025C" w:rsidRDefault="001123F1" w:rsidP="00D25936">
            <w:pPr>
              <w:pStyle w:val="Tabletext"/>
              <w:keepNext/>
              <w:rPr>
                <w:b/>
              </w:rPr>
            </w:pPr>
            <w:r w:rsidRPr="004E025C">
              <w:rPr>
                <w:b/>
              </w:rPr>
              <w:t xml:space="preserve">Characteristic </w:t>
            </w:r>
          </w:p>
        </w:tc>
        <w:tc>
          <w:tcPr>
            <w:tcW w:w="1701" w:type="dxa"/>
          </w:tcPr>
          <w:p w:rsidR="001123F1" w:rsidRPr="004E025C" w:rsidRDefault="001123F1" w:rsidP="00D25936">
            <w:pPr>
              <w:pStyle w:val="Tabletext"/>
              <w:keepNext/>
              <w:rPr>
                <w:b/>
              </w:rPr>
            </w:pPr>
            <w:r w:rsidRPr="004E025C">
              <w:rPr>
                <w:b/>
              </w:rPr>
              <w:t>VISIBLE 2</w:t>
            </w:r>
          </w:p>
        </w:tc>
        <w:tc>
          <w:tcPr>
            <w:tcW w:w="1134" w:type="dxa"/>
          </w:tcPr>
          <w:p w:rsidR="001123F1" w:rsidRPr="004E025C" w:rsidRDefault="001123F1" w:rsidP="00D25936">
            <w:pPr>
              <w:pStyle w:val="Tabletext"/>
              <w:keepNext/>
              <w:rPr>
                <w:b/>
              </w:rPr>
            </w:pPr>
            <w:r w:rsidRPr="004E025C">
              <w:rPr>
                <w:b/>
              </w:rPr>
              <w:t>GEMINI 2</w:t>
            </w:r>
          </w:p>
        </w:tc>
        <w:tc>
          <w:tcPr>
            <w:tcW w:w="4202" w:type="dxa"/>
          </w:tcPr>
          <w:p w:rsidR="001123F1" w:rsidRPr="004E025C" w:rsidRDefault="001123F1" w:rsidP="00D25936">
            <w:pPr>
              <w:pStyle w:val="Tabletext"/>
              <w:keepNext/>
              <w:rPr>
                <w:b/>
              </w:rPr>
            </w:pPr>
            <w:r w:rsidRPr="004E025C">
              <w:rPr>
                <w:b/>
              </w:rPr>
              <w:t>Comment</w:t>
            </w:r>
          </w:p>
        </w:tc>
      </w:tr>
      <w:tr w:rsidR="001123F1" w:rsidRPr="004E025C" w:rsidTr="007F797B">
        <w:trPr>
          <w:cantSplit/>
        </w:trPr>
        <w:tc>
          <w:tcPr>
            <w:tcW w:w="1980" w:type="dxa"/>
            <w:tcBorders>
              <w:bottom w:val="single" w:sz="4" w:space="0" w:color="auto"/>
            </w:tcBorders>
          </w:tcPr>
          <w:p w:rsidR="001123F1" w:rsidRPr="004E025C" w:rsidRDefault="001123F1" w:rsidP="00D25936">
            <w:pPr>
              <w:pStyle w:val="Tabletext"/>
              <w:keepNext/>
            </w:pPr>
            <w:r w:rsidRPr="004E025C">
              <w:t>Period of study conduct</w:t>
            </w:r>
          </w:p>
        </w:tc>
        <w:tc>
          <w:tcPr>
            <w:tcW w:w="1701" w:type="dxa"/>
            <w:tcBorders>
              <w:bottom w:val="single" w:sz="4" w:space="0" w:color="auto"/>
            </w:tcBorders>
          </w:tcPr>
          <w:p w:rsidR="001123F1" w:rsidRPr="004E025C" w:rsidRDefault="001123F1" w:rsidP="00D25936">
            <w:pPr>
              <w:pStyle w:val="Tabletext"/>
              <w:keepNext/>
            </w:pPr>
            <w:r w:rsidRPr="004E025C">
              <w:t>2015-2019</w:t>
            </w:r>
          </w:p>
        </w:tc>
        <w:tc>
          <w:tcPr>
            <w:tcW w:w="1134" w:type="dxa"/>
            <w:tcBorders>
              <w:bottom w:val="single" w:sz="4" w:space="0" w:color="auto"/>
            </w:tcBorders>
          </w:tcPr>
          <w:p w:rsidR="001123F1" w:rsidRPr="004E025C" w:rsidRDefault="001123F1" w:rsidP="00D25936">
            <w:pPr>
              <w:pStyle w:val="Tabletext"/>
              <w:keepNext/>
            </w:pPr>
            <w:r w:rsidRPr="004E025C">
              <w:t>2008-2012</w:t>
            </w:r>
          </w:p>
        </w:tc>
        <w:tc>
          <w:tcPr>
            <w:tcW w:w="4202" w:type="dxa"/>
            <w:tcBorders>
              <w:bottom w:val="single" w:sz="4" w:space="0" w:color="auto"/>
            </w:tcBorders>
          </w:tcPr>
          <w:p w:rsidR="001123F1" w:rsidRPr="004E025C" w:rsidRDefault="001123F1" w:rsidP="00D95A8E">
            <w:pPr>
              <w:pStyle w:val="Tabletext"/>
              <w:keepNext/>
            </w:pPr>
            <w:r w:rsidRPr="004E025C">
              <w:t>Possible differences in standard of care (SOC)</w:t>
            </w:r>
            <w:r w:rsidR="00623CF8" w:rsidRPr="004E025C">
              <w:t>, including increased frequency of study visits in more recent studies</w:t>
            </w:r>
            <w:r w:rsidR="00D43E3D" w:rsidRPr="004E025C">
              <w:t xml:space="preserve"> and increased patient expectations</w:t>
            </w:r>
            <w:r w:rsidR="00623CF8" w:rsidRPr="004E025C">
              <w:t xml:space="preserve"> may increase the placebo response rate</w:t>
            </w:r>
            <w:r w:rsidR="00D95A8E" w:rsidRPr="004E025C">
              <w:rPr>
                <w:vertAlign w:val="superscript"/>
              </w:rPr>
              <w:t>a</w:t>
            </w:r>
            <w:r w:rsidRPr="004E025C">
              <w:t xml:space="preserve">. </w:t>
            </w:r>
            <w:r w:rsidR="00D43E3D" w:rsidRPr="004E025C">
              <w:t xml:space="preserve">Remains unclear </w:t>
            </w:r>
            <w:r w:rsidRPr="004E025C">
              <w:t>whether different monitoring frequencies (Q4W in GEMINI 2 versus Q2W</w:t>
            </w:r>
            <w:r w:rsidR="00623CF8" w:rsidRPr="004E025C">
              <w:t xml:space="preserve"> in VISIBLE 2</w:t>
            </w:r>
            <w:r w:rsidRPr="004E025C">
              <w:t>)</w:t>
            </w:r>
            <w:r w:rsidR="00623CF8" w:rsidRPr="004E025C">
              <w:t xml:space="preserve"> </w:t>
            </w:r>
            <w:r w:rsidR="00CB18F7" w:rsidRPr="004E025C">
              <w:t>may</w:t>
            </w:r>
            <w:r w:rsidRPr="004E025C">
              <w:t xml:space="preserve"> </w:t>
            </w:r>
            <w:r w:rsidR="00CB18F7" w:rsidRPr="004E025C">
              <w:t xml:space="preserve">influence </w:t>
            </w:r>
            <w:r w:rsidR="00623CF8" w:rsidRPr="004E025C">
              <w:t xml:space="preserve">disease course </w:t>
            </w:r>
            <w:r w:rsidR="00D43E3D" w:rsidRPr="004E025C">
              <w:t xml:space="preserve">to favour one formulation over the other. </w:t>
            </w:r>
            <w:r w:rsidR="00B60606" w:rsidRPr="004E025C">
              <w:t>See placebo rates further below.</w:t>
            </w:r>
          </w:p>
        </w:tc>
      </w:tr>
      <w:tr w:rsidR="00F6610C" w:rsidRPr="004E025C" w:rsidTr="007F797B">
        <w:trPr>
          <w:cantSplit/>
          <w:trHeight w:val="2367"/>
        </w:trPr>
        <w:tc>
          <w:tcPr>
            <w:tcW w:w="1980" w:type="dxa"/>
          </w:tcPr>
          <w:p w:rsidR="00F6610C" w:rsidRPr="004E025C" w:rsidRDefault="00F6610C" w:rsidP="001123F1">
            <w:pPr>
              <w:pStyle w:val="Tabletext"/>
            </w:pPr>
            <w:r w:rsidRPr="004E025C">
              <w:t>Gender and smoking</w:t>
            </w:r>
          </w:p>
        </w:tc>
        <w:tc>
          <w:tcPr>
            <w:tcW w:w="2835" w:type="dxa"/>
            <w:gridSpan w:val="2"/>
          </w:tcPr>
          <w:p w:rsidR="00F6610C" w:rsidRPr="004E025C" w:rsidRDefault="00F6610C" w:rsidP="00492815">
            <w:pPr>
              <w:pStyle w:val="Tabletext"/>
            </w:pPr>
            <w:r w:rsidRPr="004E025C">
              <w:t>The proportion of males ranged from 44.2% in GEMINI 2 to 57.1% in VISIBLE 2.</w:t>
            </w:r>
          </w:p>
          <w:p w:rsidR="00F6610C" w:rsidRPr="004E025C" w:rsidRDefault="00F6610C" w:rsidP="00F6610C">
            <w:pPr>
              <w:pStyle w:val="Tabletext"/>
            </w:pPr>
          </w:p>
          <w:p w:rsidR="00F6610C" w:rsidRPr="004E025C" w:rsidRDefault="00F6610C" w:rsidP="00F6610C">
            <w:pPr>
              <w:pStyle w:val="Tabletext"/>
            </w:pPr>
            <w:r w:rsidRPr="004E025C">
              <w:t xml:space="preserve">The % of current smokers was much lower in VISIBLE 2 (19.4-19.6%) compared with GEMINI 2 (31.2-31.4%). </w:t>
            </w:r>
          </w:p>
        </w:tc>
        <w:tc>
          <w:tcPr>
            <w:tcW w:w="4202" w:type="dxa"/>
          </w:tcPr>
          <w:p w:rsidR="00B959DE" w:rsidRPr="004E025C" w:rsidRDefault="00B959DE" w:rsidP="00F6610C">
            <w:pPr>
              <w:pStyle w:val="Tabletext"/>
            </w:pPr>
            <w:r w:rsidRPr="004E025C">
              <w:t>I</w:t>
            </w:r>
            <w:r w:rsidR="00F6610C" w:rsidRPr="004E025C">
              <w:t>nformation on the influence of gender on disease</w:t>
            </w:r>
            <w:r w:rsidRPr="004E025C">
              <w:t xml:space="preserve"> </w:t>
            </w:r>
            <w:r w:rsidR="00F6610C" w:rsidRPr="004E025C">
              <w:t>course, and response to biologic</w:t>
            </w:r>
            <w:r w:rsidRPr="004E025C">
              <w:t xml:space="preserve">s </w:t>
            </w:r>
            <w:r w:rsidR="00F6610C" w:rsidRPr="004E025C">
              <w:t>is conflicting</w:t>
            </w:r>
            <w:r w:rsidR="00D95A8E" w:rsidRPr="004E025C">
              <w:rPr>
                <w:vertAlign w:val="superscript"/>
              </w:rPr>
              <w:t>b</w:t>
            </w:r>
            <w:r w:rsidRPr="004E025C">
              <w:t>.</w:t>
            </w:r>
          </w:p>
          <w:p w:rsidR="00B959DE" w:rsidRPr="004E025C" w:rsidRDefault="00B959DE" w:rsidP="00F6610C">
            <w:pPr>
              <w:pStyle w:val="Tabletext"/>
            </w:pPr>
          </w:p>
          <w:p w:rsidR="00B959DE" w:rsidRPr="004E025C" w:rsidRDefault="00F6610C" w:rsidP="00F6610C">
            <w:pPr>
              <w:pStyle w:val="Tabletext"/>
            </w:pPr>
            <w:r w:rsidRPr="004E025C">
              <w:t>Time until loss of response appears shorter in males treated with some biologics and dose intensification was more often required in men than in women</w:t>
            </w:r>
            <w:r w:rsidR="00FD31D9" w:rsidRPr="004E025C">
              <w:rPr>
                <w:vertAlign w:val="superscript"/>
              </w:rPr>
              <w:t>c</w:t>
            </w:r>
            <w:r w:rsidR="00B959DE" w:rsidRPr="004E025C">
              <w:t>.</w:t>
            </w:r>
          </w:p>
          <w:p w:rsidR="00B959DE" w:rsidRPr="004E025C" w:rsidRDefault="00B959DE" w:rsidP="00F6610C">
            <w:pPr>
              <w:pStyle w:val="Tabletext"/>
            </w:pPr>
          </w:p>
          <w:p w:rsidR="00F6610C" w:rsidRPr="004E025C" w:rsidRDefault="00F6610C" w:rsidP="00F6610C">
            <w:pPr>
              <w:pStyle w:val="Tabletext"/>
            </w:pPr>
            <w:r w:rsidRPr="004E025C">
              <w:t>Male gender together with smoking</w:t>
            </w:r>
            <w:r w:rsidR="00B959DE" w:rsidRPr="004E025C">
              <w:t xml:space="preserve"> and </w:t>
            </w:r>
            <w:r w:rsidRPr="004E025C">
              <w:t>family history appear to be  predictors of loss of response to treatments for Crohn’s disease</w:t>
            </w:r>
            <w:r w:rsidR="00FD31D9" w:rsidRPr="004E025C">
              <w:rPr>
                <w:rStyle w:val="FootnoteReference"/>
              </w:rPr>
              <w:t>d</w:t>
            </w:r>
          </w:p>
          <w:p w:rsidR="00B959DE" w:rsidRPr="004E025C" w:rsidRDefault="00B959DE" w:rsidP="00E74D2C">
            <w:pPr>
              <w:pStyle w:val="Tabletext"/>
            </w:pPr>
          </w:p>
          <w:p w:rsidR="00F6610C" w:rsidRPr="004E025C" w:rsidRDefault="00F6610C" w:rsidP="001F6FA8">
            <w:pPr>
              <w:pStyle w:val="Tabletext"/>
            </w:pPr>
            <w:r w:rsidRPr="004E025C">
              <w:t>Smoking is a predictor of non-adherence to therapies for Crohn’s disease, and is associated with more severe disease</w:t>
            </w:r>
            <w:r w:rsidR="001F6FA8" w:rsidRPr="004E025C">
              <w:rPr>
                <w:vertAlign w:val="superscript"/>
              </w:rPr>
              <w:t>e</w:t>
            </w:r>
          </w:p>
        </w:tc>
      </w:tr>
      <w:tr w:rsidR="00D43E3D" w:rsidRPr="004E025C" w:rsidTr="007F797B">
        <w:trPr>
          <w:cantSplit/>
        </w:trPr>
        <w:tc>
          <w:tcPr>
            <w:tcW w:w="1980" w:type="dxa"/>
          </w:tcPr>
          <w:p w:rsidR="00D43E3D" w:rsidRPr="004E025C" w:rsidRDefault="00D43E3D" w:rsidP="00492815">
            <w:pPr>
              <w:pStyle w:val="Tabletext"/>
            </w:pPr>
            <w:r w:rsidRPr="004E025C">
              <w:t xml:space="preserve">Duration of Crohn’s disease </w:t>
            </w:r>
          </w:p>
        </w:tc>
        <w:tc>
          <w:tcPr>
            <w:tcW w:w="2835" w:type="dxa"/>
            <w:gridSpan w:val="2"/>
          </w:tcPr>
          <w:p w:rsidR="00D43E3D" w:rsidRPr="004E025C" w:rsidRDefault="00266EA7" w:rsidP="00266EA7">
            <w:pPr>
              <w:pStyle w:val="Tabletext"/>
            </w:pPr>
            <w:r w:rsidRPr="004E025C">
              <w:t>A</w:t>
            </w:r>
            <w:r w:rsidR="00D43E3D" w:rsidRPr="004E025C">
              <w:t xml:space="preserve"> higher proportion of patients </w:t>
            </w:r>
            <w:r w:rsidRPr="004E025C">
              <w:t>had</w:t>
            </w:r>
            <w:r w:rsidR="00492815" w:rsidRPr="004E025C">
              <w:t xml:space="preserve"> disease duration of ≥ 7 years </w:t>
            </w:r>
            <w:r w:rsidR="00D43E3D" w:rsidRPr="004E025C">
              <w:t>in the placebo group of GEMINI 2</w:t>
            </w:r>
            <w:r w:rsidR="00492815" w:rsidRPr="004E025C">
              <w:t xml:space="preserve"> (50.3%)</w:t>
            </w:r>
            <w:r w:rsidR="00D43E3D" w:rsidRPr="004E025C">
              <w:t xml:space="preserve"> compared with that in VISIBLE 2</w:t>
            </w:r>
            <w:r w:rsidR="00492815" w:rsidRPr="004E025C">
              <w:t xml:space="preserve"> (</w:t>
            </w:r>
            <w:r w:rsidR="00CB18F7" w:rsidRPr="004E025C">
              <w:t>41.8%)</w:t>
            </w:r>
          </w:p>
        </w:tc>
        <w:tc>
          <w:tcPr>
            <w:tcW w:w="4202" w:type="dxa"/>
          </w:tcPr>
          <w:p w:rsidR="00D43E3D" w:rsidRPr="004E025C" w:rsidRDefault="00CB18F7" w:rsidP="001F6FA8">
            <w:pPr>
              <w:pStyle w:val="Tabletext"/>
            </w:pPr>
            <w:r w:rsidRPr="004E025C">
              <w:t xml:space="preserve">Shorter disease duration is associated with higher rates of response to vedolizumab in patients with Crohn's disease </w:t>
            </w:r>
            <w:r w:rsidR="00B60606" w:rsidRPr="004E025C">
              <w:t>(</w:t>
            </w:r>
            <w:r w:rsidRPr="004E025C">
              <w:t xml:space="preserve">but not </w:t>
            </w:r>
            <w:r w:rsidR="00B60606" w:rsidRPr="004E025C">
              <w:t xml:space="preserve">in </w:t>
            </w:r>
            <w:r w:rsidRPr="004E025C">
              <w:t>ulcerative colitis</w:t>
            </w:r>
            <w:r w:rsidR="001F6FA8" w:rsidRPr="004E025C">
              <w:rPr>
                <w:vertAlign w:val="superscript"/>
              </w:rPr>
              <w:t>f</w:t>
            </w:r>
            <w:r w:rsidR="003D7E4E" w:rsidRPr="004E025C">
              <w:t>)</w:t>
            </w:r>
            <w:r w:rsidR="001F6FA8" w:rsidRPr="004E025C">
              <w:t>.</w:t>
            </w:r>
          </w:p>
        </w:tc>
      </w:tr>
      <w:tr w:rsidR="00B60606" w:rsidRPr="004E025C" w:rsidTr="007F797B">
        <w:trPr>
          <w:cantSplit/>
        </w:trPr>
        <w:tc>
          <w:tcPr>
            <w:tcW w:w="1980" w:type="dxa"/>
          </w:tcPr>
          <w:p w:rsidR="00B60606" w:rsidRPr="004E025C" w:rsidRDefault="00B60606" w:rsidP="00B60606">
            <w:pPr>
              <w:pStyle w:val="Tabletext"/>
            </w:pPr>
            <w:r w:rsidRPr="004E025C">
              <w:t>Pro-inflammatory markers</w:t>
            </w:r>
          </w:p>
        </w:tc>
        <w:tc>
          <w:tcPr>
            <w:tcW w:w="2835" w:type="dxa"/>
            <w:gridSpan w:val="2"/>
          </w:tcPr>
          <w:p w:rsidR="00B60606" w:rsidRPr="004E025C" w:rsidRDefault="00B60606" w:rsidP="00B60606">
            <w:pPr>
              <w:pStyle w:val="Tabletext"/>
            </w:pPr>
            <w:r w:rsidRPr="004E025C">
              <w:t xml:space="preserve">Baseline median faecal calprotectin levels were higher for VISIBLE 2 (736.0-870.5 mcg/g) compared with GEMINI 2 (583.5-683.7 mcg/g). </w:t>
            </w:r>
          </w:p>
        </w:tc>
        <w:tc>
          <w:tcPr>
            <w:tcW w:w="4202" w:type="dxa"/>
          </w:tcPr>
          <w:p w:rsidR="00B60606" w:rsidRPr="004E025C" w:rsidRDefault="00B60606" w:rsidP="001F6FA8">
            <w:pPr>
              <w:pStyle w:val="Tabletext"/>
            </w:pPr>
            <w:r w:rsidRPr="004E025C">
              <w:t>The submission noted that faecal calprotectin is positively correlated with other pro-inflammatory markers, which suggests that patients in VISIBLE 2 may have</w:t>
            </w:r>
            <w:r w:rsidR="00184AE2" w:rsidRPr="004E025C">
              <w:t xml:space="preserve"> had</w:t>
            </w:r>
            <w:r w:rsidRPr="004E025C">
              <w:t xml:space="preserve"> greater levels of inflammation at baseline compared with those in GEMINI 2</w:t>
            </w:r>
            <w:r w:rsidR="001F6FA8" w:rsidRPr="004E025C">
              <w:rPr>
                <w:vertAlign w:val="superscript"/>
              </w:rPr>
              <w:t>g</w:t>
            </w:r>
            <w:r w:rsidRPr="004E025C">
              <w:t>.</w:t>
            </w:r>
          </w:p>
        </w:tc>
      </w:tr>
      <w:tr w:rsidR="00B60606" w:rsidRPr="004E025C" w:rsidTr="007F797B">
        <w:trPr>
          <w:cantSplit/>
        </w:trPr>
        <w:tc>
          <w:tcPr>
            <w:tcW w:w="1980" w:type="dxa"/>
          </w:tcPr>
          <w:p w:rsidR="00B60606" w:rsidRPr="004E025C" w:rsidRDefault="00B60606" w:rsidP="00492815">
            <w:pPr>
              <w:pStyle w:val="Tabletext"/>
            </w:pPr>
            <w:r w:rsidRPr="004E025C">
              <w:t>Sites of disease involvement</w:t>
            </w:r>
          </w:p>
        </w:tc>
        <w:tc>
          <w:tcPr>
            <w:tcW w:w="2835" w:type="dxa"/>
            <w:gridSpan w:val="2"/>
          </w:tcPr>
          <w:p w:rsidR="00B60606" w:rsidRPr="004E025C" w:rsidRDefault="00B60606" w:rsidP="00B60606">
            <w:pPr>
              <w:pStyle w:val="Tabletext"/>
            </w:pPr>
            <w:r w:rsidRPr="004E025C">
              <w:t>The proportion of patients whose disease involved both the ileum and colon was lower in VISIBLE 2 (44.4-55.2%) compared to GEMINI 2 (55.9-63.6%)</w:t>
            </w:r>
          </w:p>
        </w:tc>
        <w:tc>
          <w:tcPr>
            <w:tcW w:w="4202" w:type="dxa"/>
          </w:tcPr>
          <w:p w:rsidR="00B60606" w:rsidRPr="004E025C" w:rsidRDefault="00B60606" w:rsidP="00B60606">
            <w:pPr>
              <w:pStyle w:val="Tabletext"/>
            </w:pPr>
            <w:r w:rsidRPr="004E025C">
              <w:t>Whether this will substantially favour the SC formulation in VISIBLE 2 is unclear.</w:t>
            </w:r>
          </w:p>
        </w:tc>
      </w:tr>
      <w:tr w:rsidR="00B60606" w:rsidRPr="004E025C" w:rsidTr="007F797B">
        <w:trPr>
          <w:cantSplit/>
        </w:trPr>
        <w:tc>
          <w:tcPr>
            <w:tcW w:w="1980" w:type="dxa"/>
          </w:tcPr>
          <w:p w:rsidR="00B60606" w:rsidRPr="004E025C" w:rsidRDefault="00B60606" w:rsidP="00492815">
            <w:pPr>
              <w:pStyle w:val="Tabletext"/>
            </w:pPr>
            <w:r w:rsidRPr="004E025C">
              <w:t>Prior surgery for Crohn’s disease</w:t>
            </w:r>
          </w:p>
        </w:tc>
        <w:tc>
          <w:tcPr>
            <w:tcW w:w="2835" w:type="dxa"/>
            <w:gridSpan w:val="2"/>
          </w:tcPr>
          <w:p w:rsidR="00B60606" w:rsidRPr="004E025C" w:rsidRDefault="00184AE2" w:rsidP="00184AE2">
            <w:pPr>
              <w:pStyle w:val="Tabletext"/>
            </w:pPr>
            <w:r w:rsidRPr="004E025C">
              <w:t>The proportion</w:t>
            </w:r>
            <w:r w:rsidR="00B60606" w:rsidRPr="004E025C">
              <w:t xml:space="preserve"> of patients with prior surgery for Crohn’s disease </w:t>
            </w:r>
            <w:r w:rsidRPr="004E025C">
              <w:t>was</w:t>
            </w:r>
            <w:r w:rsidR="00B60606" w:rsidRPr="004E025C">
              <w:t xml:space="preserve"> lower in the VISIBLE 2 trial (25.4% to 27.6%) than in the GEMINI 2 trial (~37%). This was a similar trend for patients with a history of fistulising disease </w:t>
            </w:r>
            <w:r w:rsidR="00390D08" w:rsidRPr="004E025C">
              <w:t xml:space="preserve">(VISIBLE 2: </w:t>
            </w:r>
            <w:r w:rsidR="00B60606" w:rsidRPr="004E025C">
              <w:t>19.5</w:t>
            </w:r>
            <w:r w:rsidR="00390D08" w:rsidRPr="004E025C">
              <w:t>-</w:t>
            </w:r>
            <w:r w:rsidR="00B60606" w:rsidRPr="004E025C">
              <w:t>25.4%</w:t>
            </w:r>
            <w:r w:rsidR="00390D08" w:rsidRPr="004E025C">
              <w:t>;</w:t>
            </w:r>
            <w:r w:rsidR="00B60606" w:rsidRPr="004E025C">
              <w:t xml:space="preserve"> GEMINI 2 30.5</w:t>
            </w:r>
            <w:r w:rsidR="00390D08" w:rsidRPr="004E025C">
              <w:t>-</w:t>
            </w:r>
            <w:r w:rsidR="00B60606" w:rsidRPr="004E025C">
              <w:t xml:space="preserve">37.3%). </w:t>
            </w:r>
          </w:p>
        </w:tc>
        <w:tc>
          <w:tcPr>
            <w:tcW w:w="4202" w:type="dxa"/>
          </w:tcPr>
          <w:p w:rsidR="00B60606" w:rsidRPr="004E025C" w:rsidRDefault="00390D08" w:rsidP="00390D08">
            <w:pPr>
              <w:pStyle w:val="Tabletext"/>
            </w:pPr>
            <w:r w:rsidRPr="004E025C">
              <w:t xml:space="preserve">The submission noted that </w:t>
            </w:r>
            <w:r w:rsidR="00184AE2" w:rsidRPr="004E025C">
              <w:t>i</w:t>
            </w:r>
            <w:r w:rsidRPr="004E025C">
              <w:t>leocolonic involvement, penetrating disease and previous surgical resection were associated with greater disease severity in Crohn’s disease</w:t>
            </w:r>
            <w:r w:rsidR="00E74D2C" w:rsidRPr="004E025C">
              <w:rPr>
                <w:rStyle w:val="FootnoteReference"/>
              </w:rPr>
              <w:footnoteReference w:id="3"/>
            </w:r>
            <w:r w:rsidRPr="004E025C">
              <w:t>. This suggested that patients in VISIBLE 2 may have had less severe disease at baseline compared to those in GEMINI 2.</w:t>
            </w:r>
          </w:p>
          <w:p w:rsidR="00390D08" w:rsidRPr="004E025C" w:rsidRDefault="00390D08" w:rsidP="00390D08">
            <w:pPr>
              <w:pStyle w:val="Tabletext"/>
            </w:pPr>
            <w:r w:rsidRPr="004E025C">
              <w:t>This may have favoured the SC formulation in VISIBLE 2.</w:t>
            </w:r>
          </w:p>
        </w:tc>
      </w:tr>
      <w:tr w:rsidR="00B60606" w:rsidRPr="004E025C" w:rsidTr="007F797B">
        <w:trPr>
          <w:cantSplit/>
        </w:trPr>
        <w:tc>
          <w:tcPr>
            <w:tcW w:w="1980" w:type="dxa"/>
          </w:tcPr>
          <w:p w:rsidR="00B60606" w:rsidRPr="004E025C" w:rsidRDefault="00390D08" w:rsidP="00390D08">
            <w:pPr>
              <w:pStyle w:val="Tabletext"/>
            </w:pPr>
            <w:r w:rsidRPr="004E025C">
              <w:t>Failure to prior therapies</w:t>
            </w:r>
            <w:r w:rsidR="00F6610C" w:rsidRPr="004E025C">
              <w:t xml:space="preserve"> at baseline</w:t>
            </w:r>
          </w:p>
        </w:tc>
        <w:tc>
          <w:tcPr>
            <w:tcW w:w="2835" w:type="dxa"/>
            <w:gridSpan w:val="2"/>
          </w:tcPr>
          <w:p w:rsidR="00B60606" w:rsidRPr="004E025C" w:rsidRDefault="00390D08" w:rsidP="00390D08">
            <w:pPr>
              <w:pStyle w:val="Tabletext"/>
            </w:pPr>
            <w:r w:rsidRPr="004E025C">
              <w:t>The frequency of failure to prior immunomodulators was much lower in VISIBLE 2 (4.5- 5.1%) than in GEMINI 2 (18.8-22.2%).</w:t>
            </w:r>
          </w:p>
          <w:p w:rsidR="00390D08" w:rsidRPr="004E025C" w:rsidRDefault="00390D08" w:rsidP="00390D08">
            <w:pPr>
              <w:pStyle w:val="Tabletext"/>
            </w:pPr>
          </w:p>
          <w:p w:rsidR="00390D08" w:rsidRPr="004E025C" w:rsidRDefault="00390D08" w:rsidP="00FA325F">
            <w:pPr>
              <w:pStyle w:val="Tabletext"/>
            </w:pPr>
            <w:r w:rsidRPr="004E025C">
              <w:t xml:space="preserve">The frequency </w:t>
            </w:r>
            <w:r w:rsidR="00F6610C" w:rsidRPr="004E025C">
              <w:t xml:space="preserve">of failure to prior corticosteroid </w:t>
            </w:r>
            <w:r w:rsidRPr="004E025C">
              <w:t xml:space="preserve">due to inadequate response </w:t>
            </w:r>
            <w:r w:rsidR="00F6610C" w:rsidRPr="004E025C">
              <w:t>was balanced in GEMINI 2 (12.3-14.4%)</w:t>
            </w:r>
            <w:r w:rsidR="00FA325F" w:rsidRPr="004E025C">
              <w:t xml:space="preserve">. However, the frequency in the placebo group of VISIBLE 2 </w:t>
            </w:r>
            <w:r w:rsidRPr="004E025C">
              <w:t xml:space="preserve">was almost twice that in the </w:t>
            </w:r>
            <w:r w:rsidR="00621C90" w:rsidRPr="004E025C">
              <w:t>VDZ SC</w:t>
            </w:r>
            <w:r w:rsidRPr="004E025C">
              <w:t xml:space="preserve"> group (14.2% versus 7.3%).</w:t>
            </w:r>
          </w:p>
        </w:tc>
        <w:tc>
          <w:tcPr>
            <w:tcW w:w="4202" w:type="dxa"/>
          </w:tcPr>
          <w:p w:rsidR="00B60606" w:rsidRPr="004E025C" w:rsidRDefault="00390D08" w:rsidP="00FA325F">
            <w:pPr>
              <w:pStyle w:val="Tabletext"/>
            </w:pPr>
            <w:r w:rsidRPr="004E025C">
              <w:t xml:space="preserve">Whether this </w:t>
            </w:r>
            <w:r w:rsidR="00B4213A" w:rsidRPr="004E025C">
              <w:t>may</w:t>
            </w:r>
            <w:r w:rsidRPr="004E025C">
              <w:t xml:space="preserve"> </w:t>
            </w:r>
            <w:r w:rsidR="00FA325F" w:rsidRPr="004E025C">
              <w:t xml:space="preserve">significantly </w:t>
            </w:r>
            <w:r w:rsidRPr="004E025C">
              <w:t>favour the SC formulation in VISIBLE 2</w:t>
            </w:r>
            <w:r w:rsidR="00FA325F" w:rsidRPr="004E025C">
              <w:t xml:space="preserve"> over the IV formulation </w:t>
            </w:r>
            <w:r w:rsidR="00B4213A" w:rsidRPr="004E025C">
              <w:t>i</w:t>
            </w:r>
            <w:r w:rsidRPr="004E025C">
              <w:t>s unclear</w:t>
            </w:r>
          </w:p>
        </w:tc>
      </w:tr>
      <w:tr w:rsidR="00B60606" w:rsidRPr="004E025C" w:rsidTr="007F797B">
        <w:trPr>
          <w:cantSplit/>
        </w:trPr>
        <w:tc>
          <w:tcPr>
            <w:tcW w:w="1980" w:type="dxa"/>
          </w:tcPr>
          <w:p w:rsidR="00B60606" w:rsidRPr="004E025C" w:rsidRDefault="00390D08" w:rsidP="00492815">
            <w:pPr>
              <w:pStyle w:val="Tabletext"/>
            </w:pPr>
            <w:r w:rsidRPr="004E025C">
              <w:t>Median duration of treatment</w:t>
            </w:r>
          </w:p>
        </w:tc>
        <w:tc>
          <w:tcPr>
            <w:tcW w:w="2835" w:type="dxa"/>
            <w:gridSpan w:val="2"/>
          </w:tcPr>
          <w:p w:rsidR="00B60606" w:rsidRPr="004E025C" w:rsidRDefault="00B4213A" w:rsidP="00B4213A">
            <w:pPr>
              <w:pStyle w:val="Tabletext"/>
            </w:pPr>
            <w:r w:rsidRPr="004E025C">
              <w:t>There was a longer median (or mean) duration of treatment in VISIBLE 2 (~68 weeks) than in GEMINI 2 (42-48%).</w:t>
            </w:r>
          </w:p>
        </w:tc>
        <w:tc>
          <w:tcPr>
            <w:tcW w:w="4202" w:type="dxa"/>
          </w:tcPr>
          <w:p w:rsidR="00B60606" w:rsidRPr="004E025C" w:rsidRDefault="00B4213A" w:rsidP="00B4213A">
            <w:pPr>
              <w:pStyle w:val="Tabletext"/>
            </w:pPr>
            <w:r w:rsidRPr="004E025C">
              <w:t>The influence on the indirect estimate of efficacy is unclear but is likely to favour the IV formulation of GEMINI 2 in terms of safety.</w:t>
            </w:r>
          </w:p>
        </w:tc>
      </w:tr>
      <w:tr w:rsidR="00B60606" w:rsidRPr="004E025C" w:rsidTr="007F797B">
        <w:trPr>
          <w:cantSplit/>
        </w:trPr>
        <w:tc>
          <w:tcPr>
            <w:tcW w:w="1980" w:type="dxa"/>
          </w:tcPr>
          <w:p w:rsidR="00B60606" w:rsidRPr="004E025C" w:rsidRDefault="00B4213A" w:rsidP="00492815">
            <w:pPr>
              <w:pStyle w:val="Tabletext"/>
            </w:pPr>
            <w:r w:rsidRPr="004E025C">
              <w:t>Placebo response rates</w:t>
            </w:r>
          </w:p>
        </w:tc>
        <w:tc>
          <w:tcPr>
            <w:tcW w:w="2835" w:type="dxa"/>
            <w:gridSpan w:val="2"/>
          </w:tcPr>
          <w:p w:rsidR="00B60606" w:rsidRPr="004E025C" w:rsidRDefault="00B4213A" w:rsidP="00184AE2">
            <w:pPr>
              <w:pStyle w:val="Tabletext"/>
            </w:pPr>
            <w:r w:rsidRPr="004E025C">
              <w:t xml:space="preserve">Placebo response rates were higher in VISIBLE 2 than in GEMINI 2 for most of the outcomes (see </w:t>
            </w:r>
            <w:r w:rsidR="00107F8A" w:rsidRPr="004E025C">
              <w:t xml:space="preserve">comparative effectiveness </w:t>
            </w:r>
            <w:r w:rsidRPr="004E025C">
              <w:t>results below).</w:t>
            </w:r>
          </w:p>
        </w:tc>
        <w:tc>
          <w:tcPr>
            <w:tcW w:w="4202" w:type="dxa"/>
          </w:tcPr>
          <w:p w:rsidR="00B60606" w:rsidRPr="004E025C" w:rsidRDefault="00B4213A" w:rsidP="00FA325F">
            <w:pPr>
              <w:pStyle w:val="Tabletext"/>
            </w:pPr>
            <w:r w:rsidRPr="004E025C">
              <w:t xml:space="preserve">This may favour the IV formulation </w:t>
            </w:r>
          </w:p>
        </w:tc>
      </w:tr>
    </w:tbl>
    <w:p w:rsidR="001F6FA8" w:rsidRPr="004E025C" w:rsidRDefault="001F6FA8" w:rsidP="00B4213A">
      <w:pPr>
        <w:pStyle w:val="TableFooter"/>
        <w:rPr>
          <w:vertAlign w:val="superscript"/>
        </w:rPr>
      </w:pPr>
      <w:r w:rsidRPr="004E025C">
        <w:t>Source: Information on trial characteristics was sourced from the individual CSRs, Sections 2.4-2.6 of the main submission, and literature searches conducted during the evaluation</w:t>
      </w:r>
    </w:p>
    <w:p w:rsidR="00D95A8E" w:rsidRPr="004E025C" w:rsidRDefault="00D95A8E" w:rsidP="00B4213A">
      <w:pPr>
        <w:pStyle w:val="TableFooter"/>
      </w:pPr>
      <w:r w:rsidRPr="004E025C">
        <w:rPr>
          <w:vertAlign w:val="superscript"/>
        </w:rPr>
        <w:t>a</w:t>
      </w:r>
      <w:r w:rsidRPr="004E025C">
        <w:t>Gallahan W et al. An analysis of the placebo effect in Crohn’s disease over time. Alimentary pharmacology &amp; therapeutics. 2010;31(1):102-7 and Su C et al. A meta-analysis of the placebo rates of remission and response in clinical trials of active Crohn’s disease. Gastroenterology. 2004; 126(5):1257-69.</w:t>
      </w:r>
    </w:p>
    <w:p w:rsidR="00D95A8E" w:rsidRPr="004E025C" w:rsidRDefault="00D95A8E" w:rsidP="00B4213A">
      <w:pPr>
        <w:pStyle w:val="TableFooter"/>
      </w:pPr>
      <w:r w:rsidRPr="004E025C">
        <w:rPr>
          <w:vertAlign w:val="superscript"/>
        </w:rPr>
        <w:t>b</w:t>
      </w:r>
      <w:r w:rsidRPr="004E025C">
        <w:t>Mazor Y, Maza I, Kaufman E, Ben-Horin S, Karban A, Chowers Y, et al. Prediction of disease complication occurrence in Crohn's disease using phenotype and genotype parameters at diagnosis. Journal of Crohn's and Colitis. 2011; 5(6):592-7.</w:t>
      </w:r>
    </w:p>
    <w:p w:rsidR="00FD31D9" w:rsidRPr="004E025C" w:rsidRDefault="00FD31D9" w:rsidP="00B4213A">
      <w:pPr>
        <w:pStyle w:val="TableFooter"/>
      </w:pPr>
      <w:r w:rsidRPr="004E025C">
        <w:rPr>
          <w:vertAlign w:val="superscript"/>
        </w:rPr>
        <w:t>c</w:t>
      </w:r>
      <w:r w:rsidRPr="004E025C">
        <w:t>Billioud V, Sandborn WJ, Peyrin-Biroulet L. Loss of response and need for adalimumab dose intensification in Crohn's disease: a systematic review. American Journal of Gastroenterology. 2011;106(4):674-84.</w:t>
      </w:r>
    </w:p>
    <w:p w:rsidR="00FD31D9" w:rsidRPr="004E025C" w:rsidRDefault="00FD31D9" w:rsidP="00B4213A">
      <w:pPr>
        <w:pStyle w:val="TableFooter"/>
      </w:pPr>
      <w:r w:rsidRPr="004E025C">
        <w:rPr>
          <w:vertAlign w:val="superscript"/>
        </w:rPr>
        <w:t>d</w:t>
      </w:r>
      <w:r w:rsidRPr="004E025C">
        <w:t>Greuter T, Manser C, Pittet V, Vavricka SR, Biedermann L. Gender Differences in Inflammatory Bowel Disease. Digestion. 2020:1-7.</w:t>
      </w:r>
    </w:p>
    <w:p w:rsidR="001F6FA8" w:rsidRPr="004E025C" w:rsidRDefault="001F6FA8" w:rsidP="00B4213A">
      <w:pPr>
        <w:pStyle w:val="TableFooter"/>
      </w:pPr>
      <w:r w:rsidRPr="004E025C">
        <w:rPr>
          <w:vertAlign w:val="superscript"/>
        </w:rPr>
        <w:t>e</w:t>
      </w:r>
      <w:r w:rsidRPr="004E025C">
        <w:t>Lopez A et al. Adherence to anti-TNF therapy in inflammatory bowel diseases: a systematic review. Inflammatory Bowel Diseases. 2013; 19(7):1528-33 AND Parkes GC et al. Smoking in inflammatory bowel disease: impact on disease course and insights into the aetiology of its effect. Journal of Crohn's and Colitis. 2014;8(8):717-25.</w:t>
      </w:r>
    </w:p>
    <w:p w:rsidR="001F6FA8" w:rsidRPr="004E025C" w:rsidRDefault="001F6FA8" w:rsidP="00B4213A">
      <w:pPr>
        <w:pStyle w:val="TableFooter"/>
      </w:pPr>
      <w:r w:rsidRPr="004E025C">
        <w:rPr>
          <w:vertAlign w:val="superscript"/>
        </w:rPr>
        <w:t>f</w:t>
      </w:r>
      <w:r w:rsidRPr="004E025C">
        <w:t>Faleck DM et al. Shorter disease duration is associated with higher rates of response to vedolizumab in patients with Crohn’s disease but not ulcerative colitis. Clinical Gastroenterology and Hepatology. 2019; 17(12):2497-505. e1.</w:t>
      </w:r>
    </w:p>
    <w:p w:rsidR="001F6FA8" w:rsidRPr="004E025C" w:rsidRDefault="001F6FA8" w:rsidP="00B4213A">
      <w:pPr>
        <w:pStyle w:val="TableFooter"/>
      </w:pPr>
      <w:r w:rsidRPr="004E025C">
        <w:rPr>
          <w:vertAlign w:val="superscript"/>
        </w:rPr>
        <w:t>g</w:t>
      </w:r>
      <w:r w:rsidR="00C500D3" w:rsidRPr="004E025C">
        <w:t>Bourgonje AR, von Martels JZ, de Vos P, Faber KN, Dijkstra G. Increased fecal calprotectin levels in Crohn’s disease correlate with elevated serum Th1-and Th17-associated cytokines. PLoS One. 2018;13(2):e0193202</w:t>
      </w:r>
    </w:p>
    <w:p w:rsidR="007F748D" w:rsidRPr="004E025C" w:rsidRDefault="007F748D" w:rsidP="00B4213A">
      <w:pPr>
        <w:pStyle w:val="TableFooter"/>
      </w:pPr>
    </w:p>
    <w:p w:rsidR="007F748D" w:rsidRPr="004E025C" w:rsidRDefault="007F748D" w:rsidP="001C61AF">
      <w:pPr>
        <w:pStyle w:val="3-BodyText"/>
      </w:pPr>
      <w:r w:rsidRPr="004E025C">
        <w:t xml:space="preserve">The relevant assessment of the risk of bias/confounding associated with the indirect comparison was considered high. The strength of inference associated with the indirect comparison was limited given the high uncertainty regarding whether any of the observed </w:t>
      </w:r>
      <w:r w:rsidR="00405F9E" w:rsidRPr="004E025C">
        <w:t xml:space="preserve">heterogeneity </w:t>
      </w:r>
      <w:r w:rsidRPr="004E025C">
        <w:t>between the trials could have influenced the indirect comparative treatment effect.</w:t>
      </w:r>
    </w:p>
    <w:p w:rsidR="001A0CA0" w:rsidRPr="004E025C" w:rsidRDefault="00F17C44" w:rsidP="007F797B">
      <w:pPr>
        <w:pStyle w:val="3-BodyText"/>
      </w:pPr>
      <w:r w:rsidRPr="004E025C">
        <w:t>A non-inferiority margin was not provided to support the submission’s claim of non-inferiority of VDZ SC to VDZ IV.</w:t>
      </w:r>
    </w:p>
    <w:p w:rsidR="00CD4484" w:rsidRPr="004E025C" w:rsidRDefault="00CD4484" w:rsidP="00CD4484">
      <w:pPr>
        <w:pStyle w:val="4-SubsectionHeading"/>
      </w:pPr>
      <w:bookmarkStart w:id="16" w:name="_Toc51141263"/>
      <w:r w:rsidRPr="004E025C">
        <w:t>Ulcerative colitis</w:t>
      </w:r>
      <w:bookmarkEnd w:id="16"/>
    </w:p>
    <w:p w:rsidR="001E3C79" w:rsidRPr="004E025C" w:rsidRDefault="001E3C79" w:rsidP="00266EA7">
      <w:pPr>
        <w:pStyle w:val="5-SubsectionSubheading"/>
        <w:rPr>
          <w:i/>
        </w:rPr>
      </w:pPr>
      <w:bookmarkStart w:id="17" w:name="_Toc51141264"/>
      <w:r w:rsidRPr="004E025C">
        <w:rPr>
          <w:i/>
        </w:rPr>
        <w:t>Comparative effectiveness</w:t>
      </w:r>
      <w:bookmarkEnd w:id="17"/>
    </w:p>
    <w:p w:rsidR="002C40BE" w:rsidRPr="004E025C" w:rsidRDefault="002C40BE" w:rsidP="002C40BE">
      <w:pPr>
        <w:pStyle w:val="3-BodyText"/>
        <w:numPr>
          <w:ilvl w:val="1"/>
          <w:numId w:val="1"/>
        </w:numPr>
      </w:pPr>
      <w:bookmarkStart w:id="18" w:name="_Toc22897641"/>
      <w:bookmarkStart w:id="19" w:name="_Toc22897642"/>
      <w:r w:rsidRPr="004E025C">
        <w:t xml:space="preserve">The primary outcome of the VISIBLE 1 trial was to show the difference in clinical remission between </w:t>
      </w:r>
      <w:r w:rsidR="00621C90" w:rsidRPr="004E025C">
        <w:t>VDZ SC</w:t>
      </w:r>
      <w:r w:rsidRPr="004E025C">
        <w:t xml:space="preserve"> and the placebo arm, with </w:t>
      </w:r>
      <w:r w:rsidR="00621C90" w:rsidRPr="004E025C">
        <w:t>VDZ IV</w:t>
      </w:r>
      <w:r w:rsidRPr="004E025C">
        <w:t xml:space="preserve"> arm included as an active comparator. Results for the primary outcome showed that patients in the </w:t>
      </w:r>
      <w:r w:rsidR="00621C90" w:rsidRPr="004E025C">
        <w:t>VDZ SC</w:t>
      </w:r>
      <w:r w:rsidRPr="004E025C">
        <w:t xml:space="preserve"> arm were more likely to develop clinical remission at week 52 compared to placebo (RR= 3.24, 95%CI [1.65, 6.35]).</w:t>
      </w:r>
    </w:p>
    <w:p w:rsidR="002C40BE" w:rsidRPr="004E025C" w:rsidRDefault="006A6C02" w:rsidP="002C40BE">
      <w:pPr>
        <w:pStyle w:val="3-BodyText"/>
        <w:numPr>
          <w:ilvl w:val="1"/>
          <w:numId w:val="1"/>
        </w:numPr>
      </w:pPr>
      <w:r w:rsidRPr="004E025C">
        <w:t>Table 8</w:t>
      </w:r>
      <w:r w:rsidR="002C40BE" w:rsidRPr="004E025C">
        <w:t xml:space="preserve"> summarises the results of the comparison between the </w:t>
      </w:r>
      <w:r w:rsidR="00621C90" w:rsidRPr="004E025C">
        <w:t>VDZ SC</w:t>
      </w:r>
      <w:r w:rsidR="002C40BE" w:rsidRPr="004E025C">
        <w:t xml:space="preserve"> and the </w:t>
      </w:r>
      <w:r w:rsidR="00621C90" w:rsidRPr="004E025C">
        <w:t>VDZ IV</w:t>
      </w:r>
      <w:r w:rsidR="002C40BE" w:rsidRPr="004E025C">
        <w:t xml:space="preserve"> arms. No statistically significant difference was observed between the two arms in terms of the primary outcome (clinical remission) or the secondary outcomes (mucosal healing, durable clinical response, durable clinical remission and corticosteroid-free remission). In addition, no statistically significant difference was observed between </w:t>
      </w:r>
      <w:r w:rsidR="00621C90" w:rsidRPr="004E025C">
        <w:t>VDZ SC</w:t>
      </w:r>
      <w:r w:rsidR="002C40BE" w:rsidRPr="004E025C">
        <w:t xml:space="preserve"> and IV in terms of improvement of patient reported outcomes</w:t>
      </w:r>
      <w:r w:rsidR="004E025C">
        <w:t xml:space="preserve">. </w:t>
      </w:r>
    </w:p>
    <w:p w:rsidR="00B123C7" w:rsidRPr="004E025C" w:rsidRDefault="00B123C7" w:rsidP="00B123C7">
      <w:pPr>
        <w:pStyle w:val="TableFigureHeading"/>
      </w:pPr>
      <w:r w:rsidRPr="004E025C">
        <w:t xml:space="preserve">Table </w:t>
      </w:r>
      <w:r w:rsidR="007E6865">
        <w:rPr>
          <w:noProof/>
        </w:rPr>
        <w:t>8</w:t>
      </w:r>
      <w:r w:rsidRPr="004E025C">
        <w:t xml:space="preserve">: Comparison of efficacy outcomes at week 52 between </w:t>
      </w:r>
      <w:r w:rsidR="00EF783B" w:rsidRPr="004E025C">
        <w:t xml:space="preserve">VDZ </w:t>
      </w:r>
      <w:r w:rsidRPr="004E025C">
        <w:t>SC and IV</w:t>
      </w:r>
    </w:p>
    <w:tbl>
      <w:tblPr>
        <w:tblStyle w:val="TableGrid"/>
        <w:tblW w:w="5000" w:type="pct"/>
        <w:tblLook w:val="04A0" w:firstRow="1" w:lastRow="0" w:firstColumn="1" w:lastColumn="0" w:noHBand="0" w:noVBand="1"/>
        <w:tblCaption w:val="Table 8"/>
      </w:tblPr>
      <w:tblGrid>
        <w:gridCol w:w="2123"/>
        <w:gridCol w:w="1133"/>
        <w:gridCol w:w="1702"/>
        <w:gridCol w:w="2126"/>
        <w:gridCol w:w="1933"/>
      </w:tblGrid>
      <w:tr w:rsidR="00B123C7" w:rsidRPr="004E025C" w:rsidTr="00B17A96">
        <w:trPr>
          <w:tblHeader/>
        </w:trPr>
        <w:tc>
          <w:tcPr>
            <w:tcW w:w="1177" w:type="pct"/>
            <w:tcBorders>
              <w:bottom w:val="nil"/>
            </w:tcBorders>
            <w:shd w:val="clear" w:color="auto" w:fill="auto"/>
          </w:tcPr>
          <w:p w:rsidR="00B123C7" w:rsidRPr="004E025C" w:rsidRDefault="00B123C7" w:rsidP="00D14B50">
            <w:pPr>
              <w:pStyle w:val="In-tableHeading"/>
              <w:jc w:val="center"/>
              <w:rPr>
                <w:lang w:val="en-AU"/>
              </w:rPr>
            </w:pPr>
          </w:p>
        </w:tc>
        <w:tc>
          <w:tcPr>
            <w:tcW w:w="628" w:type="pct"/>
            <w:tcBorders>
              <w:bottom w:val="nil"/>
            </w:tcBorders>
            <w:shd w:val="clear" w:color="auto" w:fill="auto"/>
          </w:tcPr>
          <w:p w:rsidR="00B123C7" w:rsidRPr="004E025C" w:rsidRDefault="00B123C7" w:rsidP="00D14B50">
            <w:pPr>
              <w:pStyle w:val="In-tableHeading"/>
              <w:jc w:val="center"/>
              <w:rPr>
                <w:lang w:val="en-AU"/>
              </w:rPr>
            </w:pPr>
            <w:r w:rsidRPr="004E025C">
              <w:rPr>
                <w:lang w:val="en-AU"/>
              </w:rPr>
              <w:t>VDZ SC</w:t>
            </w:r>
          </w:p>
        </w:tc>
        <w:tc>
          <w:tcPr>
            <w:tcW w:w="944" w:type="pct"/>
            <w:tcBorders>
              <w:bottom w:val="nil"/>
            </w:tcBorders>
            <w:shd w:val="clear" w:color="auto" w:fill="auto"/>
          </w:tcPr>
          <w:p w:rsidR="00B123C7" w:rsidRPr="004E025C" w:rsidRDefault="00B123C7" w:rsidP="00D14B50">
            <w:pPr>
              <w:pStyle w:val="In-tableHeading"/>
              <w:jc w:val="center"/>
              <w:rPr>
                <w:lang w:val="en-AU"/>
              </w:rPr>
            </w:pPr>
            <w:r w:rsidRPr="004E025C">
              <w:rPr>
                <w:lang w:val="en-AU"/>
              </w:rPr>
              <w:t>VDZ IV</w:t>
            </w:r>
          </w:p>
        </w:tc>
        <w:tc>
          <w:tcPr>
            <w:tcW w:w="2251" w:type="pct"/>
            <w:gridSpan w:val="2"/>
            <w:tcBorders>
              <w:bottom w:val="single" w:sz="4" w:space="0" w:color="auto"/>
            </w:tcBorders>
            <w:shd w:val="clear" w:color="auto" w:fill="auto"/>
          </w:tcPr>
          <w:p w:rsidR="00B123C7" w:rsidRPr="004E025C" w:rsidRDefault="00B123C7" w:rsidP="00D14B50">
            <w:pPr>
              <w:pStyle w:val="In-tableHeading"/>
              <w:jc w:val="center"/>
              <w:rPr>
                <w:lang w:val="en-AU"/>
              </w:rPr>
            </w:pPr>
            <w:r w:rsidRPr="004E025C">
              <w:rPr>
                <w:lang w:val="en-AU"/>
              </w:rPr>
              <w:t>VDZ SC vs VDZ IV</w:t>
            </w:r>
          </w:p>
        </w:tc>
      </w:tr>
      <w:tr w:rsidR="00B123C7" w:rsidRPr="004E025C" w:rsidTr="00D14B50">
        <w:tc>
          <w:tcPr>
            <w:tcW w:w="1177" w:type="pct"/>
            <w:tcBorders>
              <w:top w:val="nil"/>
            </w:tcBorders>
            <w:shd w:val="clear" w:color="auto" w:fill="auto"/>
          </w:tcPr>
          <w:p w:rsidR="00B123C7" w:rsidRPr="004E025C" w:rsidRDefault="00B123C7" w:rsidP="00D14B50">
            <w:pPr>
              <w:pStyle w:val="In-tableHeading"/>
              <w:jc w:val="center"/>
              <w:rPr>
                <w:lang w:val="en-AU"/>
              </w:rPr>
            </w:pPr>
            <w:r w:rsidRPr="004E025C">
              <w:rPr>
                <w:lang w:val="en-AU"/>
              </w:rPr>
              <w:t>VISIBLE 1 trial</w:t>
            </w:r>
          </w:p>
        </w:tc>
        <w:tc>
          <w:tcPr>
            <w:tcW w:w="628" w:type="pct"/>
            <w:tcBorders>
              <w:top w:val="nil"/>
            </w:tcBorders>
            <w:shd w:val="clear" w:color="auto" w:fill="auto"/>
          </w:tcPr>
          <w:p w:rsidR="00B123C7" w:rsidRPr="004E025C" w:rsidRDefault="00B123C7" w:rsidP="00D14B50">
            <w:pPr>
              <w:pStyle w:val="In-tableHeading"/>
              <w:jc w:val="center"/>
              <w:rPr>
                <w:lang w:val="en-AU"/>
              </w:rPr>
            </w:pPr>
            <w:r w:rsidRPr="004E025C">
              <w:rPr>
                <w:lang w:val="en-AU"/>
              </w:rPr>
              <w:t>N = 106</w:t>
            </w:r>
          </w:p>
        </w:tc>
        <w:tc>
          <w:tcPr>
            <w:tcW w:w="944" w:type="pct"/>
            <w:tcBorders>
              <w:top w:val="nil"/>
            </w:tcBorders>
            <w:shd w:val="clear" w:color="auto" w:fill="auto"/>
          </w:tcPr>
          <w:p w:rsidR="00B123C7" w:rsidRPr="004E025C" w:rsidRDefault="00B123C7" w:rsidP="00D14B50">
            <w:pPr>
              <w:pStyle w:val="In-tableHeading"/>
              <w:jc w:val="center"/>
              <w:rPr>
                <w:lang w:val="en-AU"/>
              </w:rPr>
            </w:pPr>
            <w:r w:rsidRPr="004E025C">
              <w:rPr>
                <w:lang w:val="en-AU"/>
              </w:rPr>
              <w:t>N = 54</w:t>
            </w:r>
          </w:p>
        </w:tc>
        <w:tc>
          <w:tcPr>
            <w:tcW w:w="1179" w:type="pct"/>
            <w:tcBorders>
              <w:top w:val="single" w:sz="4" w:space="0" w:color="auto"/>
            </w:tcBorders>
            <w:shd w:val="clear" w:color="auto" w:fill="auto"/>
          </w:tcPr>
          <w:p w:rsidR="00B123C7" w:rsidRPr="004E025C" w:rsidRDefault="00B123C7" w:rsidP="00D14B50">
            <w:pPr>
              <w:pStyle w:val="In-tableHeading"/>
              <w:jc w:val="center"/>
              <w:rPr>
                <w:lang w:val="en-AU"/>
              </w:rPr>
            </w:pPr>
            <w:r w:rsidRPr="004E025C">
              <w:rPr>
                <w:lang w:val="en-AU"/>
              </w:rPr>
              <w:t xml:space="preserve">RR (95% CI) </w:t>
            </w:r>
            <w:r w:rsidRPr="004E025C">
              <w:rPr>
                <w:vertAlign w:val="superscript"/>
                <w:lang w:val="en-AU"/>
              </w:rPr>
              <w:t>a</w:t>
            </w:r>
          </w:p>
        </w:tc>
        <w:tc>
          <w:tcPr>
            <w:tcW w:w="1072" w:type="pct"/>
            <w:tcBorders>
              <w:top w:val="single" w:sz="4" w:space="0" w:color="auto"/>
            </w:tcBorders>
            <w:shd w:val="clear" w:color="auto" w:fill="auto"/>
          </w:tcPr>
          <w:p w:rsidR="00B123C7" w:rsidRPr="004E025C" w:rsidRDefault="00B123C7" w:rsidP="00D14B50">
            <w:pPr>
              <w:pStyle w:val="In-tableHeading"/>
              <w:jc w:val="center"/>
              <w:rPr>
                <w:lang w:val="en-AU"/>
              </w:rPr>
            </w:pPr>
            <w:r w:rsidRPr="004E025C">
              <w:rPr>
                <w:lang w:val="en-AU"/>
              </w:rPr>
              <w:t>RD (95% CI)</w:t>
            </w:r>
            <w:r w:rsidRPr="004E025C">
              <w:rPr>
                <w:vertAlign w:val="superscript"/>
                <w:lang w:val="en-AU"/>
              </w:rPr>
              <w:t xml:space="preserve"> a</w:t>
            </w:r>
          </w:p>
        </w:tc>
      </w:tr>
      <w:tr w:rsidR="00B123C7" w:rsidRPr="004E025C" w:rsidTr="00D14B50">
        <w:tc>
          <w:tcPr>
            <w:tcW w:w="5000" w:type="pct"/>
            <w:gridSpan w:val="5"/>
            <w:shd w:val="clear" w:color="auto" w:fill="auto"/>
          </w:tcPr>
          <w:p w:rsidR="00B123C7" w:rsidRPr="004E025C" w:rsidRDefault="00B123C7" w:rsidP="00D14B50">
            <w:pPr>
              <w:pStyle w:val="TableText0"/>
              <w:jc w:val="center"/>
              <w:rPr>
                <w:b/>
              </w:rPr>
            </w:pPr>
            <w:r w:rsidRPr="004E025C">
              <w:rPr>
                <w:b/>
              </w:rPr>
              <w:t>Primary efficacy outcome</w:t>
            </w:r>
          </w:p>
        </w:tc>
      </w:tr>
      <w:tr w:rsidR="00B123C7" w:rsidRPr="004E025C" w:rsidTr="00D14B50">
        <w:tc>
          <w:tcPr>
            <w:tcW w:w="1177" w:type="pct"/>
            <w:tcBorders>
              <w:bottom w:val="nil"/>
            </w:tcBorders>
            <w:shd w:val="clear" w:color="auto" w:fill="auto"/>
            <w:vAlign w:val="center"/>
          </w:tcPr>
          <w:p w:rsidR="00B123C7" w:rsidRPr="004E025C" w:rsidRDefault="00B123C7" w:rsidP="00D14B50">
            <w:pPr>
              <w:pStyle w:val="TableText0"/>
              <w:jc w:val="center"/>
            </w:pPr>
            <w:r w:rsidRPr="004E025C">
              <w:t xml:space="preserve">Clinical remission </w:t>
            </w:r>
            <w:r w:rsidRPr="004E025C">
              <w:rPr>
                <w:vertAlign w:val="superscript"/>
              </w:rPr>
              <w:t>b</w:t>
            </w:r>
            <w:r w:rsidRPr="004E025C">
              <w:t>, n (%)</w:t>
            </w:r>
          </w:p>
        </w:tc>
        <w:tc>
          <w:tcPr>
            <w:tcW w:w="628" w:type="pct"/>
            <w:tcBorders>
              <w:bottom w:val="nil"/>
            </w:tcBorders>
            <w:shd w:val="clear" w:color="auto" w:fill="auto"/>
            <w:vAlign w:val="center"/>
          </w:tcPr>
          <w:p w:rsidR="00B123C7" w:rsidRPr="004E025C" w:rsidRDefault="00B123C7" w:rsidP="00D14B50">
            <w:pPr>
              <w:pStyle w:val="TableText0"/>
              <w:jc w:val="center"/>
            </w:pPr>
            <w:r w:rsidRPr="004E025C">
              <w:t>49 (46.2)</w:t>
            </w:r>
          </w:p>
        </w:tc>
        <w:tc>
          <w:tcPr>
            <w:tcW w:w="944" w:type="pct"/>
            <w:tcBorders>
              <w:bottom w:val="nil"/>
            </w:tcBorders>
            <w:shd w:val="clear" w:color="auto" w:fill="auto"/>
            <w:vAlign w:val="center"/>
          </w:tcPr>
          <w:p w:rsidR="00B123C7" w:rsidRPr="004E025C" w:rsidRDefault="00B123C7" w:rsidP="00D14B50">
            <w:pPr>
              <w:pStyle w:val="TableText0"/>
              <w:jc w:val="center"/>
            </w:pPr>
            <w:r w:rsidRPr="004E025C">
              <w:t>23 (42.6)</w:t>
            </w:r>
          </w:p>
        </w:tc>
        <w:tc>
          <w:tcPr>
            <w:tcW w:w="1179" w:type="pct"/>
            <w:shd w:val="clear" w:color="auto" w:fill="auto"/>
            <w:vAlign w:val="center"/>
          </w:tcPr>
          <w:p w:rsidR="00B123C7" w:rsidRPr="004E025C" w:rsidRDefault="00B123C7" w:rsidP="00D14B50">
            <w:pPr>
              <w:pStyle w:val="TableText0"/>
              <w:jc w:val="center"/>
            </w:pPr>
            <w:r w:rsidRPr="004E025C">
              <w:t>1.09 (0.75, 1.57)</w:t>
            </w:r>
          </w:p>
          <w:p w:rsidR="00B123C7" w:rsidRPr="004E025C" w:rsidRDefault="00B123C7" w:rsidP="00D14B50">
            <w:pPr>
              <w:pStyle w:val="TableText0"/>
              <w:jc w:val="center"/>
            </w:pPr>
            <w:r w:rsidRPr="004E025C">
              <w:t>p = 0.67</w:t>
            </w:r>
          </w:p>
        </w:tc>
        <w:tc>
          <w:tcPr>
            <w:tcW w:w="1072" w:type="pct"/>
            <w:shd w:val="clear" w:color="auto" w:fill="auto"/>
            <w:vAlign w:val="center"/>
          </w:tcPr>
          <w:p w:rsidR="00B123C7" w:rsidRPr="004E025C" w:rsidRDefault="00B123C7" w:rsidP="00D14B50">
            <w:pPr>
              <w:pStyle w:val="TableText0"/>
              <w:jc w:val="center"/>
            </w:pPr>
            <w:r w:rsidRPr="004E025C">
              <w:t>0.04 (-0.13, 0.20)</w:t>
            </w:r>
          </w:p>
          <w:p w:rsidR="00B123C7" w:rsidRPr="004E025C" w:rsidRDefault="00B123C7" w:rsidP="00D14B50">
            <w:pPr>
              <w:pStyle w:val="TableText0"/>
              <w:jc w:val="center"/>
            </w:pPr>
            <w:r w:rsidRPr="004E025C">
              <w:t>p = 0.66</w:t>
            </w:r>
          </w:p>
        </w:tc>
      </w:tr>
      <w:tr w:rsidR="00B123C7" w:rsidRPr="004E025C" w:rsidTr="00D14B50">
        <w:tc>
          <w:tcPr>
            <w:tcW w:w="5000" w:type="pct"/>
            <w:gridSpan w:val="5"/>
            <w:shd w:val="clear" w:color="auto" w:fill="auto"/>
            <w:vAlign w:val="center"/>
          </w:tcPr>
          <w:p w:rsidR="00B123C7" w:rsidRPr="004E025C" w:rsidRDefault="00B123C7" w:rsidP="00D14B50">
            <w:pPr>
              <w:pStyle w:val="TableText0"/>
              <w:jc w:val="center"/>
              <w:rPr>
                <w:b/>
              </w:rPr>
            </w:pPr>
            <w:r w:rsidRPr="004E025C">
              <w:rPr>
                <w:b/>
              </w:rPr>
              <w:t>Secondary efficacy outcomes</w:t>
            </w:r>
          </w:p>
        </w:tc>
      </w:tr>
      <w:tr w:rsidR="00B123C7" w:rsidRPr="004E025C" w:rsidTr="00D14B50">
        <w:tc>
          <w:tcPr>
            <w:tcW w:w="1177" w:type="pct"/>
            <w:tcBorders>
              <w:bottom w:val="nil"/>
            </w:tcBorders>
            <w:shd w:val="clear" w:color="auto" w:fill="auto"/>
            <w:vAlign w:val="center"/>
          </w:tcPr>
          <w:p w:rsidR="00B123C7" w:rsidRPr="004E025C" w:rsidRDefault="00B123C7" w:rsidP="00D14B50">
            <w:pPr>
              <w:pStyle w:val="TableText0"/>
              <w:jc w:val="center"/>
            </w:pPr>
            <w:r w:rsidRPr="004E025C">
              <w:t xml:space="preserve">Mucosal healing </w:t>
            </w:r>
            <w:r w:rsidRPr="004E025C">
              <w:rPr>
                <w:vertAlign w:val="superscript"/>
              </w:rPr>
              <w:t>c</w:t>
            </w:r>
            <w:r w:rsidRPr="004E025C">
              <w:t>, n (%)</w:t>
            </w:r>
          </w:p>
        </w:tc>
        <w:tc>
          <w:tcPr>
            <w:tcW w:w="628" w:type="pct"/>
            <w:tcBorders>
              <w:bottom w:val="nil"/>
            </w:tcBorders>
            <w:shd w:val="clear" w:color="auto" w:fill="auto"/>
            <w:vAlign w:val="center"/>
          </w:tcPr>
          <w:p w:rsidR="00B123C7" w:rsidRPr="004E025C" w:rsidRDefault="00B123C7" w:rsidP="00D14B50">
            <w:pPr>
              <w:pStyle w:val="TableText0"/>
              <w:jc w:val="center"/>
            </w:pPr>
            <w:r w:rsidRPr="004E025C">
              <w:t>60 (56.6)</w:t>
            </w:r>
          </w:p>
        </w:tc>
        <w:tc>
          <w:tcPr>
            <w:tcW w:w="944" w:type="pct"/>
            <w:tcBorders>
              <w:bottom w:val="nil"/>
            </w:tcBorders>
            <w:shd w:val="clear" w:color="auto" w:fill="auto"/>
            <w:vAlign w:val="center"/>
          </w:tcPr>
          <w:p w:rsidR="00B123C7" w:rsidRPr="004E025C" w:rsidRDefault="00B123C7" w:rsidP="00D14B50">
            <w:pPr>
              <w:pStyle w:val="TableText0"/>
              <w:jc w:val="center"/>
            </w:pPr>
            <w:r w:rsidRPr="004E025C">
              <w:t>29 (53.7)</w:t>
            </w:r>
          </w:p>
        </w:tc>
        <w:tc>
          <w:tcPr>
            <w:tcW w:w="1179" w:type="pct"/>
            <w:shd w:val="clear" w:color="auto" w:fill="auto"/>
            <w:vAlign w:val="center"/>
          </w:tcPr>
          <w:p w:rsidR="00B123C7" w:rsidRPr="004E025C" w:rsidRDefault="00B123C7" w:rsidP="00D14B50">
            <w:pPr>
              <w:pStyle w:val="TableText0"/>
              <w:jc w:val="center"/>
            </w:pPr>
            <w:r w:rsidRPr="004E025C">
              <w:t>1.05 (0.78, 1.42)</w:t>
            </w:r>
          </w:p>
          <w:p w:rsidR="00B123C7" w:rsidRPr="004E025C" w:rsidRDefault="00B123C7" w:rsidP="00D14B50">
            <w:pPr>
              <w:pStyle w:val="TableText0"/>
              <w:jc w:val="center"/>
            </w:pPr>
            <w:r w:rsidRPr="004E025C">
              <w:t>p = 0.73</w:t>
            </w:r>
          </w:p>
        </w:tc>
        <w:tc>
          <w:tcPr>
            <w:tcW w:w="1072" w:type="pct"/>
            <w:shd w:val="clear" w:color="auto" w:fill="auto"/>
            <w:vAlign w:val="center"/>
          </w:tcPr>
          <w:p w:rsidR="00B123C7" w:rsidRPr="004E025C" w:rsidRDefault="00B123C7" w:rsidP="00D14B50">
            <w:pPr>
              <w:pStyle w:val="TableText0"/>
              <w:jc w:val="center"/>
            </w:pPr>
            <w:r w:rsidRPr="004E025C">
              <w:t>0.03 (-0.13, 0.19)</w:t>
            </w:r>
          </w:p>
          <w:p w:rsidR="00B123C7" w:rsidRPr="004E025C" w:rsidRDefault="00B123C7" w:rsidP="00D14B50">
            <w:pPr>
              <w:pStyle w:val="TableText0"/>
              <w:jc w:val="center"/>
            </w:pPr>
            <w:r w:rsidRPr="004E025C">
              <w:t>p = 0.73</w:t>
            </w:r>
          </w:p>
        </w:tc>
      </w:tr>
      <w:tr w:rsidR="00B123C7" w:rsidRPr="004E025C" w:rsidTr="00D14B50">
        <w:tc>
          <w:tcPr>
            <w:tcW w:w="1177" w:type="pct"/>
            <w:tcBorders>
              <w:bottom w:val="nil"/>
            </w:tcBorders>
            <w:shd w:val="clear" w:color="auto" w:fill="auto"/>
            <w:vAlign w:val="center"/>
          </w:tcPr>
          <w:p w:rsidR="00B123C7" w:rsidRPr="004E025C" w:rsidRDefault="00B123C7" w:rsidP="00D14B50">
            <w:pPr>
              <w:pStyle w:val="TableText0"/>
              <w:jc w:val="center"/>
            </w:pPr>
            <w:r w:rsidRPr="004E025C">
              <w:t xml:space="preserve">Durable clinical response </w:t>
            </w:r>
            <w:r w:rsidRPr="004E025C">
              <w:rPr>
                <w:vertAlign w:val="superscript"/>
              </w:rPr>
              <w:t>d</w:t>
            </w:r>
            <w:r w:rsidRPr="004E025C">
              <w:t>, n (%)</w:t>
            </w:r>
          </w:p>
        </w:tc>
        <w:tc>
          <w:tcPr>
            <w:tcW w:w="628" w:type="pct"/>
            <w:tcBorders>
              <w:bottom w:val="nil"/>
            </w:tcBorders>
            <w:shd w:val="clear" w:color="auto" w:fill="auto"/>
            <w:vAlign w:val="center"/>
          </w:tcPr>
          <w:p w:rsidR="00B123C7" w:rsidRPr="004E025C" w:rsidRDefault="00B123C7" w:rsidP="00D14B50">
            <w:pPr>
              <w:pStyle w:val="TableText0"/>
              <w:jc w:val="center"/>
            </w:pPr>
            <w:r w:rsidRPr="004E025C">
              <w:t>68 (64.2)</w:t>
            </w:r>
          </w:p>
        </w:tc>
        <w:tc>
          <w:tcPr>
            <w:tcW w:w="944" w:type="pct"/>
            <w:tcBorders>
              <w:bottom w:val="nil"/>
            </w:tcBorders>
            <w:shd w:val="clear" w:color="auto" w:fill="auto"/>
            <w:vAlign w:val="center"/>
          </w:tcPr>
          <w:p w:rsidR="00B123C7" w:rsidRPr="004E025C" w:rsidRDefault="00B123C7" w:rsidP="00D14B50">
            <w:pPr>
              <w:pStyle w:val="TableText0"/>
              <w:jc w:val="center"/>
            </w:pPr>
            <w:r w:rsidRPr="004E025C">
              <w:t>39 (72.2)</w:t>
            </w:r>
          </w:p>
        </w:tc>
        <w:tc>
          <w:tcPr>
            <w:tcW w:w="1179" w:type="pct"/>
            <w:shd w:val="clear" w:color="auto" w:fill="auto"/>
            <w:vAlign w:val="center"/>
          </w:tcPr>
          <w:p w:rsidR="00B123C7" w:rsidRPr="004E025C" w:rsidRDefault="00B123C7" w:rsidP="00D14B50">
            <w:pPr>
              <w:pStyle w:val="TableText0"/>
              <w:jc w:val="center"/>
            </w:pPr>
            <w:r w:rsidRPr="004E025C">
              <w:t>0.89 (0.71, 1.10)</w:t>
            </w:r>
          </w:p>
          <w:p w:rsidR="00B123C7" w:rsidRPr="004E025C" w:rsidRDefault="00B123C7" w:rsidP="00D14B50">
            <w:pPr>
              <w:pStyle w:val="TableText0"/>
              <w:jc w:val="center"/>
            </w:pPr>
            <w:r w:rsidRPr="004E025C">
              <w:t>p = 0.29</w:t>
            </w:r>
          </w:p>
        </w:tc>
        <w:tc>
          <w:tcPr>
            <w:tcW w:w="1072" w:type="pct"/>
            <w:shd w:val="clear" w:color="auto" w:fill="auto"/>
            <w:vAlign w:val="center"/>
          </w:tcPr>
          <w:p w:rsidR="00B123C7" w:rsidRPr="004E025C" w:rsidRDefault="00B123C7" w:rsidP="00D14B50">
            <w:pPr>
              <w:pStyle w:val="TableText0"/>
              <w:jc w:val="center"/>
            </w:pPr>
            <w:r w:rsidRPr="004E025C">
              <w:t>-0.08 (-0.23, 0.07)</w:t>
            </w:r>
          </w:p>
          <w:p w:rsidR="00B123C7" w:rsidRPr="004E025C" w:rsidRDefault="00B123C7" w:rsidP="00D14B50">
            <w:pPr>
              <w:pStyle w:val="TableText0"/>
              <w:jc w:val="center"/>
            </w:pPr>
            <w:r w:rsidRPr="004E025C">
              <w:t>p = 0.29</w:t>
            </w:r>
          </w:p>
        </w:tc>
      </w:tr>
      <w:tr w:rsidR="00B123C7" w:rsidRPr="004E025C" w:rsidTr="00D14B50">
        <w:tc>
          <w:tcPr>
            <w:tcW w:w="1177" w:type="pct"/>
            <w:tcBorders>
              <w:bottom w:val="nil"/>
            </w:tcBorders>
            <w:shd w:val="clear" w:color="auto" w:fill="auto"/>
            <w:vAlign w:val="center"/>
          </w:tcPr>
          <w:p w:rsidR="00B123C7" w:rsidRPr="004E025C" w:rsidRDefault="00B123C7" w:rsidP="00D14B50">
            <w:pPr>
              <w:pStyle w:val="TableText0"/>
              <w:jc w:val="center"/>
            </w:pPr>
            <w:r w:rsidRPr="004E025C">
              <w:t xml:space="preserve">Durable clinical remission </w:t>
            </w:r>
            <w:r w:rsidRPr="004E025C">
              <w:rPr>
                <w:vertAlign w:val="superscript"/>
              </w:rPr>
              <w:t>e</w:t>
            </w:r>
            <w:r w:rsidRPr="004E025C">
              <w:t>, n (%)</w:t>
            </w:r>
          </w:p>
        </w:tc>
        <w:tc>
          <w:tcPr>
            <w:tcW w:w="628" w:type="pct"/>
            <w:tcBorders>
              <w:bottom w:val="nil"/>
            </w:tcBorders>
            <w:shd w:val="clear" w:color="auto" w:fill="auto"/>
            <w:vAlign w:val="center"/>
          </w:tcPr>
          <w:p w:rsidR="00B123C7" w:rsidRPr="004E025C" w:rsidRDefault="00B123C7" w:rsidP="00D14B50">
            <w:pPr>
              <w:pStyle w:val="TableText0"/>
              <w:jc w:val="center"/>
            </w:pPr>
            <w:r w:rsidRPr="004E025C">
              <w:t>16 (15.1)</w:t>
            </w:r>
          </w:p>
        </w:tc>
        <w:tc>
          <w:tcPr>
            <w:tcW w:w="944" w:type="pct"/>
            <w:tcBorders>
              <w:bottom w:val="nil"/>
            </w:tcBorders>
            <w:shd w:val="clear" w:color="auto" w:fill="auto"/>
            <w:vAlign w:val="center"/>
          </w:tcPr>
          <w:p w:rsidR="00B123C7" w:rsidRPr="004E025C" w:rsidRDefault="00B123C7" w:rsidP="00D14B50">
            <w:pPr>
              <w:pStyle w:val="TableText0"/>
              <w:jc w:val="center"/>
            </w:pPr>
            <w:r w:rsidRPr="004E025C">
              <w:t>9 (16.7)</w:t>
            </w:r>
          </w:p>
        </w:tc>
        <w:tc>
          <w:tcPr>
            <w:tcW w:w="1179" w:type="pct"/>
            <w:shd w:val="clear" w:color="auto" w:fill="auto"/>
            <w:vAlign w:val="center"/>
          </w:tcPr>
          <w:p w:rsidR="00B123C7" w:rsidRPr="004E025C" w:rsidRDefault="00B123C7" w:rsidP="00D14B50">
            <w:pPr>
              <w:pStyle w:val="TableText0"/>
              <w:jc w:val="center"/>
            </w:pPr>
            <w:r w:rsidRPr="004E025C">
              <w:t>0.91 (0.43, 1.91)</w:t>
            </w:r>
          </w:p>
          <w:p w:rsidR="00B123C7" w:rsidRPr="004E025C" w:rsidRDefault="00B123C7" w:rsidP="00D14B50">
            <w:pPr>
              <w:pStyle w:val="TableText0"/>
              <w:jc w:val="center"/>
            </w:pPr>
            <w:r w:rsidRPr="004E025C">
              <w:t>p = 0.80</w:t>
            </w:r>
          </w:p>
        </w:tc>
        <w:tc>
          <w:tcPr>
            <w:tcW w:w="1072" w:type="pct"/>
            <w:shd w:val="clear" w:color="auto" w:fill="auto"/>
            <w:vAlign w:val="center"/>
          </w:tcPr>
          <w:p w:rsidR="00B123C7" w:rsidRPr="004E025C" w:rsidRDefault="00B123C7" w:rsidP="00D14B50">
            <w:pPr>
              <w:pStyle w:val="TableText0"/>
              <w:jc w:val="center"/>
            </w:pPr>
            <w:r w:rsidRPr="004E025C">
              <w:t>-0.02 (-0.14, 0.10)</w:t>
            </w:r>
          </w:p>
          <w:p w:rsidR="00B123C7" w:rsidRPr="004E025C" w:rsidRDefault="00B123C7" w:rsidP="00D14B50">
            <w:pPr>
              <w:pStyle w:val="TableText0"/>
              <w:jc w:val="center"/>
            </w:pPr>
            <w:r w:rsidRPr="004E025C">
              <w:t>p = 0.80</w:t>
            </w:r>
          </w:p>
        </w:tc>
      </w:tr>
      <w:tr w:rsidR="00B123C7" w:rsidRPr="004E025C" w:rsidTr="00D14B50">
        <w:tc>
          <w:tcPr>
            <w:tcW w:w="1177" w:type="pct"/>
            <w:tcBorders>
              <w:bottom w:val="single" w:sz="4" w:space="0" w:color="auto"/>
            </w:tcBorders>
            <w:shd w:val="clear" w:color="auto" w:fill="auto"/>
            <w:vAlign w:val="center"/>
          </w:tcPr>
          <w:p w:rsidR="00B123C7" w:rsidRPr="004E025C" w:rsidRDefault="00B123C7" w:rsidP="00D14B50">
            <w:pPr>
              <w:pStyle w:val="TableText0"/>
              <w:jc w:val="center"/>
            </w:pPr>
            <w:r w:rsidRPr="004E025C">
              <w:t xml:space="preserve">Corticosteroid-free remission </w:t>
            </w:r>
            <w:r w:rsidRPr="004E025C">
              <w:rPr>
                <w:vertAlign w:val="superscript"/>
              </w:rPr>
              <w:t>f</w:t>
            </w:r>
            <w:r w:rsidRPr="004E025C">
              <w:t>, n (%)</w:t>
            </w:r>
          </w:p>
        </w:tc>
        <w:tc>
          <w:tcPr>
            <w:tcW w:w="628" w:type="pct"/>
            <w:tcBorders>
              <w:bottom w:val="single" w:sz="4" w:space="0" w:color="auto"/>
            </w:tcBorders>
            <w:shd w:val="clear" w:color="auto" w:fill="auto"/>
            <w:vAlign w:val="center"/>
          </w:tcPr>
          <w:p w:rsidR="00B123C7" w:rsidRPr="004E025C" w:rsidRDefault="00B123C7" w:rsidP="00D14B50">
            <w:pPr>
              <w:pStyle w:val="TableText0"/>
              <w:jc w:val="center"/>
            </w:pPr>
            <w:r w:rsidRPr="004E025C">
              <w:t>N = 45</w:t>
            </w:r>
          </w:p>
          <w:p w:rsidR="00B123C7" w:rsidRPr="004E025C" w:rsidRDefault="00B123C7" w:rsidP="00D14B50">
            <w:pPr>
              <w:pStyle w:val="TableText0"/>
              <w:jc w:val="center"/>
            </w:pPr>
            <w:r w:rsidRPr="004E025C">
              <w:t>13 (28.9)</w:t>
            </w:r>
          </w:p>
        </w:tc>
        <w:tc>
          <w:tcPr>
            <w:tcW w:w="944" w:type="pct"/>
            <w:tcBorders>
              <w:bottom w:val="single" w:sz="4" w:space="0" w:color="auto"/>
            </w:tcBorders>
            <w:shd w:val="clear" w:color="auto" w:fill="auto"/>
            <w:vAlign w:val="center"/>
          </w:tcPr>
          <w:p w:rsidR="00B123C7" w:rsidRPr="004E025C" w:rsidRDefault="00B123C7" w:rsidP="00D14B50">
            <w:pPr>
              <w:pStyle w:val="TableText0"/>
              <w:jc w:val="center"/>
            </w:pPr>
            <w:r w:rsidRPr="004E025C">
              <w:t>N = 21</w:t>
            </w:r>
          </w:p>
          <w:p w:rsidR="00B123C7" w:rsidRPr="004E025C" w:rsidRDefault="00B123C7" w:rsidP="00D14B50">
            <w:pPr>
              <w:pStyle w:val="TableText0"/>
              <w:jc w:val="center"/>
            </w:pPr>
            <w:r w:rsidRPr="004E025C">
              <w:t>6 (28.6)</w:t>
            </w:r>
          </w:p>
        </w:tc>
        <w:tc>
          <w:tcPr>
            <w:tcW w:w="1179" w:type="pct"/>
            <w:shd w:val="clear" w:color="auto" w:fill="auto"/>
            <w:vAlign w:val="center"/>
          </w:tcPr>
          <w:p w:rsidR="00B123C7" w:rsidRPr="004E025C" w:rsidRDefault="00B123C7" w:rsidP="00D14B50">
            <w:pPr>
              <w:pStyle w:val="TableText0"/>
              <w:jc w:val="center"/>
            </w:pPr>
            <w:r w:rsidRPr="004E025C">
              <w:t>1.01 (0.45, 2.29)</w:t>
            </w:r>
          </w:p>
          <w:p w:rsidR="00B123C7" w:rsidRPr="004E025C" w:rsidRDefault="00B123C7" w:rsidP="00D14B50">
            <w:pPr>
              <w:pStyle w:val="TableText0"/>
              <w:jc w:val="center"/>
            </w:pPr>
            <w:r w:rsidRPr="004E025C">
              <w:t>p = 0.98</w:t>
            </w:r>
          </w:p>
        </w:tc>
        <w:tc>
          <w:tcPr>
            <w:tcW w:w="1072" w:type="pct"/>
            <w:shd w:val="clear" w:color="auto" w:fill="auto"/>
            <w:vAlign w:val="center"/>
          </w:tcPr>
          <w:p w:rsidR="00B123C7" w:rsidRPr="004E025C" w:rsidRDefault="00B123C7" w:rsidP="00D14B50">
            <w:pPr>
              <w:pStyle w:val="TableText0"/>
              <w:jc w:val="center"/>
            </w:pPr>
            <w:r w:rsidRPr="004E025C">
              <w:t>0.00 (-0.23, 0.24)</w:t>
            </w:r>
          </w:p>
          <w:p w:rsidR="00B123C7" w:rsidRPr="004E025C" w:rsidRDefault="00B123C7" w:rsidP="00D14B50">
            <w:pPr>
              <w:pStyle w:val="TableText0"/>
              <w:jc w:val="center"/>
            </w:pPr>
            <w:r w:rsidRPr="004E025C">
              <w:t>p = 0.98</w:t>
            </w:r>
          </w:p>
        </w:tc>
      </w:tr>
    </w:tbl>
    <w:p w:rsidR="00B123C7" w:rsidRPr="004E025C" w:rsidRDefault="00B123C7" w:rsidP="00B123C7">
      <w:pPr>
        <w:pStyle w:val="TableFigureFooter"/>
      </w:pPr>
      <w:r w:rsidRPr="004E025C">
        <w:t>Source: Table 2.2.23, p54 of the submission</w:t>
      </w:r>
    </w:p>
    <w:p w:rsidR="00B123C7" w:rsidRPr="004E025C" w:rsidRDefault="00B123C7" w:rsidP="00B123C7">
      <w:pPr>
        <w:pStyle w:val="TableFigureFooter"/>
        <w:rPr>
          <w:bCs/>
        </w:rPr>
      </w:pPr>
      <w:r w:rsidRPr="004E025C">
        <w:rPr>
          <w:bCs/>
        </w:rPr>
        <w:t>CI = confidence interval; IV = intravenous; OR = odds ratio; RD = risk difference; RR = relative risk; SC = subcutaneous; SD = standard deviation; VDZ = vedolizumab</w:t>
      </w:r>
    </w:p>
    <w:p w:rsidR="00B123C7" w:rsidRPr="004E025C" w:rsidRDefault="00B123C7" w:rsidP="00B123C7">
      <w:pPr>
        <w:pStyle w:val="TableFigureFooter"/>
        <w:rPr>
          <w:bCs/>
        </w:rPr>
      </w:pPr>
      <w:r w:rsidRPr="004E025C">
        <w:rPr>
          <w:bCs/>
        </w:rPr>
        <w:t xml:space="preserve">a </w:t>
      </w:r>
      <w:r w:rsidR="000969D4" w:rsidRPr="004E025C">
        <w:rPr>
          <w:bCs/>
        </w:rPr>
        <w:t>Treatment effect and confidence intervals were calculated using RevMan v5.3</w:t>
      </w:r>
    </w:p>
    <w:p w:rsidR="00B123C7" w:rsidRPr="004E025C" w:rsidRDefault="00B123C7" w:rsidP="00B123C7">
      <w:pPr>
        <w:pStyle w:val="TableFigureFooter"/>
        <w:rPr>
          <w:bCs/>
        </w:rPr>
      </w:pPr>
      <w:r w:rsidRPr="004E025C">
        <w:rPr>
          <w:bCs/>
        </w:rPr>
        <w:t>b Clinical remission was defined as a complete Mayo score of ≤ 2 points and no individual subscore &gt; 1 point</w:t>
      </w:r>
    </w:p>
    <w:p w:rsidR="00B123C7" w:rsidRPr="004E025C" w:rsidRDefault="00B123C7" w:rsidP="00B123C7">
      <w:pPr>
        <w:pStyle w:val="TableFigureFooter"/>
        <w:rPr>
          <w:bCs/>
        </w:rPr>
      </w:pPr>
      <w:r w:rsidRPr="004E025C">
        <w:rPr>
          <w:bCs/>
        </w:rPr>
        <w:t>c Mucosal healing, defined as a Mayo endoscopic subscore of ≤1 point, at Week 52 was the first secondary efficacy outcome</w:t>
      </w:r>
    </w:p>
    <w:p w:rsidR="00B123C7" w:rsidRPr="004E025C" w:rsidRDefault="00B123C7" w:rsidP="00B123C7">
      <w:pPr>
        <w:pStyle w:val="TableFigureFooter"/>
        <w:rPr>
          <w:bCs/>
        </w:rPr>
      </w:pPr>
      <w:r w:rsidRPr="004E025C">
        <w:rPr>
          <w:bCs/>
        </w:rPr>
        <w:t>d Durable clinical response, defined as response at both Weeks 6 and 52. Clinical response is defined as a reduction in complete Mayo score of ≥ 3 points and ≥</w:t>
      </w:r>
      <w:r w:rsidR="00FD0AA6" w:rsidRPr="004E025C">
        <w:rPr>
          <w:bCs/>
        </w:rPr>
        <w:t xml:space="preserve"> 30% from baseline (Week 0) (or </w:t>
      </w:r>
      <w:r w:rsidRPr="004E025C">
        <w:rPr>
          <w:bCs/>
        </w:rPr>
        <w:t>partial Mayo score of ≥ 2 points and ≥ 25% from baseline, if the complete Mayo score was not performed at the visit) with an accompanying decrease in rectal bleeding subscore of ≥ 1 point or absolute rectal bleeding subscore of ≤ 1 point</w:t>
      </w:r>
    </w:p>
    <w:p w:rsidR="00B123C7" w:rsidRPr="004E025C" w:rsidRDefault="00B123C7" w:rsidP="00B123C7">
      <w:pPr>
        <w:pStyle w:val="TableFigureFooter"/>
        <w:rPr>
          <w:bCs/>
        </w:rPr>
      </w:pPr>
      <w:r w:rsidRPr="004E025C">
        <w:rPr>
          <w:bCs/>
        </w:rPr>
        <w:t>e Durable clinical remission, defined as remission at both Weeks 6 and 52</w:t>
      </w:r>
    </w:p>
    <w:p w:rsidR="00B123C7" w:rsidRPr="004E025C" w:rsidRDefault="00B123C7" w:rsidP="00B123C7">
      <w:pPr>
        <w:pStyle w:val="TableFigureFooter"/>
        <w:rPr>
          <w:bCs/>
        </w:rPr>
      </w:pPr>
      <w:r w:rsidRPr="004E025C">
        <w:rPr>
          <w:bCs/>
        </w:rPr>
        <w:t>f Corticosteroid-free remission, defined as patients using oral corticosteroids at baseline (determined by interactive voice response system at time of randomisation) who have discontinued oral corticosteroids and were in clinical remission based on the complete Mayo score at Week 52, was the fourth secondary efficacy outcome</w:t>
      </w:r>
    </w:p>
    <w:p w:rsidR="00B123C7" w:rsidRPr="004E025C" w:rsidRDefault="00B123C7" w:rsidP="00B123C7">
      <w:pPr>
        <w:pStyle w:val="5-SubsectionSubheading"/>
        <w:rPr>
          <w:rStyle w:val="TableFigureHeadingChar"/>
          <w:i/>
        </w:rPr>
      </w:pPr>
      <w:bookmarkStart w:id="20" w:name="_Toc51141265"/>
      <w:r w:rsidRPr="004E025C">
        <w:rPr>
          <w:i/>
        </w:rPr>
        <w:t>Comparative harms</w:t>
      </w:r>
      <w:bookmarkEnd w:id="20"/>
    </w:p>
    <w:p w:rsidR="002C40BE" w:rsidRPr="004E025C" w:rsidRDefault="002C40BE" w:rsidP="002C40BE">
      <w:pPr>
        <w:pStyle w:val="3-BodyText"/>
        <w:numPr>
          <w:ilvl w:val="1"/>
          <w:numId w:val="1"/>
        </w:numPr>
      </w:pPr>
      <w:r w:rsidRPr="004E025C">
        <w:t xml:space="preserve">No statistically significant difference was observed between the </w:t>
      </w:r>
      <w:r w:rsidR="00621C90" w:rsidRPr="004E025C">
        <w:t>VDZ SC</w:t>
      </w:r>
      <w:r w:rsidRPr="004E025C">
        <w:t xml:space="preserve"> arm and the placebo arm in terms of safety or adverse events, however, there were numerically higher rates of gastrointestinal disorders, colitis ulcerative and infections in the placebo arm. </w:t>
      </w:r>
    </w:p>
    <w:p w:rsidR="002C40BE" w:rsidRPr="004E025C" w:rsidRDefault="002C40BE" w:rsidP="002C40BE">
      <w:pPr>
        <w:pStyle w:val="3-BodyText"/>
        <w:numPr>
          <w:ilvl w:val="1"/>
          <w:numId w:val="1"/>
        </w:numPr>
        <w:rPr>
          <w:color w:val="0066FF"/>
        </w:rPr>
      </w:pPr>
      <w:r w:rsidRPr="004E025C">
        <w:t xml:space="preserve">Summary of the safety comparison between </w:t>
      </w:r>
      <w:r w:rsidR="00621C90" w:rsidRPr="004E025C">
        <w:t>VDZ SC</w:t>
      </w:r>
      <w:r w:rsidR="006A6C02" w:rsidRPr="004E025C">
        <w:t xml:space="preserve"> and IV is presented in Table 9</w:t>
      </w:r>
      <w:r w:rsidRPr="004E025C">
        <w:t xml:space="preserve">. Overall, no statistically significant differences were observed between the two arms in terms of total adverse events, drug related adverse events, serious adverse events or adverse events leading to discontinuation of treatment. As mentioned previously, these results should be considered in the context that the VISIBLE 1 trial was not powered to detect a difference between the SC and the IV </w:t>
      </w:r>
      <w:r w:rsidR="00EF783B" w:rsidRPr="004E025C">
        <w:t xml:space="preserve">VDZ </w:t>
      </w:r>
      <w:r w:rsidR="00AD33F5" w:rsidRPr="004E025C">
        <w:t xml:space="preserve">treatment </w:t>
      </w:r>
      <w:r w:rsidRPr="004E025C">
        <w:t>arms.</w:t>
      </w:r>
    </w:p>
    <w:p w:rsidR="00B123C7" w:rsidRPr="004E025C" w:rsidRDefault="00B123C7" w:rsidP="00B123C7">
      <w:pPr>
        <w:pStyle w:val="TableFigureHeading"/>
      </w:pPr>
      <w:r w:rsidRPr="004E025C">
        <w:t xml:space="preserve">Table </w:t>
      </w:r>
      <w:r w:rsidR="007E6865">
        <w:rPr>
          <w:noProof/>
        </w:rPr>
        <w:t>9</w:t>
      </w:r>
      <w:r w:rsidRPr="004E025C">
        <w:t xml:space="preserve">:  Comparison of safety outcomes and AESIs between </w:t>
      </w:r>
      <w:r w:rsidR="00EF783B" w:rsidRPr="004E025C">
        <w:t xml:space="preserve">VDZ </w:t>
      </w:r>
      <w:r w:rsidRPr="004E025C">
        <w:t>SC and IV</w:t>
      </w:r>
    </w:p>
    <w:tbl>
      <w:tblPr>
        <w:tblStyle w:val="TableGrid"/>
        <w:tblW w:w="5000" w:type="pct"/>
        <w:tblLook w:val="04A0" w:firstRow="1" w:lastRow="0" w:firstColumn="1" w:lastColumn="0" w:noHBand="0" w:noVBand="1"/>
        <w:tblCaption w:val="Table 9"/>
      </w:tblPr>
      <w:tblGrid>
        <w:gridCol w:w="1554"/>
        <w:gridCol w:w="1132"/>
        <w:gridCol w:w="992"/>
        <w:gridCol w:w="1701"/>
        <w:gridCol w:w="1701"/>
        <w:gridCol w:w="1937"/>
      </w:tblGrid>
      <w:tr w:rsidR="00B123C7" w:rsidRPr="004E025C" w:rsidTr="00B17A96">
        <w:trPr>
          <w:trHeight w:val="244"/>
          <w:tblHeader/>
        </w:trPr>
        <w:tc>
          <w:tcPr>
            <w:tcW w:w="862" w:type="pct"/>
            <w:vMerge w:val="restart"/>
            <w:shd w:val="clear" w:color="auto" w:fill="auto"/>
            <w:vAlign w:val="center"/>
          </w:tcPr>
          <w:p w:rsidR="00B123C7" w:rsidRPr="004E025C" w:rsidRDefault="00B123C7" w:rsidP="00D14B50">
            <w:pPr>
              <w:pStyle w:val="TableText0"/>
              <w:jc w:val="center"/>
              <w:rPr>
                <w:b/>
              </w:rPr>
            </w:pPr>
            <w:r w:rsidRPr="004E025C">
              <w:rPr>
                <w:b/>
              </w:rPr>
              <w:t>Adverse events, n (%)</w:t>
            </w:r>
          </w:p>
        </w:tc>
        <w:tc>
          <w:tcPr>
            <w:tcW w:w="628" w:type="pct"/>
            <w:tcBorders>
              <w:bottom w:val="nil"/>
            </w:tcBorders>
            <w:shd w:val="clear" w:color="auto" w:fill="auto"/>
          </w:tcPr>
          <w:p w:rsidR="00B123C7" w:rsidRPr="004E025C" w:rsidRDefault="00B123C7" w:rsidP="00D14B50">
            <w:pPr>
              <w:pStyle w:val="TableText0"/>
              <w:jc w:val="center"/>
              <w:rPr>
                <w:b/>
              </w:rPr>
            </w:pPr>
            <w:r w:rsidRPr="004E025C">
              <w:rPr>
                <w:b/>
              </w:rPr>
              <w:t>VDZ SC</w:t>
            </w:r>
          </w:p>
        </w:tc>
        <w:tc>
          <w:tcPr>
            <w:tcW w:w="550" w:type="pct"/>
            <w:tcBorders>
              <w:bottom w:val="nil"/>
            </w:tcBorders>
            <w:shd w:val="clear" w:color="auto" w:fill="auto"/>
          </w:tcPr>
          <w:p w:rsidR="00B123C7" w:rsidRPr="004E025C" w:rsidRDefault="00B123C7" w:rsidP="00D14B50">
            <w:pPr>
              <w:pStyle w:val="TableText0"/>
              <w:jc w:val="center"/>
              <w:rPr>
                <w:b/>
              </w:rPr>
            </w:pPr>
            <w:r w:rsidRPr="004E025C">
              <w:rPr>
                <w:b/>
              </w:rPr>
              <w:t>VDZ IV</w:t>
            </w:r>
          </w:p>
        </w:tc>
        <w:tc>
          <w:tcPr>
            <w:tcW w:w="2961" w:type="pct"/>
            <w:gridSpan w:val="3"/>
            <w:tcBorders>
              <w:bottom w:val="single" w:sz="4" w:space="0" w:color="auto"/>
            </w:tcBorders>
            <w:shd w:val="clear" w:color="auto" w:fill="auto"/>
          </w:tcPr>
          <w:p w:rsidR="00B123C7" w:rsidRPr="004E025C" w:rsidRDefault="00B123C7" w:rsidP="00D14B50">
            <w:pPr>
              <w:pStyle w:val="TableText0"/>
              <w:jc w:val="center"/>
              <w:rPr>
                <w:b/>
              </w:rPr>
            </w:pPr>
            <w:r w:rsidRPr="004E025C">
              <w:rPr>
                <w:b/>
              </w:rPr>
              <w:t>VDZ SC vs VDZ IV</w:t>
            </w:r>
          </w:p>
        </w:tc>
      </w:tr>
      <w:tr w:rsidR="00B123C7" w:rsidRPr="004E025C" w:rsidTr="00B17A96">
        <w:trPr>
          <w:trHeight w:val="244"/>
          <w:tblHeader/>
        </w:trPr>
        <w:tc>
          <w:tcPr>
            <w:tcW w:w="862" w:type="pct"/>
            <w:vMerge/>
            <w:shd w:val="clear" w:color="auto" w:fill="auto"/>
          </w:tcPr>
          <w:p w:rsidR="00B123C7" w:rsidRPr="004E025C" w:rsidRDefault="00B123C7" w:rsidP="00D14B50">
            <w:pPr>
              <w:pStyle w:val="TableText0"/>
              <w:jc w:val="center"/>
              <w:rPr>
                <w:b/>
              </w:rPr>
            </w:pPr>
          </w:p>
        </w:tc>
        <w:tc>
          <w:tcPr>
            <w:tcW w:w="628" w:type="pct"/>
            <w:tcBorders>
              <w:top w:val="nil"/>
            </w:tcBorders>
            <w:shd w:val="clear" w:color="auto" w:fill="auto"/>
          </w:tcPr>
          <w:p w:rsidR="00B123C7" w:rsidRPr="004E025C" w:rsidRDefault="00B123C7" w:rsidP="00D14B50">
            <w:pPr>
              <w:pStyle w:val="TableText0"/>
              <w:jc w:val="center"/>
              <w:rPr>
                <w:b/>
              </w:rPr>
            </w:pPr>
            <w:r w:rsidRPr="004E025C">
              <w:rPr>
                <w:b/>
              </w:rPr>
              <w:t>N = 106</w:t>
            </w:r>
          </w:p>
        </w:tc>
        <w:tc>
          <w:tcPr>
            <w:tcW w:w="550" w:type="pct"/>
            <w:tcBorders>
              <w:top w:val="nil"/>
            </w:tcBorders>
            <w:shd w:val="clear" w:color="auto" w:fill="auto"/>
          </w:tcPr>
          <w:p w:rsidR="00B123C7" w:rsidRPr="004E025C" w:rsidRDefault="00B123C7" w:rsidP="00D14B50">
            <w:pPr>
              <w:pStyle w:val="TableText0"/>
              <w:jc w:val="center"/>
              <w:rPr>
                <w:b/>
              </w:rPr>
            </w:pPr>
            <w:r w:rsidRPr="004E025C">
              <w:rPr>
                <w:b/>
              </w:rPr>
              <w:t>N = 54</w:t>
            </w:r>
          </w:p>
        </w:tc>
        <w:tc>
          <w:tcPr>
            <w:tcW w:w="943" w:type="pct"/>
            <w:tcBorders>
              <w:top w:val="single" w:sz="4" w:space="0" w:color="auto"/>
            </w:tcBorders>
            <w:shd w:val="clear" w:color="auto" w:fill="auto"/>
          </w:tcPr>
          <w:p w:rsidR="00B123C7" w:rsidRPr="004E025C" w:rsidRDefault="00B123C7" w:rsidP="00D14B50">
            <w:pPr>
              <w:pStyle w:val="TableText0"/>
              <w:jc w:val="center"/>
              <w:rPr>
                <w:b/>
              </w:rPr>
            </w:pPr>
            <w:r w:rsidRPr="004E025C">
              <w:rPr>
                <w:b/>
              </w:rPr>
              <w:t xml:space="preserve">RR (95% CI) </w:t>
            </w:r>
            <w:r w:rsidRPr="004E025C">
              <w:rPr>
                <w:b/>
                <w:vertAlign w:val="superscript"/>
              </w:rPr>
              <w:t>a</w:t>
            </w:r>
          </w:p>
        </w:tc>
        <w:tc>
          <w:tcPr>
            <w:tcW w:w="943" w:type="pct"/>
            <w:tcBorders>
              <w:top w:val="single" w:sz="4" w:space="0" w:color="auto"/>
            </w:tcBorders>
            <w:shd w:val="clear" w:color="auto" w:fill="auto"/>
          </w:tcPr>
          <w:p w:rsidR="00B123C7" w:rsidRPr="004E025C" w:rsidRDefault="00B123C7" w:rsidP="00D14B50">
            <w:pPr>
              <w:pStyle w:val="TableText0"/>
              <w:jc w:val="center"/>
              <w:rPr>
                <w:b/>
              </w:rPr>
            </w:pPr>
            <w:r w:rsidRPr="004E025C">
              <w:rPr>
                <w:b/>
              </w:rPr>
              <w:t>RD (95% CI)</w:t>
            </w:r>
            <w:r w:rsidRPr="004E025C">
              <w:rPr>
                <w:b/>
                <w:vertAlign w:val="superscript"/>
              </w:rPr>
              <w:t xml:space="preserve"> a</w:t>
            </w:r>
          </w:p>
        </w:tc>
        <w:tc>
          <w:tcPr>
            <w:tcW w:w="1074" w:type="pct"/>
            <w:tcBorders>
              <w:top w:val="single" w:sz="4" w:space="0" w:color="auto"/>
            </w:tcBorders>
            <w:shd w:val="clear" w:color="auto" w:fill="auto"/>
          </w:tcPr>
          <w:p w:rsidR="00B123C7" w:rsidRPr="004E025C" w:rsidRDefault="00B123C7" w:rsidP="00D14B50">
            <w:pPr>
              <w:pStyle w:val="TableText0"/>
              <w:jc w:val="center"/>
              <w:rPr>
                <w:b/>
              </w:rPr>
            </w:pPr>
            <w:r w:rsidRPr="004E025C">
              <w:rPr>
                <w:b/>
              </w:rPr>
              <w:t>OR (95% CI)</w:t>
            </w:r>
            <w:r w:rsidRPr="004E025C">
              <w:rPr>
                <w:b/>
                <w:vertAlign w:val="superscript"/>
              </w:rPr>
              <w:t xml:space="preserve"> a</w:t>
            </w:r>
          </w:p>
        </w:tc>
      </w:tr>
      <w:tr w:rsidR="00B123C7" w:rsidRPr="004E025C" w:rsidTr="00D14B50">
        <w:trPr>
          <w:trHeight w:val="244"/>
        </w:trPr>
        <w:tc>
          <w:tcPr>
            <w:tcW w:w="862" w:type="pct"/>
            <w:tcBorders>
              <w:bottom w:val="nil"/>
            </w:tcBorders>
            <w:shd w:val="clear" w:color="auto" w:fill="auto"/>
            <w:vAlign w:val="center"/>
          </w:tcPr>
          <w:p w:rsidR="00B123C7" w:rsidRPr="004E025C" w:rsidRDefault="00B123C7" w:rsidP="00D14B50">
            <w:pPr>
              <w:pStyle w:val="TableText0"/>
              <w:jc w:val="center"/>
            </w:pPr>
            <w:r w:rsidRPr="004E025C">
              <w:t>Any AEs</w:t>
            </w:r>
          </w:p>
        </w:tc>
        <w:tc>
          <w:tcPr>
            <w:tcW w:w="628" w:type="pct"/>
            <w:tcBorders>
              <w:bottom w:val="nil"/>
            </w:tcBorders>
            <w:shd w:val="clear" w:color="auto" w:fill="auto"/>
            <w:vAlign w:val="center"/>
          </w:tcPr>
          <w:p w:rsidR="00B123C7" w:rsidRPr="004E025C" w:rsidRDefault="00B123C7" w:rsidP="00D14B50">
            <w:pPr>
              <w:pStyle w:val="TableText0"/>
              <w:jc w:val="center"/>
            </w:pPr>
            <w:r w:rsidRPr="004E025C">
              <w:t>69 (65.1)</w:t>
            </w:r>
          </w:p>
        </w:tc>
        <w:tc>
          <w:tcPr>
            <w:tcW w:w="550" w:type="pct"/>
            <w:tcBorders>
              <w:bottom w:val="nil"/>
            </w:tcBorders>
            <w:shd w:val="clear" w:color="auto" w:fill="auto"/>
            <w:vAlign w:val="center"/>
          </w:tcPr>
          <w:p w:rsidR="00B123C7" w:rsidRPr="004E025C" w:rsidRDefault="00B123C7" w:rsidP="00D14B50">
            <w:pPr>
              <w:pStyle w:val="TableText0"/>
              <w:jc w:val="center"/>
            </w:pPr>
            <w:r w:rsidRPr="004E025C">
              <w:t>41 (75.9)</w:t>
            </w:r>
          </w:p>
        </w:tc>
        <w:tc>
          <w:tcPr>
            <w:tcW w:w="943" w:type="pct"/>
            <w:shd w:val="clear" w:color="auto" w:fill="auto"/>
            <w:vAlign w:val="center"/>
          </w:tcPr>
          <w:p w:rsidR="00B123C7" w:rsidRPr="004E025C" w:rsidRDefault="00B123C7" w:rsidP="00D14B50">
            <w:pPr>
              <w:pStyle w:val="TableText0"/>
              <w:jc w:val="center"/>
            </w:pPr>
            <w:r w:rsidRPr="004E025C">
              <w:t>0.86 (0.70, 1.05)</w:t>
            </w:r>
          </w:p>
          <w:p w:rsidR="00B123C7" w:rsidRPr="004E025C" w:rsidRDefault="00B123C7" w:rsidP="00D14B50">
            <w:pPr>
              <w:pStyle w:val="TableText0"/>
              <w:jc w:val="center"/>
            </w:pPr>
            <w:r w:rsidRPr="004E025C">
              <w:t>p = 0.14</w:t>
            </w:r>
          </w:p>
        </w:tc>
        <w:tc>
          <w:tcPr>
            <w:tcW w:w="943" w:type="pct"/>
            <w:shd w:val="clear" w:color="auto" w:fill="auto"/>
            <w:vAlign w:val="center"/>
          </w:tcPr>
          <w:p w:rsidR="00B123C7" w:rsidRPr="004E025C" w:rsidRDefault="00B123C7" w:rsidP="00D14B50">
            <w:pPr>
              <w:pStyle w:val="TableText0"/>
              <w:jc w:val="center"/>
            </w:pPr>
            <w:r w:rsidRPr="004E025C">
              <w:t>-0.11 (-0.25, 0.04)</w:t>
            </w:r>
          </w:p>
          <w:p w:rsidR="00B123C7" w:rsidRPr="004E025C" w:rsidRDefault="00B123C7" w:rsidP="00D14B50">
            <w:pPr>
              <w:pStyle w:val="TableText0"/>
              <w:jc w:val="center"/>
            </w:pPr>
            <w:r w:rsidRPr="004E025C">
              <w:t>p = 0.15</w:t>
            </w:r>
          </w:p>
        </w:tc>
        <w:tc>
          <w:tcPr>
            <w:tcW w:w="1074" w:type="pct"/>
            <w:shd w:val="clear" w:color="auto" w:fill="auto"/>
            <w:vAlign w:val="center"/>
          </w:tcPr>
          <w:p w:rsidR="00B123C7" w:rsidRPr="004E025C" w:rsidRDefault="00B123C7" w:rsidP="00D14B50">
            <w:pPr>
              <w:pStyle w:val="TableText0"/>
              <w:jc w:val="center"/>
            </w:pPr>
            <w:r w:rsidRPr="004E025C">
              <w:t>0.59 (0.28, 1.24)</w:t>
            </w:r>
          </w:p>
          <w:p w:rsidR="00B123C7" w:rsidRPr="004E025C" w:rsidRDefault="00B123C7" w:rsidP="00D14B50">
            <w:pPr>
              <w:pStyle w:val="TableText0"/>
              <w:jc w:val="center"/>
            </w:pPr>
            <w:r w:rsidRPr="004E025C">
              <w:t>p = 0.16</w:t>
            </w:r>
          </w:p>
        </w:tc>
      </w:tr>
      <w:tr w:rsidR="00B123C7" w:rsidRPr="004E025C" w:rsidTr="00D14B50">
        <w:trPr>
          <w:trHeight w:val="244"/>
        </w:trPr>
        <w:tc>
          <w:tcPr>
            <w:tcW w:w="862" w:type="pct"/>
            <w:tcBorders>
              <w:bottom w:val="nil"/>
            </w:tcBorders>
            <w:shd w:val="clear" w:color="auto" w:fill="auto"/>
            <w:vAlign w:val="center"/>
          </w:tcPr>
          <w:p w:rsidR="00B123C7" w:rsidRPr="004E025C" w:rsidRDefault="00B123C7" w:rsidP="00D14B50">
            <w:pPr>
              <w:pStyle w:val="TableText0"/>
              <w:jc w:val="center"/>
            </w:pPr>
            <w:r w:rsidRPr="004E025C">
              <w:t>Drug-related</w:t>
            </w:r>
          </w:p>
        </w:tc>
        <w:tc>
          <w:tcPr>
            <w:tcW w:w="628" w:type="pct"/>
            <w:tcBorders>
              <w:bottom w:val="nil"/>
            </w:tcBorders>
            <w:shd w:val="clear" w:color="auto" w:fill="auto"/>
            <w:vAlign w:val="center"/>
          </w:tcPr>
          <w:p w:rsidR="00B123C7" w:rsidRPr="004E025C" w:rsidRDefault="00B123C7" w:rsidP="00D14B50">
            <w:pPr>
              <w:pStyle w:val="TableText0"/>
              <w:jc w:val="center"/>
            </w:pPr>
            <w:r w:rsidRPr="004E025C">
              <w:t>28 (26.4)</w:t>
            </w:r>
          </w:p>
        </w:tc>
        <w:tc>
          <w:tcPr>
            <w:tcW w:w="550" w:type="pct"/>
            <w:tcBorders>
              <w:bottom w:val="nil"/>
            </w:tcBorders>
            <w:shd w:val="clear" w:color="auto" w:fill="auto"/>
            <w:vAlign w:val="center"/>
          </w:tcPr>
          <w:p w:rsidR="00B123C7" w:rsidRPr="004E025C" w:rsidRDefault="00B123C7" w:rsidP="00D14B50">
            <w:pPr>
              <w:pStyle w:val="TableText0"/>
              <w:jc w:val="center"/>
            </w:pPr>
            <w:r w:rsidRPr="004E025C">
              <w:t>9 (16.7)</w:t>
            </w:r>
          </w:p>
        </w:tc>
        <w:tc>
          <w:tcPr>
            <w:tcW w:w="943" w:type="pct"/>
            <w:shd w:val="clear" w:color="auto" w:fill="auto"/>
            <w:vAlign w:val="center"/>
          </w:tcPr>
          <w:p w:rsidR="00B123C7" w:rsidRPr="004E025C" w:rsidRDefault="00B123C7" w:rsidP="00D14B50">
            <w:pPr>
              <w:pStyle w:val="TableText0"/>
              <w:jc w:val="center"/>
            </w:pPr>
            <w:r w:rsidRPr="004E025C">
              <w:t>1.58 (0.81, 3.12)</w:t>
            </w:r>
          </w:p>
          <w:p w:rsidR="00B123C7" w:rsidRPr="004E025C" w:rsidRDefault="00B123C7" w:rsidP="00D14B50">
            <w:pPr>
              <w:pStyle w:val="TableText0"/>
              <w:jc w:val="center"/>
            </w:pPr>
            <w:r w:rsidRPr="004E025C">
              <w:t>p = 0.18</w:t>
            </w:r>
          </w:p>
        </w:tc>
        <w:tc>
          <w:tcPr>
            <w:tcW w:w="943" w:type="pct"/>
            <w:shd w:val="clear" w:color="auto" w:fill="auto"/>
            <w:vAlign w:val="center"/>
          </w:tcPr>
          <w:p w:rsidR="00B123C7" w:rsidRPr="004E025C" w:rsidRDefault="00B123C7" w:rsidP="00D14B50">
            <w:pPr>
              <w:pStyle w:val="TableText0"/>
              <w:jc w:val="center"/>
            </w:pPr>
            <w:r w:rsidRPr="004E025C">
              <w:t>0.10 (-0.03, 0.23)</w:t>
            </w:r>
          </w:p>
          <w:p w:rsidR="00B123C7" w:rsidRPr="004E025C" w:rsidRDefault="00B123C7" w:rsidP="00D14B50">
            <w:pPr>
              <w:pStyle w:val="TableText0"/>
              <w:jc w:val="center"/>
            </w:pPr>
            <w:r w:rsidRPr="004E025C">
              <w:t>p = 0.14</w:t>
            </w:r>
          </w:p>
        </w:tc>
        <w:tc>
          <w:tcPr>
            <w:tcW w:w="1074" w:type="pct"/>
            <w:shd w:val="clear" w:color="auto" w:fill="auto"/>
            <w:vAlign w:val="center"/>
          </w:tcPr>
          <w:p w:rsidR="00B123C7" w:rsidRPr="004E025C" w:rsidRDefault="00B123C7" w:rsidP="00D14B50">
            <w:pPr>
              <w:pStyle w:val="TableText0"/>
              <w:jc w:val="center"/>
            </w:pPr>
            <w:r w:rsidRPr="004E025C">
              <w:t>1.79 (0.78, 4.14)</w:t>
            </w:r>
          </w:p>
          <w:p w:rsidR="00B123C7" w:rsidRPr="004E025C" w:rsidRDefault="00B123C7" w:rsidP="00D14B50">
            <w:pPr>
              <w:pStyle w:val="TableText0"/>
              <w:jc w:val="center"/>
            </w:pPr>
            <w:r w:rsidRPr="004E025C">
              <w:t>p = 0.17</w:t>
            </w:r>
          </w:p>
        </w:tc>
      </w:tr>
      <w:tr w:rsidR="00B123C7" w:rsidRPr="004E025C" w:rsidTr="00D14B50">
        <w:trPr>
          <w:trHeight w:val="244"/>
        </w:trPr>
        <w:tc>
          <w:tcPr>
            <w:tcW w:w="862" w:type="pct"/>
            <w:tcBorders>
              <w:bottom w:val="single" w:sz="4" w:space="0" w:color="auto"/>
            </w:tcBorders>
            <w:shd w:val="clear" w:color="auto" w:fill="auto"/>
            <w:vAlign w:val="center"/>
          </w:tcPr>
          <w:p w:rsidR="00B123C7" w:rsidRPr="004E025C" w:rsidRDefault="00B123C7" w:rsidP="00D14B50">
            <w:pPr>
              <w:pStyle w:val="TableText0"/>
              <w:jc w:val="center"/>
            </w:pPr>
            <w:r w:rsidRPr="004E025C">
              <w:t>Leading to discontinuation</w:t>
            </w:r>
          </w:p>
        </w:tc>
        <w:tc>
          <w:tcPr>
            <w:tcW w:w="628" w:type="pct"/>
            <w:tcBorders>
              <w:bottom w:val="single" w:sz="4" w:space="0" w:color="auto"/>
            </w:tcBorders>
            <w:shd w:val="clear" w:color="auto" w:fill="auto"/>
            <w:vAlign w:val="center"/>
          </w:tcPr>
          <w:p w:rsidR="00B123C7" w:rsidRPr="004E025C" w:rsidRDefault="00B123C7" w:rsidP="00D14B50">
            <w:pPr>
              <w:pStyle w:val="TableText0"/>
              <w:jc w:val="center"/>
            </w:pPr>
            <w:r w:rsidRPr="004E025C">
              <w:t>5 (4.7)</w:t>
            </w:r>
          </w:p>
        </w:tc>
        <w:tc>
          <w:tcPr>
            <w:tcW w:w="550" w:type="pct"/>
            <w:tcBorders>
              <w:bottom w:val="single" w:sz="4" w:space="0" w:color="auto"/>
            </w:tcBorders>
            <w:shd w:val="clear" w:color="auto" w:fill="auto"/>
            <w:vAlign w:val="center"/>
          </w:tcPr>
          <w:p w:rsidR="00B123C7" w:rsidRPr="004E025C" w:rsidRDefault="00B123C7" w:rsidP="00D14B50">
            <w:pPr>
              <w:pStyle w:val="TableText0"/>
              <w:jc w:val="center"/>
            </w:pPr>
            <w:r w:rsidRPr="004E025C">
              <w:t>2 (3.7)</w:t>
            </w:r>
          </w:p>
        </w:tc>
        <w:tc>
          <w:tcPr>
            <w:tcW w:w="943" w:type="pct"/>
            <w:tcBorders>
              <w:bottom w:val="single" w:sz="4" w:space="0" w:color="auto"/>
            </w:tcBorders>
            <w:shd w:val="clear" w:color="auto" w:fill="auto"/>
            <w:vAlign w:val="center"/>
          </w:tcPr>
          <w:p w:rsidR="00B123C7" w:rsidRPr="004E025C" w:rsidRDefault="00B123C7" w:rsidP="00D14B50">
            <w:pPr>
              <w:pStyle w:val="TableText0"/>
              <w:jc w:val="center"/>
            </w:pPr>
            <w:r w:rsidRPr="004E025C">
              <w:t>1.27 (0.26, 6.35)</w:t>
            </w:r>
          </w:p>
          <w:p w:rsidR="00B123C7" w:rsidRPr="004E025C" w:rsidRDefault="00B123C7" w:rsidP="00D14B50">
            <w:pPr>
              <w:pStyle w:val="TableText0"/>
              <w:jc w:val="center"/>
            </w:pPr>
            <w:r w:rsidRPr="004E025C">
              <w:t>p = 0.77</w:t>
            </w:r>
          </w:p>
        </w:tc>
        <w:tc>
          <w:tcPr>
            <w:tcW w:w="943" w:type="pct"/>
            <w:tcBorders>
              <w:bottom w:val="single" w:sz="4" w:space="0" w:color="auto"/>
            </w:tcBorders>
            <w:shd w:val="clear" w:color="auto" w:fill="auto"/>
            <w:vAlign w:val="center"/>
          </w:tcPr>
          <w:p w:rsidR="00B123C7" w:rsidRPr="004E025C" w:rsidRDefault="00B123C7" w:rsidP="00D14B50">
            <w:pPr>
              <w:pStyle w:val="TableText0"/>
              <w:jc w:val="center"/>
            </w:pPr>
            <w:r w:rsidRPr="004E025C">
              <w:t>0.01 (-0.05, 0.07)</w:t>
            </w:r>
          </w:p>
          <w:p w:rsidR="00B123C7" w:rsidRPr="004E025C" w:rsidRDefault="00B123C7" w:rsidP="00D14B50">
            <w:pPr>
              <w:pStyle w:val="TableText0"/>
              <w:jc w:val="center"/>
            </w:pPr>
            <w:r w:rsidRPr="004E025C">
              <w:t>p = 0.76</w:t>
            </w:r>
          </w:p>
        </w:tc>
        <w:tc>
          <w:tcPr>
            <w:tcW w:w="1074" w:type="pct"/>
            <w:tcBorders>
              <w:bottom w:val="single" w:sz="4" w:space="0" w:color="auto"/>
            </w:tcBorders>
            <w:shd w:val="clear" w:color="auto" w:fill="auto"/>
            <w:vAlign w:val="center"/>
          </w:tcPr>
          <w:p w:rsidR="00B123C7" w:rsidRPr="004E025C" w:rsidRDefault="00B123C7" w:rsidP="00D14B50">
            <w:pPr>
              <w:pStyle w:val="TableText0"/>
              <w:jc w:val="center"/>
            </w:pPr>
            <w:r w:rsidRPr="004E025C">
              <w:t>1.29 (0.24, 6.86)</w:t>
            </w:r>
          </w:p>
          <w:p w:rsidR="00B123C7" w:rsidRPr="004E025C" w:rsidRDefault="00B123C7" w:rsidP="00D14B50">
            <w:pPr>
              <w:pStyle w:val="TableText0"/>
              <w:jc w:val="center"/>
            </w:pPr>
            <w:r w:rsidRPr="004E025C">
              <w:t>p = 0.77</w:t>
            </w:r>
          </w:p>
        </w:tc>
      </w:tr>
      <w:tr w:rsidR="00B123C7" w:rsidRPr="004E025C" w:rsidTr="00D14B50">
        <w:trPr>
          <w:trHeight w:val="244"/>
        </w:trPr>
        <w:tc>
          <w:tcPr>
            <w:tcW w:w="862" w:type="pct"/>
            <w:tcBorders>
              <w:bottom w:val="single" w:sz="4" w:space="0" w:color="auto"/>
            </w:tcBorders>
            <w:shd w:val="clear" w:color="auto" w:fill="auto"/>
            <w:vAlign w:val="center"/>
          </w:tcPr>
          <w:p w:rsidR="00B123C7" w:rsidRPr="004E025C" w:rsidRDefault="00B123C7" w:rsidP="00D14B50">
            <w:pPr>
              <w:pStyle w:val="TableText0"/>
              <w:jc w:val="center"/>
            </w:pPr>
            <w:r w:rsidRPr="004E025C">
              <w:t>SAEs</w:t>
            </w:r>
          </w:p>
        </w:tc>
        <w:tc>
          <w:tcPr>
            <w:tcW w:w="628" w:type="pct"/>
            <w:tcBorders>
              <w:bottom w:val="single" w:sz="4" w:space="0" w:color="auto"/>
            </w:tcBorders>
            <w:shd w:val="clear" w:color="auto" w:fill="auto"/>
            <w:vAlign w:val="center"/>
          </w:tcPr>
          <w:p w:rsidR="00B123C7" w:rsidRPr="004E025C" w:rsidRDefault="00B123C7" w:rsidP="00D14B50">
            <w:pPr>
              <w:pStyle w:val="TableText0"/>
              <w:jc w:val="center"/>
            </w:pPr>
            <w:r w:rsidRPr="004E025C">
              <w:t>10 (9.4)</w:t>
            </w:r>
          </w:p>
        </w:tc>
        <w:tc>
          <w:tcPr>
            <w:tcW w:w="550" w:type="pct"/>
            <w:tcBorders>
              <w:bottom w:val="single" w:sz="4" w:space="0" w:color="auto"/>
            </w:tcBorders>
            <w:shd w:val="clear" w:color="auto" w:fill="auto"/>
            <w:vAlign w:val="center"/>
          </w:tcPr>
          <w:p w:rsidR="00B123C7" w:rsidRPr="004E025C" w:rsidRDefault="00B123C7" w:rsidP="00D14B50">
            <w:pPr>
              <w:pStyle w:val="TableText0"/>
              <w:jc w:val="center"/>
            </w:pPr>
            <w:r w:rsidRPr="004E025C">
              <w:t>7 (13.0)</w:t>
            </w:r>
          </w:p>
        </w:tc>
        <w:tc>
          <w:tcPr>
            <w:tcW w:w="943" w:type="pct"/>
            <w:tcBorders>
              <w:bottom w:val="single" w:sz="4" w:space="0" w:color="auto"/>
            </w:tcBorders>
            <w:shd w:val="clear" w:color="auto" w:fill="auto"/>
            <w:vAlign w:val="center"/>
          </w:tcPr>
          <w:p w:rsidR="00B123C7" w:rsidRPr="004E025C" w:rsidRDefault="00B123C7" w:rsidP="00D14B50">
            <w:pPr>
              <w:pStyle w:val="TableText0"/>
              <w:jc w:val="center"/>
            </w:pPr>
            <w:r w:rsidRPr="004E025C">
              <w:t>0.73 (0.29, 1.81)</w:t>
            </w:r>
          </w:p>
          <w:p w:rsidR="00B123C7" w:rsidRPr="004E025C" w:rsidRDefault="00B123C7" w:rsidP="00D14B50">
            <w:pPr>
              <w:pStyle w:val="TableText0"/>
              <w:jc w:val="center"/>
            </w:pPr>
            <w:r w:rsidRPr="004E025C">
              <w:t>p = 0.49</w:t>
            </w:r>
          </w:p>
        </w:tc>
        <w:tc>
          <w:tcPr>
            <w:tcW w:w="943" w:type="pct"/>
            <w:tcBorders>
              <w:bottom w:val="single" w:sz="4" w:space="0" w:color="auto"/>
            </w:tcBorders>
            <w:shd w:val="clear" w:color="auto" w:fill="auto"/>
            <w:vAlign w:val="center"/>
          </w:tcPr>
          <w:p w:rsidR="00B123C7" w:rsidRPr="004E025C" w:rsidRDefault="00B123C7" w:rsidP="00D14B50">
            <w:pPr>
              <w:pStyle w:val="TableText0"/>
              <w:jc w:val="center"/>
            </w:pPr>
            <w:r w:rsidRPr="004E025C">
              <w:t>-0.04 (-0.14, 0.07)</w:t>
            </w:r>
          </w:p>
          <w:p w:rsidR="00B123C7" w:rsidRPr="004E025C" w:rsidRDefault="00B123C7" w:rsidP="00D14B50">
            <w:pPr>
              <w:pStyle w:val="TableText0"/>
              <w:jc w:val="center"/>
            </w:pPr>
            <w:r w:rsidRPr="004E025C">
              <w:t>p = 0.51</w:t>
            </w:r>
          </w:p>
        </w:tc>
        <w:tc>
          <w:tcPr>
            <w:tcW w:w="1074" w:type="pct"/>
            <w:tcBorders>
              <w:bottom w:val="single" w:sz="4" w:space="0" w:color="auto"/>
            </w:tcBorders>
            <w:shd w:val="clear" w:color="auto" w:fill="auto"/>
            <w:vAlign w:val="center"/>
          </w:tcPr>
          <w:p w:rsidR="00B123C7" w:rsidRPr="004E025C" w:rsidRDefault="00B123C7" w:rsidP="00D14B50">
            <w:pPr>
              <w:pStyle w:val="TableText0"/>
              <w:jc w:val="center"/>
            </w:pPr>
            <w:r w:rsidRPr="004E025C">
              <w:t>0.70 (0.25, 1.95)</w:t>
            </w:r>
          </w:p>
          <w:p w:rsidR="00B123C7" w:rsidRPr="004E025C" w:rsidRDefault="00B123C7" w:rsidP="00D14B50">
            <w:pPr>
              <w:pStyle w:val="TableText0"/>
              <w:jc w:val="center"/>
            </w:pPr>
            <w:r w:rsidRPr="004E025C">
              <w:t>p = 0.50</w:t>
            </w:r>
          </w:p>
        </w:tc>
      </w:tr>
      <w:tr w:rsidR="00B123C7" w:rsidRPr="004E025C" w:rsidTr="00D14B50">
        <w:trPr>
          <w:trHeight w:val="244"/>
        </w:trPr>
        <w:tc>
          <w:tcPr>
            <w:tcW w:w="862" w:type="pct"/>
            <w:tcBorders>
              <w:bottom w:val="single" w:sz="4" w:space="0" w:color="auto"/>
            </w:tcBorders>
            <w:shd w:val="clear" w:color="auto" w:fill="auto"/>
            <w:vAlign w:val="center"/>
          </w:tcPr>
          <w:p w:rsidR="00B123C7" w:rsidRPr="004E025C" w:rsidRDefault="00B123C7" w:rsidP="00D14B50">
            <w:pPr>
              <w:pStyle w:val="TableText0"/>
              <w:jc w:val="center"/>
            </w:pPr>
            <w:r w:rsidRPr="004E025C">
              <w:t>Drug-related</w:t>
            </w:r>
          </w:p>
        </w:tc>
        <w:tc>
          <w:tcPr>
            <w:tcW w:w="628" w:type="pct"/>
            <w:tcBorders>
              <w:bottom w:val="single" w:sz="4" w:space="0" w:color="auto"/>
            </w:tcBorders>
            <w:shd w:val="clear" w:color="auto" w:fill="auto"/>
            <w:vAlign w:val="center"/>
          </w:tcPr>
          <w:p w:rsidR="00B123C7" w:rsidRPr="004E025C" w:rsidRDefault="00B123C7" w:rsidP="00D14B50">
            <w:pPr>
              <w:pStyle w:val="TableText0"/>
              <w:jc w:val="center"/>
            </w:pPr>
            <w:r w:rsidRPr="004E025C">
              <w:t>1 (0.9)</w:t>
            </w:r>
          </w:p>
        </w:tc>
        <w:tc>
          <w:tcPr>
            <w:tcW w:w="550" w:type="pct"/>
            <w:tcBorders>
              <w:bottom w:val="single" w:sz="4" w:space="0" w:color="auto"/>
            </w:tcBorders>
            <w:shd w:val="clear" w:color="auto" w:fill="auto"/>
            <w:vAlign w:val="center"/>
          </w:tcPr>
          <w:p w:rsidR="00B123C7" w:rsidRPr="004E025C" w:rsidRDefault="00B123C7" w:rsidP="00D14B50">
            <w:pPr>
              <w:pStyle w:val="TableText0"/>
              <w:jc w:val="center"/>
            </w:pPr>
            <w:r w:rsidRPr="004E025C">
              <w:t>1 (1.9)</w:t>
            </w:r>
          </w:p>
        </w:tc>
        <w:tc>
          <w:tcPr>
            <w:tcW w:w="943" w:type="pct"/>
            <w:tcBorders>
              <w:bottom w:val="single" w:sz="4" w:space="0" w:color="auto"/>
            </w:tcBorders>
            <w:shd w:val="clear" w:color="auto" w:fill="auto"/>
            <w:vAlign w:val="center"/>
          </w:tcPr>
          <w:p w:rsidR="00B123C7" w:rsidRPr="004E025C" w:rsidRDefault="00B123C7" w:rsidP="00D14B50">
            <w:pPr>
              <w:pStyle w:val="TableText0"/>
              <w:jc w:val="center"/>
            </w:pPr>
            <w:r w:rsidRPr="004E025C">
              <w:t>0.51 (0.03, 7.99)</w:t>
            </w:r>
          </w:p>
          <w:p w:rsidR="00B123C7" w:rsidRPr="004E025C" w:rsidRDefault="00B123C7" w:rsidP="00D14B50">
            <w:pPr>
              <w:pStyle w:val="TableText0"/>
              <w:jc w:val="center"/>
            </w:pPr>
            <w:r w:rsidRPr="004E025C">
              <w:t>p = 0.63</w:t>
            </w:r>
          </w:p>
        </w:tc>
        <w:tc>
          <w:tcPr>
            <w:tcW w:w="943" w:type="pct"/>
            <w:tcBorders>
              <w:bottom w:val="single" w:sz="4" w:space="0" w:color="auto"/>
            </w:tcBorders>
            <w:shd w:val="clear" w:color="auto" w:fill="auto"/>
            <w:vAlign w:val="center"/>
          </w:tcPr>
          <w:p w:rsidR="00B123C7" w:rsidRPr="004E025C" w:rsidRDefault="00B123C7" w:rsidP="00D14B50">
            <w:pPr>
              <w:pStyle w:val="TableText0"/>
              <w:jc w:val="center"/>
            </w:pPr>
            <w:r w:rsidRPr="004E025C">
              <w:t>-0.01 (-0.05, 0.03)</w:t>
            </w:r>
          </w:p>
          <w:p w:rsidR="00B123C7" w:rsidRPr="004E025C" w:rsidRDefault="00B123C7" w:rsidP="00D14B50">
            <w:pPr>
              <w:pStyle w:val="TableText0"/>
              <w:jc w:val="center"/>
            </w:pPr>
            <w:r w:rsidRPr="004E025C">
              <w:t>p = 0.66</w:t>
            </w:r>
          </w:p>
        </w:tc>
        <w:tc>
          <w:tcPr>
            <w:tcW w:w="1074" w:type="pct"/>
            <w:tcBorders>
              <w:bottom w:val="single" w:sz="4" w:space="0" w:color="auto"/>
            </w:tcBorders>
            <w:shd w:val="clear" w:color="auto" w:fill="auto"/>
            <w:vAlign w:val="center"/>
          </w:tcPr>
          <w:p w:rsidR="00B123C7" w:rsidRPr="004E025C" w:rsidRDefault="00B123C7" w:rsidP="00D14B50">
            <w:pPr>
              <w:pStyle w:val="TableText0"/>
              <w:jc w:val="center"/>
            </w:pPr>
            <w:r w:rsidRPr="004E025C">
              <w:t>0.50 (0.03, 8.23)</w:t>
            </w:r>
          </w:p>
          <w:p w:rsidR="00B123C7" w:rsidRPr="004E025C" w:rsidRDefault="00B123C7" w:rsidP="00D14B50">
            <w:pPr>
              <w:pStyle w:val="TableText0"/>
              <w:jc w:val="center"/>
            </w:pPr>
            <w:r w:rsidRPr="004E025C">
              <w:t>p = 0.63</w:t>
            </w:r>
          </w:p>
        </w:tc>
      </w:tr>
      <w:tr w:rsidR="00B123C7" w:rsidRPr="004E025C" w:rsidTr="00D14B50">
        <w:trPr>
          <w:trHeight w:val="244"/>
        </w:trPr>
        <w:tc>
          <w:tcPr>
            <w:tcW w:w="862" w:type="pct"/>
            <w:shd w:val="clear" w:color="auto" w:fill="auto"/>
            <w:vAlign w:val="center"/>
          </w:tcPr>
          <w:p w:rsidR="00B123C7" w:rsidRPr="004E025C" w:rsidRDefault="00B123C7" w:rsidP="00D14B50">
            <w:pPr>
              <w:pStyle w:val="TableText0"/>
              <w:jc w:val="center"/>
            </w:pPr>
            <w:r w:rsidRPr="004E025C">
              <w:t>Leading to discontinuation</w:t>
            </w:r>
          </w:p>
        </w:tc>
        <w:tc>
          <w:tcPr>
            <w:tcW w:w="628" w:type="pct"/>
            <w:shd w:val="clear" w:color="auto" w:fill="auto"/>
            <w:vAlign w:val="center"/>
          </w:tcPr>
          <w:p w:rsidR="00B123C7" w:rsidRPr="004E025C" w:rsidRDefault="00B123C7" w:rsidP="00D14B50">
            <w:pPr>
              <w:pStyle w:val="TableText0"/>
              <w:jc w:val="center"/>
            </w:pPr>
            <w:r w:rsidRPr="004E025C">
              <w:t>1 (0.9)</w:t>
            </w:r>
          </w:p>
        </w:tc>
        <w:tc>
          <w:tcPr>
            <w:tcW w:w="550" w:type="pct"/>
            <w:shd w:val="clear" w:color="auto" w:fill="auto"/>
            <w:vAlign w:val="center"/>
          </w:tcPr>
          <w:p w:rsidR="00B123C7" w:rsidRPr="004E025C" w:rsidRDefault="00B123C7" w:rsidP="00D14B50">
            <w:pPr>
              <w:pStyle w:val="TableText0"/>
              <w:jc w:val="center"/>
            </w:pPr>
            <w:r w:rsidRPr="004E025C">
              <w:t>2 (3.7)</w:t>
            </w:r>
          </w:p>
        </w:tc>
        <w:tc>
          <w:tcPr>
            <w:tcW w:w="943" w:type="pct"/>
            <w:shd w:val="clear" w:color="auto" w:fill="auto"/>
            <w:vAlign w:val="center"/>
          </w:tcPr>
          <w:p w:rsidR="00B123C7" w:rsidRPr="004E025C" w:rsidRDefault="00B123C7" w:rsidP="00D14B50">
            <w:pPr>
              <w:pStyle w:val="TableText0"/>
              <w:jc w:val="center"/>
            </w:pPr>
            <w:r w:rsidRPr="004E025C">
              <w:t>0.25 (0.02, 2.75)</w:t>
            </w:r>
          </w:p>
          <w:p w:rsidR="00B123C7" w:rsidRPr="004E025C" w:rsidRDefault="00B123C7" w:rsidP="00D14B50">
            <w:pPr>
              <w:pStyle w:val="TableText0"/>
              <w:jc w:val="center"/>
            </w:pPr>
            <w:r w:rsidRPr="004E025C">
              <w:t>p = 0.26</w:t>
            </w:r>
          </w:p>
        </w:tc>
        <w:tc>
          <w:tcPr>
            <w:tcW w:w="943" w:type="pct"/>
            <w:shd w:val="clear" w:color="auto" w:fill="auto"/>
            <w:vAlign w:val="center"/>
          </w:tcPr>
          <w:p w:rsidR="00B123C7" w:rsidRPr="004E025C" w:rsidRDefault="00B123C7" w:rsidP="00D14B50">
            <w:pPr>
              <w:pStyle w:val="TableText0"/>
              <w:jc w:val="center"/>
            </w:pPr>
            <w:r w:rsidRPr="004E025C">
              <w:t>-0.03 (-0.08, 0.03)</w:t>
            </w:r>
          </w:p>
          <w:p w:rsidR="00B123C7" w:rsidRPr="004E025C" w:rsidRDefault="00B123C7" w:rsidP="00D14B50">
            <w:pPr>
              <w:pStyle w:val="TableText0"/>
              <w:jc w:val="center"/>
            </w:pPr>
            <w:r w:rsidRPr="004E025C">
              <w:t>p = 0.31</w:t>
            </w:r>
          </w:p>
        </w:tc>
        <w:tc>
          <w:tcPr>
            <w:tcW w:w="1074" w:type="pct"/>
            <w:shd w:val="clear" w:color="auto" w:fill="auto"/>
            <w:vAlign w:val="center"/>
          </w:tcPr>
          <w:p w:rsidR="00B123C7" w:rsidRPr="004E025C" w:rsidRDefault="00B123C7" w:rsidP="00D14B50">
            <w:pPr>
              <w:pStyle w:val="TableText0"/>
              <w:jc w:val="center"/>
            </w:pPr>
            <w:r w:rsidRPr="004E025C">
              <w:t>0.25 (0.02, 2.79)</w:t>
            </w:r>
          </w:p>
          <w:p w:rsidR="00B123C7" w:rsidRPr="004E025C" w:rsidRDefault="00B123C7" w:rsidP="00D14B50">
            <w:pPr>
              <w:pStyle w:val="TableText0"/>
              <w:jc w:val="center"/>
            </w:pPr>
            <w:r w:rsidRPr="004E025C">
              <w:t>p = 0.26</w:t>
            </w:r>
          </w:p>
        </w:tc>
      </w:tr>
      <w:tr w:rsidR="00B123C7" w:rsidRPr="004E025C" w:rsidTr="00D14B50">
        <w:trPr>
          <w:trHeight w:val="244"/>
        </w:trPr>
        <w:tc>
          <w:tcPr>
            <w:tcW w:w="5000" w:type="pct"/>
            <w:gridSpan w:val="6"/>
            <w:shd w:val="clear" w:color="auto" w:fill="auto"/>
            <w:vAlign w:val="center"/>
          </w:tcPr>
          <w:p w:rsidR="00B123C7" w:rsidRPr="004E025C" w:rsidRDefault="00B123C7" w:rsidP="00D14B50">
            <w:pPr>
              <w:pStyle w:val="TableText0"/>
              <w:jc w:val="center"/>
              <w:rPr>
                <w:b/>
              </w:rPr>
            </w:pPr>
            <w:r w:rsidRPr="004E025C">
              <w:rPr>
                <w:b/>
              </w:rPr>
              <w:t>AESIs</w:t>
            </w:r>
          </w:p>
        </w:tc>
      </w:tr>
      <w:tr w:rsidR="00B123C7" w:rsidRPr="004E025C" w:rsidTr="00D14B50">
        <w:trPr>
          <w:trHeight w:val="244"/>
        </w:trPr>
        <w:tc>
          <w:tcPr>
            <w:tcW w:w="862" w:type="pct"/>
            <w:shd w:val="clear" w:color="auto" w:fill="auto"/>
            <w:vAlign w:val="center"/>
          </w:tcPr>
          <w:p w:rsidR="00B123C7" w:rsidRPr="004E025C" w:rsidRDefault="00B123C7" w:rsidP="00D14B50">
            <w:pPr>
              <w:pStyle w:val="TableText0"/>
              <w:jc w:val="center"/>
            </w:pPr>
            <w:r w:rsidRPr="004E025C">
              <w:t>Infections</w:t>
            </w:r>
          </w:p>
        </w:tc>
        <w:tc>
          <w:tcPr>
            <w:tcW w:w="628" w:type="pct"/>
            <w:shd w:val="clear" w:color="auto" w:fill="auto"/>
            <w:vAlign w:val="center"/>
          </w:tcPr>
          <w:p w:rsidR="00B123C7" w:rsidRPr="004E025C" w:rsidRDefault="00B123C7" w:rsidP="00D14B50">
            <w:pPr>
              <w:pStyle w:val="TableText0"/>
              <w:jc w:val="center"/>
            </w:pPr>
            <w:r w:rsidRPr="004E025C">
              <w:t>39 (36.8)</w:t>
            </w:r>
          </w:p>
        </w:tc>
        <w:tc>
          <w:tcPr>
            <w:tcW w:w="550" w:type="pct"/>
            <w:shd w:val="clear" w:color="auto" w:fill="auto"/>
            <w:vAlign w:val="center"/>
          </w:tcPr>
          <w:p w:rsidR="00B123C7" w:rsidRPr="004E025C" w:rsidRDefault="00B123C7" w:rsidP="00D14B50">
            <w:pPr>
              <w:pStyle w:val="TableText0"/>
              <w:jc w:val="center"/>
            </w:pPr>
            <w:r w:rsidRPr="004E025C">
              <w:t>20 (37.0)</w:t>
            </w:r>
          </w:p>
        </w:tc>
        <w:tc>
          <w:tcPr>
            <w:tcW w:w="943" w:type="pct"/>
            <w:shd w:val="clear" w:color="auto" w:fill="auto"/>
          </w:tcPr>
          <w:p w:rsidR="00B123C7" w:rsidRPr="004E025C" w:rsidRDefault="00B123C7" w:rsidP="00D14B50">
            <w:pPr>
              <w:pStyle w:val="TableText0"/>
              <w:jc w:val="center"/>
            </w:pPr>
            <w:r w:rsidRPr="004E025C">
              <w:t>0.99 (0.65, 1.52)</w:t>
            </w:r>
          </w:p>
          <w:p w:rsidR="00B123C7" w:rsidRPr="004E025C" w:rsidRDefault="00B123C7" w:rsidP="00D14B50">
            <w:pPr>
              <w:pStyle w:val="TableText0"/>
              <w:jc w:val="center"/>
            </w:pPr>
            <w:r w:rsidRPr="004E025C">
              <w:t>p = 0.98</w:t>
            </w:r>
          </w:p>
        </w:tc>
        <w:tc>
          <w:tcPr>
            <w:tcW w:w="943" w:type="pct"/>
            <w:shd w:val="clear" w:color="auto" w:fill="auto"/>
          </w:tcPr>
          <w:p w:rsidR="00B123C7" w:rsidRPr="004E025C" w:rsidRDefault="00B123C7" w:rsidP="00D14B50">
            <w:pPr>
              <w:pStyle w:val="TableText0"/>
              <w:jc w:val="center"/>
            </w:pPr>
            <w:r w:rsidRPr="004E025C">
              <w:t>-0.00 (-0.16, 0.16)</w:t>
            </w:r>
          </w:p>
          <w:p w:rsidR="00B123C7" w:rsidRPr="004E025C" w:rsidRDefault="00B123C7" w:rsidP="00D14B50">
            <w:pPr>
              <w:pStyle w:val="TableText0"/>
              <w:jc w:val="center"/>
            </w:pPr>
            <w:r w:rsidRPr="004E025C">
              <w:t>p = 0.98</w:t>
            </w:r>
          </w:p>
        </w:tc>
        <w:tc>
          <w:tcPr>
            <w:tcW w:w="1074" w:type="pct"/>
            <w:shd w:val="clear" w:color="auto" w:fill="auto"/>
          </w:tcPr>
          <w:p w:rsidR="00B123C7" w:rsidRPr="004E025C" w:rsidRDefault="00B123C7" w:rsidP="00D14B50">
            <w:pPr>
              <w:pStyle w:val="TableText0"/>
              <w:jc w:val="center"/>
            </w:pPr>
            <w:r w:rsidRPr="004E025C">
              <w:t>0.99 (0.50, 1.95)</w:t>
            </w:r>
          </w:p>
          <w:p w:rsidR="00B123C7" w:rsidRPr="004E025C" w:rsidRDefault="00B123C7" w:rsidP="00D14B50">
            <w:pPr>
              <w:pStyle w:val="TableText0"/>
              <w:jc w:val="center"/>
            </w:pPr>
            <w:r w:rsidRPr="004E025C">
              <w:t>p = 0.98</w:t>
            </w:r>
          </w:p>
        </w:tc>
      </w:tr>
      <w:tr w:rsidR="00B123C7" w:rsidRPr="004E025C" w:rsidTr="00D14B50">
        <w:trPr>
          <w:trHeight w:val="244"/>
        </w:trPr>
        <w:tc>
          <w:tcPr>
            <w:tcW w:w="862" w:type="pct"/>
            <w:shd w:val="clear" w:color="auto" w:fill="auto"/>
            <w:vAlign w:val="center"/>
          </w:tcPr>
          <w:p w:rsidR="00B123C7" w:rsidRPr="004E025C" w:rsidRDefault="00B123C7" w:rsidP="00D14B50">
            <w:pPr>
              <w:pStyle w:val="TableText0"/>
              <w:jc w:val="center"/>
            </w:pPr>
            <w:r w:rsidRPr="004E025C">
              <w:t xml:space="preserve">Hypersensitivity </w:t>
            </w:r>
            <w:r w:rsidRPr="004E025C">
              <w:rPr>
                <w:vertAlign w:val="superscript"/>
              </w:rPr>
              <w:t>b</w:t>
            </w:r>
          </w:p>
        </w:tc>
        <w:tc>
          <w:tcPr>
            <w:tcW w:w="628" w:type="pct"/>
            <w:shd w:val="clear" w:color="auto" w:fill="auto"/>
            <w:vAlign w:val="center"/>
          </w:tcPr>
          <w:p w:rsidR="00B123C7" w:rsidRPr="004E025C" w:rsidRDefault="00B123C7" w:rsidP="00D14B50">
            <w:pPr>
              <w:pStyle w:val="TableText0"/>
              <w:jc w:val="center"/>
            </w:pPr>
            <w:r w:rsidRPr="004E025C">
              <w:t>16 (15.1)</w:t>
            </w:r>
          </w:p>
        </w:tc>
        <w:tc>
          <w:tcPr>
            <w:tcW w:w="550" w:type="pct"/>
            <w:shd w:val="clear" w:color="auto" w:fill="auto"/>
            <w:vAlign w:val="center"/>
          </w:tcPr>
          <w:p w:rsidR="00B123C7" w:rsidRPr="004E025C" w:rsidRDefault="00B123C7" w:rsidP="00D14B50">
            <w:pPr>
              <w:pStyle w:val="TableText0"/>
              <w:jc w:val="center"/>
            </w:pPr>
            <w:r w:rsidRPr="004E025C">
              <w:t>7 (13.0)</w:t>
            </w:r>
          </w:p>
        </w:tc>
        <w:tc>
          <w:tcPr>
            <w:tcW w:w="943" w:type="pct"/>
            <w:shd w:val="clear" w:color="auto" w:fill="auto"/>
          </w:tcPr>
          <w:p w:rsidR="00B123C7" w:rsidRPr="004E025C" w:rsidRDefault="00B123C7" w:rsidP="00D14B50">
            <w:pPr>
              <w:pStyle w:val="TableText0"/>
              <w:jc w:val="center"/>
            </w:pPr>
            <w:r w:rsidRPr="004E025C">
              <w:t>1.16 (0.51, 2.66)</w:t>
            </w:r>
          </w:p>
          <w:p w:rsidR="00B123C7" w:rsidRPr="004E025C" w:rsidRDefault="00B123C7" w:rsidP="00D14B50">
            <w:pPr>
              <w:pStyle w:val="TableText0"/>
              <w:jc w:val="center"/>
            </w:pPr>
            <w:r w:rsidRPr="004E025C">
              <w:t>p = 0.72</w:t>
            </w:r>
          </w:p>
        </w:tc>
        <w:tc>
          <w:tcPr>
            <w:tcW w:w="943" w:type="pct"/>
            <w:shd w:val="clear" w:color="auto" w:fill="auto"/>
          </w:tcPr>
          <w:p w:rsidR="00B123C7" w:rsidRPr="004E025C" w:rsidRDefault="00B123C7" w:rsidP="00D14B50">
            <w:pPr>
              <w:pStyle w:val="TableText0"/>
              <w:jc w:val="center"/>
            </w:pPr>
            <w:r w:rsidRPr="004E025C">
              <w:t>0.02 (-0.09, 0.13)</w:t>
            </w:r>
          </w:p>
          <w:p w:rsidR="00B123C7" w:rsidRPr="004E025C" w:rsidRDefault="00B123C7" w:rsidP="00D14B50">
            <w:pPr>
              <w:pStyle w:val="TableText0"/>
              <w:jc w:val="center"/>
            </w:pPr>
            <w:r w:rsidRPr="004E025C">
              <w:t>p = 0.71</w:t>
            </w:r>
          </w:p>
        </w:tc>
        <w:tc>
          <w:tcPr>
            <w:tcW w:w="1074" w:type="pct"/>
            <w:shd w:val="clear" w:color="auto" w:fill="auto"/>
          </w:tcPr>
          <w:p w:rsidR="00B123C7" w:rsidRPr="004E025C" w:rsidRDefault="00B123C7" w:rsidP="00D14B50">
            <w:pPr>
              <w:pStyle w:val="TableText0"/>
              <w:jc w:val="center"/>
            </w:pPr>
            <w:r w:rsidRPr="004E025C">
              <w:t>1.19 (0.46, 3.10)</w:t>
            </w:r>
          </w:p>
          <w:p w:rsidR="00B123C7" w:rsidRPr="004E025C" w:rsidRDefault="00B123C7" w:rsidP="00D14B50">
            <w:pPr>
              <w:pStyle w:val="TableText0"/>
              <w:jc w:val="center"/>
            </w:pPr>
            <w:r w:rsidRPr="004E025C">
              <w:t>p = 0.72</w:t>
            </w:r>
          </w:p>
        </w:tc>
      </w:tr>
      <w:tr w:rsidR="00B123C7" w:rsidRPr="004E025C" w:rsidTr="00D14B50">
        <w:trPr>
          <w:trHeight w:val="244"/>
        </w:trPr>
        <w:tc>
          <w:tcPr>
            <w:tcW w:w="862" w:type="pct"/>
            <w:shd w:val="clear" w:color="auto" w:fill="auto"/>
            <w:vAlign w:val="center"/>
          </w:tcPr>
          <w:p w:rsidR="00B123C7" w:rsidRPr="004E025C" w:rsidRDefault="00B123C7" w:rsidP="00D14B50">
            <w:pPr>
              <w:pStyle w:val="TableText0"/>
              <w:jc w:val="center"/>
            </w:pPr>
            <w:r w:rsidRPr="004E025C">
              <w:t>Malignancy</w:t>
            </w:r>
          </w:p>
        </w:tc>
        <w:tc>
          <w:tcPr>
            <w:tcW w:w="628" w:type="pct"/>
            <w:shd w:val="clear" w:color="auto" w:fill="auto"/>
            <w:vAlign w:val="center"/>
          </w:tcPr>
          <w:p w:rsidR="00B123C7" w:rsidRPr="004E025C" w:rsidRDefault="00B123C7" w:rsidP="00D14B50">
            <w:pPr>
              <w:pStyle w:val="TableText0"/>
              <w:jc w:val="center"/>
            </w:pPr>
            <w:r w:rsidRPr="004E025C">
              <w:t>0</w:t>
            </w:r>
          </w:p>
        </w:tc>
        <w:tc>
          <w:tcPr>
            <w:tcW w:w="550" w:type="pct"/>
            <w:shd w:val="clear" w:color="auto" w:fill="auto"/>
            <w:vAlign w:val="center"/>
          </w:tcPr>
          <w:p w:rsidR="00B123C7" w:rsidRPr="004E025C" w:rsidRDefault="00B123C7" w:rsidP="00D14B50">
            <w:pPr>
              <w:pStyle w:val="TableText0"/>
              <w:jc w:val="center"/>
            </w:pPr>
            <w:r w:rsidRPr="004E025C">
              <w:t>1 (1.9)</w:t>
            </w:r>
          </w:p>
        </w:tc>
        <w:tc>
          <w:tcPr>
            <w:tcW w:w="943" w:type="pct"/>
            <w:shd w:val="clear" w:color="auto" w:fill="auto"/>
          </w:tcPr>
          <w:p w:rsidR="00B123C7" w:rsidRPr="004E025C" w:rsidRDefault="00B123C7" w:rsidP="00D14B50">
            <w:pPr>
              <w:pStyle w:val="TableText0"/>
              <w:jc w:val="center"/>
            </w:pPr>
            <w:r w:rsidRPr="004E025C">
              <w:t>0.17 (0.01, 4.14)</w:t>
            </w:r>
          </w:p>
          <w:p w:rsidR="00B123C7" w:rsidRPr="004E025C" w:rsidRDefault="00B123C7" w:rsidP="00D14B50">
            <w:pPr>
              <w:pStyle w:val="TableText0"/>
              <w:jc w:val="center"/>
            </w:pPr>
            <w:r w:rsidRPr="004E025C">
              <w:t>p = 0.28</w:t>
            </w:r>
          </w:p>
        </w:tc>
        <w:tc>
          <w:tcPr>
            <w:tcW w:w="943" w:type="pct"/>
            <w:shd w:val="clear" w:color="auto" w:fill="auto"/>
          </w:tcPr>
          <w:p w:rsidR="00B123C7" w:rsidRPr="004E025C" w:rsidRDefault="00B123C7" w:rsidP="00D14B50">
            <w:pPr>
              <w:pStyle w:val="TableText0"/>
              <w:jc w:val="center"/>
            </w:pPr>
            <w:r w:rsidRPr="004E025C">
              <w:t>-0.02 (-0.06, 0.03)</w:t>
            </w:r>
          </w:p>
          <w:p w:rsidR="00B123C7" w:rsidRPr="004E025C" w:rsidRDefault="00B123C7" w:rsidP="00D14B50">
            <w:pPr>
              <w:pStyle w:val="TableText0"/>
              <w:jc w:val="center"/>
            </w:pPr>
            <w:r w:rsidRPr="004E025C">
              <w:t>p = 0.42</w:t>
            </w:r>
          </w:p>
        </w:tc>
        <w:tc>
          <w:tcPr>
            <w:tcW w:w="1074" w:type="pct"/>
            <w:shd w:val="clear" w:color="auto" w:fill="auto"/>
          </w:tcPr>
          <w:p w:rsidR="00B123C7" w:rsidRPr="004E025C" w:rsidRDefault="00B123C7" w:rsidP="00D14B50">
            <w:pPr>
              <w:pStyle w:val="TableText0"/>
              <w:jc w:val="center"/>
            </w:pPr>
            <w:r w:rsidRPr="004E025C">
              <w:t>0.17 (0.01, 4.18)</w:t>
            </w:r>
          </w:p>
          <w:p w:rsidR="00B123C7" w:rsidRPr="004E025C" w:rsidRDefault="00B123C7" w:rsidP="00D14B50">
            <w:pPr>
              <w:pStyle w:val="TableText0"/>
              <w:jc w:val="center"/>
            </w:pPr>
            <w:r w:rsidRPr="004E025C">
              <w:t>p = 0.28</w:t>
            </w:r>
          </w:p>
        </w:tc>
      </w:tr>
      <w:tr w:rsidR="00B123C7" w:rsidRPr="004E025C" w:rsidTr="00D14B50">
        <w:trPr>
          <w:trHeight w:val="244"/>
        </w:trPr>
        <w:tc>
          <w:tcPr>
            <w:tcW w:w="862" w:type="pct"/>
            <w:shd w:val="clear" w:color="auto" w:fill="auto"/>
            <w:vAlign w:val="center"/>
          </w:tcPr>
          <w:p w:rsidR="00B123C7" w:rsidRPr="004E025C" w:rsidRDefault="00B123C7" w:rsidP="00D14B50">
            <w:pPr>
              <w:pStyle w:val="TableText0"/>
              <w:jc w:val="center"/>
            </w:pPr>
            <w:r w:rsidRPr="004E025C">
              <w:t>Liver injury</w:t>
            </w:r>
          </w:p>
        </w:tc>
        <w:tc>
          <w:tcPr>
            <w:tcW w:w="628" w:type="pct"/>
            <w:shd w:val="clear" w:color="auto" w:fill="auto"/>
            <w:vAlign w:val="center"/>
          </w:tcPr>
          <w:p w:rsidR="00B123C7" w:rsidRPr="004E025C" w:rsidRDefault="00B123C7" w:rsidP="00D14B50">
            <w:pPr>
              <w:pStyle w:val="TableText0"/>
              <w:jc w:val="center"/>
            </w:pPr>
            <w:r w:rsidRPr="004E025C">
              <w:t>2 (1.9)</w:t>
            </w:r>
          </w:p>
        </w:tc>
        <w:tc>
          <w:tcPr>
            <w:tcW w:w="550" w:type="pct"/>
            <w:shd w:val="clear" w:color="auto" w:fill="auto"/>
            <w:vAlign w:val="center"/>
          </w:tcPr>
          <w:p w:rsidR="00B123C7" w:rsidRPr="004E025C" w:rsidRDefault="00B123C7" w:rsidP="00D14B50">
            <w:pPr>
              <w:pStyle w:val="TableText0"/>
              <w:jc w:val="center"/>
            </w:pPr>
            <w:r w:rsidRPr="004E025C">
              <w:t>4 (7.4)</w:t>
            </w:r>
          </w:p>
        </w:tc>
        <w:tc>
          <w:tcPr>
            <w:tcW w:w="943" w:type="pct"/>
            <w:shd w:val="clear" w:color="auto" w:fill="auto"/>
          </w:tcPr>
          <w:p w:rsidR="00B123C7" w:rsidRPr="004E025C" w:rsidRDefault="00B123C7" w:rsidP="00D14B50">
            <w:pPr>
              <w:pStyle w:val="TableText0"/>
              <w:jc w:val="center"/>
            </w:pPr>
            <w:r w:rsidRPr="004E025C">
              <w:t>0.25 (0.05, 1.35)</w:t>
            </w:r>
          </w:p>
          <w:p w:rsidR="00B123C7" w:rsidRPr="004E025C" w:rsidRDefault="00B123C7" w:rsidP="00D14B50">
            <w:pPr>
              <w:pStyle w:val="TableText0"/>
              <w:jc w:val="center"/>
            </w:pPr>
            <w:r w:rsidRPr="004E025C">
              <w:t>p = 0.11</w:t>
            </w:r>
          </w:p>
        </w:tc>
        <w:tc>
          <w:tcPr>
            <w:tcW w:w="943" w:type="pct"/>
            <w:shd w:val="clear" w:color="auto" w:fill="auto"/>
          </w:tcPr>
          <w:p w:rsidR="00B123C7" w:rsidRPr="004E025C" w:rsidRDefault="00B123C7" w:rsidP="00D14B50">
            <w:pPr>
              <w:pStyle w:val="TableText0"/>
              <w:jc w:val="center"/>
            </w:pPr>
            <w:r w:rsidRPr="004E025C">
              <w:t>-0.06 (-0.13, 0.02)</w:t>
            </w:r>
          </w:p>
          <w:p w:rsidR="00B123C7" w:rsidRPr="004E025C" w:rsidRDefault="00B123C7" w:rsidP="00D14B50">
            <w:pPr>
              <w:pStyle w:val="TableText0"/>
              <w:jc w:val="center"/>
            </w:pPr>
            <w:r w:rsidRPr="004E025C">
              <w:t>p = 0.15</w:t>
            </w:r>
          </w:p>
        </w:tc>
        <w:tc>
          <w:tcPr>
            <w:tcW w:w="1074" w:type="pct"/>
            <w:shd w:val="clear" w:color="auto" w:fill="auto"/>
          </w:tcPr>
          <w:p w:rsidR="00B123C7" w:rsidRPr="004E025C" w:rsidRDefault="00B123C7" w:rsidP="00D14B50">
            <w:pPr>
              <w:pStyle w:val="TableText0"/>
              <w:jc w:val="center"/>
            </w:pPr>
            <w:r w:rsidRPr="004E025C">
              <w:t>0.24 (0.04, 1.36)</w:t>
            </w:r>
          </w:p>
          <w:p w:rsidR="00B123C7" w:rsidRPr="004E025C" w:rsidRDefault="00B123C7" w:rsidP="00D14B50">
            <w:pPr>
              <w:pStyle w:val="TableText0"/>
              <w:jc w:val="center"/>
            </w:pPr>
            <w:r w:rsidRPr="004E025C">
              <w:t>p = 0.11</w:t>
            </w:r>
          </w:p>
        </w:tc>
      </w:tr>
      <w:tr w:rsidR="00B123C7" w:rsidRPr="004E025C" w:rsidTr="00D14B50">
        <w:trPr>
          <w:trHeight w:val="244"/>
        </w:trPr>
        <w:tc>
          <w:tcPr>
            <w:tcW w:w="862" w:type="pct"/>
            <w:tcBorders>
              <w:bottom w:val="single" w:sz="4" w:space="0" w:color="auto"/>
            </w:tcBorders>
            <w:shd w:val="clear" w:color="auto" w:fill="auto"/>
            <w:vAlign w:val="center"/>
          </w:tcPr>
          <w:p w:rsidR="00B123C7" w:rsidRPr="004E025C" w:rsidRDefault="00B123C7" w:rsidP="00D14B50">
            <w:pPr>
              <w:pStyle w:val="TableText0"/>
              <w:jc w:val="center"/>
            </w:pPr>
            <w:r w:rsidRPr="004E025C">
              <w:t>PML</w:t>
            </w:r>
          </w:p>
        </w:tc>
        <w:tc>
          <w:tcPr>
            <w:tcW w:w="628" w:type="pct"/>
            <w:tcBorders>
              <w:bottom w:val="single" w:sz="4" w:space="0" w:color="auto"/>
            </w:tcBorders>
            <w:shd w:val="clear" w:color="auto" w:fill="auto"/>
            <w:vAlign w:val="center"/>
          </w:tcPr>
          <w:p w:rsidR="00B123C7" w:rsidRPr="004E025C" w:rsidRDefault="00B123C7" w:rsidP="00D14B50">
            <w:pPr>
              <w:pStyle w:val="TableText0"/>
              <w:jc w:val="center"/>
            </w:pPr>
            <w:r w:rsidRPr="004E025C">
              <w:t>0</w:t>
            </w:r>
          </w:p>
        </w:tc>
        <w:tc>
          <w:tcPr>
            <w:tcW w:w="550" w:type="pct"/>
            <w:tcBorders>
              <w:bottom w:val="single" w:sz="4" w:space="0" w:color="auto"/>
            </w:tcBorders>
            <w:shd w:val="clear" w:color="auto" w:fill="auto"/>
            <w:vAlign w:val="center"/>
          </w:tcPr>
          <w:p w:rsidR="00B123C7" w:rsidRPr="004E025C" w:rsidRDefault="00B123C7" w:rsidP="00D14B50">
            <w:pPr>
              <w:pStyle w:val="TableText0"/>
              <w:jc w:val="center"/>
            </w:pPr>
            <w:r w:rsidRPr="004E025C">
              <w:t>0</w:t>
            </w:r>
          </w:p>
        </w:tc>
        <w:tc>
          <w:tcPr>
            <w:tcW w:w="943" w:type="pct"/>
            <w:tcBorders>
              <w:bottom w:val="single" w:sz="4" w:space="0" w:color="auto"/>
            </w:tcBorders>
            <w:shd w:val="clear" w:color="auto" w:fill="auto"/>
          </w:tcPr>
          <w:p w:rsidR="00B123C7" w:rsidRPr="004E025C" w:rsidRDefault="00B123C7" w:rsidP="00D14B50">
            <w:pPr>
              <w:pStyle w:val="TableText0"/>
              <w:jc w:val="center"/>
            </w:pPr>
            <w:r w:rsidRPr="004E025C">
              <w:t>-</w:t>
            </w:r>
          </w:p>
        </w:tc>
        <w:tc>
          <w:tcPr>
            <w:tcW w:w="943" w:type="pct"/>
            <w:tcBorders>
              <w:bottom w:val="single" w:sz="4" w:space="0" w:color="auto"/>
            </w:tcBorders>
            <w:shd w:val="clear" w:color="auto" w:fill="auto"/>
          </w:tcPr>
          <w:p w:rsidR="00B123C7" w:rsidRPr="004E025C" w:rsidRDefault="00B123C7" w:rsidP="00D14B50">
            <w:pPr>
              <w:pStyle w:val="TableText0"/>
              <w:jc w:val="center"/>
            </w:pPr>
            <w:r w:rsidRPr="004E025C">
              <w:t>-</w:t>
            </w:r>
          </w:p>
        </w:tc>
        <w:tc>
          <w:tcPr>
            <w:tcW w:w="1074" w:type="pct"/>
            <w:tcBorders>
              <w:bottom w:val="single" w:sz="4" w:space="0" w:color="auto"/>
            </w:tcBorders>
            <w:shd w:val="clear" w:color="auto" w:fill="auto"/>
          </w:tcPr>
          <w:p w:rsidR="00B123C7" w:rsidRPr="004E025C" w:rsidRDefault="00B123C7" w:rsidP="00D14B50">
            <w:pPr>
              <w:pStyle w:val="TableText0"/>
              <w:jc w:val="center"/>
            </w:pPr>
            <w:r w:rsidRPr="004E025C">
              <w:t>-</w:t>
            </w:r>
          </w:p>
        </w:tc>
      </w:tr>
    </w:tbl>
    <w:p w:rsidR="00B123C7" w:rsidRPr="004E025C" w:rsidRDefault="00B123C7" w:rsidP="00B123C7">
      <w:pPr>
        <w:pStyle w:val="TableFigureFooter"/>
      </w:pPr>
      <w:r w:rsidRPr="004E025C">
        <w:t>Source: Table 2.2.24, p56 and Table 2.2.25, p57 of the submission</w:t>
      </w:r>
    </w:p>
    <w:p w:rsidR="00B123C7" w:rsidRPr="004E025C" w:rsidRDefault="00B123C7" w:rsidP="00B123C7">
      <w:pPr>
        <w:pStyle w:val="TableFigureFooter"/>
        <w:rPr>
          <w:bCs/>
        </w:rPr>
      </w:pPr>
      <w:r w:rsidRPr="004E025C">
        <w:rPr>
          <w:bCs/>
        </w:rPr>
        <w:t>AE = adverse event;</w:t>
      </w:r>
      <w:r w:rsidRPr="004E025C">
        <w:t xml:space="preserve"> AESI = adverse event of special interest; </w:t>
      </w:r>
      <w:r w:rsidRPr="004E025C">
        <w:rPr>
          <w:bCs/>
        </w:rPr>
        <w:t>CI = confidence interval; IV = intravenous; OR = odds ratio; PML = progressive multifocal leukoencephalopathy; RD = risk difference; RR = relative risk; SAE = serious adverse event; SC = subcutaneous; VDZ = vedolizumab</w:t>
      </w:r>
    </w:p>
    <w:p w:rsidR="00B123C7" w:rsidRPr="004E025C" w:rsidRDefault="00B123C7" w:rsidP="00B123C7">
      <w:pPr>
        <w:pStyle w:val="TableFigureFooter"/>
      </w:pPr>
      <w:r w:rsidRPr="004E025C">
        <w:t xml:space="preserve">a </w:t>
      </w:r>
      <w:r w:rsidR="000969D4" w:rsidRPr="004E025C">
        <w:rPr>
          <w:bCs/>
        </w:rPr>
        <w:t>Treatment effect and confidence intervals were calculated using RevMan v5.3</w:t>
      </w:r>
    </w:p>
    <w:p w:rsidR="000969D4" w:rsidRPr="004E025C" w:rsidRDefault="00B123C7" w:rsidP="00B123C7">
      <w:pPr>
        <w:pStyle w:val="TableFigureFooter"/>
      </w:pPr>
      <w:r w:rsidRPr="004E025C">
        <w:t>b Hypersensitivity TEAEs criteria included SMQs for anaphylactic/anaphylactoid shock conditions, angioedema, and hypersensitivity</w:t>
      </w:r>
    </w:p>
    <w:p w:rsidR="00B123C7" w:rsidRPr="004E025C" w:rsidRDefault="00B123C7" w:rsidP="00B123C7">
      <w:pPr>
        <w:pStyle w:val="5-SubsectionSubheading"/>
        <w:rPr>
          <w:i/>
        </w:rPr>
      </w:pPr>
      <w:bookmarkStart w:id="21" w:name="_Toc22898855"/>
      <w:bookmarkStart w:id="22" w:name="_Toc51141266"/>
      <w:r w:rsidRPr="004E025C">
        <w:rPr>
          <w:i/>
        </w:rPr>
        <w:t>Benefits/harms</w:t>
      </w:r>
      <w:bookmarkEnd w:id="21"/>
      <w:bookmarkEnd w:id="22"/>
    </w:p>
    <w:p w:rsidR="002C40BE" w:rsidRPr="004E025C" w:rsidRDefault="002C40BE" w:rsidP="002C40BE">
      <w:pPr>
        <w:pStyle w:val="3-BodyText"/>
        <w:numPr>
          <w:ilvl w:val="1"/>
          <w:numId w:val="1"/>
        </w:numPr>
      </w:pPr>
      <w:r w:rsidRPr="004E025C">
        <w:rPr>
          <w:snapToGrid/>
        </w:rPr>
        <w:t xml:space="preserve">The </w:t>
      </w:r>
      <w:r w:rsidR="00BE2661" w:rsidRPr="004E025C">
        <w:rPr>
          <w:snapToGrid/>
        </w:rPr>
        <w:t>submission claim</w:t>
      </w:r>
      <w:r w:rsidR="00AD33F5" w:rsidRPr="004E025C">
        <w:rPr>
          <w:snapToGrid/>
        </w:rPr>
        <w:t>ed</w:t>
      </w:r>
      <w:r w:rsidRPr="004E025C">
        <w:rPr>
          <w:snapToGrid/>
        </w:rPr>
        <w:t xml:space="preserve"> that </w:t>
      </w:r>
      <w:r w:rsidR="0029735D" w:rsidRPr="004E025C">
        <w:rPr>
          <w:snapToGrid/>
        </w:rPr>
        <w:t>VDZ</w:t>
      </w:r>
      <w:r w:rsidRPr="004E025C">
        <w:rPr>
          <w:snapToGrid/>
        </w:rPr>
        <w:t xml:space="preserve"> 108 mg SC Q2W was non</w:t>
      </w:r>
      <w:r w:rsidR="00F17C44" w:rsidRPr="004E025C">
        <w:rPr>
          <w:snapToGrid/>
        </w:rPr>
        <w:t>-</w:t>
      </w:r>
      <w:r w:rsidRPr="004E025C">
        <w:rPr>
          <w:snapToGrid/>
        </w:rPr>
        <w:t xml:space="preserve">inferior to </w:t>
      </w:r>
      <w:r w:rsidR="0029735D" w:rsidRPr="004E025C">
        <w:rPr>
          <w:snapToGrid/>
        </w:rPr>
        <w:t xml:space="preserve">VDZ </w:t>
      </w:r>
      <w:r w:rsidRPr="004E025C">
        <w:rPr>
          <w:snapToGrid/>
        </w:rPr>
        <w:t>300 mg IV Q8W, as maintenance therapy. Accordingly, a benefits/harms table has not been presented.</w:t>
      </w:r>
    </w:p>
    <w:p w:rsidR="002C40BE" w:rsidRPr="004E025C" w:rsidRDefault="002C40BE" w:rsidP="002C40BE">
      <w:pPr>
        <w:pStyle w:val="5-SubsectionSubheading"/>
        <w:rPr>
          <w:i/>
        </w:rPr>
      </w:pPr>
      <w:bookmarkStart w:id="23" w:name="_Toc51141267"/>
      <w:r w:rsidRPr="004E025C">
        <w:rPr>
          <w:i/>
        </w:rPr>
        <w:t>Clinical claim</w:t>
      </w:r>
      <w:bookmarkEnd w:id="23"/>
      <w:r w:rsidRPr="004E025C">
        <w:rPr>
          <w:i/>
        </w:rPr>
        <w:t xml:space="preserve"> </w:t>
      </w:r>
    </w:p>
    <w:p w:rsidR="002C40BE" w:rsidRPr="004E025C" w:rsidRDefault="002C40BE" w:rsidP="002C40BE">
      <w:pPr>
        <w:pStyle w:val="3-BodyText"/>
        <w:numPr>
          <w:ilvl w:val="1"/>
          <w:numId w:val="1"/>
        </w:numPr>
      </w:pPr>
      <w:r w:rsidRPr="004E025C">
        <w:t xml:space="preserve">The submission described </w:t>
      </w:r>
      <w:r w:rsidR="00621C90" w:rsidRPr="004E025C">
        <w:t>VDZ SC</w:t>
      </w:r>
      <w:r w:rsidRPr="004E025C">
        <w:t xml:space="preserve"> (108 mg Q2W) as non-inferior in terms of effectiveness and safety compared with </w:t>
      </w:r>
      <w:r w:rsidR="00621C90" w:rsidRPr="004E025C">
        <w:t>VDZ IV</w:t>
      </w:r>
      <w:r w:rsidRPr="004E025C">
        <w:t xml:space="preserve"> (300 mg Q8W) in the maintenance treatment of patients with MSUC who had achieved a clinical response to induction therapy with </w:t>
      </w:r>
      <w:r w:rsidR="00621C90" w:rsidRPr="004E025C">
        <w:t>VDZ IV</w:t>
      </w:r>
      <w:r w:rsidRPr="004E025C">
        <w:t xml:space="preserve">. </w:t>
      </w:r>
    </w:p>
    <w:p w:rsidR="002C40BE" w:rsidRPr="004E025C" w:rsidRDefault="002C40BE" w:rsidP="002C40BE">
      <w:pPr>
        <w:pStyle w:val="3-BodyText"/>
        <w:numPr>
          <w:ilvl w:val="1"/>
          <w:numId w:val="1"/>
        </w:numPr>
      </w:pPr>
      <w:r w:rsidRPr="004E025C">
        <w:t xml:space="preserve">This claim was based on the results of </w:t>
      </w:r>
      <w:r w:rsidR="00F17C44" w:rsidRPr="004E025C">
        <w:t xml:space="preserve">the </w:t>
      </w:r>
      <w:r w:rsidRPr="004E025C">
        <w:t xml:space="preserve">VISIBLE 1 trial which showed no statistically significant difference between the </w:t>
      </w:r>
      <w:r w:rsidR="00621C90" w:rsidRPr="004E025C">
        <w:t>VDZ SC</w:t>
      </w:r>
      <w:r w:rsidRPr="004E025C">
        <w:t xml:space="preserve"> and IV arms at week 52 in terms of clinical remission, durable clinical remission, durable response, patient-reported outcomes and safety. </w:t>
      </w:r>
    </w:p>
    <w:p w:rsidR="002C40BE" w:rsidRPr="004E025C" w:rsidRDefault="002C40BE" w:rsidP="002C40BE">
      <w:pPr>
        <w:pStyle w:val="3-BodyText"/>
        <w:numPr>
          <w:ilvl w:val="1"/>
          <w:numId w:val="1"/>
        </w:numPr>
      </w:pPr>
      <w:r w:rsidRPr="004E025C">
        <w:t>The results of the VISIBLE 1 trial and the claim of the submission should be interpreted in the context of the following:</w:t>
      </w:r>
    </w:p>
    <w:p w:rsidR="002C40BE" w:rsidRPr="004E025C" w:rsidRDefault="002C40BE" w:rsidP="002C40BE">
      <w:pPr>
        <w:pStyle w:val="ListParagraph"/>
        <w:numPr>
          <w:ilvl w:val="1"/>
          <w:numId w:val="2"/>
        </w:numPr>
      </w:pPr>
      <w:r w:rsidRPr="004E025C">
        <w:t xml:space="preserve">VISIBLE 1 trial was not powered to detect a difference between </w:t>
      </w:r>
      <w:r w:rsidR="00621C90" w:rsidRPr="004E025C">
        <w:t>VDZ SC</w:t>
      </w:r>
      <w:r w:rsidRPr="004E025C">
        <w:t xml:space="preserve"> and </w:t>
      </w:r>
      <w:r w:rsidR="00621C90" w:rsidRPr="004E025C">
        <w:t>VDZ IV</w:t>
      </w:r>
      <w:r w:rsidRPr="004E025C">
        <w:t xml:space="preserve"> arms</w:t>
      </w:r>
      <w:r w:rsidR="00F11599" w:rsidRPr="004E025C">
        <w:t>. T</w:t>
      </w:r>
      <w:r w:rsidR="00131BBE" w:rsidRPr="004E025C">
        <w:t>he PSCR argued that as</w:t>
      </w:r>
      <w:r w:rsidR="003D7E4E" w:rsidRPr="004E025C">
        <w:t xml:space="preserve"> the</w:t>
      </w:r>
      <w:r w:rsidR="00131BBE" w:rsidRPr="004E025C">
        <w:t xml:space="preserve"> VISIBLE 1 trial was powered to detect a difference between VDZ SC and placebo, with VDZ IV as </w:t>
      </w:r>
      <w:r w:rsidR="003D7E4E" w:rsidRPr="004E025C">
        <w:t xml:space="preserve">an active </w:t>
      </w:r>
      <w:r w:rsidR="00131BBE" w:rsidRPr="004E025C">
        <w:t>comparator,</w:t>
      </w:r>
      <w:r w:rsidR="00F11599" w:rsidRPr="004E025C">
        <w:t xml:space="preserve"> it provides a direct comparison of VDZ SC and VDZ IV</w:t>
      </w:r>
      <w:r w:rsidR="001810AB" w:rsidRPr="004E025C">
        <w:t>.</w:t>
      </w:r>
      <w:r w:rsidR="00F32639" w:rsidRPr="004E025C">
        <w:t xml:space="preserve"> </w:t>
      </w:r>
    </w:p>
    <w:p w:rsidR="00CD6EE3" w:rsidRPr="004E025C" w:rsidRDefault="002C40BE" w:rsidP="00CD6EE3">
      <w:pPr>
        <w:pStyle w:val="ListParagraph"/>
        <w:numPr>
          <w:ilvl w:val="1"/>
          <w:numId w:val="2"/>
        </w:numPr>
      </w:pPr>
      <w:r w:rsidRPr="004E025C">
        <w:t xml:space="preserve">VISIBLE 1 trial was not </w:t>
      </w:r>
      <w:r w:rsidR="00640BB6" w:rsidRPr="004E025C">
        <w:t xml:space="preserve">designed to establish </w:t>
      </w:r>
      <w:r w:rsidR="004D37AD" w:rsidRPr="004E025C">
        <w:t>non-inferiority</w:t>
      </w:r>
      <w:r w:rsidRPr="004E025C">
        <w:t>. No non-inferiority margin was pre-specified before performing the post-hoc analysis between the SC and the IV arms</w:t>
      </w:r>
      <w:r w:rsidR="00F11599" w:rsidRPr="004E025C">
        <w:t>. The</w:t>
      </w:r>
      <w:r w:rsidR="00BC4540" w:rsidRPr="004E025C">
        <w:t xml:space="preserve"> Sponsor</w:t>
      </w:r>
      <w:r w:rsidR="00F11599" w:rsidRPr="004E025C">
        <w:t xml:space="preserve"> stated</w:t>
      </w:r>
      <w:r w:rsidR="00BC4540" w:rsidRPr="004E025C">
        <w:t xml:space="preserve"> in both the PSCR and pre-PBAC response</w:t>
      </w:r>
      <w:r w:rsidR="00F11599" w:rsidRPr="004E025C">
        <w:t xml:space="preserve"> that the submission did not nominate a non-inferiority margin because none was identified</w:t>
      </w:r>
      <w:r w:rsidR="00BC4540" w:rsidRPr="004E025C">
        <w:t xml:space="preserve"> in the published literature</w:t>
      </w:r>
      <w:r w:rsidR="00F11599" w:rsidRPr="004E025C">
        <w:t xml:space="preserve"> for the outcome of clinical remission</w:t>
      </w:r>
      <w:r w:rsidR="004D098C" w:rsidRPr="004E025C">
        <w:t>, nor is there a recommendation for an accepted MCID for clinical remission</w:t>
      </w:r>
      <w:r w:rsidR="00F11599" w:rsidRPr="004E025C">
        <w:t xml:space="preserve">. </w:t>
      </w:r>
      <w:r w:rsidR="00273B92" w:rsidRPr="004E025C">
        <w:t>The PSCR stated that i</w:t>
      </w:r>
      <w:r w:rsidR="00F11599" w:rsidRPr="004E025C">
        <w:t>n the absence of a MCID</w:t>
      </w:r>
      <w:r w:rsidR="000E2F4C" w:rsidRPr="004E025C">
        <w:t xml:space="preserve"> [and non-inferiority margin]</w:t>
      </w:r>
      <w:r w:rsidR="00F11599" w:rsidRPr="004E025C">
        <w:t>, the PBAC has previously recommended bDMDs for MSUC based on the absence of statistically significant differences between the intervention and comparator (</w:t>
      </w:r>
      <w:r w:rsidR="000E2F4C" w:rsidRPr="004E025C">
        <w:t>paragraph 6.15, VDZ</w:t>
      </w:r>
      <w:r w:rsidR="00F11599" w:rsidRPr="004E025C">
        <w:t xml:space="preserve"> PSD</w:t>
      </w:r>
      <w:r w:rsidR="004D098C" w:rsidRPr="004E025C">
        <w:t xml:space="preserve"> for MSUC,</w:t>
      </w:r>
      <w:r w:rsidR="00F11599" w:rsidRPr="004E025C">
        <w:t xml:space="preserve"> March 2015)</w:t>
      </w:r>
      <w:r w:rsidR="003A1CDF" w:rsidRPr="004E025C">
        <w:t>.</w:t>
      </w:r>
      <w:r w:rsidR="003B5115" w:rsidRPr="004E025C">
        <w:t xml:space="preserve"> </w:t>
      </w:r>
    </w:p>
    <w:p w:rsidR="002C40BE" w:rsidRPr="004E025C" w:rsidRDefault="002C40BE" w:rsidP="002C40BE">
      <w:pPr>
        <w:pStyle w:val="ListParagraph"/>
        <w:numPr>
          <w:ilvl w:val="1"/>
          <w:numId w:val="2"/>
        </w:numPr>
      </w:pPr>
      <w:r w:rsidRPr="004E025C">
        <w:t xml:space="preserve">There were inconsistencies in the timing of continuing/maintenance treatment after induction therapy, between the requested PBS listing criteria for </w:t>
      </w:r>
      <w:r w:rsidR="00621C90" w:rsidRPr="004E025C">
        <w:t>VDZ IV</w:t>
      </w:r>
      <w:r w:rsidRPr="004E025C">
        <w:t xml:space="preserve"> (induction at week 0, 2, 6 and assessment of response at weeks 12 - 14), and the key clinical trials for </w:t>
      </w:r>
      <w:r w:rsidR="00621C90" w:rsidRPr="004E025C">
        <w:t>VDZ SC</w:t>
      </w:r>
      <w:r w:rsidRPr="004E025C">
        <w:t xml:space="preserve"> (induction at week 0,</w:t>
      </w:r>
      <w:r w:rsidR="00893668" w:rsidRPr="004E025C">
        <w:t xml:space="preserve"> </w:t>
      </w:r>
      <w:r w:rsidRPr="004E025C">
        <w:t xml:space="preserve"> 2 and as</w:t>
      </w:r>
      <w:r w:rsidR="000969D4" w:rsidRPr="004E025C">
        <w:t>sessment of response at week 6)</w:t>
      </w:r>
      <w:r w:rsidR="00F11599" w:rsidRPr="004E025C">
        <w:t>. The PSCR ackn</w:t>
      </w:r>
      <w:r w:rsidR="00B44284" w:rsidRPr="004E025C">
        <w:t>owledged that</w:t>
      </w:r>
      <w:r w:rsidR="00797A60" w:rsidRPr="004E025C">
        <w:t xml:space="preserve"> while</w:t>
      </w:r>
      <w:r w:rsidR="00B44284" w:rsidRPr="004E025C">
        <w:t xml:space="preserve"> the timing of the response assessment</w:t>
      </w:r>
      <w:r w:rsidR="00797A60" w:rsidRPr="004E025C">
        <w:t xml:space="preserve"> in the trials</w:t>
      </w:r>
      <w:r w:rsidR="00B44284" w:rsidRPr="004E025C">
        <w:t xml:space="preserve"> is different from the PBS listing criteria, it is consistent across the clinical trials for both VDZ SC and VDZ IV (VISIBLE 1, VISIBLE 2, and GEMINI 2) as maintenance treatments</w:t>
      </w:r>
      <w:r w:rsidR="003A1CDF" w:rsidRPr="004E025C">
        <w:t>.</w:t>
      </w:r>
    </w:p>
    <w:p w:rsidR="000D3D47" w:rsidRPr="004E025C" w:rsidRDefault="002C40BE" w:rsidP="00236B4B">
      <w:pPr>
        <w:pStyle w:val="ListParagraph"/>
        <w:numPr>
          <w:ilvl w:val="1"/>
          <w:numId w:val="2"/>
        </w:numPr>
      </w:pPr>
      <w:r w:rsidRPr="004E025C">
        <w:t xml:space="preserve">There were also differences between VISIBLE 1 trial and the PBS restrictions in terms of how the response was defined (clinical response versus clinical remission) and the use of prior biological agents before the initiation of the </w:t>
      </w:r>
      <w:r w:rsidR="00EC7D03" w:rsidRPr="004E025C">
        <w:t xml:space="preserve">VDZ </w:t>
      </w:r>
      <w:r w:rsidRPr="004E025C">
        <w:t xml:space="preserve">induction phase. </w:t>
      </w:r>
    </w:p>
    <w:p w:rsidR="00473735" w:rsidRPr="004E025C" w:rsidRDefault="000D3D47" w:rsidP="008D1CE7">
      <w:pPr>
        <w:pStyle w:val="3-BodyText"/>
        <w:numPr>
          <w:ilvl w:val="1"/>
          <w:numId w:val="1"/>
        </w:numPr>
      </w:pPr>
      <w:r w:rsidRPr="004E025C">
        <w:t>The PBAC considered that</w:t>
      </w:r>
      <w:r w:rsidR="008D1CE7" w:rsidRPr="004E025C">
        <w:t xml:space="preserve"> while</w:t>
      </w:r>
      <w:r w:rsidRPr="004E025C">
        <w:t xml:space="preserve"> the claim of non-inferior comparative effectiveness</w:t>
      </w:r>
      <w:r w:rsidR="00347150" w:rsidRPr="004E025C">
        <w:t xml:space="preserve"> in MSUC</w:t>
      </w:r>
      <w:r w:rsidRPr="004E025C">
        <w:t xml:space="preserve"> was</w:t>
      </w:r>
      <w:r w:rsidR="008D1CE7" w:rsidRPr="004E025C">
        <w:t xml:space="preserve"> uncertain, it acknowledged it is likely that</w:t>
      </w:r>
      <w:r w:rsidR="00236B4B" w:rsidRPr="004E025C">
        <w:t xml:space="preserve"> maintenance therapy with</w:t>
      </w:r>
      <w:r w:rsidR="008D1CE7" w:rsidRPr="004E025C">
        <w:t xml:space="preserve"> VDZ</w:t>
      </w:r>
      <w:r w:rsidR="00236B4B" w:rsidRPr="004E025C">
        <w:t xml:space="preserve"> SC</w:t>
      </w:r>
      <w:r w:rsidR="008D1CE7" w:rsidRPr="004E025C">
        <w:t xml:space="preserve"> delivers similar outcomes to continuation of</w:t>
      </w:r>
      <w:r w:rsidR="00236B4B" w:rsidRPr="004E025C">
        <w:t xml:space="preserve"> VDZ</w:t>
      </w:r>
      <w:r w:rsidR="008D1CE7" w:rsidRPr="004E025C">
        <w:t xml:space="preserve"> IV after a 12-14 week assessment point</w:t>
      </w:r>
      <w:r w:rsidR="00236B4B" w:rsidRPr="004E025C">
        <w:t>.</w:t>
      </w:r>
      <w:r w:rsidR="008D1CE7" w:rsidRPr="004E025C">
        <w:rPr>
          <w:rFonts w:eastAsiaTheme="minorEastAsia" w:cstheme="minorBidi"/>
          <w:color w:val="002060"/>
          <w:kern w:val="24"/>
          <w:sz w:val="28"/>
          <w:szCs w:val="28"/>
        </w:rPr>
        <w:t xml:space="preserve"> </w:t>
      </w:r>
    </w:p>
    <w:p w:rsidR="000D3D47" w:rsidRPr="004E025C" w:rsidRDefault="000D3D47" w:rsidP="000D3D47">
      <w:pPr>
        <w:pStyle w:val="3-BodyText"/>
        <w:numPr>
          <w:ilvl w:val="1"/>
          <w:numId w:val="1"/>
        </w:numPr>
        <w:rPr>
          <w:szCs w:val="20"/>
          <w:lang w:eastAsia="en-US"/>
        </w:rPr>
      </w:pPr>
      <w:r w:rsidRPr="004E025C">
        <w:t xml:space="preserve">The PBAC considered that the claim of </w:t>
      </w:r>
      <w:r w:rsidR="008D1CE7" w:rsidRPr="004E025C">
        <w:t>non-inferior</w:t>
      </w:r>
      <w:r w:rsidRPr="004E025C">
        <w:t xml:space="preserve"> comparative safety</w:t>
      </w:r>
      <w:r w:rsidR="00347150" w:rsidRPr="004E025C">
        <w:t xml:space="preserve"> in MSUC</w:t>
      </w:r>
      <w:r w:rsidRPr="004E025C">
        <w:t xml:space="preserve"> was reasonabl</w:t>
      </w:r>
      <w:r w:rsidR="008D1CE7" w:rsidRPr="004E025C">
        <w:t>e</w:t>
      </w:r>
      <w:r w:rsidRPr="004E025C">
        <w:rPr>
          <w:szCs w:val="20"/>
          <w:lang w:eastAsia="en-US"/>
        </w:rPr>
        <w:t>.</w:t>
      </w:r>
    </w:p>
    <w:p w:rsidR="00CD4484" w:rsidRPr="004E025C" w:rsidRDefault="00CD4484" w:rsidP="00CD4484">
      <w:pPr>
        <w:pStyle w:val="4-SubsectionHeading"/>
      </w:pPr>
      <w:bookmarkStart w:id="24" w:name="_Toc51141268"/>
      <w:r w:rsidRPr="004E025C">
        <w:t>Crohn’s disease</w:t>
      </w:r>
      <w:bookmarkEnd w:id="24"/>
    </w:p>
    <w:p w:rsidR="00CD4484" w:rsidRPr="004E025C" w:rsidRDefault="00CD4484" w:rsidP="00266EA7">
      <w:pPr>
        <w:pStyle w:val="5-SubsectionSubheading"/>
        <w:rPr>
          <w:i/>
        </w:rPr>
      </w:pPr>
      <w:bookmarkStart w:id="25" w:name="_Toc51141269"/>
      <w:r w:rsidRPr="004E025C">
        <w:rPr>
          <w:i/>
        </w:rPr>
        <w:t>Comparative effectiveness</w:t>
      </w:r>
      <w:bookmarkEnd w:id="18"/>
      <w:bookmarkEnd w:id="25"/>
    </w:p>
    <w:p w:rsidR="00CD4484" w:rsidRPr="004E025C" w:rsidRDefault="007E6865" w:rsidP="001F18FA">
      <w:pPr>
        <w:pStyle w:val="3-BodyText"/>
      </w:pPr>
      <w:r w:rsidRPr="004E025C">
        <w:t xml:space="preserve">Table </w:t>
      </w:r>
      <w:r>
        <w:t>10</w:t>
      </w:r>
      <w:r w:rsidR="00CD4484" w:rsidRPr="004E025C">
        <w:t xml:space="preserve"> summarises the indirect comparisons for the outcomes of clinical</w:t>
      </w:r>
      <w:r w:rsidR="00CD4484" w:rsidRPr="004E025C">
        <w:rPr>
          <w:snapToGrid/>
        </w:rPr>
        <w:t xml:space="preserve"> remission (primary), enhanced clinical response, corticosteroid-free remission, and durable remission. All efficacy outcomes were analysed at Week 52 for both trials.</w:t>
      </w:r>
    </w:p>
    <w:p w:rsidR="00CD4484" w:rsidRPr="004E025C" w:rsidRDefault="00CD4484" w:rsidP="00C56D7A">
      <w:pPr>
        <w:pStyle w:val="TableFigureHeading"/>
        <w:jc w:val="both"/>
      </w:pPr>
      <w:bookmarkStart w:id="26" w:name="_Ref49519764"/>
      <w:r w:rsidRPr="004E025C">
        <w:t xml:space="preserve">Table </w:t>
      </w:r>
      <w:r w:rsidR="007E6865">
        <w:rPr>
          <w:noProof/>
        </w:rPr>
        <w:t>10</w:t>
      </w:r>
      <w:bookmarkEnd w:id="26"/>
      <w:r w:rsidRPr="004E025C">
        <w:t>: Indirect comparison of the effectiveness of VDZ 108 mg SC Q2W versus VDZ 300 mg IV Q8W as maintenance therapy for moderate to severe Crohn’s disease</w:t>
      </w:r>
    </w:p>
    <w:tbl>
      <w:tblPr>
        <w:tblStyle w:val="TableGrid62"/>
        <w:tblW w:w="5000" w:type="pct"/>
        <w:tblLook w:val="04A0" w:firstRow="1" w:lastRow="0" w:firstColumn="1" w:lastColumn="0" w:noHBand="0" w:noVBand="1"/>
        <w:tblCaption w:val="Table 10"/>
      </w:tblPr>
      <w:tblGrid>
        <w:gridCol w:w="1977"/>
        <w:gridCol w:w="1280"/>
        <w:gridCol w:w="1419"/>
        <w:gridCol w:w="2247"/>
        <w:gridCol w:w="22"/>
        <w:gridCol w:w="2072"/>
      </w:tblGrid>
      <w:tr w:rsidR="00CD4484" w:rsidRPr="004E025C" w:rsidTr="00B17A96">
        <w:trPr>
          <w:tblHeader/>
        </w:trPr>
        <w:tc>
          <w:tcPr>
            <w:tcW w:w="1096" w:type="pct"/>
          </w:tcPr>
          <w:p w:rsidR="00CD4484" w:rsidRPr="004E025C" w:rsidRDefault="00CD4484" w:rsidP="00F133C3">
            <w:pPr>
              <w:pStyle w:val="TableText0"/>
              <w:spacing w:line="240" w:lineRule="auto"/>
            </w:pPr>
          </w:p>
        </w:tc>
        <w:tc>
          <w:tcPr>
            <w:tcW w:w="710" w:type="pct"/>
          </w:tcPr>
          <w:p w:rsidR="00CD4484" w:rsidRPr="004E025C" w:rsidRDefault="00CD4484" w:rsidP="00F133C3">
            <w:pPr>
              <w:pStyle w:val="TableText0"/>
              <w:spacing w:line="240" w:lineRule="auto"/>
              <w:rPr>
                <w:b/>
              </w:rPr>
            </w:pPr>
            <w:r w:rsidRPr="004E025C">
              <w:rPr>
                <w:b/>
              </w:rPr>
              <w:t>VDZ</w:t>
            </w:r>
          </w:p>
          <w:p w:rsidR="00CD4484" w:rsidRPr="004E025C" w:rsidRDefault="00CD4484" w:rsidP="00F133C3">
            <w:pPr>
              <w:pStyle w:val="TableText0"/>
              <w:spacing w:line="240" w:lineRule="auto"/>
              <w:rPr>
                <w:b/>
              </w:rPr>
            </w:pPr>
            <w:r w:rsidRPr="004E025C">
              <w:rPr>
                <w:b/>
              </w:rPr>
              <w:t>n (%)</w:t>
            </w:r>
          </w:p>
        </w:tc>
        <w:tc>
          <w:tcPr>
            <w:tcW w:w="787" w:type="pct"/>
            <w:shd w:val="clear" w:color="auto" w:fill="D9D9D9" w:themeFill="background1" w:themeFillShade="D9"/>
          </w:tcPr>
          <w:p w:rsidR="00CD4484" w:rsidRPr="004E025C" w:rsidRDefault="00CD4484" w:rsidP="00F133C3">
            <w:pPr>
              <w:pStyle w:val="TableText0"/>
              <w:spacing w:line="240" w:lineRule="auto"/>
              <w:rPr>
                <w:b/>
              </w:rPr>
            </w:pPr>
            <w:r w:rsidRPr="004E025C">
              <w:rPr>
                <w:b/>
              </w:rPr>
              <w:t>PBO</w:t>
            </w:r>
          </w:p>
          <w:p w:rsidR="00CD4484" w:rsidRPr="004E025C" w:rsidRDefault="00CD4484" w:rsidP="00F133C3">
            <w:pPr>
              <w:pStyle w:val="TableText0"/>
              <w:spacing w:line="240" w:lineRule="auto"/>
              <w:rPr>
                <w:b/>
              </w:rPr>
            </w:pPr>
            <w:r w:rsidRPr="004E025C">
              <w:rPr>
                <w:b/>
              </w:rPr>
              <w:t>n (%)</w:t>
            </w:r>
          </w:p>
        </w:tc>
        <w:tc>
          <w:tcPr>
            <w:tcW w:w="1258" w:type="pct"/>
            <w:gridSpan w:val="2"/>
          </w:tcPr>
          <w:p w:rsidR="00CD4484" w:rsidRPr="004E025C" w:rsidRDefault="00CD4484" w:rsidP="00F133C3">
            <w:pPr>
              <w:pStyle w:val="TableText0"/>
              <w:spacing w:line="240" w:lineRule="auto"/>
              <w:rPr>
                <w:b/>
              </w:rPr>
            </w:pPr>
            <w:r w:rsidRPr="004E025C">
              <w:rPr>
                <w:b/>
              </w:rPr>
              <w:t>RR (95% CI)</w:t>
            </w:r>
            <w:r w:rsidRPr="004E025C">
              <w:rPr>
                <w:b/>
                <w:vertAlign w:val="superscript"/>
              </w:rPr>
              <w:t>a</w:t>
            </w:r>
          </w:p>
          <w:p w:rsidR="00CD4484" w:rsidRPr="004E025C" w:rsidRDefault="00CD4484" w:rsidP="00F133C3">
            <w:pPr>
              <w:pStyle w:val="TableText0"/>
              <w:spacing w:line="240" w:lineRule="auto"/>
              <w:rPr>
                <w:b/>
              </w:rPr>
            </w:pPr>
            <w:r w:rsidRPr="004E025C">
              <w:rPr>
                <w:b/>
              </w:rPr>
              <w:t>p-value</w:t>
            </w:r>
          </w:p>
        </w:tc>
        <w:tc>
          <w:tcPr>
            <w:tcW w:w="1149" w:type="pct"/>
          </w:tcPr>
          <w:p w:rsidR="00CD4484" w:rsidRPr="004E025C" w:rsidRDefault="00CD4484" w:rsidP="00F133C3">
            <w:pPr>
              <w:pStyle w:val="TableText0"/>
              <w:spacing w:line="240" w:lineRule="auto"/>
              <w:rPr>
                <w:b/>
              </w:rPr>
            </w:pPr>
            <w:r w:rsidRPr="004E025C">
              <w:rPr>
                <w:b/>
              </w:rPr>
              <w:t>RD (95% CI)</w:t>
            </w:r>
            <w:r w:rsidRPr="004E025C">
              <w:rPr>
                <w:b/>
                <w:vertAlign w:val="superscript"/>
              </w:rPr>
              <w:t xml:space="preserve"> a</w:t>
            </w:r>
          </w:p>
          <w:p w:rsidR="00CD4484" w:rsidRPr="004E025C" w:rsidRDefault="00CD4484" w:rsidP="00F133C3">
            <w:pPr>
              <w:pStyle w:val="TableText0"/>
              <w:spacing w:line="240" w:lineRule="auto"/>
              <w:rPr>
                <w:b/>
              </w:rPr>
            </w:pPr>
            <w:r w:rsidRPr="004E025C">
              <w:rPr>
                <w:b/>
              </w:rPr>
              <w:t>p-value</w:t>
            </w:r>
          </w:p>
        </w:tc>
      </w:tr>
      <w:tr w:rsidR="00CD4484" w:rsidRPr="004E025C" w:rsidTr="00F133C3">
        <w:tc>
          <w:tcPr>
            <w:tcW w:w="5000" w:type="pct"/>
            <w:gridSpan w:val="6"/>
          </w:tcPr>
          <w:p w:rsidR="00CD4484" w:rsidRPr="004E025C" w:rsidRDefault="00CD4484" w:rsidP="00F133C3">
            <w:pPr>
              <w:pStyle w:val="TableText0"/>
              <w:rPr>
                <w:b/>
              </w:rPr>
            </w:pPr>
            <w:r w:rsidRPr="004E025C">
              <w:t>Clinical remission at Week 52</w:t>
            </w:r>
          </w:p>
        </w:tc>
      </w:tr>
      <w:tr w:rsidR="00CD4484" w:rsidRPr="004E025C" w:rsidTr="00F133C3">
        <w:tc>
          <w:tcPr>
            <w:tcW w:w="1096" w:type="pct"/>
          </w:tcPr>
          <w:p w:rsidR="00CD4484" w:rsidRPr="004E025C" w:rsidRDefault="00CD4484" w:rsidP="00F133C3">
            <w:pPr>
              <w:pStyle w:val="TableText0"/>
              <w:spacing w:line="240" w:lineRule="auto"/>
            </w:pPr>
            <w:r w:rsidRPr="004E025C">
              <w:t>VISIBLE-2</w:t>
            </w:r>
          </w:p>
          <w:p w:rsidR="00CD4484" w:rsidRPr="004E025C" w:rsidRDefault="00CD4484" w:rsidP="00F133C3">
            <w:pPr>
              <w:pStyle w:val="TableText0"/>
              <w:spacing w:line="240" w:lineRule="auto"/>
            </w:pPr>
            <w:r w:rsidRPr="004E025C">
              <w:t>(VDZ SC vs PBO)</w:t>
            </w:r>
          </w:p>
        </w:tc>
        <w:tc>
          <w:tcPr>
            <w:tcW w:w="710" w:type="pct"/>
          </w:tcPr>
          <w:p w:rsidR="00CD4484" w:rsidRPr="004E025C" w:rsidRDefault="00CD4484" w:rsidP="00F133C3">
            <w:pPr>
              <w:pStyle w:val="TableText0"/>
              <w:spacing w:line="240" w:lineRule="auto"/>
            </w:pPr>
            <w:r w:rsidRPr="004E025C">
              <w:t>N = 275</w:t>
            </w:r>
          </w:p>
          <w:p w:rsidR="00CD4484" w:rsidRPr="004E025C" w:rsidRDefault="00CD4484" w:rsidP="00F133C3">
            <w:pPr>
              <w:pStyle w:val="TableText0"/>
              <w:spacing w:line="240" w:lineRule="auto"/>
            </w:pPr>
            <w:r w:rsidRPr="004E025C">
              <w:t>132 (48.0)</w:t>
            </w:r>
          </w:p>
        </w:tc>
        <w:tc>
          <w:tcPr>
            <w:tcW w:w="787" w:type="pct"/>
            <w:shd w:val="clear" w:color="auto" w:fill="D9D9D9" w:themeFill="background1" w:themeFillShade="D9"/>
          </w:tcPr>
          <w:p w:rsidR="00CD4484" w:rsidRPr="004E025C" w:rsidRDefault="00CD4484" w:rsidP="00F133C3">
            <w:pPr>
              <w:pStyle w:val="TableText0"/>
              <w:spacing w:line="240" w:lineRule="auto"/>
            </w:pPr>
            <w:r w:rsidRPr="004E025C">
              <w:t>N = 134</w:t>
            </w:r>
          </w:p>
          <w:p w:rsidR="00CD4484" w:rsidRPr="004E025C" w:rsidRDefault="00CD4484" w:rsidP="00F133C3">
            <w:pPr>
              <w:pStyle w:val="TableText0"/>
              <w:spacing w:line="240" w:lineRule="auto"/>
            </w:pPr>
            <w:r w:rsidRPr="004E025C">
              <w:t>46 (34.3)</w:t>
            </w:r>
          </w:p>
        </w:tc>
        <w:tc>
          <w:tcPr>
            <w:tcW w:w="1258" w:type="pct"/>
            <w:gridSpan w:val="2"/>
          </w:tcPr>
          <w:p w:rsidR="00CD4484" w:rsidRPr="004E025C" w:rsidRDefault="00CD4484" w:rsidP="00F133C3">
            <w:pPr>
              <w:pStyle w:val="TableText0"/>
              <w:spacing w:line="240" w:lineRule="auto"/>
            </w:pPr>
            <w:r w:rsidRPr="004E025C">
              <w:t>1.40 (1.07, 1.82);</w:t>
            </w:r>
          </w:p>
          <w:p w:rsidR="00CD4484" w:rsidRPr="004E025C" w:rsidRDefault="00CD4484" w:rsidP="00F133C3">
            <w:pPr>
              <w:pStyle w:val="TableText0"/>
              <w:spacing w:line="240" w:lineRule="auto"/>
            </w:pPr>
            <w:r w:rsidRPr="004E025C">
              <w:t>p = 0.001</w:t>
            </w:r>
          </w:p>
        </w:tc>
        <w:tc>
          <w:tcPr>
            <w:tcW w:w="1149" w:type="pct"/>
          </w:tcPr>
          <w:p w:rsidR="00CD4484" w:rsidRPr="004E025C" w:rsidRDefault="00CD4484" w:rsidP="00F133C3">
            <w:pPr>
              <w:pStyle w:val="TableText0"/>
              <w:spacing w:line="240" w:lineRule="auto"/>
            </w:pPr>
            <w:r w:rsidRPr="004E025C">
              <w:t>0.14 (0.04, 0.24);</w:t>
            </w:r>
          </w:p>
          <w:p w:rsidR="00CD4484" w:rsidRPr="004E025C" w:rsidRDefault="00CD4484" w:rsidP="00F133C3">
            <w:pPr>
              <w:pStyle w:val="TableText0"/>
              <w:spacing w:line="240" w:lineRule="auto"/>
            </w:pPr>
            <w:r w:rsidRPr="004E025C">
              <w:t>p = 0.007</w:t>
            </w:r>
          </w:p>
        </w:tc>
      </w:tr>
      <w:tr w:rsidR="00CD4484" w:rsidRPr="004E025C" w:rsidTr="00F133C3">
        <w:tc>
          <w:tcPr>
            <w:tcW w:w="1096" w:type="pct"/>
          </w:tcPr>
          <w:p w:rsidR="00CD4484" w:rsidRPr="004E025C" w:rsidRDefault="00CD4484" w:rsidP="00F133C3">
            <w:pPr>
              <w:pStyle w:val="TableText0"/>
              <w:spacing w:line="240" w:lineRule="auto"/>
            </w:pPr>
            <w:r w:rsidRPr="004E025C">
              <w:t>GEMINI-2</w:t>
            </w:r>
            <w:r w:rsidRPr="004E025C" w:rsidDel="00030624">
              <w:t xml:space="preserve"> </w:t>
            </w:r>
          </w:p>
          <w:p w:rsidR="00CD4484" w:rsidRPr="004E025C" w:rsidRDefault="00CD4484" w:rsidP="00F133C3">
            <w:pPr>
              <w:pStyle w:val="TableText0"/>
              <w:spacing w:line="240" w:lineRule="auto"/>
            </w:pPr>
            <w:r w:rsidRPr="004E025C">
              <w:t>(VDZ IV vs PBO)</w:t>
            </w:r>
          </w:p>
        </w:tc>
        <w:tc>
          <w:tcPr>
            <w:tcW w:w="710" w:type="pct"/>
          </w:tcPr>
          <w:p w:rsidR="00CD4484" w:rsidRPr="004E025C" w:rsidRDefault="00CD4484" w:rsidP="00F133C3">
            <w:pPr>
              <w:pStyle w:val="TableText0"/>
              <w:spacing w:line="240" w:lineRule="auto"/>
            </w:pPr>
            <w:r w:rsidRPr="004E025C">
              <w:t>N = 154</w:t>
            </w:r>
          </w:p>
          <w:p w:rsidR="00CD4484" w:rsidRPr="004E025C" w:rsidRDefault="00CD4484" w:rsidP="00F133C3">
            <w:pPr>
              <w:pStyle w:val="TableText0"/>
              <w:spacing w:line="240" w:lineRule="auto"/>
            </w:pPr>
            <w:r w:rsidRPr="004E025C">
              <w:t>60 (39.0)</w:t>
            </w:r>
          </w:p>
        </w:tc>
        <w:tc>
          <w:tcPr>
            <w:tcW w:w="787" w:type="pct"/>
            <w:shd w:val="clear" w:color="auto" w:fill="D9D9D9" w:themeFill="background1" w:themeFillShade="D9"/>
          </w:tcPr>
          <w:p w:rsidR="00CD4484" w:rsidRPr="004E025C" w:rsidRDefault="00CD4484" w:rsidP="00F133C3">
            <w:pPr>
              <w:pStyle w:val="TableText0"/>
              <w:spacing w:line="240" w:lineRule="auto"/>
            </w:pPr>
            <w:r w:rsidRPr="004E025C">
              <w:t>N = 153</w:t>
            </w:r>
          </w:p>
          <w:p w:rsidR="00CD4484" w:rsidRPr="004E025C" w:rsidRDefault="00CD4484" w:rsidP="00F133C3">
            <w:pPr>
              <w:pStyle w:val="TableText0"/>
              <w:spacing w:line="240" w:lineRule="auto"/>
            </w:pPr>
            <w:r w:rsidRPr="004E025C">
              <w:t>33 (21.6)</w:t>
            </w:r>
          </w:p>
        </w:tc>
        <w:tc>
          <w:tcPr>
            <w:tcW w:w="1258" w:type="pct"/>
            <w:gridSpan w:val="2"/>
          </w:tcPr>
          <w:p w:rsidR="00CD4484" w:rsidRPr="004E025C" w:rsidRDefault="00CD4484" w:rsidP="00F133C3">
            <w:pPr>
              <w:pStyle w:val="TableText0"/>
              <w:spacing w:line="240" w:lineRule="auto"/>
            </w:pPr>
            <w:r w:rsidRPr="004E025C">
              <w:t>1.81 (1.26, 2.59);</w:t>
            </w:r>
          </w:p>
          <w:p w:rsidR="00CD4484" w:rsidRPr="004E025C" w:rsidRDefault="00CD4484" w:rsidP="00F133C3">
            <w:pPr>
              <w:pStyle w:val="TableText0"/>
              <w:spacing w:line="240" w:lineRule="auto"/>
              <w:rPr>
                <w:rFonts w:ascii="Times New Roman" w:hAnsi="Times New Roman"/>
              </w:rPr>
            </w:pPr>
            <w:r w:rsidRPr="004E025C">
              <w:t>p = 0.001</w:t>
            </w:r>
          </w:p>
        </w:tc>
        <w:tc>
          <w:tcPr>
            <w:tcW w:w="1149" w:type="pct"/>
          </w:tcPr>
          <w:p w:rsidR="00CD4484" w:rsidRPr="004E025C" w:rsidRDefault="00CD4484" w:rsidP="00F133C3">
            <w:pPr>
              <w:pStyle w:val="TableText0"/>
              <w:spacing w:line="240" w:lineRule="auto"/>
            </w:pPr>
            <w:r w:rsidRPr="004E025C">
              <w:t>0.17 (0.07, 0.27);</w:t>
            </w:r>
          </w:p>
          <w:p w:rsidR="00CD4484" w:rsidRPr="004E025C" w:rsidRDefault="00CD4484" w:rsidP="00F133C3">
            <w:pPr>
              <w:pStyle w:val="TableText0"/>
              <w:spacing w:line="240" w:lineRule="auto"/>
              <w:rPr>
                <w:rFonts w:ascii="Times New Roman" w:hAnsi="Times New Roman"/>
              </w:rPr>
            </w:pPr>
            <w:r w:rsidRPr="004E025C">
              <w:t>p = 0.0007</w:t>
            </w:r>
          </w:p>
        </w:tc>
      </w:tr>
      <w:tr w:rsidR="00CD4484" w:rsidRPr="004E025C" w:rsidTr="00F133C3">
        <w:tc>
          <w:tcPr>
            <w:tcW w:w="2593" w:type="pct"/>
            <w:gridSpan w:val="3"/>
          </w:tcPr>
          <w:p w:rsidR="00CD4484" w:rsidRPr="004E025C" w:rsidRDefault="00CD4484" w:rsidP="00F133C3">
            <w:pPr>
              <w:pStyle w:val="TableText0"/>
              <w:spacing w:line="240" w:lineRule="auto"/>
            </w:pPr>
            <w:r w:rsidRPr="004E025C">
              <w:t>Indirect comparison (VDZ SC vs VDZ IV)</w:t>
            </w:r>
          </w:p>
        </w:tc>
        <w:tc>
          <w:tcPr>
            <w:tcW w:w="1258" w:type="pct"/>
            <w:gridSpan w:val="2"/>
          </w:tcPr>
          <w:p w:rsidR="00CD4484" w:rsidRPr="004E025C" w:rsidRDefault="00CD4484" w:rsidP="00F133C3">
            <w:pPr>
              <w:pStyle w:val="TableText0"/>
              <w:spacing w:line="240" w:lineRule="auto"/>
            </w:pPr>
            <w:r w:rsidRPr="004E025C">
              <w:t>0.77 (0.49, 1.21);</w:t>
            </w:r>
          </w:p>
          <w:p w:rsidR="00CD4484" w:rsidRPr="004E025C" w:rsidRDefault="00CD4484" w:rsidP="00F133C3">
            <w:pPr>
              <w:pStyle w:val="TableText0"/>
              <w:spacing w:line="240" w:lineRule="auto"/>
            </w:pPr>
            <w:r w:rsidRPr="004E025C">
              <w:t>p = 0.2607</w:t>
            </w:r>
          </w:p>
        </w:tc>
        <w:tc>
          <w:tcPr>
            <w:tcW w:w="1149" w:type="pct"/>
          </w:tcPr>
          <w:p w:rsidR="00CD4484" w:rsidRPr="004E025C" w:rsidRDefault="00CD4484" w:rsidP="00F133C3">
            <w:pPr>
              <w:pStyle w:val="TableText0"/>
              <w:spacing w:line="240" w:lineRule="auto"/>
            </w:pPr>
            <w:r w:rsidRPr="004E025C">
              <w:noBreakHyphen/>
              <w:t>0.03 (</w:t>
            </w:r>
            <w:r w:rsidRPr="004E025C">
              <w:noBreakHyphen/>
              <w:t>0.17, 0.11);</w:t>
            </w:r>
          </w:p>
          <w:p w:rsidR="00CD4484" w:rsidRPr="004E025C" w:rsidRDefault="00CD4484" w:rsidP="00F133C3">
            <w:pPr>
              <w:pStyle w:val="TableText0"/>
              <w:spacing w:line="240" w:lineRule="auto"/>
            </w:pPr>
            <w:r w:rsidRPr="004E025C">
              <w:t>p = 0.6776</w:t>
            </w:r>
          </w:p>
        </w:tc>
      </w:tr>
      <w:tr w:rsidR="00CD4484" w:rsidRPr="004E025C" w:rsidTr="00F133C3">
        <w:tc>
          <w:tcPr>
            <w:tcW w:w="5000" w:type="pct"/>
            <w:gridSpan w:val="6"/>
          </w:tcPr>
          <w:p w:rsidR="00CD4484" w:rsidRPr="004E025C" w:rsidRDefault="00CD4484" w:rsidP="00F133C3">
            <w:pPr>
              <w:pStyle w:val="TableText0"/>
            </w:pPr>
            <w:r w:rsidRPr="004E025C">
              <w:t>Enhanced clinical response at Week 52</w:t>
            </w:r>
          </w:p>
        </w:tc>
      </w:tr>
      <w:tr w:rsidR="00CD4484" w:rsidRPr="004E025C" w:rsidTr="00F133C3">
        <w:tc>
          <w:tcPr>
            <w:tcW w:w="1096" w:type="pct"/>
          </w:tcPr>
          <w:p w:rsidR="00CD4484" w:rsidRPr="004E025C" w:rsidRDefault="00CD4484" w:rsidP="001C2AD7">
            <w:pPr>
              <w:pStyle w:val="TableText0"/>
              <w:spacing w:line="240" w:lineRule="auto"/>
            </w:pPr>
            <w:r w:rsidRPr="004E025C">
              <w:t>VISIBLE-2</w:t>
            </w:r>
          </w:p>
          <w:p w:rsidR="00CD4484" w:rsidRPr="004E025C" w:rsidRDefault="00CD4484" w:rsidP="001C2AD7">
            <w:pPr>
              <w:pStyle w:val="TableText0"/>
              <w:spacing w:line="240" w:lineRule="auto"/>
            </w:pPr>
            <w:r w:rsidRPr="004E025C">
              <w:t>(VDZ SC vs PBO)</w:t>
            </w:r>
          </w:p>
        </w:tc>
        <w:tc>
          <w:tcPr>
            <w:tcW w:w="710" w:type="pct"/>
          </w:tcPr>
          <w:p w:rsidR="00CD4484" w:rsidRPr="004E025C" w:rsidRDefault="00CD4484" w:rsidP="001C2AD7">
            <w:pPr>
              <w:pStyle w:val="TableText0"/>
              <w:spacing w:line="240" w:lineRule="auto"/>
            </w:pPr>
            <w:r w:rsidRPr="004E025C">
              <w:t>N = 275</w:t>
            </w:r>
          </w:p>
          <w:p w:rsidR="00CD4484" w:rsidRPr="004E025C" w:rsidRDefault="00CD4484" w:rsidP="001C2AD7">
            <w:pPr>
              <w:pStyle w:val="TableText0"/>
              <w:spacing w:line="240" w:lineRule="auto"/>
            </w:pPr>
            <w:r w:rsidRPr="004E025C">
              <w:t>143 (52.0)</w:t>
            </w:r>
          </w:p>
        </w:tc>
        <w:tc>
          <w:tcPr>
            <w:tcW w:w="787" w:type="pct"/>
            <w:shd w:val="clear" w:color="auto" w:fill="D9D9D9" w:themeFill="background1" w:themeFillShade="D9"/>
          </w:tcPr>
          <w:p w:rsidR="00CD4484" w:rsidRPr="004E025C" w:rsidRDefault="00CD4484" w:rsidP="001C2AD7">
            <w:pPr>
              <w:pStyle w:val="TableText0"/>
              <w:spacing w:line="240" w:lineRule="auto"/>
            </w:pPr>
            <w:r w:rsidRPr="004E025C">
              <w:t>N = 134</w:t>
            </w:r>
          </w:p>
          <w:p w:rsidR="00CD4484" w:rsidRPr="004E025C" w:rsidRDefault="00CD4484" w:rsidP="001C2AD7">
            <w:pPr>
              <w:pStyle w:val="TableText0"/>
              <w:spacing w:line="240" w:lineRule="auto"/>
            </w:pPr>
            <w:r w:rsidRPr="004E025C">
              <w:t>60 (44.8)</w:t>
            </w:r>
          </w:p>
        </w:tc>
        <w:tc>
          <w:tcPr>
            <w:tcW w:w="1246" w:type="pct"/>
          </w:tcPr>
          <w:p w:rsidR="00CD4484" w:rsidRPr="004E025C" w:rsidRDefault="00CD4484" w:rsidP="001C2AD7">
            <w:pPr>
              <w:pStyle w:val="TableText0"/>
              <w:spacing w:line="240" w:lineRule="auto"/>
            </w:pPr>
            <w:r w:rsidRPr="004E025C">
              <w:t>1.16 (0.93, 1.45);</w:t>
            </w:r>
          </w:p>
          <w:p w:rsidR="00CD4484" w:rsidRPr="004E025C" w:rsidRDefault="00CD4484" w:rsidP="001C2AD7">
            <w:pPr>
              <w:pStyle w:val="TableText0"/>
              <w:spacing w:line="240" w:lineRule="auto"/>
            </w:pPr>
            <w:r w:rsidRPr="004E025C">
              <w:t>p = 0.18</w:t>
            </w:r>
          </w:p>
        </w:tc>
        <w:tc>
          <w:tcPr>
            <w:tcW w:w="1161" w:type="pct"/>
            <w:gridSpan w:val="2"/>
          </w:tcPr>
          <w:p w:rsidR="00CD4484" w:rsidRPr="004E025C" w:rsidRDefault="00CD4484" w:rsidP="001C2AD7">
            <w:pPr>
              <w:pStyle w:val="TableText0"/>
              <w:spacing w:line="240" w:lineRule="auto"/>
            </w:pPr>
            <w:r w:rsidRPr="004E025C">
              <w:t>0.07 (-0.03, 0.18); p = 0.17</w:t>
            </w:r>
          </w:p>
        </w:tc>
      </w:tr>
      <w:tr w:rsidR="00CD4484" w:rsidRPr="004E025C" w:rsidTr="00F133C3">
        <w:tc>
          <w:tcPr>
            <w:tcW w:w="1096" w:type="pct"/>
          </w:tcPr>
          <w:p w:rsidR="00CD4484" w:rsidRPr="004E025C" w:rsidRDefault="00CD4484" w:rsidP="001C2AD7">
            <w:pPr>
              <w:pStyle w:val="TableText0"/>
              <w:spacing w:line="240" w:lineRule="auto"/>
            </w:pPr>
            <w:r w:rsidRPr="004E025C">
              <w:t>GEMINI-2</w:t>
            </w:r>
            <w:r w:rsidRPr="004E025C" w:rsidDel="00030624">
              <w:t xml:space="preserve"> </w:t>
            </w:r>
          </w:p>
          <w:p w:rsidR="00CD4484" w:rsidRPr="004E025C" w:rsidRDefault="00CD4484" w:rsidP="001C2AD7">
            <w:pPr>
              <w:pStyle w:val="TableText0"/>
              <w:spacing w:line="240" w:lineRule="auto"/>
            </w:pPr>
            <w:r w:rsidRPr="004E025C">
              <w:t>(VDZ IV vs PBO)</w:t>
            </w:r>
          </w:p>
        </w:tc>
        <w:tc>
          <w:tcPr>
            <w:tcW w:w="710" w:type="pct"/>
          </w:tcPr>
          <w:p w:rsidR="00CD4484" w:rsidRPr="004E025C" w:rsidRDefault="00CD4484" w:rsidP="001C2AD7">
            <w:pPr>
              <w:pStyle w:val="TableText0"/>
              <w:spacing w:line="240" w:lineRule="auto"/>
            </w:pPr>
            <w:r w:rsidRPr="004E025C">
              <w:t>N = 154</w:t>
            </w:r>
          </w:p>
          <w:p w:rsidR="00CD4484" w:rsidRPr="004E025C" w:rsidRDefault="00CD4484" w:rsidP="001C2AD7">
            <w:pPr>
              <w:pStyle w:val="TableText0"/>
              <w:spacing w:line="240" w:lineRule="auto"/>
            </w:pPr>
            <w:r w:rsidRPr="004E025C">
              <w:t>67 (43.5)</w:t>
            </w:r>
          </w:p>
        </w:tc>
        <w:tc>
          <w:tcPr>
            <w:tcW w:w="787" w:type="pct"/>
            <w:shd w:val="clear" w:color="auto" w:fill="D9D9D9" w:themeFill="background1" w:themeFillShade="D9"/>
          </w:tcPr>
          <w:p w:rsidR="00CD4484" w:rsidRPr="004E025C" w:rsidRDefault="00CD4484" w:rsidP="001C2AD7">
            <w:pPr>
              <w:pStyle w:val="TableText0"/>
              <w:spacing w:line="240" w:lineRule="auto"/>
            </w:pPr>
            <w:r w:rsidRPr="004E025C">
              <w:t>N = 153</w:t>
            </w:r>
          </w:p>
          <w:p w:rsidR="00CD4484" w:rsidRPr="004E025C" w:rsidRDefault="00CD4484" w:rsidP="001C2AD7">
            <w:pPr>
              <w:pStyle w:val="TableText0"/>
              <w:spacing w:line="240" w:lineRule="auto"/>
            </w:pPr>
            <w:r w:rsidRPr="004E025C">
              <w:t>46 (30.1)</w:t>
            </w:r>
          </w:p>
        </w:tc>
        <w:tc>
          <w:tcPr>
            <w:tcW w:w="1246" w:type="pct"/>
          </w:tcPr>
          <w:p w:rsidR="00CD4484" w:rsidRPr="004E025C" w:rsidRDefault="00CD4484" w:rsidP="001C2AD7">
            <w:pPr>
              <w:pStyle w:val="TableText0"/>
              <w:spacing w:line="240" w:lineRule="auto"/>
            </w:pPr>
            <w:r w:rsidRPr="004E025C">
              <w:t>1.45 (1.07, 1.96);</w:t>
            </w:r>
          </w:p>
          <w:p w:rsidR="00CD4484" w:rsidRPr="004E025C" w:rsidRDefault="00CD4484" w:rsidP="001C2AD7">
            <w:pPr>
              <w:pStyle w:val="TableText0"/>
              <w:spacing w:line="240" w:lineRule="auto"/>
            </w:pPr>
            <w:r w:rsidRPr="004E025C">
              <w:t>p = 0.02</w:t>
            </w:r>
          </w:p>
        </w:tc>
        <w:tc>
          <w:tcPr>
            <w:tcW w:w="1161" w:type="pct"/>
            <w:gridSpan w:val="2"/>
          </w:tcPr>
          <w:p w:rsidR="00CD4484" w:rsidRPr="004E025C" w:rsidRDefault="00CD4484" w:rsidP="001C2AD7">
            <w:pPr>
              <w:pStyle w:val="TableText0"/>
              <w:spacing w:line="240" w:lineRule="auto"/>
            </w:pPr>
            <w:r w:rsidRPr="004E025C">
              <w:t>0.13 (0.03, 0.24); p = 0.01</w:t>
            </w:r>
          </w:p>
        </w:tc>
      </w:tr>
      <w:tr w:rsidR="00CD4484" w:rsidRPr="004E025C" w:rsidTr="00F133C3">
        <w:tc>
          <w:tcPr>
            <w:tcW w:w="2593" w:type="pct"/>
            <w:gridSpan w:val="3"/>
          </w:tcPr>
          <w:p w:rsidR="00CD4484" w:rsidRPr="004E025C" w:rsidRDefault="00CD4484" w:rsidP="00F133C3">
            <w:pPr>
              <w:pStyle w:val="TableText0"/>
            </w:pPr>
            <w:r w:rsidRPr="004E025C">
              <w:t>Indirect comparison (VDZ SC vs VDZ IV)</w:t>
            </w:r>
          </w:p>
        </w:tc>
        <w:tc>
          <w:tcPr>
            <w:tcW w:w="1246" w:type="pct"/>
          </w:tcPr>
          <w:p w:rsidR="00CD4484" w:rsidRPr="004E025C" w:rsidRDefault="00CD4484" w:rsidP="001C2AD7">
            <w:pPr>
              <w:pStyle w:val="TableText0"/>
              <w:spacing w:line="240" w:lineRule="auto"/>
            </w:pPr>
            <w:r w:rsidRPr="004E025C">
              <w:t>0.80 (0.55, 1.16);</w:t>
            </w:r>
          </w:p>
          <w:p w:rsidR="00CD4484" w:rsidRPr="004E025C" w:rsidRDefault="00CD4484" w:rsidP="001C2AD7">
            <w:pPr>
              <w:pStyle w:val="TableText0"/>
              <w:spacing w:line="240" w:lineRule="auto"/>
            </w:pPr>
            <w:r w:rsidRPr="004E025C">
              <w:t>p = 0.2440</w:t>
            </w:r>
          </w:p>
        </w:tc>
        <w:tc>
          <w:tcPr>
            <w:tcW w:w="1161" w:type="pct"/>
            <w:gridSpan w:val="2"/>
          </w:tcPr>
          <w:p w:rsidR="00CD4484" w:rsidRPr="004E025C" w:rsidRDefault="00CD4484" w:rsidP="001C2AD7">
            <w:pPr>
              <w:pStyle w:val="TableText0"/>
              <w:spacing w:line="240" w:lineRule="auto"/>
            </w:pPr>
            <w:r w:rsidRPr="004E025C">
              <w:t>-0.06 (-0.21, 0.09); p = 0.4284</w:t>
            </w:r>
          </w:p>
        </w:tc>
      </w:tr>
      <w:tr w:rsidR="00CD4484" w:rsidRPr="004E025C" w:rsidTr="00F133C3">
        <w:tc>
          <w:tcPr>
            <w:tcW w:w="5000" w:type="pct"/>
            <w:gridSpan w:val="6"/>
          </w:tcPr>
          <w:p w:rsidR="00CD4484" w:rsidRPr="004E025C" w:rsidRDefault="00CD4484" w:rsidP="00F133C3">
            <w:pPr>
              <w:pStyle w:val="TableText0"/>
            </w:pPr>
            <w:r w:rsidRPr="004E025C">
              <w:t>Corticosteroid-free remission at Week 52</w:t>
            </w:r>
          </w:p>
        </w:tc>
      </w:tr>
      <w:tr w:rsidR="00CD4484" w:rsidRPr="004E025C" w:rsidTr="00F133C3">
        <w:tc>
          <w:tcPr>
            <w:tcW w:w="1096" w:type="pct"/>
          </w:tcPr>
          <w:p w:rsidR="00CD4484" w:rsidRPr="004E025C" w:rsidRDefault="00CD4484" w:rsidP="001C2AD7">
            <w:pPr>
              <w:pStyle w:val="TableText0"/>
              <w:spacing w:line="240" w:lineRule="auto"/>
            </w:pPr>
            <w:r w:rsidRPr="004E025C">
              <w:t>VISIBLE-2</w:t>
            </w:r>
          </w:p>
          <w:p w:rsidR="00CD4484" w:rsidRPr="004E025C" w:rsidRDefault="00CD4484" w:rsidP="001C2AD7">
            <w:pPr>
              <w:pStyle w:val="TableText0"/>
              <w:spacing w:line="240" w:lineRule="auto"/>
            </w:pPr>
            <w:r w:rsidRPr="004E025C">
              <w:t>(VDZ SC vs PBO)</w:t>
            </w:r>
          </w:p>
        </w:tc>
        <w:tc>
          <w:tcPr>
            <w:tcW w:w="710" w:type="pct"/>
          </w:tcPr>
          <w:p w:rsidR="00CD4484" w:rsidRPr="004E025C" w:rsidRDefault="00CD4484" w:rsidP="001C2AD7">
            <w:pPr>
              <w:pStyle w:val="TableText0"/>
              <w:spacing w:line="240" w:lineRule="auto"/>
            </w:pPr>
            <w:r w:rsidRPr="004E025C">
              <w:t>N = 95</w:t>
            </w:r>
          </w:p>
          <w:p w:rsidR="00CD4484" w:rsidRPr="004E025C" w:rsidRDefault="00CD4484" w:rsidP="001C2AD7">
            <w:pPr>
              <w:pStyle w:val="TableText0"/>
              <w:spacing w:line="240" w:lineRule="auto"/>
            </w:pPr>
            <w:r w:rsidRPr="004E025C">
              <w:t>43 (45.3)</w:t>
            </w:r>
          </w:p>
        </w:tc>
        <w:tc>
          <w:tcPr>
            <w:tcW w:w="787" w:type="pct"/>
            <w:shd w:val="clear" w:color="auto" w:fill="D9D9D9" w:themeFill="background1" w:themeFillShade="D9"/>
          </w:tcPr>
          <w:p w:rsidR="00CD4484" w:rsidRPr="004E025C" w:rsidRDefault="00CD4484" w:rsidP="001C2AD7">
            <w:pPr>
              <w:pStyle w:val="TableText0"/>
              <w:spacing w:line="240" w:lineRule="auto"/>
            </w:pPr>
            <w:r w:rsidRPr="004E025C">
              <w:t>N = 44</w:t>
            </w:r>
          </w:p>
          <w:p w:rsidR="00CD4484" w:rsidRPr="004E025C" w:rsidRDefault="00CD4484" w:rsidP="001C2AD7">
            <w:pPr>
              <w:pStyle w:val="TableText0"/>
              <w:spacing w:line="240" w:lineRule="auto"/>
            </w:pPr>
            <w:r w:rsidRPr="004E025C">
              <w:t>8 (18.2)</w:t>
            </w:r>
          </w:p>
        </w:tc>
        <w:tc>
          <w:tcPr>
            <w:tcW w:w="1246" w:type="pct"/>
          </w:tcPr>
          <w:p w:rsidR="00CD4484" w:rsidRPr="004E025C" w:rsidRDefault="00CD4484" w:rsidP="001C2AD7">
            <w:pPr>
              <w:pStyle w:val="TableText0"/>
              <w:spacing w:line="240" w:lineRule="auto"/>
            </w:pPr>
            <w:r w:rsidRPr="004E025C">
              <w:t xml:space="preserve">2.49 (1.28, 4.84); </w:t>
            </w:r>
          </w:p>
          <w:p w:rsidR="00CD4484" w:rsidRPr="004E025C" w:rsidRDefault="00CD4484" w:rsidP="001C2AD7">
            <w:pPr>
              <w:pStyle w:val="TableText0"/>
              <w:spacing w:line="240" w:lineRule="auto"/>
            </w:pPr>
            <w:r w:rsidRPr="004E025C">
              <w:t>p = 0.007</w:t>
            </w:r>
          </w:p>
        </w:tc>
        <w:tc>
          <w:tcPr>
            <w:tcW w:w="1161" w:type="pct"/>
            <w:gridSpan w:val="2"/>
          </w:tcPr>
          <w:p w:rsidR="00CD4484" w:rsidRPr="004E025C" w:rsidRDefault="00CD4484" w:rsidP="001C2AD7">
            <w:pPr>
              <w:pStyle w:val="TableText0"/>
              <w:spacing w:line="240" w:lineRule="auto"/>
            </w:pPr>
            <w:r w:rsidRPr="004E025C">
              <w:t xml:space="preserve">0.27 (0.12, 0.42); </w:t>
            </w:r>
          </w:p>
          <w:p w:rsidR="00CD4484" w:rsidRPr="004E025C" w:rsidRDefault="00CD4484" w:rsidP="001C2AD7">
            <w:pPr>
              <w:pStyle w:val="TableText0"/>
              <w:spacing w:line="240" w:lineRule="auto"/>
            </w:pPr>
            <w:r w:rsidRPr="004E025C">
              <w:t>p = 0.0005</w:t>
            </w:r>
          </w:p>
        </w:tc>
      </w:tr>
      <w:tr w:rsidR="00CD4484" w:rsidRPr="004E025C" w:rsidTr="00F133C3">
        <w:tc>
          <w:tcPr>
            <w:tcW w:w="1096" w:type="pct"/>
          </w:tcPr>
          <w:p w:rsidR="00CD4484" w:rsidRPr="004E025C" w:rsidRDefault="00CD4484" w:rsidP="001C2AD7">
            <w:pPr>
              <w:pStyle w:val="TableText0"/>
              <w:spacing w:line="240" w:lineRule="auto"/>
            </w:pPr>
            <w:r w:rsidRPr="004E025C">
              <w:t>GEMINI-2</w:t>
            </w:r>
            <w:r w:rsidRPr="004E025C" w:rsidDel="00030624">
              <w:t xml:space="preserve"> </w:t>
            </w:r>
          </w:p>
          <w:p w:rsidR="00CD4484" w:rsidRPr="004E025C" w:rsidRDefault="00CD4484" w:rsidP="001C2AD7">
            <w:pPr>
              <w:pStyle w:val="TableText0"/>
              <w:spacing w:line="240" w:lineRule="auto"/>
            </w:pPr>
            <w:r w:rsidRPr="004E025C">
              <w:t>(VDZ IV vs PBO)</w:t>
            </w:r>
          </w:p>
        </w:tc>
        <w:tc>
          <w:tcPr>
            <w:tcW w:w="710" w:type="pct"/>
          </w:tcPr>
          <w:p w:rsidR="00CD4484" w:rsidRPr="004E025C" w:rsidRDefault="00CD4484" w:rsidP="001C2AD7">
            <w:pPr>
              <w:pStyle w:val="TableText0"/>
              <w:spacing w:line="240" w:lineRule="auto"/>
            </w:pPr>
            <w:r w:rsidRPr="004E025C">
              <w:t>N = 82</w:t>
            </w:r>
          </w:p>
          <w:p w:rsidR="00CD4484" w:rsidRPr="004E025C" w:rsidRDefault="00CD4484" w:rsidP="001C2AD7">
            <w:pPr>
              <w:pStyle w:val="TableText0"/>
              <w:spacing w:line="240" w:lineRule="auto"/>
            </w:pPr>
            <w:r w:rsidRPr="004E025C">
              <w:t>26 (31.7)</w:t>
            </w:r>
          </w:p>
        </w:tc>
        <w:tc>
          <w:tcPr>
            <w:tcW w:w="787" w:type="pct"/>
            <w:shd w:val="clear" w:color="auto" w:fill="D9D9D9" w:themeFill="background1" w:themeFillShade="D9"/>
          </w:tcPr>
          <w:p w:rsidR="00CD4484" w:rsidRPr="004E025C" w:rsidRDefault="00CD4484" w:rsidP="001C2AD7">
            <w:pPr>
              <w:pStyle w:val="TableText0"/>
              <w:spacing w:line="240" w:lineRule="auto"/>
            </w:pPr>
            <w:r w:rsidRPr="004E025C">
              <w:t>N = 82</w:t>
            </w:r>
          </w:p>
          <w:p w:rsidR="00CD4484" w:rsidRPr="004E025C" w:rsidRDefault="00CD4484" w:rsidP="001C2AD7">
            <w:pPr>
              <w:pStyle w:val="TableText0"/>
              <w:spacing w:line="240" w:lineRule="auto"/>
            </w:pPr>
            <w:r w:rsidRPr="004E025C">
              <w:t>13 (15.9)</w:t>
            </w:r>
          </w:p>
        </w:tc>
        <w:tc>
          <w:tcPr>
            <w:tcW w:w="1246" w:type="pct"/>
          </w:tcPr>
          <w:p w:rsidR="00CD4484" w:rsidRPr="004E025C" w:rsidRDefault="00CD4484" w:rsidP="001C2AD7">
            <w:pPr>
              <w:pStyle w:val="TableText0"/>
              <w:spacing w:line="240" w:lineRule="auto"/>
            </w:pPr>
            <w:r w:rsidRPr="004E025C">
              <w:t xml:space="preserve">2.00 (1.11, 3.61); </w:t>
            </w:r>
          </w:p>
          <w:p w:rsidR="00CD4484" w:rsidRPr="004E025C" w:rsidRDefault="00CD4484" w:rsidP="001C2AD7">
            <w:pPr>
              <w:pStyle w:val="TableText0"/>
              <w:spacing w:line="240" w:lineRule="auto"/>
            </w:pPr>
            <w:r w:rsidRPr="004E025C">
              <w:t>p = 0.02</w:t>
            </w:r>
          </w:p>
        </w:tc>
        <w:tc>
          <w:tcPr>
            <w:tcW w:w="1161" w:type="pct"/>
            <w:gridSpan w:val="2"/>
          </w:tcPr>
          <w:p w:rsidR="00CD4484" w:rsidRPr="004E025C" w:rsidRDefault="00CD4484" w:rsidP="001C2AD7">
            <w:pPr>
              <w:pStyle w:val="TableText0"/>
              <w:spacing w:line="240" w:lineRule="auto"/>
            </w:pPr>
            <w:r w:rsidRPr="004E025C">
              <w:t xml:space="preserve">0.16 (0.03, 0.29); </w:t>
            </w:r>
          </w:p>
          <w:p w:rsidR="00CD4484" w:rsidRPr="004E025C" w:rsidRDefault="00CD4484" w:rsidP="001C2AD7">
            <w:pPr>
              <w:pStyle w:val="TableText0"/>
              <w:spacing w:line="240" w:lineRule="auto"/>
            </w:pPr>
            <w:r w:rsidRPr="004E025C">
              <w:t>p = 0.02</w:t>
            </w:r>
          </w:p>
        </w:tc>
      </w:tr>
      <w:tr w:rsidR="00CD4484" w:rsidRPr="004E025C" w:rsidTr="00F133C3">
        <w:tc>
          <w:tcPr>
            <w:tcW w:w="2593" w:type="pct"/>
            <w:gridSpan w:val="3"/>
          </w:tcPr>
          <w:p w:rsidR="00CD4484" w:rsidRPr="004E025C" w:rsidRDefault="00CD4484" w:rsidP="00F133C3">
            <w:pPr>
              <w:pStyle w:val="TableText0"/>
            </w:pPr>
            <w:r w:rsidRPr="004E025C">
              <w:t>Indirect comparison (VDZ SC vs VDZ IV)</w:t>
            </w:r>
          </w:p>
        </w:tc>
        <w:tc>
          <w:tcPr>
            <w:tcW w:w="1246" w:type="pct"/>
          </w:tcPr>
          <w:p w:rsidR="00CD4484" w:rsidRPr="004E025C" w:rsidRDefault="00CD4484" w:rsidP="001C2AD7">
            <w:pPr>
              <w:pStyle w:val="TableText0"/>
              <w:spacing w:line="240" w:lineRule="auto"/>
            </w:pPr>
            <w:r w:rsidRPr="004E025C">
              <w:t>1.25 (0.51, 3.03);</w:t>
            </w:r>
          </w:p>
          <w:p w:rsidR="00CD4484" w:rsidRPr="004E025C" w:rsidRDefault="00CD4484" w:rsidP="001C2AD7">
            <w:pPr>
              <w:pStyle w:val="TableText0"/>
              <w:spacing w:line="240" w:lineRule="auto"/>
            </w:pPr>
            <w:r w:rsidRPr="004E025C">
              <w:t>p = 0.6289</w:t>
            </w:r>
          </w:p>
        </w:tc>
        <w:tc>
          <w:tcPr>
            <w:tcW w:w="1161" w:type="pct"/>
            <w:gridSpan w:val="2"/>
          </w:tcPr>
          <w:p w:rsidR="00CD4484" w:rsidRPr="004E025C" w:rsidRDefault="00CD4484" w:rsidP="001C2AD7">
            <w:pPr>
              <w:pStyle w:val="TableText0"/>
              <w:spacing w:line="240" w:lineRule="auto"/>
            </w:pPr>
            <w:r w:rsidRPr="004E025C">
              <w:t>0.11 (</w:t>
            </w:r>
            <w:r w:rsidRPr="004E025C">
              <w:noBreakHyphen/>
              <w:t>0.09, 0.31);</w:t>
            </w:r>
          </w:p>
          <w:p w:rsidR="00CD4484" w:rsidRPr="004E025C" w:rsidRDefault="00CD4484" w:rsidP="001C2AD7">
            <w:pPr>
              <w:pStyle w:val="TableText0"/>
              <w:spacing w:line="240" w:lineRule="auto"/>
            </w:pPr>
            <w:r w:rsidRPr="004E025C">
              <w:t>p = 0.2774</w:t>
            </w:r>
          </w:p>
        </w:tc>
      </w:tr>
      <w:tr w:rsidR="00CD4484" w:rsidRPr="004E025C" w:rsidTr="00F133C3">
        <w:tc>
          <w:tcPr>
            <w:tcW w:w="5000" w:type="pct"/>
            <w:gridSpan w:val="6"/>
          </w:tcPr>
          <w:p w:rsidR="00CD4484" w:rsidRPr="004E025C" w:rsidRDefault="00CD4484" w:rsidP="00F133C3">
            <w:pPr>
              <w:pStyle w:val="TableText0"/>
            </w:pPr>
            <w:r w:rsidRPr="004E025C">
              <w:t>Durable clinical remission</w:t>
            </w:r>
          </w:p>
        </w:tc>
      </w:tr>
      <w:tr w:rsidR="00CD4484" w:rsidRPr="004E025C" w:rsidTr="00F133C3">
        <w:tc>
          <w:tcPr>
            <w:tcW w:w="1096" w:type="pct"/>
          </w:tcPr>
          <w:p w:rsidR="00CD4484" w:rsidRPr="004E025C" w:rsidRDefault="00CD4484" w:rsidP="001C2AD7">
            <w:pPr>
              <w:pStyle w:val="TableText0"/>
              <w:spacing w:line="240" w:lineRule="auto"/>
            </w:pPr>
            <w:r w:rsidRPr="004E025C">
              <w:t>VISIBLE-2</w:t>
            </w:r>
          </w:p>
          <w:p w:rsidR="00CD4484" w:rsidRPr="004E025C" w:rsidRDefault="00CD4484" w:rsidP="001C2AD7">
            <w:pPr>
              <w:pStyle w:val="TableText0"/>
              <w:spacing w:line="240" w:lineRule="auto"/>
            </w:pPr>
            <w:r w:rsidRPr="004E025C">
              <w:t>(VDZ SC vs PBO)</w:t>
            </w:r>
          </w:p>
        </w:tc>
        <w:tc>
          <w:tcPr>
            <w:tcW w:w="710" w:type="pct"/>
          </w:tcPr>
          <w:p w:rsidR="00CD4484" w:rsidRPr="004E025C" w:rsidRDefault="00CD4484" w:rsidP="001C2AD7">
            <w:pPr>
              <w:pStyle w:val="TableText0"/>
              <w:spacing w:line="240" w:lineRule="auto"/>
            </w:pPr>
            <w:r w:rsidRPr="004E025C">
              <w:t>N = 275</w:t>
            </w:r>
          </w:p>
          <w:p w:rsidR="00CD4484" w:rsidRPr="004E025C" w:rsidRDefault="00CD4484" w:rsidP="001C2AD7">
            <w:pPr>
              <w:pStyle w:val="TableText0"/>
              <w:spacing w:line="240" w:lineRule="auto"/>
            </w:pPr>
            <w:r w:rsidRPr="004E025C">
              <w:t>86 (31.3)</w:t>
            </w:r>
          </w:p>
        </w:tc>
        <w:tc>
          <w:tcPr>
            <w:tcW w:w="787" w:type="pct"/>
            <w:shd w:val="clear" w:color="auto" w:fill="D9D9D9" w:themeFill="background1" w:themeFillShade="D9"/>
          </w:tcPr>
          <w:p w:rsidR="00CD4484" w:rsidRPr="004E025C" w:rsidRDefault="00CD4484" w:rsidP="001C2AD7">
            <w:pPr>
              <w:pStyle w:val="TableText0"/>
              <w:spacing w:line="240" w:lineRule="auto"/>
            </w:pPr>
            <w:r w:rsidRPr="004E025C">
              <w:t>N = 134</w:t>
            </w:r>
          </w:p>
          <w:p w:rsidR="00CD4484" w:rsidRPr="004E025C" w:rsidRDefault="00CD4484" w:rsidP="001C2AD7">
            <w:pPr>
              <w:pStyle w:val="TableText0"/>
              <w:spacing w:line="240" w:lineRule="auto"/>
            </w:pPr>
            <w:r w:rsidRPr="004E025C">
              <w:t>34 (25.4)</w:t>
            </w:r>
          </w:p>
        </w:tc>
        <w:tc>
          <w:tcPr>
            <w:tcW w:w="1258" w:type="pct"/>
            <w:gridSpan w:val="2"/>
          </w:tcPr>
          <w:p w:rsidR="00CD4484" w:rsidRPr="004E025C" w:rsidRDefault="00CD4484" w:rsidP="001C2AD7">
            <w:pPr>
              <w:pStyle w:val="TableText0"/>
              <w:spacing w:line="240" w:lineRule="auto"/>
            </w:pPr>
            <w:r w:rsidRPr="004E025C">
              <w:t>1.23 (0.88, 1.73);</w:t>
            </w:r>
          </w:p>
          <w:p w:rsidR="00CD4484" w:rsidRPr="004E025C" w:rsidRDefault="00CD4484" w:rsidP="001C2AD7">
            <w:pPr>
              <w:pStyle w:val="TableText0"/>
              <w:spacing w:line="240" w:lineRule="auto"/>
            </w:pPr>
            <w:r w:rsidRPr="004E025C">
              <w:t>p = 0.23</w:t>
            </w:r>
          </w:p>
        </w:tc>
        <w:tc>
          <w:tcPr>
            <w:tcW w:w="1149" w:type="pct"/>
          </w:tcPr>
          <w:p w:rsidR="00CD4484" w:rsidRPr="004E025C" w:rsidRDefault="00CD4484" w:rsidP="001C2AD7">
            <w:pPr>
              <w:pStyle w:val="TableText0"/>
              <w:spacing w:line="240" w:lineRule="auto"/>
            </w:pPr>
            <w:r w:rsidRPr="004E025C">
              <w:t>0.06 (-0.03, 0.15);</w:t>
            </w:r>
          </w:p>
          <w:p w:rsidR="00CD4484" w:rsidRPr="004E025C" w:rsidRDefault="00CD4484" w:rsidP="001C2AD7">
            <w:pPr>
              <w:pStyle w:val="TableText0"/>
              <w:spacing w:line="240" w:lineRule="auto"/>
            </w:pPr>
            <w:r w:rsidRPr="004E025C">
              <w:t>p = 0.21</w:t>
            </w:r>
          </w:p>
        </w:tc>
      </w:tr>
      <w:tr w:rsidR="00CD4484" w:rsidRPr="004E025C" w:rsidTr="00F133C3">
        <w:tc>
          <w:tcPr>
            <w:tcW w:w="1096" w:type="pct"/>
          </w:tcPr>
          <w:p w:rsidR="00CD4484" w:rsidRPr="004E025C" w:rsidRDefault="00CD4484" w:rsidP="001C2AD7">
            <w:pPr>
              <w:pStyle w:val="TableText0"/>
              <w:spacing w:line="240" w:lineRule="auto"/>
            </w:pPr>
            <w:r w:rsidRPr="004E025C">
              <w:t>GEMINI-2</w:t>
            </w:r>
            <w:r w:rsidRPr="004E025C" w:rsidDel="00030624">
              <w:t xml:space="preserve"> </w:t>
            </w:r>
          </w:p>
          <w:p w:rsidR="00CD4484" w:rsidRPr="004E025C" w:rsidRDefault="00CD4484" w:rsidP="001C2AD7">
            <w:pPr>
              <w:pStyle w:val="TableText0"/>
              <w:spacing w:line="240" w:lineRule="auto"/>
            </w:pPr>
            <w:r w:rsidRPr="004E025C">
              <w:t>(VDZ IV vs PBO)</w:t>
            </w:r>
          </w:p>
        </w:tc>
        <w:tc>
          <w:tcPr>
            <w:tcW w:w="710" w:type="pct"/>
          </w:tcPr>
          <w:p w:rsidR="00CD4484" w:rsidRPr="004E025C" w:rsidRDefault="00CD4484" w:rsidP="001C2AD7">
            <w:pPr>
              <w:pStyle w:val="TableText0"/>
              <w:spacing w:line="240" w:lineRule="auto"/>
            </w:pPr>
            <w:r w:rsidRPr="004E025C">
              <w:t>N = 154</w:t>
            </w:r>
          </w:p>
          <w:p w:rsidR="00CD4484" w:rsidRPr="004E025C" w:rsidRDefault="00CD4484" w:rsidP="001C2AD7">
            <w:pPr>
              <w:pStyle w:val="TableText0"/>
              <w:spacing w:line="240" w:lineRule="auto"/>
            </w:pPr>
            <w:r w:rsidRPr="004E025C">
              <w:t>33 (21.4)</w:t>
            </w:r>
          </w:p>
        </w:tc>
        <w:tc>
          <w:tcPr>
            <w:tcW w:w="787" w:type="pct"/>
            <w:shd w:val="clear" w:color="auto" w:fill="D9D9D9" w:themeFill="background1" w:themeFillShade="D9"/>
          </w:tcPr>
          <w:p w:rsidR="00CD4484" w:rsidRPr="004E025C" w:rsidRDefault="00CD4484" w:rsidP="001C2AD7">
            <w:pPr>
              <w:pStyle w:val="TableText0"/>
              <w:spacing w:line="240" w:lineRule="auto"/>
            </w:pPr>
            <w:r w:rsidRPr="004E025C">
              <w:t>N = 153</w:t>
            </w:r>
          </w:p>
          <w:p w:rsidR="00CD4484" w:rsidRPr="004E025C" w:rsidRDefault="00CD4484" w:rsidP="001C2AD7">
            <w:pPr>
              <w:pStyle w:val="TableText0"/>
              <w:spacing w:line="240" w:lineRule="auto"/>
            </w:pPr>
            <w:r w:rsidRPr="004E025C">
              <w:t>22 (14.4)</w:t>
            </w:r>
          </w:p>
        </w:tc>
        <w:tc>
          <w:tcPr>
            <w:tcW w:w="1258" w:type="pct"/>
            <w:gridSpan w:val="2"/>
          </w:tcPr>
          <w:p w:rsidR="00CD4484" w:rsidRPr="004E025C" w:rsidRDefault="00CD4484" w:rsidP="001C2AD7">
            <w:pPr>
              <w:pStyle w:val="TableText0"/>
              <w:spacing w:line="240" w:lineRule="auto"/>
            </w:pPr>
            <w:r w:rsidRPr="004E025C">
              <w:t>1.49 (0.91, 2.43);</w:t>
            </w:r>
          </w:p>
          <w:p w:rsidR="00CD4484" w:rsidRPr="004E025C" w:rsidRDefault="00CD4484" w:rsidP="001C2AD7">
            <w:pPr>
              <w:pStyle w:val="TableText0"/>
              <w:spacing w:line="240" w:lineRule="auto"/>
            </w:pPr>
            <w:r w:rsidRPr="004E025C">
              <w:t>p = 0.11</w:t>
            </w:r>
          </w:p>
        </w:tc>
        <w:tc>
          <w:tcPr>
            <w:tcW w:w="1149" w:type="pct"/>
          </w:tcPr>
          <w:p w:rsidR="00CD4484" w:rsidRPr="004E025C" w:rsidRDefault="00CD4484" w:rsidP="001C2AD7">
            <w:pPr>
              <w:pStyle w:val="TableText0"/>
              <w:spacing w:line="240" w:lineRule="auto"/>
            </w:pPr>
            <w:r w:rsidRPr="004E025C">
              <w:t>0.07 (-0.01, 0.16);</w:t>
            </w:r>
          </w:p>
          <w:p w:rsidR="00CD4484" w:rsidRPr="004E025C" w:rsidRDefault="00CD4484" w:rsidP="001C2AD7">
            <w:pPr>
              <w:pStyle w:val="TableText0"/>
              <w:spacing w:line="240" w:lineRule="auto"/>
            </w:pPr>
            <w:r w:rsidRPr="004E025C">
              <w:t>p = 0.11</w:t>
            </w:r>
          </w:p>
        </w:tc>
      </w:tr>
      <w:tr w:rsidR="00CD4484" w:rsidRPr="004E025C" w:rsidTr="00F133C3">
        <w:tc>
          <w:tcPr>
            <w:tcW w:w="2593" w:type="pct"/>
            <w:gridSpan w:val="3"/>
          </w:tcPr>
          <w:p w:rsidR="00CD4484" w:rsidRPr="004E025C" w:rsidRDefault="00CD4484" w:rsidP="00F133C3">
            <w:pPr>
              <w:pStyle w:val="TableText0"/>
            </w:pPr>
            <w:r w:rsidRPr="004E025C">
              <w:t>Indirect comparison (VDZ SC vs VDZ IV)</w:t>
            </w:r>
          </w:p>
        </w:tc>
        <w:tc>
          <w:tcPr>
            <w:tcW w:w="1258" w:type="pct"/>
            <w:gridSpan w:val="2"/>
          </w:tcPr>
          <w:p w:rsidR="00CD4484" w:rsidRPr="004E025C" w:rsidRDefault="00CD4484" w:rsidP="001C2AD7">
            <w:pPr>
              <w:pStyle w:val="TableText0"/>
              <w:spacing w:line="240" w:lineRule="auto"/>
            </w:pPr>
            <w:r w:rsidRPr="004E025C">
              <w:t>0.83 (0.45, 1.50);</w:t>
            </w:r>
          </w:p>
          <w:p w:rsidR="00CD4484" w:rsidRPr="004E025C" w:rsidRDefault="00CD4484" w:rsidP="001C2AD7">
            <w:pPr>
              <w:pStyle w:val="TableText0"/>
              <w:spacing w:line="240" w:lineRule="auto"/>
            </w:pPr>
            <w:r w:rsidRPr="004E025C">
              <w:t>p = 0.5284</w:t>
            </w:r>
          </w:p>
        </w:tc>
        <w:tc>
          <w:tcPr>
            <w:tcW w:w="1149" w:type="pct"/>
          </w:tcPr>
          <w:p w:rsidR="00CD4484" w:rsidRPr="004E025C" w:rsidRDefault="00CD4484" w:rsidP="001C2AD7">
            <w:pPr>
              <w:pStyle w:val="TableText0"/>
              <w:spacing w:line="240" w:lineRule="auto"/>
            </w:pPr>
            <w:r w:rsidRPr="004E025C">
              <w:noBreakHyphen/>
              <w:t>0.01 (</w:t>
            </w:r>
            <w:r w:rsidRPr="004E025C">
              <w:noBreakHyphen/>
              <w:t>0.13, 0.11);</w:t>
            </w:r>
          </w:p>
          <w:p w:rsidR="00CD4484" w:rsidRPr="004E025C" w:rsidRDefault="00CD4484" w:rsidP="001C2AD7">
            <w:pPr>
              <w:pStyle w:val="TableText0"/>
              <w:spacing w:line="240" w:lineRule="auto"/>
            </w:pPr>
            <w:r w:rsidRPr="004E025C">
              <w:t>p = 0.8742</w:t>
            </w:r>
          </w:p>
        </w:tc>
      </w:tr>
    </w:tbl>
    <w:p w:rsidR="00CD4484" w:rsidRPr="004E025C" w:rsidRDefault="00CD4484" w:rsidP="00CD4484">
      <w:pPr>
        <w:pStyle w:val="TableFooter"/>
      </w:pPr>
      <w:r w:rsidRPr="004E025C">
        <w:t>Sources: Table 2.2-60 to 2.2-63, pp100-102 of the main submission</w:t>
      </w:r>
    </w:p>
    <w:p w:rsidR="00CD4484" w:rsidRPr="004E025C" w:rsidRDefault="00CD4484" w:rsidP="00CD4484">
      <w:pPr>
        <w:pStyle w:val="TableFooter"/>
      </w:pPr>
      <w:r w:rsidRPr="004E025C">
        <w:rPr>
          <w:shd w:val="clear" w:color="auto" w:fill="D9D9D9" w:themeFill="background1" w:themeFillShade="D9"/>
        </w:rPr>
        <w:t>Placebo rates shaded</w:t>
      </w:r>
    </w:p>
    <w:p w:rsidR="00CD4484" w:rsidRPr="004E025C" w:rsidRDefault="00CD4484" w:rsidP="00CD4484">
      <w:pPr>
        <w:pStyle w:val="TableFooter"/>
      </w:pPr>
      <w:r w:rsidRPr="004E025C">
        <w:rPr>
          <w:b/>
          <w:vertAlign w:val="superscript"/>
        </w:rPr>
        <w:t>a</w:t>
      </w:r>
      <w:r w:rsidR="00410378">
        <w:rPr>
          <w:b/>
          <w:vertAlign w:val="superscript"/>
        </w:rPr>
        <w:t xml:space="preserve"> </w:t>
      </w:r>
      <w:r w:rsidRPr="004E025C">
        <w:t>Calculated in the submission using RevMan v5.3</w:t>
      </w:r>
    </w:p>
    <w:p w:rsidR="00CD4484" w:rsidRPr="004E025C" w:rsidRDefault="00CD4484" w:rsidP="00CD4484">
      <w:pPr>
        <w:pStyle w:val="TableFooter"/>
      </w:pPr>
      <w:r w:rsidRPr="004E025C">
        <w:t>Definitions: Clinical remission = a CDAI score ≤150 at Week 52; Enhanced clinical response = ≥100-point decrease in CDAI score from baseline (Week 0), at Week 52; Corticosteroid-free remission = Patients using oral corticosteroids at baseline who discontinued oral corticosteroids and were in clinical remission at Week 52; Durable clinical remission = Clinical remission at ≥ 80% of study visits including the final visit.</w:t>
      </w:r>
    </w:p>
    <w:p w:rsidR="00CD4484" w:rsidRPr="004E025C" w:rsidRDefault="00CD4484" w:rsidP="00CD4484">
      <w:pPr>
        <w:pStyle w:val="TableFooter"/>
      </w:pPr>
      <w:r w:rsidRPr="004E025C">
        <w:t>CDAI = Crohn’s disease activity index; CI = confidence interval; IV = intravenous; OR = odds ratio; PBO = placebo; RD = risk difference; RR = relative risk; SC = subcutaneous; VDZ = vedolizumab</w:t>
      </w:r>
    </w:p>
    <w:p w:rsidR="00CD4484" w:rsidRPr="004E025C" w:rsidRDefault="00CD4484" w:rsidP="00CD4484"/>
    <w:p w:rsidR="00CD4484" w:rsidRPr="004E025C" w:rsidRDefault="00CD4484" w:rsidP="001C61AF">
      <w:pPr>
        <w:pStyle w:val="3-BodyText"/>
      </w:pPr>
      <w:r w:rsidRPr="004E025C">
        <w:rPr>
          <w:snapToGrid/>
        </w:rPr>
        <w:t xml:space="preserve">There were no statistically significant differences for any of the effectiveness outcomes, between the 108 mg SC Q2W and 300 mg IV Q8W formulations of </w:t>
      </w:r>
      <w:r w:rsidR="00EF6D33" w:rsidRPr="004E025C">
        <w:rPr>
          <w:snapToGrid/>
        </w:rPr>
        <w:t xml:space="preserve">VDZ </w:t>
      </w:r>
      <w:r w:rsidRPr="004E025C">
        <w:rPr>
          <w:snapToGrid/>
        </w:rPr>
        <w:t xml:space="preserve">maintenance therapy, in moderate to severe </w:t>
      </w:r>
      <w:r w:rsidR="00C56D7A" w:rsidRPr="004E025C">
        <w:rPr>
          <w:snapToGrid/>
        </w:rPr>
        <w:t>CD</w:t>
      </w:r>
      <w:r w:rsidRPr="004E025C">
        <w:rPr>
          <w:snapToGrid/>
        </w:rPr>
        <w:t>.</w:t>
      </w:r>
    </w:p>
    <w:p w:rsidR="00CD4484" w:rsidRPr="004E025C" w:rsidRDefault="00CD4484" w:rsidP="001C61AF">
      <w:pPr>
        <w:pStyle w:val="3-BodyText"/>
      </w:pPr>
      <w:r w:rsidRPr="004E025C">
        <w:t>The indirect comparison results however had very wide confidence intervals</w:t>
      </w:r>
      <w:r w:rsidR="00827AEB" w:rsidRPr="004E025C">
        <w:t xml:space="preserve"> with exchangeability issues. The direction of any potential bias remains unclear. </w:t>
      </w:r>
    </w:p>
    <w:p w:rsidR="00464611" w:rsidRPr="004E025C" w:rsidRDefault="00827AEB" w:rsidP="00827AEB">
      <w:pPr>
        <w:pStyle w:val="3-BodyText"/>
      </w:pPr>
      <w:r w:rsidRPr="004E025C">
        <w:t xml:space="preserve">Both </w:t>
      </w:r>
      <w:r w:rsidR="00C56D7A" w:rsidRPr="004E025C">
        <w:t xml:space="preserve">VDZ </w:t>
      </w:r>
      <w:r w:rsidRPr="004E025C">
        <w:t xml:space="preserve">trials enrolled patients with moderate to severe </w:t>
      </w:r>
      <w:r w:rsidR="00C56D7A" w:rsidRPr="004E025C">
        <w:t>CD</w:t>
      </w:r>
      <w:r w:rsidRPr="004E025C">
        <w:t xml:space="preserve"> (CDAI score 220 to 450).</w:t>
      </w:r>
      <w:r w:rsidR="00D95A8E" w:rsidRPr="004E025C">
        <w:t xml:space="preserve"> However, </w:t>
      </w:r>
      <w:r w:rsidRPr="004E025C">
        <w:t xml:space="preserve">the PBS population for initiation of VDZ induction therapy are those with severe disease (CDAI ≥300 or CDAI ≥220 and extensive intestinal inflammation ≥ 50 cm or short gut syndrome). The submission argued that the mean baseline CDAI scores were &gt;300 in both VISIBLE 2 (318.3-320.0) and GEMINI 2 (325.2-325.5), and that GEMINI 2 was previously accepted as evidence by the PBAC for the listing of </w:t>
      </w:r>
      <w:r w:rsidR="00EF783B" w:rsidRPr="004E025C">
        <w:t xml:space="preserve">VDZ </w:t>
      </w:r>
      <w:r w:rsidRPr="004E025C">
        <w:t>IV as induction and maintenance therapy</w:t>
      </w:r>
      <w:r w:rsidR="00D95A8E" w:rsidRPr="004E025C">
        <w:t xml:space="preserve"> in </w:t>
      </w:r>
      <w:r w:rsidRPr="004E025C">
        <w:t>this population (Appendix 2, Vedolizumab PSD, March 2015).</w:t>
      </w:r>
    </w:p>
    <w:p w:rsidR="00153DE8" w:rsidRPr="004E025C" w:rsidRDefault="00CD4484" w:rsidP="00153DE8">
      <w:pPr>
        <w:pStyle w:val="3-BodyText"/>
      </w:pPr>
      <w:r w:rsidRPr="004E025C">
        <w:t xml:space="preserve">An updated European Public Assessment Report (EPAR) for </w:t>
      </w:r>
      <w:r w:rsidR="00EF783B" w:rsidRPr="004E025C">
        <w:t>VDZ</w:t>
      </w:r>
      <w:r w:rsidRPr="004E025C">
        <w:rPr>
          <w:rStyle w:val="FootnoteReference"/>
        </w:rPr>
        <w:footnoteReference w:id="4"/>
      </w:r>
      <w:r w:rsidRPr="004E025C">
        <w:t xml:space="preserve"> provide</w:t>
      </w:r>
      <w:r w:rsidR="001A0CA0" w:rsidRPr="004E025C">
        <w:t>d</w:t>
      </w:r>
      <w:r w:rsidRPr="004E025C">
        <w:t xml:space="preserve"> </w:t>
      </w:r>
      <w:r w:rsidR="001A0CA0" w:rsidRPr="004E025C">
        <w:t xml:space="preserve">some information on </w:t>
      </w:r>
      <w:r w:rsidR="00153DE8" w:rsidRPr="004E025C">
        <w:t>the pharmacology of the SC and</w:t>
      </w:r>
      <w:r w:rsidR="00DC5602" w:rsidRPr="004E025C">
        <w:t xml:space="preserve"> IV formulations of </w:t>
      </w:r>
      <w:r w:rsidR="00EF783B" w:rsidRPr="004E025C">
        <w:t>VDZ</w:t>
      </w:r>
      <w:r w:rsidR="00153DE8" w:rsidRPr="004E025C">
        <w:t>.</w:t>
      </w:r>
    </w:p>
    <w:p w:rsidR="00CD4484" w:rsidRPr="004E025C" w:rsidRDefault="00153DE8" w:rsidP="00153DE8">
      <w:pPr>
        <w:pStyle w:val="3-BodyText"/>
      </w:pPr>
      <w:r w:rsidRPr="004E025C">
        <w:t>The EPAR noted that E</w:t>
      </w:r>
      <w:r w:rsidR="00CD4484" w:rsidRPr="004E025C">
        <w:t>xposure-response (E-R) analyses at Week 6 showed that for all the exposure parameters considered, quartiles of higher exposure were associated with greater probability of week 6 clinical remission and week 6 clinical response</w:t>
      </w:r>
      <w:r w:rsidRPr="004E025C">
        <w:t xml:space="preserve">. In addition, </w:t>
      </w:r>
      <w:r w:rsidR="00CD4484" w:rsidRPr="004E025C">
        <w:t xml:space="preserve">SC treatment, as compared with IV treatment, resulted in a </w:t>
      </w:r>
      <w:r w:rsidRPr="004E025C">
        <w:t xml:space="preserve">higher exposure to </w:t>
      </w:r>
      <w:r w:rsidR="00EF6D33" w:rsidRPr="004E025C">
        <w:t>VDZ</w:t>
      </w:r>
      <w:r w:rsidRPr="004E025C">
        <w:t xml:space="preserve">. </w:t>
      </w:r>
      <w:r w:rsidR="00CD4484" w:rsidRPr="004E025C">
        <w:t>Based on analyses of exposure quartiles within treatment arm, and relating them to probability of week 52 clinical remission and mucosal healing, it was apparent that in most cases, the probability of week 52 clinical remission and the rate of week 52 mucosal healing were higher for the SC treatment.</w:t>
      </w:r>
    </w:p>
    <w:p w:rsidR="00CD4484" w:rsidRPr="004E025C" w:rsidRDefault="00CD4484" w:rsidP="00153DE8">
      <w:pPr>
        <w:pStyle w:val="3-BodyText"/>
      </w:pPr>
      <w:r w:rsidRPr="004E025C">
        <w:t xml:space="preserve">Overall, </w:t>
      </w:r>
      <w:r w:rsidR="00153DE8" w:rsidRPr="004E025C">
        <w:t xml:space="preserve">the EPAR </w:t>
      </w:r>
      <w:r w:rsidRPr="004E025C">
        <w:t xml:space="preserve">concluded that a general trend of increased rate of response for patients with higher </w:t>
      </w:r>
      <w:r w:rsidR="00EF6D33" w:rsidRPr="004E025C">
        <w:t xml:space="preserve">VDZ </w:t>
      </w:r>
      <w:r w:rsidRPr="004E025C">
        <w:t>exposure was observed, and that the SC administration appeared to result in slightly higher exposure parameters compared to IV administration.</w:t>
      </w:r>
    </w:p>
    <w:p w:rsidR="00B60939" w:rsidRPr="004E025C" w:rsidRDefault="00B60939" w:rsidP="00266EA7">
      <w:pPr>
        <w:pStyle w:val="5-SubsectionSubheading"/>
        <w:rPr>
          <w:i/>
        </w:rPr>
      </w:pPr>
      <w:bookmarkStart w:id="27" w:name="_Toc51141270"/>
      <w:r w:rsidRPr="004E025C">
        <w:rPr>
          <w:i/>
        </w:rPr>
        <w:t>Comparative harms</w:t>
      </w:r>
      <w:bookmarkEnd w:id="19"/>
      <w:bookmarkEnd w:id="27"/>
    </w:p>
    <w:p w:rsidR="00AD6B56" w:rsidRPr="004E025C" w:rsidRDefault="00AD6B56" w:rsidP="001C61AF">
      <w:pPr>
        <w:pStyle w:val="3-BodyText"/>
      </w:pPr>
      <w:r w:rsidRPr="004E025C">
        <w:t xml:space="preserve">The indirect comparison for safety is presented in the </w:t>
      </w:r>
      <w:r w:rsidR="006A6C02" w:rsidRPr="004E025C">
        <w:t>Table 11</w:t>
      </w:r>
      <w:r w:rsidRPr="004E025C">
        <w:t>.</w:t>
      </w:r>
    </w:p>
    <w:p w:rsidR="00AD6B56" w:rsidRPr="004E025C" w:rsidRDefault="00AD6B56" w:rsidP="00AD6B56">
      <w:pPr>
        <w:pStyle w:val="TableFigureHeading"/>
      </w:pPr>
      <w:r w:rsidRPr="004E025C">
        <w:t xml:space="preserve">Table </w:t>
      </w:r>
      <w:r w:rsidR="007E6865">
        <w:rPr>
          <w:noProof/>
        </w:rPr>
        <w:t>11</w:t>
      </w:r>
      <w:r w:rsidRPr="004E025C">
        <w:t xml:space="preserve">: Indirect comparison of the safety of VDZ 108 mg SC Q2W versus VDZ 300 mg IV Q8W as maintenance therapy for moderate to severe </w:t>
      </w:r>
      <w:r w:rsidR="00C56D7A" w:rsidRPr="004E025C">
        <w:t>CD</w:t>
      </w:r>
    </w:p>
    <w:tbl>
      <w:tblPr>
        <w:tblStyle w:val="TableGrid"/>
        <w:tblW w:w="5000" w:type="pct"/>
        <w:tblLook w:val="04A0" w:firstRow="1" w:lastRow="0" w:firstColumn="1" w:lastColumn="0" w:noHBand="0" w:noVBand="1"/>
        <w:tblCaption w:val="Table 11"/>
      </w:tblPr>
      <w:tblGrid>
        <w:gridCol w:w="2546"/>
        <w:gridCol w:w="1069"/>
        <w:gridCol w:w="1138"/>
        <w:gridCol w:w="2132"/>
        <w:gridCol w:w="2132"/>
      </w:tblGrid>
      <w:tr w:rsidR="00AD6B56" w:rsidRPr="004E025C" w:rsidTr="00B17A96">
        <w:trPr>
          <w:trHeight w:val="244"/>
          <w:tblHeader/>
        </w:trPr>
        <w:tc>
          <w:tcPr>
            <w:tcW w:w="1412" w:type="pct"/>
            <w:tcBorders>
              <w:bottom w:val="nil"/>
            </w:tcBorders>
            <w:shd w:val="clear" w:color="auto" w:fill="auto"/>
          </w:tcPr>
          <w:p w:rsidR="00AD6B56" w:rsidRPr="004E025C" w:rsidRDefault="00AD6B56" w:rsidP="00E74D2C">
            <w:pPr>
              <w:pStyle w:val="TableText0"/>
              <w:keepLines/>
              <w:rPr>
                <w:b/>
              </w:rPr>
            </w:pPr>
            <w:r w:rsidRPr="004E025C">
              <w:rPr>
                <w:b/>
              </w:rPr>
              <w:t>Proportion of patients, n (%)</w:t>
            </w:r>
          </w:p>
        </w:tc>
        <w:tc>
          <w:tcPr>
            <w:tcW w:w="593" w:type="pct"/>
            <w:tcBorders>
              <w:bottom w:val="single" w:sz="4" w:space="0" w:color="auto"/>
            </w:tcBorders>
            <w:shd w:val="clear" w:color="auto" w:fill="auto"/>
          </w:tcPr>
          <w:p w:rsidR="00AD6B56" w:rsidRPr="004E025C" w:rsidRDefault="00AD6B56" w:rsidP="00E74D2C">
            <w:pPr>
              <w:pStyle w:val="TableText0"/>
              <w:keepLines/>
              <w:rPr>
                <w:b/>
              </w:rPr>
            </w:pPr>
            <w:r w:rsidRPr="004E025C">
              <w:rPr>
                <w:b/>
              </w:rPr>
              <w:t>VDZ</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keepLines/>
              <w:rPr>
                <w:b/>
              </w:rPr>
            </w:pPr>
            <w:r w:rsidRPr="004E025C">
              <w:rPr>
                <w:b/>
              </w:rPr>
              <w:t>Placebo</w:t>
            </w:r>
          </w:p>
        </w:tc>
        <w:tc>
          <w:tcPr>
            <w:tcW w:w="1182" w:type="pct"/>
            <w:shd w:val="clear" w:color="auto" w:fill="auto"/>
            <w:vAlign w:val="center"/>
          </w:tcPr>
          <w:p w:rsidR="00AD6B56" w:rsidRPr="004E025C" w:rsidRDefault="00AD6B56" w:rsidP="00E74D2C">
            <w:pPr>
              <w:pStyle w:val="TableText0"/>
              <w:keepLines/>
              <w:rPr>
                <w:b/>
              </w:rPr>
            </w:pPr>
            <w:r w:rsidRPr="004E025C">
              <w:rPr>
                <w:b/>
              </w:rPr>
              <w:t>RR (95% CI)</w:t>
            </w:r>
            <w:r w:rsidRPr="004E025C">
              <w:rPr>
                <w:b/>
                <w:vertAlign w:val="superscript"/>
              </w:rPr>
              <w:t>a</w:t>
            </w:r>
            <w:r w:rsidRPr="004E025C">
              <w:rPr>
                <w:b/>
              </w:rPr>
              <w:t>, p-value</w:t>
            </w:r>
          </w:p>
        </w:tc>
        <w:tc>
          <w:tcPr>
            <w:tcW w:w="1182" w:type="pct"/>
            <w:shd w:val="clear" w:color="auto" w:fill="auto"/>
            <w:vAlign w:val="center"/>
          </w:tcPr>
          <w:p w:rsidR="00AD6B56" w:rsidRPr="004E025C" w:rsidRDefault="00AD6B56" w:rsidP="00E74D2C">
            <w:pPr>
              <w:pStyle w:val="TableText0"/>
              <w:keepLines/>
              <w:rPr>
                <w:b/>
              </w:rPr>
            </w:pPr>
            <w:r w:rsidRPr="004E025C">
              <w:rPr>
                <w:b/>
              </w:rPr>
              <w:t>RD (95% CI)</w:t>
            </w:r>
            <w:r w:rsidRPr="004E025C">
              <w:rPr>
                <w:b/>
                <w:vertAlign w:val="superscript"/>
              </w:rPr>
              <w:t>a</w:t>
            </w:r>
            <w:r w:rsidRPr="004E025C">
              <w:rPr>
                <w:b/>
              </w:rPr>
              <w:t>, p-value</w:t>
            </w:r>
          </w:p>
        </w:tc>
      </w:tr>
      <w:tr w:rsidR="00AD6B56" w:rsidRPr="004E025C" w:rsidTr="00E74D2C">
        <w:trPr>
          <w:trHeight w:val="244"/>
        </w:trPr>
        <w:tc>
          <w:tcPr>
            <w:tcW w:w="5000" w:type="pct"/>
            <w:gridSpan w:val="5"/>
            <w:tcBorders>
              <w:bottom w:val="nil"/>
            </w:tcBorders>
            <w:shd w:val="clear" w:color="auto" w:fill="auto"/>
          </w:tcPr>
          <w:p w:rsidR="00AD6B56" w:rsidRPr="004E025C" w:rsidRDefault="00AD6B56" w:rsidP="00E74D2C">
            <w:pPr>
              <w:pStyle w:val="TableText0"/>
              <w:rPr>
                <w:b/>
              </w:rPr>
            </w:pPr>
            <w:r w:rsidRPr="004E025C">
              <w:rPr>
                <w:b/>
              </w:rPr>
              <w:t>Drug-related TEAEs</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VISIBLE 2 (VDZ SC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275</w:t>
            </w:r>
          </w:p>
          <w:p w:rsidR="00AD6B56" w:rsidRPr="004E025C" w:rsidRDefault="00AD6B56" w:rsidP="00E74D2C">
            <w:pPr>
              <w:pStyle w:val="TableText0"/>
            </w:pPr>
            <w:r w:rsidRPr="004E025C">
              <w:t>53 (19.3)</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134</w:t>
            </w:r>
          </w:p>
          <w:p w:rsidR="00AD6B56" w:rsidRPr="004E025C" w:rsidRDefault="00AD6B56" w:rsidP="00E74D2C">
            <w:pPr>
              <w:pStyle w:val="TableText0"/>
            </w:pPr>
            <w:r w:rsidRPr="004E025C">
              <w:t>20 (14.9)</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1.29 (0.81, 2.07); p = 0.29</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0.04 (-0.03, 0.12); p = 0.26</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GEMINI 2 (VDZ IV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154</w:t>
            </w:r>
          </w:p>
          <w:p w:rsidR="00AD6B56" w:rsidRPr="004E025C" w:rsidRDefault="00AD6B56" w:rsidP="00E74D2C">
            <w:pPr>
              <w:pStyle w:val="TableText0"/>
            </w:pPr>
            <w:r w:rsidRPr="004E025C">
              <w:t>63 (40.9)</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153</w:t>
            </w:r>
          </w:p>
          <w:p w:rsidR="00AD6B56" w:rsidRPr="004E025C" w:rsidRDefault="00AD6B56" w:rsidP="00E74D2C">
            <w:pPr>
              <w:pStyle w:val="TableText0"/>
            </w:pPr>
            <w:r w:rsidRPr="004E025C">
              <w:t>51 (33.3)</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1.23 (0.91, 1.65); p = 0.17</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0.08 (-0.03, 0.18); p = 0.17</w:t>
            </w:r>
          </w:p>
        </w:tc>
      </w:tr>
      <w:tr w:rsidR="00AD6B56" w:rsidRPr="004E025C" w:rsidTr="00E74D2C">
        <w:trPr>
          <w:trHeight w:val="244"/>
        </w:trPr>
        <w:tc>
          <w:tcPr>
            <w:tcW w:w="2636" w:type="pct"/>
            <w:gridSpan w:val="3"/>
            <w:tcBorders>
              <w:bottom w:val="single" w:sz="4" w:space="0" w:color="auto"/>
            </w:tcBorders>
            <w:shd w:val="clear" w:color="auto" w:fill="auto"/>
          </w:tcPr>
          <w:p w:rsidR="00AD6B56" w:rsidRPr="004E025C" w:rsidRDefault="00AD6B56" w:rsidP="00E74D2C">
            <w:pPr>
              <w:pStyle w:val="TableText0"/>
            </w:pPr>
            <w:r w:rsidRPr="004E025C">
              <w:t>Indirect comparison (VDZ SC vs VDZ IV)</w:t>
            </w:r>
          </w:p>
        </w:tc>
        <w:tc>
          <w:tcPr>
            <w:tcW w:w="1182" w:type="pct"/>
            <w:tcBorders>
              <w:bottom w:val="single" w:sz="4" w:space="0" w:color="auto"/>
            </w:tcBorders>
            <w:shd w:val="clear" w:color="auto" w:fill="auto"/>
          </w:tcPr>
          <w:p w:rsidR="00AD6B56" w:rsidRPr="004E025C" w:rsidRDefault="00AD6B56" w:rsidP="00E74D2C">
            <w:pPr>
              <w:pStyle w:val="TableText0"/>
            </w:pPr>
            <w:r w:rsidRPr="004E025C">
              <w:t>1.05 (0.60, 1.83); p = 0.8666</w:t>
            </w:r>
          </w:p>
        </w:tc>
        <w:tc>
          <w:tcPr>
            <w:tcW w:w="1182" w:type="pct"/>
            <w:tcBorders>
              <w:bottom w:val="single" w:sz="4" w:space="0" w:color="auto"/>
            </w:tcBorders>
            <w:shd w:val="clear" w:color="auto" w:fill="auto"/>
          </w:tcPr>
          <w:p w:rsidR="00AD6B56" w:rsidRPr="004E025C" w:rsidRDefault="00AD6B56" w:rsidP="00E74D2C">
            <w:pPr>
              <w:pStyle w:val="TableText0"/>
            </w:pPr>
            <w:r w:rsidRPr="004E025C">
              <w:noBreakHyphen/>
              <w:t>0.04 (</w:t>
            </w:r>
            <w:r w:rsidRPr="004E025C">
              <w:noBreakHyphen/>
              <w:t>0.17, 0.09); p = 0.5435</w:t>
            </w:r>
          </w:p>
        </w:tc>
      </w:tr>
      <w:tr w:rsidR="00AD6B56" w:rsidRPr="004E025C" w:rsidTr="00E74D2C">
        <w:trPr>
          <w:trHeight w:val="244"/>
        </w:trPr>
        <w:tc>
          <w:tcPr>
            <w:tcW w:w="5000" w:type="pct"/>
            <w:gridSpan w:val="5"/>
            <w:tcBorders>
              <w:bottom w:val="single" w:sz="4" w:space="0" w:color="auto"/>
            </w:tcBorders>
            <w:shd w:val="clear" w:color="auto" w:fill="auto"/>
          </w:tcPr>
          <w:p w:rsidR="00AD6B56" w:rsidRPr="004E025C" w:rsidRDefault="00AD6B56" w:rsidP="00E74D2C">
            <w:pPr>
              <w:pStyle w:val="TableText0"/>
              <w:rPr>
                <w:b/>
              </w:rPr>
            </w:pPr>
            <w:r w:rsidRPr="004E025C">
              <w:rPr>
                <w:b/>
              </w:rPr>
              <w:t>AEs leading to discontinuation</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VISIBLE 2 (VDZ SC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275</w:t>
            </w:r>
          </w:p>
          <w:p w:rsidR="00AD6B56" w:rsidRPr="004E025C" w:rsidRDefault="00AD6B56" w:rsidP="00E74D2C">
            <w:pPr>
              <w:pStyle w:val="TableText0"/>
            </w:pPr>
            <w:r w:rsidRPr="004E025C">
              <w:t>11 (4.0)</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134</w:t>
            </w:r>
          </w:p>
          <w:p w:rsidR="00AD6B56" w:rsidRPr="004E025C" w:rsidRDefault="00AD6B56" w:rsidP="00E74D2C">
            <w:pPr>
              <w:pStyle w:val="TableText0"/>
            </w:pPr>
            <w:r w:rsidRPr="004E025C">
              <w:t>11 (8.2)</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0.49 (0.22, 1.10); p = 0.08</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-0.04 (-0.09, 0.01); p = 0.11</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GEMINI 2 (VDZ IV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154</w:t>
            </w:r>
          </w:p>
          <w:p w:rsidR="00AD6B56" w:rsidRPr="004E025C" w:rsidRDefault="00AD6B56" w:rsidP="00E74D2C">
            <w:pPr>
              <w:pStyle w:val="TableText0"/>
            </w:pPr>
            <w:r w:rsidRPr="004E025C">
              <w:t>12 (7.8)</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153</w:t>
            </w:r>
          </w:p>
          <w:p w:rsidR="00AD6B56" w:rsidRPr="004E025C" w:rsidRDefault="00AD6B56" w:rsidP="00E74D2C">
            <w:pPr>
              <w:pStyle w:val="TableText0"/>
            </w:pPr>
            <w:r w:rsidRPr="004E025C">
              <w:t>15 (9.8)</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0.79 (0.38, 1.64); p = 0.53</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-0.02 (-0.08, 0.04); p = 0.53</w:t>
            </w:r>
          </w:p>
        </w:tc>
      </w:tr>
      <w:tr w:rsidR="00AD6B56" w:rsidRPr="004E025C" w:rsidTr="00E74D2C">
        <w:trPr>
          <w:trHeight w:val="244"/>
        </w:trPr>
        <w:tc>
          <w:tcPr>
            <w:tcW w:w="2636" w:type="pct"/>
            <w:gridSpan w:val="3"/>
            <w:tcBorders>
              <w:bottom w:val="single" w:sz="4" w:space="0" w:color="auto"/>
            </w:tcBorders>
            <w:shd w:val="clear" w:color="auto" w:fill="auto"/>
          </w:tcPr>
          <w:p w:rsidR="00AD6B56" w:rsidRPr="004E025C" w:rsidRDefault="00AD6B56" w:rsidP="00E74D2C">
            <w:pPr>
              <w:pStyle w:val="TableText0"/>
            </w:pPr>
            <w:r w:rsidRPr="004E025C">
              <w:t>Indirect comparison (VDZ SC vs VDZ IV)</w:t>
            </w:r>
          </w:p>
        </w:tc>
        <w:tc>
          <w:tcPr>
            <w:tcW w:w="1182" w:type="pct"/>
            <w:tcBorders>
              <w:bottom w:val="single" w:sz="4" w:space="0" w:color="auto"/>
            </w:tcBorders>
            <w:shd w:val="clear" w:color="auto" w:fill="auto"/>
          </w:tcPr>
          <w:p w:rsidR="00AD6B56" w:rsidRPr="004E025C" w:rsidRDefault="00AD6B56" w:rsidP="00E74D2C">
            <w:pPr>
              <w:pStyle w:val="TableText0"/>
            </w:pPr>
            <w:r w:rsidRPr="004E025C">
              <w:t>0.62 (0.21, 1.84); p = 0.3892</w:t>
            </w:r>
          </w:p>
        </w:tc>
        <w:tc>
          <w:tcPr>
            <w:tcW w:w="1182" w:type="pct"/>
            <w:tcBorders>
              <w:bottom w:val="single" w:sz="4" w:space="0" w:color="auto"/>
            </w:tcBorders>
            <w:shd w:val="clear" w:color="auto" w:fill="auto"/>
          </w:tcPr>
          <w:p w:rsidR="00AD6B56" w:rsidRPr="004E025C" w:rsidRDefault="00AD6B56" w:rsidP="00E74D2C">
            <w:pPr>
              <w:pStyle w:val="TableText0"/>
            </w:pPr>
            <w:r w:rsidRPr="004E025C">
              <w:noBreakHyphen/>
              <w:t>0.02 (</w:t>
            </w:r>
            <w:r w:rsidRPr="004E025C">
              <w:noBreakHyphen/>
              <w:t>0.10, 0.06); p = 0.6157</w:t>
            </w:r>
          </w:p>
        </w:tc>
      </w:tr>
      <w:tr w:rsidR="00AD6B56" w:rsidRPr="004E025C" w:rsidTr="00E74D2C">
        <w:trPr>
          <w:trHeight w:val="244"/>
        </w:trPr>
        <w:tc>
          <w:tcPr>
            <w:tcW w:w="5000" w:type="pct"/>
            <w:gridSpan w:val="5"/>
            <w:tcBorders>
              <w:bottom w:val="single" w:sz="4" w:space="0" w:color="auto"/>
            </w:tcBorders>
            <w:shd w:val="clear" w:color="auto" w:fill="auto"/>
          </w:tcPr>
          <w:p w:rsidR="00AD6B56" w:rsidRPr="004E025C" w:rsidRDefault="00AD6B56" w:rsidP="00E74D2C">
            <w:pPr>
              <w:pStyle w:val="TableText0"/>
              <w:rPr>
                <w:b/>
              </w:rPr>
            </w:pPr>
            <w:r w:rsidRPr="004E025C">
              <w:rPr>
                <w:b/>
              </w:rPr>
              <w:t>SAEs</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VISIBLE 2 (VDZ SC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275</w:t>
            </w:r>
          </w:p>
          <w:p w:rsidR="00AD6B56" w:rsidRPr="004E025C" w:rsidRDefault="00AD6B56" w:rsidP="00E74D2C">
            <w:pPr>
              <w:pStyle w:val="TableText0"/>
            </w:pPr>
            <w:r w:rsidRPr="004E025C">
              <w:t>23 (8.4)</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134</w:t>
            </w:r>
          </w:p>
          <w:p w:rsidR="00AD6B56" w:rsidRPr="004E025C" w:rsidRDefault="00AD6B56" w:rsidP="00E74D2C">
            <w:pPr>
              <w:pStyle w:val="TableText0"/>
            </w:pPr>
            <w:r w:rsidRPr="004E025C">
              <w:t>14 (10.4)</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0.80 (0.43, 1.51); p = 0.49</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-0.02 (-0.08, 0.04); p = 0.50</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GEMINI 2 (VDZ IV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154</w:t>
            </w:r>
          </w:p>
          <w:p w:rsidR="00AD6B56" w:rsidRPr="004E025C" w:rsidRDefault="00AD6B56" w:rsidP="00E74D2C">
            <w:pPr>
              <w:pStyle w:val="TableText0"/>
            </w:pPr>
            <w:r w:rsidRPr="004E025C">
              <w:t>28 (18.2)</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153</w:t>
            </w:r>
          </w:p>
          <w:p w:rsidR="00AD6B56" w:rsidRPr="004E025C" w:rsidRDefault="00AD6B56" w:rsidP="00E74D2C">
            <w:pPr>
              <w:pStyle w:val="TableText0"/>
            </w:pPr>
            <w:r w:rsidRPr="004E025C">
              <w:t>23 (15.0)</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1.21 (0.73, 2.00); p = 0.46</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0.03 (-0.05, 0.11); p = 0.46</w:t>
            </w:r>
          </w:p>
        </w:tc>
      </w:tr>
      <w:tr w:rsidR="00AD6B56" w:rsidRPr="004E025C" w:rsidTr="00E74D2C">
        <w:trPr>
          <w:trHeight w:val="244"/>
        </w:trPr>
        <w:tc>
          <w:tcPr>
            <w:tcW w:w="2636" w:type="pct"/>
            <w:gridSpan w:val="3"/>
            <w:tcBorders>
              <w:bottom w:val="single" w:sz="4" w:space="0" w:color="auto"/>
            </w:tcBorders>
            <w:shd w:val="clear" w:color="auto" w:fill="auto"/>
          </w:tcPr>
          <w:p w:rsidR="00AD6B56" w:rsidRPr="004E025C" w:rsidRDefault="00AD6B56" w:rsidP="00E74D2C">
            <w:pPr>
              <w:pStyle w:val="TableText0"/>
            </w:pPr>
            <w:r w:rsidRPr="004E025C">
              <w:t>Indirect comparison (VDZ SC vs VDZ IV)</w:t>
            </w:r>
          </w:p>
        </w:tc>
        <w:tc>
          <w:tcPr>
            <w:tcW w:w="1182" w:type="pct"/>
            <w:tcBorders>
              <w:bottom w:val="single" w:sz="4" w:space="0" w:color="auto"/>
            </w:tcBorders>
            <w:shd w:val="clear" w:color="auto" w:fill="auto"/>
          </w:tcPr>
          <w:p w:rsidR="00AD6B56" w:rsidRPr="004E025C" w:rsidRDefault="00AD6B56" w:rsidP="00E74D2C">
            <w:pPr>
              <w:pStyle w:val="TableText0"/>
            </w:pPr>
            <w:r w:rsidRPr="004E025C">
              <w:t>0.66 (0.30, 1.48); p = 0.3139</w:t>
            </w:r>
          </w:p>
        </w:tc>
        <w:tc>
          <w:tcPr>
            <w:tcW w:w="1182" w:type="pct"/>
            <w:tcBorders>
              <w:bottom w:val="single" w:sz="4" w:space="0" w:color="auto"/>
            </w:tcBorders>
            <w:shd w:val="clear" w:color="auto" w:fill="auto"/>
          </w:tcPr>
          <w:p w:rsidR="00AD6B56" w:rsidRPr="004E025C" w:rsidRDefault="00AD6B56" w:rsidP="00E74D2C">
            <w:pPr>
              <w:pStyle w:val="TableText0"/>
            </w:pPr>
            <w:r w:rsidRPr="004E025C">
              <w:noBreakHyphen/>
              <w:t>0.05 (-0.15, 0.05); p = 0.3271</w:t>
            </w:r>
          </w:p>
        </w:tc>
      </w:tr>
      <w:tr w:rsidR="00AD6B56" w:rsidRPr="004E025C" w:rsidTr="00E74D2C">
        <w:trPr>
          <w:trHeight w:val="244"/>
        </w:trPr>
        <w:tc>
          <w:tcPr>
            <w:tcW w:w="5000" w:type="pct"/>
            <w:gridSpan w:val="5"/>
            <w:tcBorders>
              <w:bottom w:val="single" w:sz="4" w:space="0" w:color="auto"/>
            </w:tcBorders>
            <w:shd w:val="clear" w:color="auto" w:fill="auto"/>
          </w:tcPr>
          <w:p w:rsidR="00AD6B56" w:rsidRPr="004E025C" w:rsidRDefault="00AD6B56" w:rsidP="00E74D2C">
            <w:pPr>
              <w:pStyle w:val="TableText0"/>
              <w:rPr>
                <w:b/>
              </w:rPr>
            </w:pPr>
            <w:r w:rsidRPr="004E025C">
              <w:rPr>
                <w:b/>
              </w:rPr>
              <w:t>Drug-related SAEs</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VISIBLE 2 (VDZ SC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275</w:t>
            </w:r>
          </w:p>
          <w:p w:rsidR="00AD6B56" w:rsidRPr="004E025C" w:rsidRDefault="00AD6B56" w:rsidP="00E74D2C">
            <w:pPr>
              <w:pStyle w:val="TableText0"/>
            </w:pPr>
            <w:r w:rsidRPr="004E025C">
              <w:t>4 (1.5)</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134</w:t>
            </w:r>
          </w:p>
          <w:p w:rsidR="00AD6B56" w:rsidRPr="004E025C" w:rsidRDefault="00AD6B56" w:rsidP="00E74D2C">
            <w:pPr>
              <w:pStyle w:val="TableText0"/>
            </w:pPr>
            <w:r w:rsidRPr="004E025C">
              <w:t>2 (1.5)</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0.97 (0.18, 5.25); p = 0.98</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-0.00 (-0.03, 0.02); p = 0.98</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GEMINI 2 (VDZ IV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154</w:t>
            </w:r>
          </w:p>
          <w:p w:rsidR="00AD6B56" w:rsidRPr="004E025C" w:rsidRDefault="00AD6B56" w:rsidP="00E74D2C">
            <w:pPr>
              <w:pStyle w:val="TableText0"/>
            </w:pPr>
            <w:r w:rsidRPr="004E025C">
              <w:t>5 (3.2)</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153</w:t>
            </w:r>
          </w:p>
          <w:p w:rsidR="00AD6B56" w:rsidRPr="004E025C" w:rsidRDefault="00AD6B56" w:rsidP="00E74D2C">
            <w:pPr>
              <w:pStyle w:val="TableText0"/>
            </w:pPr>
            <w:r w:rsidRPr="004E025C">
              <w:t>4 (2.6)</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1.24 (0.34, 4.54); p = 0.74</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0.01 (-0.03, 0.04); p = 0.74</w:t>
            </w:r>
          </w:p>
        </w:tc>
      </w:tr>
      <w:tr w:rsidR="00AD6B56" w:rsidRPr="004E025C" w:rsidTr="00E74D2C">
        <w:trPr>
          <w:trHeight w:val="244"/>
        </w:trPr>
        <w:tc>
          <w:tcPr>
            <w:tcW w:w="2636" w:type="pct"/>
            <w:gridSpan w:val="3"/>
            <w:tcBorders>
              <w:bottom w:val="single" w:sz="4" w:space="0" w:color="auto"/>
            </w:tcBorders>
            <w:shd w:val="clear" w:color="auto" w:fill="auto"/>
          </w:tcPr>
          <w:p w:rsidR="00AD6B56" w:rsidRPr="004E025C" w:rsidRDefault="00AD6B56" w:rsidP="00E74D2C">
            <w:pPr>
              <w:pStyle w:val="TableText0"/>
            </w:pPr>
            <w:r w:rsidRPr="004E025C">
              <w:t>Indirect comparison (VDZ SC vs VDZ IV)</w:t>
            </w:r>
          </w:p>
        </w:tc>
        <w:tc>
          <w:tcPr>
            <w:tcW w:w="1182" w:type="pct"/>
            <w:tcBorders>
              <w:bottom w:val="single" w:sz="4" w:space="0" w:color="auto"/>
            </w:tcBorders>
            <w:shd w:val="clear" w:color="auto" w:fill="auto"/>
          </w:tcPr>
          <w:p w:rsidR="00AD6B56" w:rsidRPr="004E025C" w:rsidRDefault="00AD6B56" w:rsidP="00E74D2C">
            <w:pPr>
              <w:pStyle w:val="TableText0"/>
            </w:pPr>
            <w:r w:rsidRPr="004E025C">
              <w:t>0.78 (0.09, 6.56); p = 0.8210</w:t>
            </w:r>
          </w:p>
        </w:tc>
        <w:tc>
          <w:tcPr>
            <w:tcW w:w="1182" w:type="pct"/>
            <w:tcBorders>
              <w:bottom w:val="single" w:sz="4" w:space="0" w:color="auto"/>
            </w:tcBorders>
            <w:shd w:val="clear" w:color="auto" w:fill="auto"/>
          </w:tcPr>
          <w:p w:rsidR="00AD6B56" w:rsidRPr="004E025C" w:rsidRDefault="00AD6B56" w:rsidP="00E74D2C">
            <w:pPr>
              <w:pStyle w:val="TableText0"/>
            </w:pPr>
            <w:r w:rsidRPr="004E025C">
              <w:noBreakHyphen/>
              <w:t>0.01 (</w:t>
            </w:r>
            <w:r w:rsidRPr="004E025C">
              <w:noBreakHyphen/>
              <w:t>0.05, 0.03); p = 0.6486</w:t>
            </w:r>
          </w:p>
        </w:tc>
      </w:tr>
      <w:tr w:rsidR="00AD6B56" w:rsidRPr="004E025C" w:rsidTr="00E74D2C">
        <w:trPr>
          <w:trHeight w:val="244"/>
        </w:trPr>
        <w:tc>
          <w:tcPr>
            <w:tcW w:w="5000" w:type="pct"/>
            <w:gridSpan w:val="5"/>
            <w:tcBorders>
              <w:bottom w:val="single" w:sz="4" w:space="0" w:color="auto"/>
            </w:tcBorders>
            <w:shd w:val="clear" w:color="auto" w:fill="auto"/>
          </w:tcPr>
          <w:p w:rsidR="00AD6B56" w:rsidRPr="004E025C" w:rsidRDefault="00AD6B56" w:rsidP="00E74D2C">
            <w:pPr>
              <w:pStyle w:val="TableText0"/>
              <w:rPr>
                <w:b/>
              </w:rPr>
            </w:pPr>
            <w:r w:rsidRPr="004E025C">
              <w:rPr>
                <w:b/>
              </w:rPr>
              <w:t>SAEs leading to discontinuation</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VISIBLE 2 (VDZ SC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275</w:t>
            </w:r>
          </w:p>
          <w:p w:rsidR="00AD6B56" w:rsidRPr="004E025C" w:rsidRDefault="00AD6B56" w:rsidP="00E74D2C">
            <w:pPr>
              <w:pStyle w:val="TableText0"/>
            </w:pPr>
            <w:r w:rsidRPr="004E025C">
              <w:t>5 (1.8)</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134</w:t>
            </w:r>
          </w:p>
          <w:p w:rsidR="00AD6B56" w:rsidRPr="004E025C" w:rsidRDefault="00AD6B56" w:rsidP="00E74D2C">
            <w:pPr>
              <w:pStyle w:val="TableText0"/>
            </w:pPr>
            <w:r w:rsidRPr="004E025C">
              <w:t>5 (3.7)</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0.49 (0.14, 1.65); p = 0.25</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-0.02 (-0.05, 0.02); p = 0.29</w:t>
            </w:r>
          </w:p>
        </w:tc>
      </w:tr>
      <w:tr w:rsidR="00AD6B56" w:rsidRPr="004E025C" w:rsidTr="00E74D2C">
        <w:trPr>
          <w:trHeight w:val="244"/>
        </w:trPr>
        <w:tc>
          <w:tcPr>
            <w:tcW w:w="1412" w:type="pct"/>
            <w:tcBorders>
              <w:bottom w:val="single" w:sz="4" w:space="0" w:color="auto"/>
            </w:tcBorders>
            <w:shd w:val="clear" w:color="auto" w:fill="auto"/>
            <w:vAlign w:val="center"/>
          </w:tcPr>
          <w:p w:rsidR="00AD6B56" w:rsidRPr="004E025C" w:rsidRDefault="00AD6B56" w:rsidP="00E74D2C">
            <w:pPr>
              <w:pStyle w:val="TableText0"/>
            </w:pPr>
            <w:r w:rsidRPr="004E025C">
              <w:t>GEMINI 2 (VDZ IV vs PBO)</w:t>
            </w:r>
          </w:p>
        </w:tc>
        <w:tc>
          <w:tcPr>
            <w:tcW w:w="593" w:type="pct"/>
            <w:tcBorders>
              <w:bottom w:val="single" w:sz="4" w:space="0" w:color="auto"/>
            </w:tcBorders>
            <w:shd w:val="clear" w:color="auto" w:fill="auto"/>
          </w:tcPr>
          <w:p w:rsidR="00AD6B56" w:rsidRPr="004E025C" w:rsidRDefault="00AD6B56" w:rsidP="00E74D2C">
            <w:pPr>
              <w:pStyle w:val="TableText0"/>
            </w:pPr>
            <w:r w:rsidRPr="004E025C">
              <w:t>N = 154</w:t>
            </w:r>
          </w:p>
          <w:p w:rsidR="00AD6B56" w:rsidRPr="004E025C" w:rsidRDefault="00AD6B56" w:rsidP="00E74D2C">
            <w:pPr>
              <w:pStyle w:val="TableText0"/>
            </w:pPr>
            <w:r w:rsidRPr="004E025C">
              <w:t>9 (5.8)</w:t>
            </w:r>
          </w:p>
        </w:tc>
        <w:tc>
          <w:tcPr>
            <w:tcW w:w="631" w:type="pct"/>
            <w:tcBorders>
              <w:bottom w:val="single" w:sz="4" w:space="0" w:color="auto"/>
            </w:tcBorders>
            <w:shd w:val="clear" w:color="auto" w:fill="D9D9D9" w:themeFill="background1" w:themeFillShade="D9"/>
          </w:tcPr>
          <w:p w:rsidR="00AD6B56" w:rsidRPr="004E025C" w:rsidRDefault="00AD6B56" w:rsidP="00E74D2C">
            <w:pPr>
              <w:pStyle w:val="TableText0"/>
            </w:pPr>
            <w:r w:rsidRPr="004E025C">
              <w:t>N = 153</w:t>
            </w:r>
          </w:p>
          <w:p w:rsidR="00AD6B56" w:rsidRPr="004E025C" w:rsidRDefault="00AD6B56" w:rsidP="00E74D2C">
            <w:pPr>
              <w:pStyle w:val="TableText0"/>
            </w:pPr>
            <w:r w:rsidRPr="004E025C">
              <w:t>7 (4.6)</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1.28 (0.49, 3.34); p = 0.62</w:t>
            </w:r>
          </w:p>
        </w:tc>
        <w:tc>
          <w:tcPr>
            <w:tcW w:w="1182" w:type="pct"/>
            <w:tcBorders>
              <w:bottom w:val="single" w:sz="4" w:space="0" w:color="auto"/>
            </w:tcBorders>
            <w:shd w:val="clear" w:color="auto" w:fill="auto"/>
            <w:vAlign w:val="center"/>
          </w:tcPr>
          <w:p w:rsidR="00AD6B56" w:rsidRPr="004E025C" w:rsidRDefault="00AD6B56" w:rsidP="00E74D2C">
            <w:pPr>
              <w:pStyle w:val="TableText0"/>
              <w:rPr>
                <w:rFonts w:ascii="Times New Roman" w:hAnsi="Times New Roman"/>
              </w:rPr>
            </w:pPr>
            <w:r w:rsidRPr="004E025C">
              <w:t>0.01 (-0.04, 0.06); p = 0.62</w:t>
            </w:r>
          </w:p>
        </w:tc>
      </w:tr>
      <w:tr w:rsidR="00AD6B56" w:rsidRPr="004E025C" w:rsidTr="00E74D2C">
        <w:trPr>
          <w:trHeight w:val="244"/>
        </w:trPr>
        <w:tc>
          <w:tcPr>
            <w:tcW w:w="2636" w:type="pct"/>
            <w:gridSpan w:val="3"/>
            <w:tcBorders>
              <w:bottom w:val="single" w:sz="4" w:space="0" w:color="auto"/>
            </w:tcBorders>
            <w:shd w:val="clear" w:color="auto" w:fill="auto"/>
          </w:tcPr>
          <w:p w:rsidR="00AD6B56" w:rsidRPr="004E025C" w:rsidRDefault="00AD6B56" w:rsidP="00E74D2C">
            <w:pPr>
              <w:pStyle w:val="TableText0"/>
            </w:pPr>
            <w:r w:rsidRPr="004E025C">
              <w:t>Indirect comparison (VDZ SC vs VDZ IV)</w:t>
            </w:r>
          </w:p>
        </w:tc>
        <w:tc>
          <w:tcPr>
            <w:tcW w:w="1182" w:type="pct"/>
            <w:tcBorders>
              <w:bottom w:val="single" w:sz="4" w:space="0" w:color="auto"/>
            </w:tcBorders>
            <w:shd w:val="clear" w:color="auto" w:fill="auto"/>
          </w:tcPr>
          <w:p w:rsidR="00AD6B56" w:rsidRPr="004E025C" w:rsidRDefault="00AD6B56" w:rsidP="00E74D2C">
            <w:pPr>
              <w:pStyle w:val="TableText0"/>
            </w:pPr>
            <w:r w:rsidRPr="004E025C">
              <w:t>0.38 (0.08, 1.83); p = 0.2285</w:t>
            </w:r>
          </w:p>
        </w:tc>
        <w:tc>
          <w:tcPr>
            <w:tcW w:w="1182" w:type="pct"/>
            <w:tcBorders>
              <w:bottom w:val="single" w:sz="4" w:space="0" w:color="auto"/>
            </w:tcBorders>
            <w:shd w:val="clear" w:color="auto" w:fill="auto"/>
          </w:tcPr>
          <w:p w:rsidR="00AD6B56" w:rsidRPr="004E025C" w:rsidRDefault="00AD6B56" w:rsidP="00E74D2C">
            <w:pPr>
              <w:pStyle w:val="TableText0"/>
            </w:pPr>
            <w:r w:rsidRPr="004E025C">
              <w:noBreakHyphen/>
              <w:t>0.03 (</w:t>
            </w:r>
            <w:r w:rsidRPr="004E025C">
              <w:noBreakHyphen/>
              <w:t>0.09, 0.03); p = 0.3353</w:t>
            </w:r>
          </w:p>
        </w:tc>
      </w:tr>
    </w:tbl>
    <w:p w:rsidR="00AD6B56" w:rsidRPr="004E025C" w:rsidRDefault="00AD6B56" w:rsidP="00AD6B56">
      <w:pPr>
        <w:pStyle w:val="TableFooter"/>
      </w:pPr>
      <w:r w:rsidRPr="004E025C">
        <w:t>Source: Table 2.2-64, pp103-4 of the main submission</w:t>
      </w:r>
    </w:p>
    <w:p w:rsidR="00AD6B56" w:rsidRPr="004E025C" w:rsidRDefault="00AD6B56" w:rsidP="00AD6B56">
      <w:pPr>
        <w:pStyle w:val="TableFooter"/>
      </w:pPr>
      <w:r w:rsidRPr="004E025C">
        <w:rPr>
          <w:shd w:val="clear" w:color="auto" w:fill="D9D9D9" w:themeFill="background1" w:themeFillShade="D9"/>
        </w:rPr>
        <w:t>Placebo events shaded</w:t>
      </w:r>
      <w:r w:rsidRPr="004E025C">
        <w:t>.</w:t>
      </w:r>
    </w:p>
    <w:p w:rsidR="00AD6B56" w:rsidRPr="004E025C" w:rsidRDefault="00AD6B56" w:rsidP="00AD6B56">
      <w:pPr>
        <w:pStyle w:val="TableFooter"/>
      </w:pPr>
      <w:r w:rsidRPr="004E025C">
        <w:rPr>
          <w:b/>
          <w:vertAlign w:val="superscript"/>
        </w:rPr>
        <w:t>a</w:t>
      </w:r>
      <w:r w:rsidRPr="004E025C">
        <w:t>Calculated in the submission using RevMan v5.3</w:t>
      </w:r>
    </w:p>
    <w:p w:rsidR="00AD6B56" w:rsidRPr="004E025C" w:rsidRDefault="00AD6B56" w:rsidP="00AD6B56">
      <w:pPr>
        <w:pStyle w:val="TableFooter"/>
      </w:pPr>
      <w:r w:rsidRPr="004E025C">
        <w:t>AE = adverse event; CI = confidence interval; IV = intravenous; NE = not estimable; PBO = placebo; RD = risk difference; RR = relative risk; SAE = serious adverse event; SC = subcutaneous; TEAE = treatment-emergent adverse event; VDZ = vedolizumab</w:t>
      </w:r>
    </w:p>
    <w:p w:rsidR="00AD6B56" w:rsidRPr="004E025C" w:rsidRDefault="00AD6B56" w:rsidP="00AD6B56">
      <w:pPr>
        <w:pStyle w:val="TableFooter"/>
      </w:pPr>
    </w:p>
    <w:p w:rsidR="00C868FD" w:rsidRPr="004E025C" w:rsidRDefault="00AD6B56" w:rsidP="001C61AF">
      <w:pPr>
        <w:pStyle w:val="3-BodyText"/>
      </w:pPr>
      <w:r w:rsidRPr="004E025C">
        <w:t xml:space="preserve">There were no </w:t>
      </w:r>
      <w:r w:rsidR="001C663C" w:rsidRPr="004E025C">
        <w:t xml:space="preserve">statistically </w:t>
      </w:r>
      <w:r w:rsidRPr="004E025C">
        <w:t xml:space="preserve">significant differences in </w:t>
      </w:r>
      <w:r w:rsidR="001C663C" w:rsidRPr="004E025C">
        <w:t xml:space="preserve">adverse events </w:t>
      </w:r>
      <w:r w:rsidRPr="004E025C">
        <w:t xml:space="preserve">between </w:t>
      </w:r>
      <w:r w:rsidR="00EF6D33" w:rsidRPr="004E025C">
        <w:t xml:space="preserve">VDZ </w:t>
      </w:r>
      <w:r w:rsidRPr="004E025C">
        <w:t xml:space="preserve">108 mg SC Q2W and </w:t>
      </w:r>
      <w:r w:rsidR="00EF6D33" w:rsidRPr="004E025C">
        <w:t xml:space="preserve">VDZ </w:t>
      </w:r>
      <w:r w:rsidRPr="004E025C">
        <w:t>300 mg IV Q8W</w:t>
      </w:r>
      <w:r w:rsidR="00C868FD" w:rsidRPr="004E025C">
        <w:t>. Headache, nasopharyngitis, anaemia, and upper respiratory tract infections were the most common AEs across the trials.</w:t>
      </w:r>
    </w:p>
    <w:p w:rsidR="00C868FD" w:rsidRPr="004E025C" w:rsidRDefault="00C868FD" w:rsidP="001C61AF">
      <w:pPr>
        <w:pStyle w:val="3-BodyText"/>
      </w:pPr>
      <w:r w:rsidRPr="004E025C">
        <w:t xml:space="preserve">The </w:t>
      </w:r>
      <w:r w:rsidR="00E46230" w:rsidRPr="004E025C">
        <w:t xml:space="preserve">design of the </w:t>
      </w:r>
      <w:r w:rsidRPr="004E025C">
        <w:t>VISIBLE 2 and GEMINI</w:t>
      </w:r>
      <w:r w:rsidR="001D20BE" w:rsidRPr="004E025C">
        <w:t xml:space="preserve"> </w:t>
      </w:r>
      <w:r w:rsidRPr="004E025C">
        <w:t>2</w:t>
      </w:r>
      <w:r w:rsidR="00F96E6C" w:rsidRPr="004E025C">
        <w:t xml:space="preserve"> trials</w:t>
      </w:r>
      <w:r w:rsidRPr="004E025C">
        <w:t xml:space="preserve"> </w:t>
      </w:r>
      <w:r w:rsidR="00E46230" w:rsidRPr="004E025C">
        <w:t>was</w:t>
      </w:r>
      <w:r w:rsidRPr="004E025C">
        <w:t xml:space="preserve"> primarily based </w:t>
      </w:r>
      <w:r w:rsidR="00E46230" w:rsidRPr="004E025C">
        <w:t xml:space="preserve">on efficacy and </w:t>
      </w:r>
      <w:r w:rsidRPr="004E025C">
        <w:t>were not adequately powered to detect differences in AE rates between their randomised groups.</w:t>
      </w:r>
      <w:r w:rsidR="00E46230" w:rsidRPr="004E025C">
        <w:t xml:space="preserve"> Of note is that </w:t>
      </w:r>
      <w:r w:rsidRPr="004E025C">
        <w:t xml:space="preserve">AEs across the VISIBLE 2 and GEMINI 2 trials were coded using different MedDRA versions (Version 22.0 and Version 14.0, respectively). In addition, the duration of treatment exposure was longer in VISIBLE 2 compared to GEMINI 2 (VISIBLE 2: median of </w:t>
      </w:r>
      <w:r w:rsidR="00621C90" w:rsidRPr="004E025C">
        <w:t>VDZ SC</w:t>
      </w:r>
      <w:r w:rsidRPr="004E025C">
        <w:t xml:space="preserve"> 68.1 weeks; GEMINI 2: median of </w:t>
      </w:r>
      <w:r w:rsidR="00621C90" w:rsidRPr="004E025C">
        <w:t>VDZ IV</w:t>
      </w:r>
      <w:r w:rsidRPr="004E025C">
        <w:t xml:space="preserve"> 48.0 weeks).</w:t>
      </w:r>
      <w:r w:rsidR="00E46230" w:rsidRPr="004E025C">
        <w:t xml:space="preserve"> </w:t>
      </w:r>
    </w:p>
    <w:p w:rsidR="00C868FD" w:rsidRPr="004E025C" w:rsidRDefault="00C868FD" w:rsidP="001C61AF">
      <w:pPr>
        <w:pStyle w:val="3-BodyText"/>
      </w:pPr>
      <w:r w:rsidRPr="004E025C">
        <w:t xml:space="preserve">Recognising the limitations of the indirect comparisons, the safety profile of </w:t>
      </w:r>
      <w:r w:rsidR="00621C90" w:rsidRPr="004E025C">
        <w:t>VDZ SC</w:t>
      </w:r>
      <w:r w:rsidRPr="004E025C">
        <w:t xml:space="preserve"> as maintenance therapy in </w:t>
      </w:r>
      <w:r w:rsidR="00C56D7A" w:rsidRPr="004E025C">
        <w:t>CD</w:t>
      </w:r>
      <w:r w:rsidRPr="004E025C">
        <w:t xml:space="preserve"> would be expected to be consistent with that of IV administration. However, injection site reactions would be expected to be more frequent with the more frequently administered SC formulation.</w:t>
      </w:r>
    </w:p>
    <w:p w:rsidR="00C868FD" w:rsidRPr="004E025C" w:rsidRDefault="00C868FD" w:rsidP="001C61AF">
      <w:pPr>
        <w:pStyle w:val="3-BodyText"/>
      </w:pPr>
      <w:r w:rsidRPr="004E025C">
        <w:t xml:space="preserve">There was no observed case of </w:t>
      </w:r>
      <w:r w:rsidR="00BE047E" w:rsidRPr="004E025C">
        <w:rPr>
          <w:bCs/>
        </w:rPr>
        <w:t>progressive multifocal leukoencephalopathy</w:t>
      </w:r>
      <w:r w:rsidR="00BE047E" w:rsidRPr="004E025C">
        <w:t xml:space="preserve"> (</w:t>
      </w:r>
      <w:r w:rsidRPr="004E025C">
        <w:t>PML</w:t>
      </w:r>
      <w:r w:rsidR="00BE047E" w:rsidRPr="004E025C">
        <w:t>)</w:t>
      </w:r>
      <w:r w:rsidRPr="004E025C">
        <w:t xml:space="preserve"> in the trials. However, </w:t>
      </w:r>
      <w:r w:rsidR="00EF6D33" w:rsidRPr="004E025C">
        <w:t xml:space="preserve">VDZ </w:t>
      </w:r>
      <w:r w:rsidRPr="004E025C">
        <w:t>may be associated with an increased risk of PML based on its mechanism of action and pharmacological class. The safety data do not reflect this risk partly because the trials excluded patients who were potentially at risk of PML. This issue is more relevant to other</w:t>
      </w:r>
      <w:r w:rsidR="000C0083" w:rsidRPr="004E025C">
        <w:t xml:space="preserve"> potential</w:t>
      </w:r>
      <w:r w:rsidRPr="004E025C">
        <w:t xml:space="preserve"> comparators such as infliximab, rather than to </w:t>
      </w:r>
      <w:r w:rsidR="00621C90" w:rsidRPr="004E025C">
        <w:t>VDZ IV</w:t>
      </w:r>
      <w:r w:rsidRPr="004E025C">
        <w:t>.</w:t>
      </w:r>
    </w:p>
    <w:p w:rsidR="007F1017" w:rsidRPr="004E025C" w:rsidRDefault="007F1017" w:rsidP="00266EA7">
      <w:pPr>
        <w:pStyle w:val="5-SubsectionSubheading"/>
        <w:rPr>
          <w:i/>
        </w:rPr>
      </w:pPr>
      <w:bookmarkStart w:id="28" w:name="_Toc22897643"/>
      <w:bookmarkStart w:id="29" w:name="_Toc51141271"/>
      <w:r w:rsidRPr="004E025C">
        <w:rPr>
          <w:i/>
        </w:rPr>
        <w:t>Benefits/harms</w:t>
      </w:r>
      <w:bookmarkEnd w:id="28"/>
      <w:bookmarkEnd w:id="29"/>
    </w:p>
    <w:p w:rsidR="007F1017" w:rsidRPr="004E025C" w:rsidRDefault="00E926A5" w:rsidP="001C61AF">
      <w:pPr>
        <w:pStyle w:val="3-BodyText"/>
      </w:pPr>
      <w:r w:rsidRPr="004E025C">
        <w:rPr>
          <w:snapToGrid/>
        </w:rPr>
        <w:t xml:space="preserve">The </w:t>
      </w:r>
      <w:r w:rsidR="001C663C" w:rsidRPr="004E025C">
        <w:rPr>
          <w:snapToGrid/>
        </w:rPr>
        <w:t xml:space="preserve">claim in the submission was that </w:t>
      </w:r>
      <w:r w:rsidR="00EF6D33" w:rsidRPr="004E025C">
        <w:rPr>
          <w:snapToGrid/>
        </w:rPr>
        <w:t xml:space="preserve">VDZ </w:t>
      </w:r>
      <w:r w:rsidR="001C663C" w:rsidRPr="004E025C">
        <w:rPr>
          <w:snapToGrid/>
        </w:rPr>
        <w:t xml:space="preserve">108 mg SC Q2W was non inferior to </w:t>
      </w:r>
      <w:r w:rsidR="00EF6D33" w:rsidRPr="004E025C">
        <w:rPr>
          <w:snapToGrid/>
        </w:rPr>
        <w:t xml:space="preserve">VDZ </w:t>
      </w:r>
      <w:r w:rsidR="001C663C" w:rsidRPr="004E025C">
        <w:rPr>
          <w:snapToGrid/>
        </w:rPr>
        <w:t>300 mg IV Q8W, as maintenance therapy. A</w:t>
      </w:r>
      <w:r w:rsidRPr="004E025C">
        <w:rPr>
          <w:snapToGrid/>
        </w:rPr>
        <w:t>ccordingly, a benefits/harms table has not been presented.</w:t>
      </w:r>
    </w:p>
    <w:p w:rsidR="00B60939" w:rsidRPr="004E025C" w:rsidRDefault="00B60939" w:rsidP="00266EA7">
      <w:pPr>
        <w:pStyle w:val="5-SubsectionSubheading"/>
        <w:rPr>
          <w:i/>
        </w:rPr>
      </w:pPr>
      <w:bookmarkStart w:id="30" w:name="_Toc22897644"/>
      <w:bookmarkStart w:id="31" w:name="_Toc51141272"/>
      <w:r w:rsidRPr="004E025C">
        <w:rPr>
          <w:i/>
        </w:rPr>
        <w:t>Clinical claim</w:t>
      </w:r>
      <w:bookmarkEnd w:id="30"/>
      <w:bookmarkEnd w:id="31"/>
    </w:p>
    <w:p w:rsidR="00883B1A" w:rsidRPr="004E025C" w:rsidRDefault="00883B1A" w:rsidP="001C61AF">
      <w:pPr>
        <w:pStyle w:val="3-BodyText"/>
      </w:pPr>
      <w:r w:rsidRPr="004E025C">
        <w:t xml:space="preserve">The submission described </w:t>
      </w:r>
      <w:r w:rsidR="00621C90" w:rsidRPr="004E025C">
        <w:t>VDZ SC</w:t>
      </w:r>
      <w:r w:rsidRPr="004E025C">
        <w:t xml:space="preserve"> (108mg Q2W) as non-inferior in terms of effectiveness and safety compared with </w:t>
      </w:r>
      <w:r w:rsidR="00621C90" w:rsidRPr="004E025C">
        <w:t>VDZ IV</w:t>
      </w:r>
      <w:r w:rsidRPr="004E025C">
        <w:t xml:space="preserve"> (300mg Q8W), in the maintenance treatment of patients with severe </w:t>
      </w:r>
      <w:r w:rsidR="00C56D7A" w:rsidRPr="004E025C">
        <w:t>CD</w:t>
      </w:r>
      <w:r w:rsidRPr="004E025C">
        <w:t xml:space="preserve">. </w:t>
      </w:r>
    </w:p>
    <w:p w:rsidR="00153DE8" w:rsidRPr="004E025C" w:rsidRDefault="00F96E6C" w:rsidP="00153DE8">
      <w:pPr>
        <w:pStyle w:val="3-BodyText"/>
      </w:pPr>
      <w:r w:rsidRPr="004E025C">
        <w:t>While</w:t>
      </w:r>
      <w:r w:rsidR="00153DE8" w:rsidRPr="004E025C">
        <w:t xml:space="preserve"> </w:t>
      </w:r>
      <w:r w:rsidR="00621C90" w:rsidRPr="004E025C">
        <w:t>VDZ SC</w:t>
      </w:r>
      <w:r w:rsidR="00153DE8" w:rsidRPr="004E025C">
        <w:t xml:space="preserve"> demonstrated efficacy as maintenance therapy, versus placebo, in moderate to severe </w:t>
      </w:r>
      <w:r w:rsidR="00C56D7A" w:rsidRPr="004E025C">
        <w:t>CD</w:t>
      </w:r>
      <w:r w:rsidR="00153DE8" w:rsidRPr="004E025C">
        <w:t xml:space="preserve">, </w:t>
      </w:r>
      <w:r w:rsidR="00703069" w:rsidRPr="004E025C">
        <w:t xml:space="preserve">the evaluation considered </w:t>
      </w:r>
      <w:r w:rsidR="00153DE8" w:rsidRPr="004E025C">
        <w:t xml:space="preserve">there was uncertainty regarding the claim of non-inferiority for the indirect comparison with </w:t>
      </w:r>
      <w:r w:rsidR="00621C90" w:rsidRPr="004E025C">
        <w:t>VDZ IV</w:t>
      </w:r>
      <w:r w:rsidR="00153DE8" w:rsidRPr="004E025C">
        <w:t>.</w:t>
      </w:r>
    </w:p>
    <w:p w:rsidR="00153DE8" w:rsidRPr="004E025C" w:rsidRDefault="00153DE8" w:rsidP="001B16F4">
      <w:pPr>
        <w:pStyle w:val="3-BodyText"/>
      </w:pPr>
      <w:r w:rsidRPr="004E025C">
        <w:t>The indirect estimates of treatment effect had wide confidence intervals. Furthermore, no non-inferiority margin was provided in the submission to support a non-inferiority claim.</w:t>
      </w:r>
      <w:r w:rsidR="00DE2EB8" w:rsidRPr="004E025C">
        <w:t xml:space="preserve"> The</w:t>
      </w:r>
      <w:r w:rsidR="00BC4540" w:rsidRPr="004E025C">
        <w:t xml:space="preserve"> Sponsor stated in the</w:t>
      </w:r>
      <w:r w:rsidR="00DE2EB8" w:rsidRPr="004E025C">
        <w:t xml:space="preserve"> PSCR</w:t>
      </w:r>
      <w:r w:rsidR="00BC4540" w:rsidRPr="004E025C">
        <w:t xml:space="preserve"> and pre-PBAC response</w:t>
      </w:r>
      <w:r w:rsidR="00DE2EB8" w:rsidRPr="004E025C">
        <w:t xml:space="preserve"> that </w:t>
      </w:r>
      <w:r w:rsidR="00DE2EB8" w:rsidRPr="004E025C">
        <w:rPr>
          <w:rFonts w:eastAsiaTheme="minorHAnsi" w:cstheme="minorBidi"/>
          <w:snapToGrid/>
          <w:sz w:val="22"/>
          <w:szCs w:val="22"/>
          <w:lang w:eastAsia="en-US"/>
        </w:rPr>
        <w:t>t</w:t>
      </w:r>
      <w:r w:rsidR="00DE2EB8" w:rsidRPr="004E025C">
        <w:t>he submission did not nominate a non-inferiority margin because none was identified</w:t>
      </w:r>
      <w:r w:rsidR="00BC4540" w:rsidRPr="004E025C">
        <w:t xml:space="preserve"> in the published literature</w:t>
      </w:r>
      <w:r w:rsidR="00DE2EB8" w:rsidRPr="004E025C">
        <w:t xml:space="preserve"> for the outcome of clinical remission.</w:t>
      </w:r>
      <w:r w:rsidR="004760DD" w:rsidRPr="004E025C">
        <w:t xml:space="preserve"> </w:t>
      </w:r>
      <w:r w:rsidR="00DE2EB8" w:rsidRPr="004E025C">
        <w:t>The PSCR further state</w:t>
      </w:r>
      <w:r w:rsidR="004760DD" w:rsidRPr="004E025C">
        <w:t>d</w:t>
      </w:r>
      <w:r w:rsidR="00DE2EB8" w:rsidRPr="004E025C">
        <w:t xml:space="preserve"> that</w:t>
      </w:r>
      <w:r w:rsidR="003B5115" w:rsidRPr="004E025C">
        <w:t>, as for MSUC,</w:t>
      </w:r>
      <w:r w:rsidR="00DE2EB8" w:rsidRPr="004E025C">
        <w:t xml:space="preserve"> the PBAC has previously recommended bDMDs for CD based on the absence of statistically significant differences between the intervention and comparator(s) (</w:t>
      </w:r>
      <w:r w:rsidR="00951360" w:rsidRPr="004E025C">
        <w:t>paragraph 7.8, VDZ</w:t>
      </w:r>
      <w:r w:rsidR="00DE2EB8" w:rsidRPr="004E025C">
        <w:t xml:space="preserve"> PSD</w:t>
      </w:r>
      <w:r w:rsidR="00761680" w:rsidRPr="004E025C">
        <w:t xml:space="preserve"> for CD,</w:t>
      </w:r>
      <w:r w:rsidR="00DE2EB8" w:rsidRPr="004E025C">
        <w:t xml:space="preserve"> March 2015).</w:t>
      </w:r>
      <w:r w:rsidR="004760DD" w:rsidRPr="004E025C">
        <w:t xml:space="preserve"> The pre-PBAC response argued that the wide confidence intervals are more likely to reflect the lack of statistical power rather than true differences in treatment effect.</w:t>
      </w:r>
      <w:r w:rsidR="00DF4D73" w:rsidRPr="004E025C">
        <w:t xml:space="preserve"> </w:t>
      </w:r>
    </w:p>
    <w:p w:rsidR="00153DE8" w:rsidRPr="004E025C" w:rsidRDefault="00153DE8" w:rsidP="00CD0EB9">
      <w:pPr>
        <w:pStyle w:val="3-BodyText"/>
      </w:pPr>
      <w:r w:rsidRPr="004E025C">
        <w:t>There was also apparent heterogeneity between the trials</w:t>
      </w:r>
      <w:r w:rsidR="00F311AD" w:rsidRPr="004E025C">
        <w:t>,</w:t>
      </w:r>
      <w:r w:rsidRPr="004E025C">
        <w:t xml:space="preserve"> which decreases the level of confidence in the indirect estimates of treatment effect. Differences between the trials included the age of the studies (VISIBLE 2: 2015-2019; GEMINI 2: 2008-2012), disease characteristics (duration of </w:t>
      </w:r>
      <w:r w:rsidR="00C56D7A" w:rsidRPr="004E025C">
        <w:t>CD</w:t>
      </w:r>
      <w:r w:rsidRPr="004E025C">
        <w:t>, inflammatory markers, number of sites of disease involvement, prior surgery/inadequate or loss of response to prior corticosteroids), study treatment exposure/durations, and placebo response rates. The net influence of these differences, in terms of the direction and magnitude of the indirect estimates of treatment effect, is unknown.</w:t>
      </w:r>
    </w:p>
    <w:p w:rsidR="00F81283" w:rsidRPr="004E025C" w:rsidRDefault="00347150" w:rsidP="00F81283">
      <w:pPr>
        <w:pStyle w:val="3-BodyText"/>
      </w:pPr>
      <w:r w:rsidRPr="004E025C">
        <w:t xml:space="preserve">The PBAC considered that while the claim of non-inferior comparative effectiveness in severe CD was uncertain, it acknowledged it is likely that maintenance therapy with VDZ SC delivers similar outcomes to continuation of VDZ IV after a 12-14 week assessment point. </w:t>
      </w:r>
    </w:p>
    <w:p w:rsidR="00883B1A" w:rsidRPr="004E025C" w:rsidRDefault="00F81283" w:rsidP="00347150">
      <w:pPr>
        <w:pStyle w:val="3-BodyText"/>
      </w:pPr>
      <w:r w:rsidRPr="004E025C">
        <w:t>The PBAC considered that the claim of non-inferior comparative safety</w:t>
      </w:r>
      <w:r w:rsidR="00347150" w:rsidRPr="004E025C">
        <w:t xml:space="preserve"> in severe CD</w:t>
      </w:r>
      <w:r w:rsidRPr="004E025C">
        <w:t xml:space="preserve"> was reasonabl</w:t>
      </w:r>
      <w:r w:rsidR="00EF783B" w:rsidRPr="004E025C">
        <w:t>e</w:t>
      </w:r>
      <w:r w:rsidRPr="004E025C">
        <w:t>.</w:t>
      </w:r>
    </w:p>
    <w:p w:rsidR="00B60939" w:rsidRPr="004E025C" w:rsidRDefault="00B60939" w:rsidP="00E9094A">
      <w:pPr>
        <w:pStyle w:val="4-SubsectionHeading"/>
      </w:pPr>
      <w:bookmarkStart w:id="32" w:name="_Toc22897645"/>
      <w:bookmarkStart w:id="33" w:name="_Toc51141273"/>
      <w:r w:rsidRPr="004E025C">
        <w:t>Economic analysis</w:t>
      </w:r>
      <w:bookmarkEnd w:id="32"/>
      <w:bookmarkEnd w:id="33"/>
      <w:r w:rsidR="00491B3A" w:rsidRPr="004E025C">
        <w:t xml:space="preserve"> </w:t>
      </w:r>
    </w:p>
    <w:p w:rsidR="001604E8" w:rsidRPr="004E025C" w:rsidRDefault="001604E8" w:rsidP="00CB5E60">
      <w:pPr>
        <w:pStyle w:val="3-BodyText"/>
        <w:numPr>
          <w:ilvl w:val="1"/>
          <w:numId w:val="1"/>
        </w:numPr>
        <w:rPr>
          <w:rFonts w:eastAsia="Calibri"/>
          <w:szCs w:val="20"/>
        </w:rPr>
      </w:pPr>
      <w:r w:rsidRPr="004E025C">
        <w:t xml:space="preserve">The submission presented a cost-minimisation analysis of </w:t>
      </w:r>
      <w:r w:rsidR="00621C90" w:rsidRPr="004E025C">
        <w:t>VDZ SC</w:t>
      </w:r>
      <w:r w:rsidRPr="004E025C">
        <w:t xml:space="preserve"> compared to </w:t>
      </w:r>
      <w:r w:rsidR="00621C90" w:rsidRPr="004E025C">
        <w:t>VDZ IV</w:t>
      </w:r>
      <w:r w:rsidRPr="004E025C">
        <w:t xml:space="preserve"> based on a non-inferiority claim</w:t>
      </w:r>
      <w:r w:rsidR="004E025C">
        <w:t xml:space="preserve">. </w:t>
      </w:r>
    </w:p>
    <w:p w:rsidR="00CB5E60" w:rsidRPr="004E025C" w:rsidRDefault="00CB5E60" w:rsidP="00CB5E60">
      <w:pPr>
        <w:pStyle w:val="3-BodyText"/>
        <w:numPr>
          <w:ilvl w:val="1"/>
          <w:numId w:val="1"/>
        </w:numPr>
        <w:rPr>
          <w:rFonts w:eastAsia="Calibri"/>
          <w:szCs w:val="20"/>
        </w:rPr>
      </w:pPr>
      <w:r w:rsidRPr="004E025C">
        <w:t>The equi-effective doses</w:t>
      </w:r>
      <w:r w:rsidRPr="004E025C">
        <w:rPr>
          <w:b/>
          <w:bCs/>
          <w:color w:val="0066FF"/>
        </w:rPr>
        <w:t xml:space="preserve"> </w:t>
      </w:r>
      <w:r w:rsidRPr="004E025C">
        <w:t xml:space="preserve">were estimated as </w:t>
      </w:r>
      <w:r w:rsidR="00EF6D33" w:rsidRPr="004E025C">
        <w:t xml:space="preserve">VDZ </w:t>
      </w:r>
      <w:r w:rsidRPr="004E025C">
        <w:t xml:space="preserve">108 mg subcutaneous injection every two weeks </w:t>
      </w:r>
      <w:r w:rsidR="007267D4">
        <w:t xml:space="preserve">(Q2W) </w:t>
      </w:r>
      <w:r w:rsidRPr="004E025C">
        <w:t xml:space="preserve">and </w:t>
      </w:r>
      <w:r w:rsidR="00EF6D33" w:rsidRPr="004E025C">
        <w:t xml:space="preserve">VDZ </w:t>
      </w:r>
      <w:r w:rsidRPr="004E025C">
        <w:t>300 mg intravenous infusion every eight weeks</w:t>
      </w:r>
      <w:r w:rsidR="007267D4">
        <w:t xml:space="preserve"> (Q8W)</w:t>
      </w:r>
      <w:r w:rsidRPr="004E025C">
        <w:t>, based on clinical trials VISIBLE 1, VISIBLE 2 and GEMINI</w:t>
      </w:r>
      <w:r w:rsidR="0018674F" w:rsidRPr="004E025C">
        <w:t xml:space="preserve"> </w:t>
      </w:r>
      <w:r w:rsidRPr="004E025C">
        <w:t>2. Th</w:t>
      </w:r>
      <w:r w:rsidR="009C5F02" w:rsidRPr="004E025C">
        <w:t xml:space="preserve">e </w:t>
      </w:r>
      <w:r w:rsidR="0018674F" w:rsidRPr="004E025C">
        <w:t xml:space="preserve">PBAC </w:t>
      </w:r>
      <w:r w:rsidR="009C5F02" w:rsidRPr="004E025C">
        <w:t xml:space="preserve">considered this </w:t>
      </w:r>
      <w:r w:rsidRPr="004E025C">
        <w:t xml:space="preserve">is reasonable based on the maintenance dosing regimen selected for </w:t>
      </w:r>
      <w:r w:rsidR="00621C90" w:rsidRPr="004E025C">
        <w:t>VDZ SC</w:t>
      </w:r>
      <w:r w:rsidRPr="004E025C">
        <w:t xml:space="preserve"> 108 mg Q2W to provide similar steady-state exposure to that for </w:t>
      </w:r>
      <w:r w:rsidR="00621C90" w:rsidRPr="004E025C">
        <w:t>VDZ IV</w:t>
      </w:r>
      <w:r w:rsidRPr="004E025C">
        <w:t xml:space="preserve"> 300 mg Q8W as employed in these three clinical trials.</w:t>
      </w:r>
    </w:p>
    <w:p w:rsidR="00CB5E60" w:rsidRPr="004E025C" w:rsidRDefault="001604E8" w:rsidP="00197A01">
      <w:pPr>
        <w:pStyle w:val="3-BodyText"/>
        <w:numPr>
          <w:ilvl w:val="1"/>
          <w:numId w:val="1"/>
        </w:numPr>
        <w:rPr>
          <w:rFonts w:eastAsia="Calibri"/>
          <w:szCs w:val="20"/>
        </w:rPr>
      </w:pPr>
      <w:r w:rsidRPr="004E025C">
        <w:t>The submission presented a CMA over</w:t>
      </w:r>
      <w:r w:rsidR="00457543" w:rsidRPr="004E025C">
        <w:t xml:space="preserve"> a</w:t>
      </w:r>
      <w:r w:rsidRPr="004E025C">
        <w:t xml:space="preserve"> 2-year time-horizon</w:t>
      </w:r>
      <w:r w:rsidR="00132592" w:rsidRPr="004E025C">
        <w:t xml:space="preserve"> (excluding the initiation treatment phase)</w:t>
      </w:r>
      <w:r w:rsidRPr="004E025C">
        <w:t xml:space="preserve"> and assumed 13 administrations for </w:t>
      </w:r>
      <w:r w:rsidR="00621C90" w:rsidRPr="004E025C">
        <w:t>VDZ IV</w:t>
      </w:r>
      <w:r w:rsidRPr="004E025C">
        <w:t xml:space="preserve"> per patient and 52 administrations for </w:t>
      </w:r>
      <w:r w:rsidR="00621C90" w:rsidRPr="004E025C">
        <w:t>VDZ SC</w:t>
      </w:r>
      <w:r w:rsidRPr="004E025C">
        <w:t xml:space="preserve"> per patient over this time horizon. </w:t>
      </w:r>
      <w:r w:rsidR="0024105D" w:rsidRPr="004E025C">
        <w:t>Th</w:t>
      </w:r>
      <w:r w:rsidR="009C5F02" w:rsidRPr="004E025C">
        <w:t xml:space="preserve">e </w:t>
      </w:r>
      <w:r w:rsidR="00774C68" w:rsidRPr="004E025C">
        <w:t xml:space="preserve">PBAC </w:t>
      </w:r>
      <w:r w:rsidR="009C5F02" w:rsidRPr="004E025C">
        <w:t xml:space="preserve">considered this </w:t>
      </w:r>
      <w:r w:rsidR="0024105D" w:rsidRPr="004E025C">
        <w:t>is reasonable</w:t>
      </w:r>
      <w:r w:rsidR="00774C68" w:rsidRPr="004E025C">
        <w:t xml:space="preserve"> and agreed with the Sponsor</w:t>
      </w:r>
      <w:r w:rsidR="00B07B55" w:rsidRPr="004E025C">
        <w:t xml:space="preserve"> and the evaluation</w:t>
      </w:r>
      <w:r w:rsidR="00774C68" w:rsidRPr="004E025C">
        <w:t xml:space="preserve"> that </w:t>
      </w:r>
      <w:r w:rsidR="00B07B55" w:rsidRPr="004E025C">
        <w:t>the cost minimisation should be calculated from the point of patients starting VDZ SC following IV induction</w:t>
      </w:r>
      <w:r w:rsidR="0024105D" w:rsidRPr="004E025C">
        <w:t>.</w:t>
      </w:r>
    </w:p>
    <w:p w:rsidR="001604E8" w:rsidRPr="004E025C" w:rsidRDefault="001604E8" w:rsidP="008B3025">
      <w:pPr>
        <w:pStyle w:val="3-BodyText"/>
      </w:pPr>
      <w:r w:rsidRPr="004E025C">
        <w:t xml:space="preserve">In addition to the cost of medicines, the submission included costs associated with </w:t>
      </w:r>
      <w:r w:rsidR="00621C90" w:rsidRPr="004E025C">
        <w:t>VDZ IV</w:t>
      </w:r>
      <w:r w:rsidRPr="004E025C">
        <w:t xml:space="preserve"> administration. The submission applied the cost of IV infusion as MBS item 14245 (Schedule fee, $101).</w:t>
      </w:r>
      <w:r w:rsidR="0024105D" w:rsidRPr="004E025C">
        <w:t xml:space="preserve"> </w:t>
      </w:r>
      <w:r w:rsidR="00405F9E" w:rsidRPr="004E025C">
        <w:t xml:space="preserve">The submission justified the choice of this MBS item based on bringing VDZ IV to room temperature before administration and observation of patients for adverse reactions after the infusion. MBS item 14245 is for an IV infusion of at least 2 hours duration. However, VDZ IV is administered over 30 minutes, and it does not appear reasonable to include the time associated with waiting for the infusion bag to warm up, or post infusion observation in the ‘infusion duration time’ claimable on the MBS. During the evaluation </w:t>
      </w:r>
      <w:r w:rsidRPr="004E025C">
        <w:t xml:space="preserve">the cost-minimisation analysis </w:t>
      </w:r>
      <w:r w:rsidR="00985051" w:rsidRPr="004E025C">
        <w:t xml:space="preserve">was </w:t>
      </w:r>
      <w:r w:rsidRPr="004E025C">
        <w:t>revised</w:t>
      </w:r>
      <w:r w:rsidR="00914DF6" w:rsidRPr="004E025C">
        <w:t>,</w:t>
      </w:r>
      <w:r w:rsidRPr="004E025C">
        <w:t xml:space="preserve"> replacing the administration cost with MBS item 116 (Schedule fee, $79.05). MBS item 116 was considered the appropriate item for </w:t>
      </w:r>
      <w:r w:rsidR="00621C90" w:rsidRPr="004E025C">
        <w:t>VDZ IV</w:t>
      </w:r>
      <w:r w:rsidRPr="004E025C">
        <w:t xml:space="preserve"> in previous considerations (</w:t>
      </w:r>
      <w:r w:rsidR="005964A0">
        <w:rPr>
          <w:rFonts w:ascii="Segoe UI" w:hAnsi="Segoe UI" w:cs="Segoe UI"/>
          <w:color w:val="000000"/>
          <w:sz w:val="21"/>
          <w:szCs w:val="21"/>
          <w:shd w:val="clear" w:color="auto" w:fill="FFFFFF"/>
        </w:rPr>
        <w:t>5.19 vedolizumab, July 2014 PBAC Meeting</w:t>
      </w:r>
      <w:r w:rsidRPr="004E025C">
        <w:t>).</w:t>
      </w:r>
      <w:r w:rsidR="008B3025" w:rsidRPr="004E025C">
        <w:t xml:space="preserve"> The PSCR stated that the Sponsor acknowledged that a cost offset equivalent to the schedule fee of MBS item 116 may be more suitable for use in the economic evaluation</w:t>
      </w:r>
      <w:r w:rsidR="004E6D18" w:rsidRPr="004E025C">
        <w:t xml:space="preserve">. </w:t>
      </w:r>
    </w:p>
    <w:p w:rsidR="00CB5E60" w:rsidRPr="004E025C" w:rsidRDefault="00CB5E60" w:rsidP="00B07B55">
      <w:pPr>
        <w:pStyle w:val="3-BodyText"/>
        <w:numPr>
          <w:ilvl w:val="1"/>
          <w:numId w:val="1"/>
        </w:numPr>
        <w:rPr>
          <w:rFonts w:eastAsia="Calibri"/>
          <w:szCs w:val="20"/>
        </w:rPr>
      </w:pPr>
      <w:r w:rsidRPr="004E025C">
        <w:t xml:space="preserve">The results of the CMA for MSUC and severe </w:t>
      </w:r>
      <w:r w:rsidR="00F0627F" w:rsidRPr="004E025C">
        <w:t>CD</w:t>
      </w:r>
      <w:r w:rsidRPr="004E025C">
        <w:t xml:space="preserve"> as presented by the submission and revised during the evaluation are presented </w:t>
      </w:r>
      <w:r w:rsidR="006A6C02" w:rsidRPr="004E025C">
        <w:t>in Table 12 and Table 13</w:t>
      </w:r>
      <w:r w:rsidRPr="004E025C">
        <w:t>.</w:t>
      </w:r>
    </w:p>
    <w:p w:rsidR="00CB5E60" w:rsidRPr="004E025C" w:rsidRDefault="00CB5E60" w:rsidP="00CB5E60">
      <w:pPr>
        <w:pStyle w:val="TableFigureHeading"/>
      </w:pPr>
      <w:r w:rsidRPr="004E025C">
        <w:t xml:space="preserve">Table </w:t>
      </w:r>
      <w:r w:rsidR="007E6865">
        <w:rPr>
          <w:noProof/>
        </w:rPr>
        <w:t>12</w:t>
      </w:r>
      <w:r w:rsidRPr="004E025C">
        <w:t>: Results of the cost-minimisation analysis for MSUC maintenance treatment over two-year period at effective AEMP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3"/>
        <w:gridCol w:w="3356"/>
        <w:gridCol w:w="2314"/>
        <w:gridCol w:w="2314"/>
      </w:tblGrid>
      <w:tr w:rsidR="00CB5E60" w:rsidRPr="004E025C" w:rsidTr="001604E8">
        <w:trPr>
          <w:trHeight w:val="1157"/>
          <w:tblHeader/>
        </w:trPr>
        <w:tc>
          <w:tcPr>
            <w:tcW w:w="573" w:type="pct"/>
            <w:shd w:val="clear" w:color="auto" w:fill="auto"/>
          </w:tcPr>
          <w:p w:rsidR="00CB5E60" w:rsidRPr="004E025C" w:rsidRDefault="00CB5E60" w:rsidP="00024F7C">
            <w:pPr>
              <w:pStyle w:val="In-tableHeading"/>
              <w:rPr>
                <w:lang w:val="en-AU"/>
              </w:rPr>
            </w:pPr>
          </w:p>
        </w:tc>
        <w:tc>
          <w:tcPr>
            <w:tcW w:w="1861" w:type="pct"/>
          </w:tcPr>
          <w:p w:rsidR="00CB5E60" w:rsidRPr="004E025C" w:rsidRDefault="00CB5E60" w:rsidP="00024F7C">
            <w:pPr>
              <w:pStyle w:val="In-tableHeading"/>
              <w:rPr>
                <w:lang w:val="en-AU"/>
              </w:rPr>
            </w:pPr>
            <w:r w:rsidRPr="004E025C">
              <w:rPr>
                <w:lang w:val="en-AU"/>
              </w:rPr>
              <w:t>Description</w:t>
            </w:r>
          </w:p>
        </w:tc>
        <w:tc>
          <w:tcPr>
            <w:tcW w:w="1283" w:type="pct"/>
            <w:shd w:val="clear" w:color="auto" w:fill="auto"/>
          </w:tcPr>
          <w:p w:rsidR="00CB5E60" w:rsidRPr="004E025C" w:rsidRDefault="00EF783B" w:rsidP="001604E8">
            <w:pPr>
              <w:pStyle w:val="In-tableHeading"/>
              <w:rPr>
                <w:lang w:val="en-AU"/>
              </w:rPr>
            </w:pPr>
            <w:r w:rsidRPr="004E025C">
              <w:rPr>
                <w:lang w:val="en-AU"/>
              </w:rPr>
              <w:t xml:space="preserve">VDZ </w:t>
            </w:r>
            <w:r w:rsidR="001604E8" w:rsidRPr="004E025C">
              <w:rPr>
                <w:lang w:val="en-AU"/>
              </w:rPr>
              <w:t>SC</w:t>
            </w:r>
            <w:r w:rsidR="001604E8" w:rsidRPr="004E025C">
              <w:rPr>
                <w:lang w:val="en-AU"/>
              </w:rPr>
              <w:br/>
            </w:r>
            <w:r w:rsidR="001604E8" w:rsidRPr="004E025C">
              <w:rPr>
                <w:b w:val="0"/>
                <w:lang w:val="en-AU"/>
              </w:rPr>
              <w:t>(108 mg,  2 pre-filled syringes or pens/pack)</w:t>
            </w:r>
          </w:p>
        </w:tc>
        <w:tc>
          <w:tcPr>
            <w:tcW w:w="1283" w:type="pct"/>
          </w:tcPr>
          <w:p w:rsidR="00CB5E60" w:rsidRPr="004E025C" w:rsidRDefault="00EF783B" w:rsidP="00024F7C">
            <w:pPr>
              <w:pStyle w:val="In-tableHeading"/>
              <w:rPr>
                <w:b w:val="0"/>
                <w:lang w:val="en-AU"/>
              </w:rPr>
            </w:pPr>
            <w:r w:rsidRPr="004E025C">
              <w:rPr>
                <w:lang w:val="en-AU"/>
              </w:rPr>
              <w:t xml:space="preserve">VDZ </w:t>
            </w:r>
            <w:r w:rsidR="001604E8" w:rsidRPr="004E025C">
              <w:rPr>
                <w:lang w:val="en-AU"/>
              </w:rPr>
              <w:t>IV</w:t>
            </w:r>
            <w:r w:rsidR="001604E8" w:rsidRPr="004E025C">
              <w:rPr>
                <w:lang w:val="en-AU"/>
              </w:rPr>
              <w:br/>
            </w:r>
            <w:r w:rsidR="001604E8" w:rsidRPr="004E025C">
              <w:rPr>
                <w:b w:val="0"/>
                <w:lang w:val="en-AU"/>
              </w:rPr>
              <w:t>(300 mg, 1 vial/pack)</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A</w:t>
            </w:r>
          </w:p>
        </w:tc>
        <w:tc>
          <w:tcPr>
            <w:tcW w:w="1861" w:type="pct"/>
            <w:vAlign w:val="center"/>
          </w:tcPr>
          <w:p w:rsidR="00CB5E60" w:rsidRPr="004E025C" w:rsidRDefault="00CB5E60" w:rsidP="00024F7C">
            <w:pPr>
              <w:keepNext/>
              <w:rPr>
                <w:rFonts w:ascii="Arial Narrow" w:hAnsi="Arial Narrow"/>
                <w:sz w:val="20"/>
                <w:szCs w:val="20"/>
              </w:rPr>
            </w:pPr>
            <w:r w:rsidRPr="004E025C">
              <w:rPr>
                <w:rFonts w:ascii="Arial Narrow" w:hAnsi="Arial Narrow"/>
                <w:sz w:val="20"/>
                <w:szCs w:val="20"/>
              </w:rPr>
              <w:t>Number of administrations over two-years</w:t>
            </w:r>
          </w:p>
          <w:p w:rsidR="00CB5E60" w:rsidRPr="004E025C" w:rsidRDefault="00CB5E60" w:rsidP="00024F7C">
            <w:pPr>
              <w:keepNext/>
              <w:rPr>
                <w:rFonts w:ascii="Arial Narrow" w:hAnsi="Arial Narrow"/>
                <w:sz w:val="20"/>
                <w:szCs w:val="20"/>
              </w:rPr>
            </w:pPr>
            <w:r w:rsidRPr="004E025C">
              <w:rPr>
                <w:rFonts w:ascii="Arial Narrow" w:hAnsi="Arial Narrow"/>
                <w:sz w:val="20"/>
                <w:szCs w:val="20"/>
              </w:rPr>
              <w:t>-Section 100 (Public &amp; Private)</w:t>
            </w:r>
          </w:p>
          <w:p w:rsidR="00CB5E60" w:rsidRPr="004E025C" w:rsidRDefault="00CB5E60" w:rsidP="00024F7C">
            <w:pPr>
              <w:pStyle w:val="TableText0"/>
            </w:pPr>
            <w:r w:rsidRPr="004E025C">
              <w:rPr>
                <w:szCs w:val="20"/>
              </w:rPr>
              <w:t>- Section 85</w:t>
            </w:r>
          </w:p>
        </w:tc>
        <w:tc>
          <w:tcPr>
            <w:tcW w:w="1283" w:type="pct"/>
            <w:shd w:val="clear" w:color="auto" w:fill="auto"/>
            <w:vAlign w:val="bottom"/>
          </w:tcPr>
          <w:p w:rsidR="00CB5E60" w:rsidRPr="004E025C" w:rsidRDefault="00CB5E60" w:rsidP="00024F7C">
            <w:pPr>
              <w:keepNext/>
              <w:jc w:val="center"/>
              <w:rPr>
                <w:rFonts w:ascii="Arial Narrow" w:hAnsi="Arial Narrow"/>
                <w:sz w:val="20"/>
                <w:szCs w:val="20"/>
              </w:rPr>
            </w:pPr>
          </w:p>
          <w:p w:rsidR="00CB5E60" w:rsidRPr="004E025C" w:rsidRDefault="00CB5E60" w:rsidP="00024F7C">
            <w:pPr>
              <w:keepNext/>
              <w:jc w:val="center"/>
              <w:rPr>
                <w:rFonts w:ascii="Arial Narrow" w:hAnsi="Arial Narrow"/>
                <w:sz w:val="20"/>
                <w:szCs w:val="20"/>
              </w:rPr>
            </w:pPr>
            <w:r w:rsidRPr="004E025C">
              <w:rPr>
                <w:rFonts w:ascii="Arial Narrow" w:hAnsi="Arial Narrow"/>
                <w:sz w:val="20"/>
                <w:szCs w:val="20"/>
              </w:rPr>
              <w:t>-</w:t>
            </w:r>
          </w:p>
          <w:p w:rsidR="00CB5E60" w:rsidRPr="004E025C" w:rsidRDefault="00CB5E60" w:rsidP="00024F7C">
            <w:pPr>
              <w:pStyle w:val="TableText0"/>
              <w:jc w:val="center"/>
            </w:pPr>
            <w:r w:rsidRPr="004E025C">
              <w:rPr>
                <w:szCs w:val="20"/>
              </w:rPr>
              <w:t>52</w:t>
            </w:r>
          </w:p>
        </w:tc>
        <w:tc>
          <w:tcPr>
            <w:tcW w:w="1283" w:type="pct"/>
            <w:vAlign w:val="bottom"/>
          </w:tcPr>
          <w:p w:rsidR="00CB5E60" w:rsidRPr="004E025C" w:rsidRDefault="00CB5E60" w:rsidP="00024F7C">
            <w:pPr>
              <w:keepNext/>
              <w:jc w:val="center"/>
              <w:rPr>
                <w:rFonts w:ascii="Arial Narrow" w:hAnsi="Arial Narrow"/>
                <w:sz w:val="20"/>
                <w:szCs w:val="20"/>
              </w:rPr>
            </w:pPr>
          </w:p>
          <w:p w:rsidR="00CB5E60" w:rsidRPr="004E025C" w:rsidRDefault="00CB5E60" w:rsidP="00024F7C">
            <w:pPr>
              <w:keepNext/>
              <w:jc w:val="center"/>
              <w:rPr>
                <w:rFonts w:ascii="Arial Narrow" w:hAnsi="Arial Narrow"/>
                <w:sz w:val="20"/>
                <w:szCs w:val="20"/>
              </w:rPr>
            </w:pPr>
            <w:r w:rsidRPr="004E025C">
              <w:rPr>
                <w:rFonts w:ascii="Arial Narrow" w:hAnsi="Arial Narrow"/>
                <w:sz w:val="20"/>
                <w:szCs w:val="20"/>
              </w:rPr>
              <w:t>13</w:t>
            </w:r>
          </w:p>
          <w:p w:rsidR="00CB5E60" w:rsidRPr="004E025C" w:rsidRDefault="00CB5E60" w:rsidP="00024F7C">
            <w:pPr>
              <w:pStyle w:val="TableText0"/>
              <w:jc w:val="center"/>
            </w:pPr>
            <w:r w:rsidRPr="004E025C">
              <w:rPr>
                <w:szCs w:val="20"/>
              </w:rPr>
              <w:t>-</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B</w:t>
            </w:r>
          </w:p>
        </w:tc>
        <w:tc>
          <w:tcPr>
            <w:tcW w:w="1861" w:type="pct"/>
            <w:vAlign w:val="center"/>
          </w:tcPr>
          <w:p w:rsidR="00CB5E60" w:rsidRPr="004E025C" w:rsidRDefault="00CB5E60" w:rsidP="00024F7C">
            <w:pPr>
              <w:rPr>
                <w:rFonts w:ascii="Arial Narrow" w:hAnsi="Arial Narrow"/>
                <w:sz w:val="20"/>
                <w:szCs w:val="20"/>
              </w:rPr>
            </w:pPr>
            <w:r w:rsidRPr="004E025C">
              <w:rPr>
                <w:rFonts w:ascii="Arial Narrow" w:hAnsi="Arial Narrow"/>
                <w:sz w:val="20"/>
                <w:szCs w:val="20"/>
              </w:rPr>
              <w:t>Cost per dose (effective AEMP)</w:t>
            </w:r>
          </w:p>
          <w:p w:rsidR="00CB5E60" w:rsidRPr="004E025C" w:rsidRDefault="00CB5E60" w:rsidP="00024F7C">
            <w:pPr>
              <w:rPr>
                <w:rFonts w:ascii="Arial Narrow" w:hAnsi="Arial Narrow"/>
                <w:sz w:val="20"/>
                <w:szCs w:val="20"/>
              </w:rPr>
            </w:pPr>
            <w:r w:rsidRPr="004E025C">
              <w:rPr>
                <w:rFonts w:ascii="Arial Narrow" w:hAnsi="Arial Narrow"/>
                <w:sz w:val="20"/>
                <w:szCs w:val="20"/>
              </w:rPr>
              <w:t>- Public hospital</w:t>
            </w:r>
          </w:p>
          <w:p w:rsidR="00CB5E60" w:rsidRPr="004E025C" w:rsidRDefault="00CB5E60" w:rsidP="00024F7C">
            <w:pPr>
              <w:rPr>
                <w:rFonts w:ascii="Arial Narrow" w:hAnsi="Arial Narrow"/>
                <w:sz w:val="20"/>
                <w:szCs w:val="20"/>
              </w:rPr>
            </w:pPr>
            <w:r w:rsidRPr="004E025C">
              <w:rPr>
                <w:rFonts w:ascii="Arial Narrow" w:hAnsi="Arial Narrow"/>
                <w:sz w:val="20"/>
                <w:szCs w:val="20"/>
              </w:rPr>
              <w:t>- Private hospital</w:t>
            </w:r>
          </w:p>
          <w:p w:rsidR="00CB5E60" w:rsidRPr="004E025C" w:rsidRDefault="00CB5E60" w:rsidP="00024F7C">
            <w:pPr>
              <w:pStyle w:val="TableText0"/>
            </w:pPr>
            <w:r w:rsidRPr="004E025C">
              <w:rPr>
                <w:szCs w:val="20"/>
              </w:rPr>
              <w:t>- Section 85</w:t>
            </w:r>
          </w:p>
        </w:tc>
        <w:tc>
          <w:tcPr>
            <w:tcW w:w="1283" w:type="pct"/>
            <w:shd w:val="clear" w:color="auto" w:fill="auto"/>
            <w:vAlign w:val="bottom"/>
          </w:tcPr>
          <w:p w:rsidR="00CB5E60" w:rsidRPr="004E025C" w:rsidRDefault="00CB5E60" w:rsidP="00024F7C">
            <w:pPr>
              <w:pStyle w:val="TableText0"/>
              <w:jc w:val="right"/>
            </w:pPr>
          </w:p>
          <w:p w:rsidR="00CB5E60" w:rsidRPr="004E025C" w:rsidRDefault="00CB5E60" w:rsidP="00024F7C">
            <w:pPr>
              <w:pStyle w:val="TableText0"/>
              <w:jc w:val="right"/>
            </w:pPr>
            <w:r w:rsidRPr="004E025C">
              <w:t>-</w:t>
            </w:r>
          </w:p>
          <w:p w:rsidR="00CB5E60" w:rsidRPr="004E025C" w:rsidRDefault="00CB5E60" w:rsidP="00024F7C">
            <w:pPr>
              <w:pStyle w:val="TableText0"/>
              <w:jc w:val="right"/>
            </w:pPr>
            <w:r w:rsidRPr="004E025C">
              <w:t>-</w:t>
            </w:r>
          </w:p>
          <w:p w:rsidR="00CB5E60" w:rsidRPr="004E025C" w:rsidRDefault="00CB5E60" w:rsidP="00024F7C">
            <w:pPr>
              <w:pStyle w:val="TableText0"/>
              <w:jc w:val="right"/>
            </w:pPr>
            <w:r w:rsidRPr="004E025C">
              <w:rPr>
                <w:szCs w:val="20"/>
              </w:rPr>
              <w:t>$</w:t>
            </w:r>
            <w:r w:rsidR="00055457">
              <w:rPr>
                <w:noProof/>
                <w:color w:val="000000"/>
                <w:szCs w:val="20"/>
                <w:highlight w:val="black"/>
              </w:rPr>
              <w:t xml:space="preserve">'''''''''''''''''' </w:t>
            </w:r>
            <w:r w:rsidRPr="004E025C">
              <w:rPr>
                <w:szCs w:val="20"/>
              </w:rPr>
              <w:t>/ 2 = $</w:t>
            </w:r>
            <w:r w:rsidR="00055457">
              <w:rPr>
                <w:noProof/>
                <w:color w:val="000000"/>
                <w:szCs w:val="20"/>
                <w:highlight w:val="black"/>
              </w:rPr>
              <w:t>'''''''''''''''''</w:t>
            </w:r>
          </w:p>
        </w:tc>
        <w:tc>
          <w:tcPr>
            <w:tcW w:w="1283" w:type="pct"/>
            <w:vAlign w:val="bottom"/>
          </w:tcPr>
          <w:p w:rsidR="00CB5E60" w:rsidRPr="004E025C" w:rsidRDefault="00CB5E60" w:rsidP="00024F7C">
            <w:pPr>
              <w:jc w:val="right"/>
              <w:rPr>
                <w:rFonts w:ascii="Arial Narrow" w:hAnsi="Arial Narrow"/>
                <w:sz w:val="20"/>
                <w:szCs w:val="20"/>
              </w:rPr>
            </w:pPr>
          </w:p>
          <w:p w:rsidR="00CB5E60" w:rsidRPr="004E025C" w:rsidRDefault="00CB5E60" w:rsidP="00024F7C">
            <w:pPr>
              <w:jc w:val="right"/>
              <w:rPr>
                <w:rFonts w:ascii="Arial Narrow" w:hAnsi="Arial Narrow"/>
                <w:sz w:val="20"/>
                <w:szCs w:val="20"/>
              </w:rPr>
            </w:pPr>
            <w:r w:rsidRPr="004E025C">
              <w:rPr>
                <w:rFonts w:ascii="Arial Narrow" w:hAnsi="Arial Narrow"/>
                <w:sz w:val="20"/>
                <w:szCs w:val="20"/>
              </w:rPr>
              <w:t>$</w:t>
            </w:r>
            <w:r w:rsidR="00055457">
              <w:rPr>
                <w:rFonts w:ascii="Arial Narrow" w:hAnsi="Arial Narrow"/>
                <w:noProof/>
                <w:color w:val="000000"/>
                <w:sz w:val="20"/>
                <w:szCs w:val="20"/>
                <w:highlight w:val="black"/>
              </w:rPr>
              <w:t>''''''''''''''''''</w:t>
            </w:r>
          </w:p>
          <w:p w:rsidR="00CB5E60" w:rsidRPr="004E025C" w:rsidRDefault="00CB5E60" w:rsidP="00024F7C">
            <w:pPr>
              <w:jc w:val="right"/>
              <w:rPr>
                <w:rFonts w:ascii="Arial Narrow" w:hAnsi="Arial Narrow"/>
                <w:sz w:val="20"/>
                <w:szCs w:val="20"/>
              </w:rPr>
            </w:pPr>
            <w:r w:rsidRPr="004E025C">
              <w:rPr>
                <w:rFonts w:ascii="Arial Narrow" w:hAnsi="Arial Narrow"/>
                <w:sz w:val="20"/>
                <w:szCs w:val="20"/>
              </w:rPr>
              <w:t>$</w:t>
            </w:r>
            <w:r w:rsidR="00055457">
              <w:rPr>
                <w:rFonts w:ascii="Arial Narrow" w:hAnsi="Arial Narrow"/>
                <w:noProof/>
                <w:color w:val="000000"/>
                <w:sz w:val="20"/>
                <w:szCs w:val="20"/>
                <w:highlight w:val="black"/>
              </w:rPr>
              <w:t>''''''''''''''''''''</w:t>
            </w:r>
          </w:p>
          <w:p w:rsidR="00CB5E60" w:rsidRPr="004E025C" w:rsidRDefault="00CB5E60" w:rsidP="00024F7C">
            <w:pPr>
              <w:pStyle w:val="TableText0"/>
              <w:jc w:val="right"/>
            </w:pPr>
            <w:r w:rsidRPr="004E025C">
              <w:rPr>
                <w:szCs w:val="20"/>
              </w:rPr>
              <w:t>-</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C</w:t>
            </w:r>
          </w:p>
        </w:tc>
        <w:tc>
          <w:tcPr>
            <w:tcW w:w="1861" w:type="pct"/>
            <w:vAlign w:val="center"/>
          </w:tcPr>
          <w:p w:rsidR="00CB5E60" w:rsidRPr="004E025C" w:rsidRDefault="00CB5E60" w:rsidP="00024F7C">
            <w:pPr>
              <w:pStyle w:val="TableText0"/>
            </w:pPr>
            <w:r w:rsidRPr="004E025C">
              <w:rPr>
                <w:szCs w:val="20"/>
              </w:rPr>
              <w:t>Drug costs over two-years [A x B]</w:t>
            </w:r>
          </w:p>
        </w:tc>
        <w:tc>
          <w:tcPr>
            <w:tcW w:w="1283" w:type="pct"/>
            <w:shd w:val="clear" w:color="auto" w:fill="auto"/>
            <w:vAlign w:val="bottom"/>
          </w:tcPr>
          <w:p w:rsidR="00CB5E60" w:rsidRPr="004E025C" w:rsidRDefault="00CB5E60" w:rsidP="00024F7C">
            <w:pPr>
              <w:pStyle w:val="TableText0"/>
              <w:jc w:val="right"/>
            </w:pPr>
            <w:r w:rsidRPr="004E025C">
              <w:rPr>
                <w:szCs w:val="20"/>
              </w:rPr>
              <w:t>$</w:t>
            </w:r>
            <w:r w:rsidR="00055457">
              <w:rPr>
                <w:noProof/>
                <w:color w:val="000000"/>
                <w:szCs w:val="20"/>
                <w:highlight w:val="black"/>
              </w:rPr>
              <w:t>'''''''''''''''''''''''''</w:t>
            </w:r>
          </w:p>
        </w:tc>
        <w:tc>
          <w:tcPr>
            <w:tcW w:w="1283" w:type="pct"/>
            <w:vAlign w:val="bottom"/>
          </w:tcPr>
          <w:p w:rsidR="00CB5E60" w:rsidRPr="004E025C" w:rsidRDefault="00CB5E60" w:rsidP="00024F7C">
            <w:pPr>
              <w:pStyle w:val="TableText0"/>
              <w:jc w:val="right"/>
            </w:pPr>
            <w:r w:rsidRPr="004E025C">
              <w:rPr>
                <w:szCs w:val="20"/>
              </w:rPr>
              <w:t>$</w:t>
            </w:r>
            <w:r w:rsidR="00055457">
              <w:rPr>
                <w:noProof/>
                <w:color w:val="000000"/>
                <w:szCs w:val="20"/>
                <w:highlight w:val="black"/>
              </w:rPr>
              <w:t>''''''''''''''''''''''''</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D</w:t>
            </w:r>
          </w:p>
        </w:tc>
        <w:tc>
          <w:tcPr>
            <w:tcW w:w="1861" w:type="pct"/>
            <w:vAlign w:val="center"/>
          </w:tcPr>
          <w:p w:rsidR="00CB5E60" w:rsidRPr="004E025C" w:rsidRDefault="00CB5E60" w:rsidP="00024F7C">
            <w:pPr>
              <w:pStyle w:val="TableText0"/>
              <w:rPr>
                <w:szCs w:val="20"/>
              </w:rPr>
            </w:pPr>
            <w:r w:rsidRPr="004E025C">
              <w:rPr>
                <w:szCs w:val="20"/>
              </w:rPr>
              <w:t>Cost per administration (MBS 14245)</w:t>
            </w:r>
          </w:p>
          <w:p w:rsidR="00CB5E60" w:rsidRPr="004E025C" w:rsidRDefault="00CB5E60" w:rsidP="00024F7C">
            <w:pPr>
              <w:pStyle w:val="TableText0"/>
            </w:pPr>
            <w:r w:rsidRPr="004E025C">
              <w:rPr>
                <w:szCs w:val="20"/>
              </w:rPr>
              <w:t>Revised (MBS item 116)</w:t>
            </w:r>
          </w:p>
        </w:tc>
        <w:tc>
          <w:tcPr>
            <w:tcW w:w="1283" w:type="pct"/>
            <w:shd w:val="clear" w:color="auto" w:fill="auto"/>
            <w:vAlign w:val="bottom"/>
          </w:tcPr>
          <w:p w:rsidR="00CB5E60" w:rsidRPr="004E025C" w:rsidRDefault="00CB5E60" w:rsidP="00024F7C">
            <w:pPr>
              <w:pStyle w:val="TableText0"/>
              <w:jc w:val="right"/>
              <w:rPr>
                <w:szCs w:val="20"/>
              </w:rPr>
            </w:pPr>
            <w:r w:rsidRPr="004E025C">
              <w:rPr>
                <w:szCs w:val="20"/>
              </w:rPr>
              <w:t>$0.00</w:t>
            </w:r>
          </w:p>
          <w:p w:rsidR="00CB5E60" w:rsidRPr="004E025C" w:rsidRDefault="00CB5E60" w:rsidP="00024F7C">
            <w:pPr>
              <w:pStyle w:val="TableText0"/>
              <w:jc w:val="right"/>
            </w:pPr>
          </w:p>
        </w:tc>
        <w:tc>
          <w:tcPr>
            <w:tcW w:w="1283" w:type="pct"/>
            <w:vAlign w:val="bottom"/>
          </w:tcPr>
          <w:p w:rsidR="00CB5E60" w:rsidRPr="004E025C" w:rsidRDefault="00CB5E60" w:rsidP="00024F7C">
            <w:pPr>
              <w:pStyle w:val="TableText0"/>
              <w:jc w:val="right"/>
              <w:rPr>
                <w:szCs w:val="20"/>
                <w:vertAlign w:val="superscript"/>
              </w:rPr>
            </w:pPr>
            <w:r w:rsidRPr="004E025C">
              <w:rPr>
                <w:szCs w:val="20"/>
              </w:rPr>
              <w:t xml:space="preserve">$101.0 </w:t>
            </w:r>
            <w:r w:rsidRPr="004E025C">
              <w:rPr>
                <w:szCs w:val="20"/>
                <w:vertAlign w:val="superscript"/>
              </w:rPr>
              <w:t>a</w:t>
            </w:r>
          </w:p>
          <w:p w:rsidR="00CB5E60" w:rsidRPr="004E025C" w:rsidRDefault="00CB5E60" w:rsidP="00024F7C">
            <w:pPr>
              <w:pStyle w:val="TableText0"/>
              <w:jc w:val="right"/>
            </w:pPr>
            <w:r w:rsidRPr="004E025C">
              <w:t>$79.05</w:t>
            </w:r>
            <w:r w:rsidRPr="004E025C">
              <w:rPr>
                <w:szCs w:val="20"/>
                <w:vertAlign w:val="superscript"/>
              </w:rPr>
              <w:t>b</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E</w:t>
            </w:r>
          </w:p>
        </w:tc>
        <w:tc>
          <w:tcPr>
            <w:tcW w:w="1861" w:type="pct"/>
            <w:vAlign w:val="center"/>
          </w:tcPr>
          <w:p w:rsidR="00CB5E60" w:rsidRPr="004E025C" w:rsidRDefault="00CB5E60" w:rsidP="00024F7C">
            <w:pPr>
              <w:pStyle w:val="TableText0"/>
              <w:rPr>
                <w:szCs w:val="20"/>
              </w:rPr>
            </w:pPr>
            <w:r w:rsidRPr="004E025C">
              <w:rPr>
                <w:szCs w:val="20"/>
              </w:rPr>
              <w:t>Administration costs over two-years  [A x D]</w:t>
            </w:r>
          </w:p>
          <w:p w:rsidR="00CB5E60" w:rsidRPr="004E025C" w:rsidRDefault="00CB5E60" w:rsidP="00024F7C">
            <w:pPr>
              <w:pStyle w:val="TableText0"/>
            </w:pPr>
            <w:r w:rsidRPr="004E025C">
              <w:rPr>
                <w:szCs w:val="20"/>
              </w:rPr>
              <w:t>Revised</w:t>
            </w:r>
          </w:p>
        </w:tc>
        <w:tc>
          <w:tcPr>
            <w:tcW w:w="1283" w:type="pct"/>
            <w:shd w:val="clear" w:color="auto" w:fill="auto"/>
            <w:vAlign w:val="bottom"/>
          </w:tcPr>
          <w:p w:rsidR="00CB5E60" w:rsidRPr="004E025C" w:rsidRDefault="00CB5E60" w:rsidP="00024F7C">
            <w:pPr>
              <w:pStyle w:val="TableText0"/>
              <w:jc w:val="right"/>
              <w:rPr>
                <w:szCs w:val="20"/>
              </w:rPr>
            </w:pPr>
            <w:r w:rsidRPr="004E025C">
              <w:rPr>
                <w:szCs w:val="20"/>
              </w:rPr>
              <w:t>$0.00</w:t>
            </w:r>
          </w:p>
          <w:p w:rsidR="00CB5E60" w:rsidRPr="004E025C" w:rsidRDefault="00CB5E60" w:rsidP="00024F7C">
            <w:pPr>
              <w:pStyle w:val="TableText0"/>
              <w:jc w:val="right"/>
            </w:pPr>
          </w:p>
        </w:tc>
        <w:tc>
          <w:tcPr>
            <w:tcW w:w="1283" w:type="pct"/>
            <w:vAlign w:val="bottom"/>
          </w:tcPr>
          <w:p w:rsidR="00CB5E60" w:rsidRPr="004E025C" w:rsidRDefault="00CB5E60" w:rsidP="00024F7C">
            <w:pPr>
              <w:pStyle w:val="TableText0"/>
              <w:jc w:val="right"/>
              <w:rPr>
                <w:szCs w:val="20"/>
              </w:rPr>
            </w:pPr>
            <w:r w:rsidRPr="004E025C">
              <w:rPr>
                <w:szCs w:val="20"/>
              </w:rPr>
              <w:t>$1,313.00</w:t>
            </w:r>
          </w:p>
          <w:p w:rsidR="00CB5E60" w:rsidRPr="004E025C" w:rsidRDefault="00CB5E60" w:rsidP="00024F7C">
            <w:pPr>
              <w:pStyle w:val="TableText0"/>
              <w:jc w:val="right"/>
            </w:pPr>
            <w:r w:rsidRPr="004E025C">
              <w:rPr>
                <w:szCs w:val="20"/>
              </w:rPr>
              <w:t>$1,027.65</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F</w:t>
            </w:r>
          </w:p>
        </w:tc>
        <w:tc>
          <w:tcPr>
            <w:tcW w:w="1861" w:type="pct"/>
            <w:vAlign w:val="center"/>
          </w:tcPr>
          <w:p w:rsidR="00CB5E60" w:rsidRPr="004E025C" w:rsidRDefault="00CB5E60" w:rsidP="00024F7C">
            <w:pPr>
              <w:pStyle w:val="TableText0"/>
              <w:rPr>
                <w:szCs w:val="20"/>
              </w:rPr>
            </w:pPr>
            <w:r w:rsidRPr="004E025C">
              <w:rPr>
                <w:szCs w:val="20"/>
              </w:rPr>
              <w:t>Total Cost over two-years [C + E]</w:t>
            </w:r>
          </w:p>
          <w:p w:rsidR="00CB5E60" w:rsidRPr="004E025C" w:rsidRDefault="00CB5E60" w:rsidP="00024F7C">
            <w:pPr>
              <w:pStyle w:val="TableText0"/>
            </w:pPr>
            <w:r w:rsidRPr="004E025C">
              <w:rPr>
                <w:szCs w:val="20"/>
              </w:rPr>
              <w:t>Revised</w:t>
            </w:r>
          </w:p>
        </w:tc>
        <w:tc>
          <w:tcPr>
            <w:tcW w:w="1283" w:type="pct"/>
            <w:shd w:val="clear" w:color="auto" w:fill="auto"/>
            <w:vAlign w:val="bottom"/>
          </w:tcPr>
          <w:p w:rsidR="00CB5E60" w:rsidRPr="004E025C" w:rsidRDefault="00CB5E60" w:rsidP="00024F7C">
            <w:pPr>
              <w:pStyle w:val="TableText0"/>
              <w:jc w:val="right"/>
              <w:rPr>
                <w:szCs w:val="20"/>
              </w:rPr>
            </w:pPr>
            <w:r w:rsidRPr="004E025C">
              <w:rPr>
                <w:szCs w:val="20"/>
              </w:rPr>
              <w:t>$</w:t>
            </w:r>
            <w:r w:rsidR="00055457">
              <w:rPr>
                <w:noProof/>
                <w:color w:val="000000"/>
                <w:szCs w:val="20"/>
                <w:highlight w:val="black"/>
              </w:rPr>
              <w:t>''''''''''''''''''''''''</w:t>
            </w:r>
          </w:p>
          <w:p w:rsidR="00CB5E60" w:rsidRPr="004E025C" w:rsidRDefault="00CB5E60" w:rsidP="00024F7C">
            <w:pPr>
              <w:pStyle w:val="TableText0"/>
              <w:jc w:val="right"/>
            </w:pPr>
          </w:p>
        </w:tc>
        <w:tc>
          <w:tcPr>
            <w:tcW w:w="1283" w:type="pct"/>
            <w:vAlign w:val="bottom"/>
          </w:tcPr>
          <w:p w:rsidR="00CB5E60" w:rsidRPr="004E025C" w:rsidRDefault="00CB5E60" w:rsidP="00024F7C">
            <w:pPr>
              <w:pStyle w:val="TableText0"/>
              <w:jc w:val="right"/>
              <w:rPr>
                <w:szCs w:val="20"/>
              </w:rPr>
            </w:pPr>
            <w:r w:rsidRPr="004E025C">
              <w:rPr>
                <w:szCs w:val="20"/>
              </w:rPr>
              <w:t>$</w:t>
            </w:r>
            <w:r w:rsidR="00055457">
              <w:rPr>
                <w:noProof/>
                <w:color w:val="000000"/>
                <w:szCs w:val="20"/>
                <w:highlight w:val="black"/>
              </w:rPr>
              <w:t>''''''''''''''''''''''''</w:t>
            </w:r>
          </w:p>
          <w:p w:rsidR="00CB5E60" w:rsidRPr="004E025C" w:rsidRDefault="00CB5E60" w:rsidP="00024F7C">
            <w:pPr>
              <w:pStyle w:val="TableText0"/>
              <w:jc w:val="right"/>
            </w:pPr>
            <w:r w:rsidRPr="004E025C">
              <w:t>$</w:t>
            </w:r>
            <w:r w:rsidR="00055457">
              <w:rPr>
                <w:noProof/>
                <w:color w:val="000000"/>
                <w:highlight w:val="black"/>
              </w:rPr>
              <w:t>'''''''''''''''''''''''''</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G</w:t>
            </w:r>
          </w:p>
        </w:tc>
        <w:tc>
          <w:tcPr>
            <w:tcW w:w="1861" w:type="pct"/>
            <w:vAlign w:val="center"/>
          </w:tcPr>
          <w:p w:rsidR="00CB5E60" w:rsidRPr="004E025C" w:rsidRDefault="00CB5E60" w:rsidP="00024F7C">
            <w:pPr>
              <w:pStyle w:val="TableText0"/>
              <w:rPr>
                <w:szCs w:val="20"/>
              </w:rPr>
            </w:pPr>
            <w:r w:rsidRPr="004E025C">
              <w:rPr>
                <w:szCs w:val="20"/>
              </w:rPr>
              <w:t>Difference in cost over two-years</w:t>
            </w:r>
          </w:p>
          <w:p w:rsidR="00CB5E60" w:rsidRPr="004E025C" w:rsidRDefault="00CB5E60" w:rsidP="00024F7C">
            <w:pPr>
              <w:pStyle w:val="TableText0"/>
              <w:rPr>
                <w:szCs w:val="20"/>
              </w:rPr>
            </w:pPr>
            <w:r w:rsidRPr="004E025C">
              <w:rPr>
                <w:szCs w:val="20"/>
              </w:rPr>
              <w:t>Revised</w:t>
            </w:r>
          </w:p>
        </w:tc>
        <w:tc>
          <w:tcPr>
            <w:tcW w:w="2566" w:type="pct"/>
            <w:gridSpan w:val="2"/>
            <w:shd w:val="clear" w:color="auto" w:fill="auto"/>
            <w:vAlign w:val="bottom"/>
          </w:tcPr>
          <w:p w:rsidR="00CB5E60" w:rsidRPr="004E025C" w:rsidRDefault="001604E8" w:rsidP="00024F7C">
            <w:pPr>
              <w:pStyle w:val="TableText0"/>
              <w:jc w:val="center"/>
              <w:rPr>
                <w:szCs w:val="20"/>
              </w:rPr>
            </w:pPr>
            <w:r w:rsidRPr="004E025C">
              <w:rPr>
                <w:szCs w:val="20"/>
              </w:rPr>
              <w:t>Equal cost</w:t>
            </w:r>
          </w:p>
          <w:p w:rsidR="00CB5E60" w:rsidRPr="004E025C" w:rsidRDefault="00621C90" w:rsidP="00024F7C">
            <w:pPr>
              <w:pStyle w:val="TableText0"/>
              <w:jc w:val="center"/>
            </w:pPr>
            <w:r w:rsidRPr="004E025C">
              <w:rPr>
                <w:szCs w:val="20"/>
              </w:rPr>
              <w:t>VDZ SC</w:t>
            </w:r>
            <w:r w:rsidR="00CB5E60" w:rsidRPr="004E025C">
              <w:rPr>
                <w:szCs w:val="20"/>
              </w:rPr>
              <w:t xml:space="preserve"> is $</w:t>
            </w:r>
            <w:r w:rsidR="00055457">
              <w:rPr>
                <w:noProof/>
                <w:color w:val="000000"/>
                <w:szCs w:val="20"/>
                <w:highlight w:val="black"/>
              </w:rPr>
              <w:t>''''''''''''''''</w:t>
            </w:r>
            <w:r w:rsidR="00CB5E60" w:rsidRPr="004E025C">
              <w:rPr>
                <w:szCs w:val="20"/>
              </w:rPr>
              <w:t xml:space="preserve"> more costly</w:t>
            </w:r>
          </w:p>
        </w:tc>
      </w:tr>
    </w:tbl>
    <w:p w:rsidR="00CB5E60" w:rsidRPr="004E025C" w:rsidRDefault="00CB5E60" w:rsidP="00CB5E60">
      <w:pPr>
        <w:pStyle w:val="TableFootnotes"/>
        <w:rPr>
          <w:rFonts w:ascii="Arial Narrow" w:hAnsi="Arial Narrow"/>
        </w:rPr>
      </w:pPr>
      <w:r w:rsidRPr="004E025C">
        <w:rPr>
          <w:rFonts w:ascii="Arial Narrow" w:hAnsi="Arial Narrow"/>
          <w:szCs w:val="18"/>
        </w:rPr>
        <w:t xml:space="preserve">Source: </w:t>
      </w:r>
      <w:r w:rsidRPr="004E025C">
        <w:rPr>
          <w:rFonts w:ascii="Arial Narrow" w:hAnsi="Arial Narrow"/>
        </w:rPr>
        <w:t xml:space="preserve">Compiled during evaluation based on information presented in </w:t>
      </w:r>
      <w:r w:rsidRPr="004E025C">
        <w:rPr>
          <w:rFonts w:ascii="Arial Narrow" w:hAnsi="Arial Narrow"/>
          <w:szCs w:val="18"/>
        </w:rPr>
        <w:t>Tables 3.4.1 -3.4.3, pp124-</w:t>
      </w:r>
      <w:r w:rsidRPr="004E025C">
        <w:rPr>
          <w:rFonts w:ascii="Arial Narrow" w:hAnsi="Arial Narrow"/>
        </w:rPr>
        <w:t>125 and Table 3.4.5, p 126 of the submission.</w:t>
      </w:r>
    </w:p>
    <w:p w:rsidR="00CB5E60" w:rsidRPr="004E025C" w:rsidRDefault="00CB5E60" w:rsidP="00CB5E60">
      <w:pPr>
        <w:pStyle w:val="TableFootnotes"/>
        <w:rPr>
          <w:rFonts w:ascii="Arial Narrow" w:hAnsi="Arial Narrow"/>
          <w:szCs w:val="18"/>
        </w:rPr>
      </w:pPr>
      <w:r w:rsidRPr="004E025C">
        <w:rPr>
          <w:rFonts w:ascii="Arial Narrow" w:hAnsi="Arial Narrow"/>
          <w:szCs w:val="18"/>
        </w:rPr>
        <w:t>MSUC = moderate to severe ulcerative colitis AEMP = approved ex-manufacturers price, SPA = special pricing arrangement SC = subcutaneous IV = intravenous</w:t>
      </w:r>
      <w:r w:rsidR="00842599" w:rsidRPr="004E025C">
        <w:rPr>
          <w:rFonts w:ascii="Arial Narrow" w:hAnsi="Arial Narrow"/>
          <w:szCs w:val="18"/>
        </w:rPr>
        <w:t xml:space="preserve">, </w:t>
      </w:r>
      <w:r w:rsidR="00842599" w:rsidRPr="004E025C">
        <w:rPr>
          <w:rFonts w:ascii="Arial Narrow" w:hAnsi="Arial Narrow"/>
        </w:rPr>
        <w:t>VDZ= vedolizumab</w:t>
      </w:r>
    </w:p>
    <w:p w:rsidR="00CB5E60" w:rsidRPr="004E025C" w:rsidRDefault="00CB5E60" w:rsidP="00CB5E60">
      <w:pPr>
        <w:pStyle w:val="TableFootnotes"/>
        <w:rPr>
          <w:rFonts w:ascii="Arial Narrow" w:hAnsi="Arial Narrow"/>
          <w:szCs w:val="18"/>
        </w:rPr>
      </w:pPr>
      <w:r w:rsidRPr="004E025C">
        <w:rPr>
          <w:rFonts w:ascii="Arial Narrow" w:hAnsi="Arial Narrow"/>
          <w:szCs w:val="18"/>
          <w:vertAlign w:val="superscript"/>
        </w:rPr>
        <w:t>a</w:t>
      </w:r>
      <w:r w:rsidRPr="004E025C">
        <w:rPr>
          <w:rFonts w:ascii="Arial Narrow" w:hAnsi="Arial Narrow"/>
          <w:szCs w:val="18"/>
        </w:rPr>
        <w:t xml:space="preserve"> Fee for MBS Item code 14245, source MBS online July 2020</w:t>
      </w:r>
    </w:p>
    <w:p w:rsidR="00CB5E60" w:rsidRPr="004E025C" w:rsidRDefault="00CB5E60" w:rsidP="00CB5E60">
      <w:pPr>
        <w:pStyle w:val="TableFootnotes"/>
        <w:rPr>
          <w:rFonts w:ascii="Arial Narrow" w:hAnsi="Arial Narrow"/>
          <w:szCs w:val="18"/>
          <w:vertAlign w:val="superscript"/>
        </w:rPr>
      </w:pPr>
      <w:r w:rsidRPr="004E025C">
        <w:rPr>
          <w:rFonts w:ascii="Arial Narrow" w:hAnsi="Arial Narrow"/>
          <w:szCs w:val="18"/>
          <w:vertAlign w:val="superscript"/>
        </w:rPr>
        <w:t>b</w:t>
      </w:r>
      <w:r w:rsidRPr="004E025C">
        <w:rPr>
          <w:rFonts w:ascii="Arial Narrow" w:hAnsi="Arial Narrow"/>
          <w:szCs w:val="18"/>
        </w:rPr>
        <w:t xml:space="preserve"> Fee for MBS item code 116, source MBS online July 2020</w:t>
      </w:r>
    </w:p>
    <w:p w:rsidR="00CB5E60" w:rsidRPr="004E025C" w:rsidRDefault="00CB5E60" w:rsidP="00CB5E60"/>
    <w:p w:rsidR="00B663D0" w:rsidRDefault="00B663D0">
      <w:pPr>
        <w:jc w:val="left"/>
        <w:rPr>
          <w:rFonts w:ascii="Arial Narrow" w:eastAsiaTheme="majorEastAsia" w:hAnsi="Arial Narrow" w:cstheme="majorBidi"/>
          <w:b/>
          <w:bCs/>
          <w:sz w:val="20"/>
        </w:rPr>
      </w:pPr>
      <w:r>
        <w:br w:type="page"/>
      </w:r>
    </w:p>
    <w:p w:rsidR="00CB5E60" w:rsidRPr="004E025C" w:rsidRDefault="00CB5E60" w:rsidP="00CB5E60">
      <w:pPr>
        <w:pStyle w:val="TableFigureHeading"/>
      </w:pPr>
      <w:r w:rsidRPr="004E025C">
        <w:t xml:space="preserve">Table </w:t>
      </w:r>
      <w:r w:rsidR="007E6865">
        <w:rPr>
          <w:noProof/>
        </w:rPr>
        <w:t>13</w:t>
      </w:r>
      <w:r w:rsidRPr="004E025C">
        <w:t xml:space="preserve">: Results of the cost-minimisation analysis for severe </w:t>
      </w:r>
      <w:r w:rsidR="00C56D7A" w:rsidRPr="004E025C">
        <w:t>CD</w:t>
      </w:r>
      <w:r w:rsidRPr="004E025C">
        <w:t xml:space="preserve"> maintenance treatment over two-year period at effective AEMP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3"/>
        <w:gridCol w:w="3499"/>
        <w:gridCol w:w="2242"/>
        <w:gridCol w:w="2243"/>
      </w:tblGrid>
      <w:tr w:rsidR="001604E8" w:rsidRPr="004E025C" w:rsidTr="00744320">
        <w:trPr>
          <w:trHeight w:val="1157"/>
          <w:tblHeader/>
        </w:trPr>
        <w:tc>
          <w:tcPr>
            <w:tcW w:w="573" w:type="pct"/>
            <w:shd w:val="clear" w:color="auto" w:fill="auto"/>
          </w:tcPr>
          <w:p w:rsidR="001604E8" w:rsidRPr="004E025C" w:rsidRDefault="001604E8" w:rsidP="001604E8">
            <w:pPr>
              <w:pStyle w:val="In-tableHeading"/>
              <w:rPr>
                <w:lang w:val="en-AU"/>
              </w:rPr>
            </w:pPr>
          </w:p>
        </w:tc>
        <w:tc>
          <w:tcPr>
            <w:tcW w:w="1940" w:type="pct"/>
          </w:tcPr>
          <w:p w:rsidR="001604E8" w:rsidRPr="004E025C" w:rsidRDefault="001604E8" w:rsidP="001604E8">
            <w:pPr>
              <w:pStyle w:val="In-tableHeading"/>
              <w:rPr>
                <w:lang w:val="en-AU"/>
              </w:rPr>
            </w:pPr>
            <w:r w:rsidRPr="004E025C">
              <w:rPr>
                <w:lang w:val="en-AU"/>
              </w:rPr>
              <w:t>Description</w:t>
            </w:r>
          </w:p>
        </w:tc>
        <w:tc>
          <w:tcPr>
            <w:tcW w:w="1243" w:type="pct"/>
            <w:shd w:val="clear" w:color="auto" w:fill="auto"/>
          </w:tcPr>
          <w:p w:rsidR="001604E8" w:rsidRPr="004E025C" w:rsidRDefault="00EF783B" w:rsidP="001604E8">
            <w:pPr>
              <w:pStyle w:val="In-tableHeading"/>
              <w:rPr>
                <w:lang w:val="en-AU"/>
              </w:rPr>
            </w:pPr>
            <w:r w:rsidRPr="004E025C">
              <w:rPr>
                <w:lang w:val="en-AU"/>
              </w:rPr>
              <w:t xml:space="preserve">VDZ </w:t>
            </w:r>
            <w:r w:rsidR="001604E8" w:rsidRPr="004E025C">
              <w:rPr>
                <w:lang w:val="en-AU"/>
              </w:rPr>
              <w:t>SC</w:t>
            </w:r>
            <w:r w:rsidR="001604E8" w:rsidRPr="004E025C">
              <w:rPr>
                <w:lang w:val="en-AU"/>
              </w:rPr>
              <w:br/>
            </w:r>
            <w:r w:rsidR="001604E8" w:rsidRPr="004E025C">
              <w:rPr>
                <w:b w:val="0"/>
                <w:lang w:val="en-AU"/>
              </w:rPr>
              <w:t>(108 mg,  2 pre-filled syringes or pens/pack)</w:t>
            </w:r>
          </w:p>
        </w:tc>
        <w:tc>
          <w:tcPr>
            <w:tcW w:w="1244" w:type="pct"/>
          </w:tcPr>
          <w:p w:rsidR="001604E8" w:rsidRPr="004E025C" w:rsidRDefault="00EF783B" w:rsidP="001604E8">
            <w:pPr>
              <w:pStyle w:val="In-tableHeading"/>
              <w:rPr>
                <w:b w:val="0"/>
                <w:lang w:val="en-AU"/>
              </w:rPr>
            </w:pPr>
            <w:r w:rsidRPr="004E025C">
              <w:rPr>
                <w:lang w:val="en-AU"/>
              </w:rPr>
              <w:t xml:space="preserve">VDZ </w:t>
            </w:r>
            <w:r w:rsidR="001604E8" w:rsidRPr="004E025C">
              <w:rPr>
                <w:lang w:val="en-AU"/>
              </w:rPr>
              <w:t>IV</w:t>
            </w:r>
            <w:r w:rsidR="001604E8" w:rsidRPr="004E025C">
              <w:rPr>
                <w:lang w:val="en-AU"/>
              </w:rPr>
              <w:br/>
            </w:r>
            <w:r w:rsidR="001604E8" w:rsidRPr="004E025C">
              <w:rPr>
                <w:b w:val="0"/>
                <w:lang w:val="en-AU"/>
              </w:rPr>
              <w:t>(300 mg, 1 vial/pack)</w:t>
            </w:r>
          </w:p>
          <w:p w:rsidR="001604E8" w:rsidRPr="004E025C" w:rsidRDefault="001604E8" w:rsidP="001604E8">
            <w:pPr>
              <w:pStyle w:val="In-tableHeading"/>
              <w:rPr>
                <w:lang w:val="en-AU"/>
              </w:rPr>
            </w:pP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A</w:t>
            </w:r>
          </w:p>
        </w:tc>
        <w:tc>
          <w:tcPr>
            <w:tcW w:w="1940" w:type="pct"/>
            <w:vAlign w:val="center"/>
          </w:tcPr>
          <w:p w:rsidR="00CB5E60" w:rsidRPr="004E025C" w:rsidRDefault="00CB5E60" w:rsidP="00024F7C">
            <w:pPr>
              <w:keepNext/>
              <w:rPr>
                <w:rFonts w:ascii="Arial Narrow" w:hAnsi="Arial Narrow"/>
                <w:sz w:val="20"/>
                <w:szCs w:val="20"/>
              </w:rPr>
            </w:pPr>
            <w:r w:rsidRPr="004E025C">
              <w:rPr>
                <w:rFonts w:ascii="Arial Narrow" w:hAnsi="Arial Narrow"/>
                <w:sz w:val="20"/>
                <w:szCs w:val="20"/>
              </w:rPr>
              <w:t>Number of administrations over two-years</w:t>
            </w:r>
          </w:p>
          <w:p w:rsidR="00CB5E60" w:rsidRPr="004E025C" w:rsidRDefault="00CB5E60" w:rsidP="00024F7C">
            <w:pPr>
              <w:keepNext/>
              <w:rPr>
                <w:rFonts w:ascii="Arial Narrow" w:hAnsi="Arial Narrow"/>
                <w:sz w:val="20"/>
                <w:szCs w:val="20"/>
              </w:rPr>
            </w:pPr>
            <w:r w:rsidRPr="004E025C">
              <w:rPr>
                <w:rFonts w:ascii="Arial Narrow" w:hAnsi="Arial Narrow"/>
                <w:sz w:val="20"/>
                <w:szCs w:val="20"/>
              </w:rPr>
              <w:t>-Section 100 (Public &amp; Private)</w:t>
            </w:r>
          </w:p>
          <w:p w:rsidR="00CB5E60" w:rsidRPr="004E025C" w:rsidRDefault="00CB5E60" w:rsidP="00024F7C">
            <w:pPr>
              <w:pStyle w:val="TableText0"/>
            </w:pPr>
            <w:r w:rsidRPr="004E025C">
              <w:rPr>
                <w:szCs w:val="20"/>
              </w:rPr>
              <w:t>- Section 85</w:t>
            </w:r>
          </w:p>
        </w:tc>
        <w:tc>
          <w:tcPr>
            <w:tcW w:w="1243" w:type="pct"/>
            <w:shd w:val="clear" w:color="auto" w:fill="auto"/>
            <w:vAlign w:val="bottom"/>
          </w:tcPr>
          <w:p w:rsidR="00CB5E60" w:rsidRPr="004E025C" w:rsidRDefault="00CB5E60" w:rsidP="00024F7C">
            <w:pPr>
              <w:keepNext/>
              <w:jc w:val="center"/>
              <w:rPr>
                <w:rFonts w:ascii="Arial Narrow" w:hAnsi="Arial Narrow"/>
                <w:sz w:val="20"/>
                <w:szCs w:val="20"/>
              </w:rPr>
            </w:pPr>
          </w:p>
          <w:p w:rsidR="00CB5E60" w:rsidRPr="004E025C" w:rsidRDefault="00CB5E60" w:rsidP="00024F7C">
            <w:pPr>
              <w:keepNext/>
              <w:jc w:val="center"/>
              <w:rPr>
                <w:rFonts w:ascii="Arial Narrow" w:hAnsi="Arial Narrow"/>
                <w:sz w:val="20"/>
                <w:szCs w:val="20"/>
              </w:rPr>
            </w:pPr>
            <w:r w:rsidRPr="004E025C">
              <w:rPr>
                <w:rFonts w:ascii="Arial Narrow" w:hAnsi="Arial Narrow"/>
                <w:sz w:val="20"/>
                <w:szCs w:val="20"/>
              </w:rPr>
              <w:t>-</w:t>
            </w:r>
          </w:p>
          <w:p w:rsidR="00CB5E60" w:rsidRPr="004E025C" w:rsidRDefault="00CB5E60" w:rsidP="00024F7C">
            <w:pPr>
              <w:pStyle w:val="TableText0"/>
              <w:jc w:val="center"/>
            </w:pPr>
            <w:r w:rsidRPr="004E025C">
              <w:rPr>
                <w:szCs w:val="20"/>
              </w:rPr>
              <w:t>52</w:t>
            </w:r>
          </w:p>
        </w:tc>
        <w:tc>
          <w:tcPr>
            <w:tcW w:w="1244" w:type="pct"/>
            <w:vAlign w:val="bottom"/>
          </w:tcPr>
          <w:p w:rsidR="00CB5E60" w:rsidRPr="004E025C" w:rsidRDefault="00CB5E60" w:rsidP="00024F7C">
            <w:pPr>
              <w:keepNext/>
              <w:jc w:val="center"/>
              <w:rPr>
                <w:rFonts w:ascii="Arial Narrow" w:hAnsi="Arial Narrow"/>
                <w:sz w:val="20"/>
                <w:szCs w:val="20"/>
              </w:rPr>
            </w:pPr>
          </w:p>
          <w:p w:rsidR="00CB5E60" w:rsidRPr="004E025C" w:rsidRDefault="00CB5E60" w:rsidP="00024F7C">
            <w:pPr>
              <w:keepNext/>
              <w:jc w:val="center"/>
              <w:rPr>
                <w:rFonts w:ascii="Arial Narrow" w:hAnsi="Arial Narrow"/>
                <w:sz w:val="20"/>
                <w:szCs w:val="20"/>
              </w:rPr>
            </w:pPr>
            <w:r w:rsidRPr="004E025C">
              <w:rPr>
                <w:rFonts w:ascii="Arial Narrow" w:hAnsi="Arial Narrow"/>
                <w:sz w:val="20"/>
                <w:szCs w:val="20"/>
              </w:rPr>
              <w:t>13</w:t>
            </w:r>
          </w:p>
          <w:p w:rsidR="00CB5E60" w:rsidRPr="004E025C" w:rsidRDefault="00CB5E60" w:rsidP="00024F7C">
            <w:pPr>
              <w:pStyle w:val="TableText0"/>
              <w:jc w:val="center"/>
            </w:pPr>
            <w:r w:rsidRPr="004E025C">
              <w:rPr>
                <w:szCs w:val="20"/>
              </w:rPr>
              <w:t>-</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B</w:t>
            </w:r>
          </w:p>
        </w:tc>
        <w:tc>
          <w:tcPr>
            <w:tcW w:w="1940" w:type="pct"/>
            <w:vAlign w:val="center"/>
          </w:tcPr>
          <w:p w:rsidR="00CB5E60" w:rsidRPr="004E025C" w:rsidRDefault="00CB5E60" w:rsidP="00024F7C">
            <w:pPr>
              <w:rPr>
                <w:rFonts w:ascii="Arial Narrow" w:hAnsi="Arial Narrow"/>
                <w:sz w:val="20"/>
                <w:szCs w:val="20"/>
              </w:rPr>
            </w:pPr>
            <w:r w:rsidRPr="004E025C">
              <w:rPr>
                <w:rFonts w:ascii="Arial Narrow" w:hAnsi="Arial Narrow"/>
                <w:sz w:val="20"/>
                <w:szCs w:val="20"/>
              </w:rPr>
              <w:t>Cost per dose (effective AEMP)</w:t>
            </w:r>
          </w:p>
          <w:p w:rsidR="00CB5E60" w:rsidRPr="004E025C" w:rsidRDefault="00CB5E60" w:rsidP="00024F7C">
            <w:pPr>
              <w:rPr>
                <w:rFonts w:ascii="Arial Narrow" w:hAnsi="Arial Narrow"/>
                <w:sz w:val="20"/>
                <w:szCs w:val="20"/>
              </w:rPr>
            </w:pPr>
            <w:r w:rsidRPr="004E025C">
              <w:rPr>
                <w:rFonts w:ascii="Arial Narrow" w:hAnsi="Arial Narrow"/>
                <w:sz w:val="20"/>
                <w:szCs w:val="20"/>
              </w:rPr>
              <w:t>- Public hospital</w:t>
            </w:r>
          </w:p>
          <w:p w:rsidR="00CB5E60" w:rsidRPr="004E025C" w:rsidRDefault="00CB5E60" w:rsidP="00024F7C">
            <w:pPr>
              <w:rPr>
                <w:rFonts w:ascii="Arial Narrow" w:hAnsi="Arial Narrow"/>
                <w:sz w:val="20"/>
                <w:szCs w:val="20"/>
              </w:rPr>
            </w:pPr>
            <w:r w:rsidRPr="004E025C">
              <w:rPr>
                <w:rFonts w:ascii="Arial Narrow" w:hAnsi="Arial Narrow"/>
                <w:sz w:val="20"/>
                <w:szCs w:val="20"/>
              </w:rPr>
              <w:t>- Private hospital</w:t>
            </w:r>
          </w:p>
          <w:p w:rsidR="00CB5E60" w:rsidRPr="004E025C" w:rsidRDefault="00CB5E60" w:rsidP="00024F7C">
            <w:pPr>
              <w:pStyle w:val="TableText0"/>
            </w:pPr>
            <w:r w:rsidRPr="004E025C">
              <w:rPr>
                <w:szCs w:val="20"/>
              </w:rPr>
              <w:t>- Section 85</w:t>
            </w:r>
          </w:p>
        </w:tc>
        <w:tc>
          <w:tcPr>
            <w:tcW w:w="1243" w:type="pct"/>
            <w:shd w:val="clear" w:color="auto" w:fill="auto"/>
            <w:vAlign w:val="bottom"/>
          </w:tcPr>
          <w:p w:rsidR="00CB5E60" w:rsidRPr="004E025C" w:rsidRDefault="00CB5E60" w:rsidP="00024F7C">
            <w:pPr>
              <w:jc w:val="right"/>
              <w:rPr>
                <w:rFonts w:ascii="Arial Narrow" w:hAnsi="Arial Narrow"/>
                <w:sz w:val="20"/>
                <w:szCs w:val="20"/>
              </w:rPr>
            </w:pPr>
          </w:p>
          <w:p w:rsidR="00CB5E60" w:rsidRPr="004E025C" w:rsidRDefault="00CB5E60" w:rsidP="00024F7C">
            <w:pPr>
              <w:jc w:val="right"/>
              <w:rPr>
                <w:rFonts w:ascii="Arial Narrow" w:hAnsi="Arial Narrow"/>
                <w:sz w:val="20"/>
                <w:szCs w:val="20"/>
              </w:rPr>
            </w:pPr>
            <w:r w:rsidRPr="004E025C">
              <w:rPr>
                <w:rFonts w:ascii="Arial Narrow" w:hAnsi="Arial Narrow"/>
                <w:sz w:val="20"/>
                <w:szCs w:val="20"/>
              </w:rPr>
              <w:t>-</w:t>
            </w:r>
          </w:p>
          <w:p w:rsidR="00CB5E60" w:rsidRPr="004E025C" w:rsidRDefault="00CB5E60" w:rsidP="00024F7C">
            <w:pPr>
              <w:jc w:val="right"/>
              <w:rPr>
                <w:rFonts w:ascii="Arial Narrow" w:hAnsi="Arial Narrow"/>
                <w:sz w:val="20"/>
                <w:szCs w:val="20"/>
              </w:rPr>
            </w:pPr>
            <w:r w:rsidRPr="004E025C">
              <w:rPr>
                <w:rFonts w:ascii="Arial Narrow" w:hAnsi="Arial Narrow"/>
                <w:sz w:val="20"/>
                <w:szCs w:val="20"/>
              </w:rPr>
              <w:t>-</w:t>
            </w:r>
          </w:p>
          <w:p w:rsidR="00CB5E60" w:rsidRPr="004E025C" w:rsidRDefault="00CB5E60" w:rsidP="00024F7C">
            <w:pPr>
              <w:pStyle w:val="TableText0"/>
              <w:jc w:val="right"/>
            </w:pPr>
            <w:r w:rsidRPr="004E025C">
              <w:rPr>
                <w:szCs w:val="20"/>
              </w:rPr>
              <w:t>$</w:t>
            </w:r>
            <w:r w:rsidR="00055457">
              <w:rPr>
                <w:noProof/>
                <w:color w:val="000000"/>
                <w:szCs w:val="20"/>
                <w:highlight w:val="black"/>
              </w:rPr>
              <w:t>'''''''''''''''''''''</w:t>
            </w:r>
            <w:r w:rsidRPr="004E025C">
              <w:rPr>
                <w:szCs w:val="20"/>
              </w:rPr>
              <w:t xml:space="preserve"> / 2 = $</w:t>
            </w:r>
            <w:r w:rsidR="00055457">
              <w:rPr>
                <w:noProof/>
                <w:color w:val="000000"/>
                <w:szCs w:val="20"/>
                <w:highlight w:val="black"/>
              </w:rPr>
              <w:t>'''''''''''''''</w:t>
            </w:r>
          </w:p>
        </w:tc>
        <w:tc>
          <w:tcPr>
            <w:tcW w:w="1244" w:type="pct"/>
            <w:vAlign w:val="bottom"/>
          </w:tcPr>
          <w:p w:rsidR="00CB5E60" w:rsidRPr="004E025C" w:rsidRDefault="00CB5E60" w:rsidP="00024F7C">
            <w:pPr>
              <w:jc w:val="right"/>
              <w:rPr>
                <w:rFonts w:ascii="Arial Narrow" w:hAnsi="Arial Narrow"/>
                <w:sz w:val="20"/>
                <w:szCs w:val="20"/>
              </w:rPr>
            </w:pPr>
            <w:r w:rsidRPr="004E025C">
              <w:rPr>
                <w:rFonts w:ascii="Arial Narrow" w:hAnsi="Arial Narrow"/>
                <w:sz w:val="20"/>
                <w:szCs w:val="20"/>
              </w:rPr>
              <w:t>$</w:t>
            </w:r>
            <w:r w:rsidR="00055457">
              <w:rPr>
                <w:rFonts w:ascii="Arial Narrow" w:hAnsi="Arial Narrow"/>
                <w:noProof/>
                <w:color w:val="000000"/>
                <w:sz w:val="20"/>
                <w:szCs w:val="20"/>
                <w:highlight w:val="black"/>
              </w:rPr>
              <w:t>'''''''''''''''''''''''</w:t>
            </w:r>
          </w:p>
          <w:p w:rsidR="00CB5E60" w:rsidRPr="004E025C" w:rsidRDefault="00CB5E60" w:rsidP="00024F7C">
            <w:pPr>
              <w:jc w:val="right"/>
              <w:rPr>
                <w:rFonts w:ascii="Arial Narrow" w:hAnsi="Arial Narrow"/>
                <w:sz w:val="20"/>
                <w:szCs w:val="20"/>
              </w:rPr>
            </w:pPr>
            <w:r w:rsidRPr="004E025C">
              <w:rPr>
                <w:rFonts w:ascii="Arial Narrow" w:hAnsi="Arial Narrow"/>
                <w:sz w:val="20"/>
                <w:szCs w:val="20"/>
              </w:rPr>
              <w:t>$</w:t>
            </w:r>
            <w:r w:rsidR="00055457">
              <w:rPr>
                <w:rFonts w:ascii="Arial Narrow" w:hAnsi="Arial Narrow"/>
                <w:noProof/>
                <w:color w:val="000000"/>
                <w:sz w:val="20"/>
                <w:szCs w:val="20"/>
                <w:highlight w:val="black"/>
              </w:rPr>
              <w:t>'''''''''''''''''''''</w:t>
            </w:r>
          </w:p>
          <w:p w:rsidR="00CB5E60" w:rsidRPr="004E025C" w:rsidRDefault="00CB5E60" w:rsidP="00024F7C">
            <w:pPr>
              <w:pStyle w:val="TableText0"/>
              <w:jc w:val="right"/>
            </w:pPr>
            <w:r w:rsidRPr="004E025C">
              <w:rPr>
                <w:szCs w:val="20"/>
              </w:rPr>
              <w:t>-</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C</w:t>
            </w:r>
          </w:p>
        </w:tc>
        <w:tc>
          <w:tcPr>
            <w:tcW w:w="1940" w:type="pct"/>
            <w:vAlign w:val="center"/>
          </w:tcPr>
          <w:p w:rsidR="00CB5E60" w:rsidRPr="004E025C" w:rsidRDefault="00CB5E60" w:rsidP="00024F7C">
            <w:pPr>
              <w:pStyle w:val="TableText0"/>
            </w:pPr>
            <w:r w:rsidRPr="004E025C">
              <w:rPr>
                <w:szCs w:val="20"/>
              </w:rPr>
              <w:t>Drug costs over two-years [A x B]</w:t>
            </w:r>
          </w:p>
        </w:tc>
        <w:tc>
          <w:tcPr>
            <w:tcW w:w="1243" w:type="pct"/>
            <w:shd w:val="clear" w:color="auto" w:fill="auto"/>
            <w:vAlign w:val="bottom"/>
          </w:tcPr>
          <w:p w:rsidR="00CB5E60" w:rsidRPr="004E025C" w:rsidRDefault="00CB5E60" w:rsidP="00024F7C">
            <w:pPr>
              <w:pStyle w:val="TableText0"/>
              <w:jc w:val="right"/>
            </w:pPr>
            <w:r w:rsidRPr="004E025C">
              <w:rPr>
                <w:szCs w:val="20"/>
              </w:rPr>
              <w:t>$</w:t>
            </w:r>
            <w:r w:rsidR="00055457">
              <w:rPr>
                <w:noProof/>
                <w:color w:val="000000"/>
                <w:szCs w:val="20"/>
                <w:highlight w:val="black"/>
              </w:rPr>
              <w:t>'''''''''''''''''''''''</w:t>
            </w:r>
          </w:p>
        </w:tc>
        <w:tc>
          <w:tcPr>
            <w:tcW w:w="1244" w:type="pct"/>
            <w:vAlign w:val="bottom"/>
          </w:tcPr>
          <w:p w:rsidR="00CB5E60" w:rsidRPr="004E025C" w:rsidRDefault="00CB5E60" w:rsidP="00024F7C">
            <w:pPr>
              <w:pStyle w:val="TableText0"/>
              <w:jc w:val="right"/>
            </w:pPr>
            <w:r w:rsidRPr="004E025C">
              <w:rPr>
                <w:szCs w:val="20"/>
              </w:rPr>
              <w:t>$</w:t>
            </w:r>
            <w:r w:rsidR="00055457">
              <w:rPr>
                <w:noProof/>
                <w:color w:val="000000"/>
                <w:szCs w:val="20"/>
                <w:highlight w:val="black"/>
              </w:rPr>
              <w:t>'''''''''''''''''''''</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D</w:t>
            </w:r>
          </w:p>
        </w:tc>
        <w:tc>
          <w:tcPr>
            <w:tcW w:w="1940" w:type="pct"/>
            <w:vAlign w:val="center"/>
          </w:tcPr>
          <w:p w:rsidR="00CB5E60" w:rsidRPr="004E025C" w:rsidRDefault="00CB5E60" w:rsidP="00024F7C">
            <w:pPr>
              <w:pStyle w:val="TableText0"/>
              <w:rPr>
                <w:szCs w:val="20"/>
              </w:rPr>
            </w:pPr>
            <w:r w:rsidRPr="004E025C">
              <w:rPr>
                <w:szCs w:val="20"/>
              </w:rPr>
              <w:t>Cost per administration (MBS 14245)</w:t>
            </w:r>
          </w:p>
          <w:p w:rsidR="00CB5E60" w:rsidRPr="004E025C" w:rsidRDefault="00CB5E60" w:rsidP="00024F7C">
            <w:pPr>
              <w:pStyle w:val="TableText0"/>
            </w:pPr>
            <w:r w:rsidRPr="004E025C">
              <w:rPr>
                <w:szCs w:val="20"/>
              </w:rPr>
              <w:t>Revised (MBS item 116)</w:t>
            </w:r>
          </w:p>
        </w:tc>
        <w:tc>
          <w:tcPr>
            <w:tcW w:w="1243" w:type="pct"/>
            <w:shd w:val="clear" w:color="auto" w:fill="auto"/>
            <w:vAlign w:val="bottom"/>
          </w:tcPr>
          <w:p w:rsidR="00CB5E60" w:rsidRPr="004E025C" w:rsidRDefault="00CB5E60" w:rsidP="00024F7C">
            <w:pPr>
              <w:pStyle w:val="TableText0"/>
              <w:jc w:val="right"/>
              <w:rPr>
                <w:szCs w:val="20"/>
              </w:rPr>
            </w:pPr>
            <w:r w:rsidRPr="004E025C">
              <w:rPr>
                <w:szCs w:val="20"/>
              </w:rPr>
              <w:t>$0.00</w:t>
            </w:r>
          </w:p>
          <w:p w:rsidR="00CB5E60" w:rsidRPr="004E025C" w:rsidRDefault="00CB5E60" w:rsidP="00024F7C">
            <w:pPr>
              <w:pStyle w:val="TableText0"/>
              <w:jc w:val="right"/>
            </w:pPr>
          </w:p>
        </w:tc>
        <w:tc>
          <w:tcPr>
            <w:tcW w:w="1244" w:type="pct"/>
            <w:vAlign w:val="bottom"/>
          </w:tcPr>
          <w:p w:rsidR="00CB5E60" w:rsidRPr="004E025C" w:rsidRDefault="00CB5E60" w:rsidP="00024F7C">
            <w:pPr>
              <w:pStyle w:val="TableText0"/>
              <w:jc w:val="right"/>
              <w:rPr>
                <w:szCs w:val="20"/>
                <w:vertAlign w:val="superscript"/>
              </w:rPr>
            </w:pPr>
            <w:r w:rsidRPr="004E025C">
              <w:rPr>
                <w:szCs w:val="20"/>
              </w:rPr>
              <w:t xml:space="preserve">$101.0 </w:t>
            </w:r>
            <w:r w:rsidRPr="004E025C">
              <w:rPr>
                <w:szCs w:val="20"/>
                <w:vertAlign w:val="superscript"/>
              </w:rPr>
              <w:t>a</w:t>
            </w:r>
          </w:p>
          <w:p w:rsidR="00CB5E60" w:rsidRPr="004E025C" w:rsidRDefault="00CB5E60" w:rsidP="00024F7C">
            <w:pPr>
              <w:pStyle w:val="TableText0"/>
              <w:jc w:val="right"/>
            </w:pPr>
            <w:r w:rsidRPr="004E025C">
              <w:t>$79.05</w:t>
            </w:r>
            <w:r w:rsidRPr="004E025C">
              <w:rPr>
                <w:szCs w:val="20"/>
                <w:vertAlign w:val="superscript"/>
              </w:rPr>
              <w:t>b</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E</w:t>
            </w:r>
          </w:p>
        </w:tc>
        <w:tc>
          <w:tcPr>
            <w:tcW w:w="1940" w:type="pct"/>
            <w:vAlign w:val="center"/>
          </w:tcPr>
          <w:p w:rsidR="00CB5E60" w:rsidRPr="004E025C" w:rsidRDefault="00CB5E60" w:rsidP="00024F7C">
            <w:pPr>
              <w:pStyle w:val="TableText0"/>
              <w:rPr>
                <w:szCs w:val="20"/>
              </w:rPr>
            </w:pPr>
            <w:r w:rsidRPr="004E025C">
              <w:rPr>
                <w:szCs w:val="20"/>
              </w:rPr>
              <w:t>Administration costs over two-years  [A x D]</w:t>
            </w:r>
          </w:p>
          <w:p w:rsidR="00CB5E60" w:rsidRPr="004E025C" w:rsidRDefault="00CB5E60" w:rsidP="00024F7C">
            <w:pPr>
              <w:pStyle w:val="TableText0"/>
            </w:pPr>
            <w:r w:rsidRPr="004E025C">
              <w:rPr>
                <w:szCs w:val="20"/>
              </w:rPr>
              <w:t>Revised</w:t>
            </w:r>
          </w:p>
        </w:tc>
        <w:tc>
          <w:tcPr>
            <w:tcW w:w="1243" w:type="pct"/>
            <w:shd w:val="clear" w:color="auto" w:fill="auto"/>
            <w:vAlign w:val="bottom"/>
          </w:tcPr>
          <w:p w:rsidR="00CB5E60" w:rsidRPr="004E025C" w:rsidRDefault="00CB5E60" w:rsidP="00024F7C">
            <w:pPr>
              <w:pStyle w:val="TableText0"/>
              <w:jc w:val="right"/>
              <w:rPr>
                <w:szCs w:val="20"/>
              </w:rPr>
            </w:pPr>
            <w:r w:rsidRPr="004E025C">
              <w:rPr>
                <w:szCs w:val="20"/>
              </w:rPr>
              <w:t>$0.00</w:t>
            </w:r>
          </w:p>
          <w:p w:rsidR="00CB5E60" w:rsidRPr="004E025C" w:rsidRDefault="00CB5E60" w:rsidP="00024F7C">
            <w:pPr>
              <w:pStyle w:val="TableText0"/>
              <w:jc w:val="right"/>
              <w:rPr>
                <w:szCs w:val="20"/>
              </w:rPr>
            </w:pPr>
          </w:p>
        </w:tc>
        <w:tc>
          <w:tcPr>
            <w:tcW w:w="1244" w:type="pct"/>
            <w:vAlign w:val="bottom"/>
          </w:tcPr>
          <w:p w:rsidR="00CB5E60" w:rsidRPr="004E025C" w:rsidRDefault="00CB5E60" w:rsidP="00024F7C">
            <w:pPr>
              <w:pStyle w:val="TableText0"/>
              <w:jc w:val="right"/>
              <w:rPr>
                <w:szCs w:val="20"/>
              </w:rPr>
            </w:pPr>
            <w:r w:rsidRPr="004E025C">
              <w:rPr>
                <w:szCs w:val="20"/>
              </w:rPr>
              <w:t>$1,313.00</w:t>
            </w:r>
          </w:p>
          <w:p w:rsidR="00CB5E60" w:rsidRPr="004E025C" w:rsidRDefault="00CB5E60" w:rsidP="00024F7C">
            <w:pPr>
              <w:pStyle w:val="TableText0"/>
              <w:jc w:val="right"/>
            </w:pPr>
            <w:r w:rsidRPr="004E025C">
              <w:rPr>
                <w:szCs w:val="20"/>
              </w:rPr>
              <w:t>$1,027.65</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F</w:t>
            </w:r>
          </w:p>
        </w:tc>
        <w:tc>
          <w:tcPr>
            <w:tcW w:w="1940" w:type="pct"/>
            <w:vAlign w:val="center"/>
          </w:tcPr>
          <w:p w:rsidR="00CB5E60" w:rsidRPr="004E025C" w:rsidRDefault="00CB5E60" w:rsidP="00024F7C">
            <w:pPr>
              <w:pStyle w:val="TableText0"/>
              <w:rPr>
                <w:szCs w:val="20"/>
              </w:rPr>
            </w:pPr>
            <w:r w:rsidRPr="004E025C">
              <w:rPr>
                <w:szCs w:val="20"/>
              </w:rPr>
              <w:t>Total Cost over two-years [C + E]</w:t>
            </w:r>
          </w:p>
          <w:p w:rsidR="00CB5E60" w:rsidRPr="004E025C" w:rsidRDefault="00CB5E60" w:rsidP="00024F7C">
            <w:pPr>
              <w:pStyle w:val="TableText0"/>
            </w:pPr>
            <w:r w:rsidRPr="004E025C">
              <w:rPr>
                <w:szCs w:val="20"/>
              </w:rPr>
              <w:t>Revised</w:t>
            </w:r>
          </w:p>
        </w:tc>
        <w:tc>
          <w:tcPr>
            <w:tcW w:w="1243" w:type="pct"/>
            <w:shd w:val="clear" w:color="auto" w:fill="auto"/>
            <w:vAlign w:val="bottom"/>
          </w:tcPr>
          <w:p w:rsidR="00CB5E60" w:rsidRPr="004E025C" w:rsidRDefault="00CB5E60" w:rsidP="00024F7C">
            <w:pPr>
              <w:pStyle w:val="TableText0"/>
              <w:jc w:val="right"/>
              <w:rPr>
                <w:szCs w:val="20"/>
              </w:rPr>
            </w:pPr>
            <w:r w:rsidRPr="004E025C">
              <w:rPr>
                <w:szCs w:val="20"/>
              </w:rPr>
              <w:t>$</w:t>
            </w:r>
            <w:r w:rsidR="00055457">
              <w:rPr>
                <w:noProof/>
                <w:color w:val="000000"/>
                <w:szCs w:val="20"/>
                <w:highlight w:val="black"/>
              </w:rPr>
              <w:t>'''''''''''''''''''''''</w:t>
            </w:r>
          </w:p>
          <w:p w:rsidR="00CB5E60" w:rsidRPr="004E025C" w:rsidRDefault="00CB5E60" w:rsidP="00024F7C">
            <w:pPr>
              <w:pStyle w:val="TableText0"/>
              <w:jc w:val="right"/>
            </w:pPr>
          </w:p>
        </w:tc>
        <w:tc>
          <w:tcPr>
            <w:tcW w:w="1244" w:type="pct"/>
            <w:vAlign w:val="bottom"/>
          </w:tcPr>
          <w:p w:rsidR="00CB5E60" w:rsidRPr="004E025C" w:rsidRDefault="00CB5E60" w:rsidP="00024F7C">
            <w:pPr>
              <w:pStyle w:val="TableText0"/>
              <w:jc w:val="right"/>
              <w:rPr>
                <w:szCs w:val="20"/>
              </w:rPr>
            </w:pPr>
            <w:r w:rsidRPr="004E025C">
              <w:rPr>
                <w:szCs w:val="20"/>
              </w:rPr>
              <w:t>$</w:t>
            </w:r>
            <w:r w:rsidR="00055457">
              <w:rPr>
                <w:noProof/>
                <w:color w:val="000000"/>
                <w:szCs w:val="20"/>
                <w:highlight w:val="black"/>
              </w:rPr>
              <w:t>'''''''''''''''''''''</w:t>
            </w:r>
          </w:p>
          <w:p w:rsidR="00CB5E60" w:rsidRPr="004E025C" w:rsidRDefault="00CB5E60" w:rsidP="00024F7C">
            <w:pPr>
              <w:pStyle w:val="TableText0"/>
              <w:jc w:val="right"/>
            </w:pPr>
            <w:r w:rsidRPr="004E025C">
              <w:t>$</w:t>
            </w:r>
            <w:r w:rsidR="00055457">
              <w:rPr>
                <w:noProof/>
                <w:color w:val="000000"/>
                <w:highlight w:val="black"/>
              </w:rPr>
              <w:t>'''''''''''''''''''''''''</w:t>
            </w:r>
          </w:p>
        </w:tc>
      </w:tr>
      <w:tr w:rsidR="00CB5E60" w:rsidRPr="004E025C" w:rsidTr="00024F7C">
        <w:tc>
          <w:tcPr>
            <w:tcW w:w="573" w:type="pct"/>
            <w:shd w:val="clear" w:color="auto" w:fill="auto"/>
          </w:tcPr>
          <w:p w:rsidR="00CB5E60" w:rsidRPr="004E025C" w:rsidRDefault="00CB5E60" w:rsidP="00024F7C">
            <w:pPr>
              <w:pStyle w:val="TableText0"/>
            </w:pPr>
            <w:r w:rsidRPr="004E025C">
              <w:rPr>
                <w:szCs w:val="20"/>
              </w:rPr>
              <w:t>G</w:t>
            </w:r>
          </w:p>
        </w:tc>
        <w:tc>
          <w:tcPr>
            <w:tcW w:w="1940" w:type="pct"/>
          </w:tcPr>
          <w:p w:rsidR="00CB5E60" w:rsidRPr="004E025C" w:rsidRDefault="00CB5E60" w:rsidP="00024F7C">
            <w:pPr>
              <w:pStyle w:val="TableText0"/>
              <w:rPr>
                <w:szCs w:val="20"/>
              </w:rPr>
            </w:pPr>
            <w:r w:rsidRPr="004E025C">
              <w:rPr>
                <w:szCs w:val="20"/>
              </w:rPr>
              <w:t>Difference in cost over two-years</w:t>
            </w:r>
          </w:p>
          <w:p w:rsidR="00CB5E60" w:rsidRPr="004E025C" w:rsidRDefault="00CB5E60" w:rsidP="00024F7C">
            <w:pPr>
              <w:pStyle w:val="TableText0"/>
            </w:pPr>
            <w:r w:rsidRPr="004E025C">
              <w:rPr>
                <w:szCs w:val="20"/>
              </w:rPr>
              <w:t>Revised</w:t>
            </w:r>
          </w:p>
        </w:tc>
        <w:tc>
          <w:tcPr>
            <w:tcW w:w="2487" w:type="pct"/>
            <w:gridSpan w:val="2"/>
            <w:shd w:val="clear" w:color="auto" w:fill="auto"/>
            <w:vAlign w:val="bottom"/>
          </w:tcPr>
          <w:p w:rsidR="00CB5E60" w:rsidRPr="004E025C" w:rsidRDefault="001604E8" w:rsidP="00024F7C">
            <w:pPr>
              <w:pStyle w:val="TableText0"/>
              <w:jc w:val="center"/>
              <w:rPr>
                <w:szCs w:val="20"/>
              </w:rPr>
            </w:pPr>
            <w:r w:rsidRPr="004E025C">
              <w:rPr>
                <w:szCs w:val="20"/>
              </w:rPr>
              <w:t>Equal cost</w:t>
            </w:r>
          </w:p>
          <w:p w:rsidR="00CB5E60" w:rsidRPr="004E025C" w:rsidRDefault="00621C90" w:rsidP="00024F7C">
            <w:pPr>
              <w:pStyle w:val="TableText0"/>
              <w:jc w:val="center"/>
            </w:pPr>
            <w:r w:rsidRPr="004E025C">
              <w:rPr>
                <w:szCs w:val="20"/>
              </w:rPr>
              <w:t>VDZ SC</w:t>
            </w:r>
            <w:r w:rsidR="00CB5E60" w:rsidRPr="004E025C">
              <w:rPr>
                <w:szCs w:val="20"/>
              </w:rPr>
              <w:t xml:space="preserve"> is $</w:t>
            </w:r>
            <w:r w:rsidR="00055457">
              <w:rPr>
                <w:noProof/>
                <w:color w:val="000000"/>
                <w:szCs w:val="20"/>
                <w:highlight w:val="black"/>
              </w:rPr>
              <w:t>'''''''''''''''''</w:t>
            </w:r>
            <w:r w:rsidR="00CB5E60" w:rsidRPr="004E025C">
              <w:rPr>
                <w:szCs w:val="20"/>
              </w:rPr>
              <w:t xml:space="preserve"> more costly</w:t>
            </w:r>
          </w:p>
        </w:tc>
      </w:tr>
    </w:tbl>
    <w:p w:rsidR="00CB5E60" w:rsidRPr="004E025C" w:rsidRDefault="00CB5E60" w:rsidP="00CB5E60">
      <w:pPr>
        <w:pStyle w:val="TableFootnotes"/>
        <w:rPr>
          <w:rFonts w:ascii="Arial Narrow" w:hAnsi="Arial Narrow"/>
        </w:rPr>
      </w:pPr>
      <w:r w:rsidRPr="004E025C">
        <w:rPr>
          <w:rFonts w:ascii="Arial Narrow" w:hAnsi="Arial Narrow"/>
          <w:szCs w:val="18"/>
        </w:rPr>
        <w:t xml:space="preserve">Source: </w:t>
      </w:r>
      <w:r w:rsidRPr="004E025C">
        <w:rPr>
          <w:rFonts w:ascii="Arial Narrow" w:hAnsi="Arial Narrow"/>
        </w:rPr>
        <w:t xml:space="preserve">Compiled during evaluation based on information presented in </w:t>
      </w:r>
      <w:r w:rsidRPr="004E025C">
        <w:rPr>
          <w:rFonts w:ascii="Arial Narrow" w:hAnsi="Arial Narrow"/>
          <w:szCs w:val="18"/>
        </w:rPr>
        <w:t>Tables 3.4.1 -3.4.3, pp124-</w:t>
      </w:r>
      <w:r w:rsidRPr="004E025C">
        <w:rPr>
          <w:rFonts w:ascii="Arial Narrow" w:hAnsi="Arial Narrow"/>
        </w:rPr>
        <w:t>125 and Table 3.4.5, p 126 of the submission.</w:t>
      </w:r>
    </w:p>
    <w:p w:rsidR="00CB5E60" w:rsidRPr="004E025C" w:rsidRDefault="00CB5E60" w:rsidP="00CB5E60">
      <w:pPr>
        <w:pStyle w:val="TableFootnotes"/>
        <w:rPr>
          <w:rFonts w:ascii="Arial Narrow" w:hAnsi="Arial Narrow"/>
          <w:szCs w:val="18"/>
        </w:rPr>
      </w:pPr>
      <w:r w:rsidRPr="004E025C">
        <w:rPr>
          <w:rFonts w:ascii="Arial Narrow" w:hAnsi="Arial Narrow"/>
          <w:szCs w:val="18"/>
        </w:rPr>
        <w:t>AEMP = approved ex-manufacturers price, SPA = special pricing arrangement SC = subcutaneous IV = intravenous</w:t>
      </w:r>
      <w:r w:rsidR="00842599" w:rsidRPr="004E025C">
        <w:rPr>
          <w:rFonts w:ascii="Arial Narrow" w:hAnsi="Arial Narrow"/>
          <w:szCs w:val="18"/>
        </w:rPr>
        <w:t xml:space="preserve">, </w:t>
      </w:r>
      <w:r w:rsidR="00842599" w:rsidRPr="004E025C">
        <w:rPr>
          <w:rFonts w:ascii="Arial Narrow" w:hAnsi="Arial Narrow"/>
        </w:rPr>
        <w:t>VDZ= vedolizumab</w:t>
      </w:r>
    </w:p>
    <w:p w:rsidR="00CB5E60" w:rsidRPr="004E025C" w:rsidRDefault="00CB5E60" w:rsidP="00CB5E60">
      <w:pPr>
        <w:pStyle w:val="TableFootnotes"/>
        <w:rPr>
          <w:rFonts w:ascii="Arial Narrow" w:hAnsi="Arial Narrow"/>
          <w:szCs w:val="18"/>
        </w:rPr>
      </w:pPr>
      <w:r w:rsidRPr="004E025C">
        <w:rPr>
          <w:rFonts w:ascii="Arial Narrow" w:hAnsi="Arial Narrow"/>
          <w:szCs w:val="18"/>
          <w:vertAlign w:val="superscript"/>
        </w:rPr>
        <w:t>a</w:t>
      </w:r>
      <w:r w:rsidRPr="004E025C">
        <w:rPr>
          <w:rFonts w:ascii="Arial Narrow" w:hAnsi="Arial Narrow"/>
          <w:szCs w:val="18"/>
        </w:rPr>
        <w:t xml:space="preserve"> Fee for MBS Item code 14245, source MBS online July 2020</w:t>
      </w:r>
    </w:p>
    <w:p w:rsidR="00CB5E60" w:rsidRPr="004E025C" w:rsidRDefault="00CB5E60" w:rsidP="00CB5E60">
      <w:pPr>
        <w:pStyle w:val="TableFootnotes"/>
        <w:rPr>
          <w:rFonts w:ascii="Arial Narrow" w:hAnsi="Arial Narrow"/>
          <w:szCs w:val="18"/>
        </w:rPr>
      </w:pPr>
      <w:r w:rsidRPr="004E025C">
        <w:rPr>
          <w:rFonts w:ascii="Arial Narrow" w:hAnsi="Arial Narrow"/>
          <w:szCs w:val="18"/>
          <w:vertAlign w:val="superscript"/>
        </w:rPr>
        <w:t>b</w:t>
      </w:r>
      <w:r w:rsidRPr="004E025C">
        <w:rPr>
          <w:rFonts w:ascii="Arial Narrow" w:hAnsi="Arial Narrow"/>
          <w:szCs w:val="18"/>
        </w:rPr>
        <w:t xml:space="preserve"> Fee for MBS item code 116, source MBS online July 2020</w:t>
      </w:r>
    </w:p>
    <w:p w:rsidR="00CB5E60" w:rsidRPr="004E025C" w:rsidRDefault="00CB5E60">
      <w:pPr>
        <w:jc w:val="left"/>
        <w:rPr>
          <w:rFonts w:asciiTheme="minorHAnsi" w:eastAsiaTheme="majorEastAsia" w:hAnsiTheme="minorHAnsi" w:cstheme="majorBidi"/>
          <w:b/>
          <w:spacing w:val="5"/>
          <w:kern w:val="28"/>
          <w:sz w:val="28"/>
          <w:szCs w:val="36"/>
        </w:rPr>
      </w:pPr>
    </w:p>
    <w:p w:rsidR="00B07B55" w:rsidRPr="004E025C" w:rsidRDefault="00B07B55" w:rsidP="003E51AD">
      <w:pPr>
        <w:pStyle w:val="3-BodyText"/>
        <w:rPr>
          <w:rFonts w:eastAsiaTheme="majorEastAsia"/>
        </w:rPr>
      </w:pPr>
      <w:r w:rsidRPr="004E025C">
        <w:t xml:space="preserve">The analysis </w:t>
      </w:r>
      <w:r w:rsidRPr="004E025C">
        <w:rPr>
          <w:iCs/>
        </w:rPr>
        <w:t xml:space="preserve">inappropriately </w:t>
      </w:r>
      <w:r w:rsidRPr="004E025C">
        <w:t xml:space="preserve">assumed there is no administration cost for VDZ SC because all patients will self-inject. </w:t>
      </w:r>
      <w:r w:rsidRPr="004E025C">
        <w:rPr>
          <w:iCs/>
        </w:rPr>
        <w:t>T</w:t>
      </w:r>
      <w:r w:rsidRPr="004E025C">
        <w:t>his assumption is not reasonable given a proportion of patients will be unable to self-inject and require assistance. The PBAC had previously accepted that 10% of patients require assistance with injections involving ‘a visit to a doctor’ (paragraph 10, golimumab PSD for RA, March 2010). The Sponsor argued in the pre-PBAC response that while including doctor assistance in the CMA for golimumab may be appropriate, as it is only available as a SC injection, it is not required for VDZ SC, as patients and clinicians will have the flexibility to choose IV or SC administration, as is most appropriate for the patient. Nevertheless, the PBAC considered that it is reasonable to assume 10% of patients will require assistance and that this cost should be included in the CMA.</w:t>
      </w:r>
    </w:p>
    <w:p w:rsidR="003E51AD" w:rsidRPr="004E025C" w:rsidRDefault="003E51AD" w:rsidP="003E51AD">
      <w:pPr>
        <w:pStyle w:val="3-BodyText"/>
        <w:rPr>
          <w:rFonts w:eastAsiaTheme="majorEastAsia"/>
        </w:rPr>
      </w:pPr>
      <w:r w:rsidRPr="004E025C">
        <w:t>The submission cost-minimised the VDZ SC using the indication-specific effective approved ex-manufacturer price (AEMP) for VDZ IV.</w:t>
      </w:r>
      <w:r w:rsidR="00197A01" w:rsidRPr="004E025C">
        <w:t xml:space="preserve"> Given the IV formulation is dispensed through S100 and the SC formulation will be dispensed through S85, the PBAC noted that the incremental cost of VDZ SC is driven by the more frequent administration of S85 items.</w:t>
      </w:r>
      <w:r w:rsidRPr="004E025C">
        <w:t xml:space="preserve"> </w:t>
      </w:r>
    </w:p>
    <w:p w:rsidR="0073472E" w:rsidRPr="004E025C" w:rsidRDefault="0073472E" w:rsidP="0073472E">
      <w:pPr>
        <w:pStyle w:val="4-SubsectionHeading"/>
      </w:pPr>
      <w:bookmarkStart w:id="34" w:name="_Toc51141274"/>
      <w:r w:rsidRPr="004E025C">
        <w:t>Drug cost/patient/2-year</w:t>
      </w:r>
      <w:r w:rsidR="0002510B" w:rsidRPr="004E025C">
        <w:t xml:space="preserve">s </w:t>
      </w:r>
      <w:r w:rsidR="00DE3410" w:rsidRPr="004E025C">
        <w:t>for MSUC maintenance treatment</w:t>
      </w:r>
      <w:bookmarkEnd w:id="34"/>
    </w:p>
    <w:p w:rsidR="0073472E" w:rsidRPr="004E025C" w:rsidRDefault="0073472E" w:rsidP="0073472E">
      <w:pPr>
        <w:pStyle w:val="3-BodyText"/>
        <w:numPr>
          <w:ilvl w:val="1"/>
          <w:numId w:val="1"/>
        </w:numPr>
        <w:rPr>
          <w:snapToGrid/>
        </w:rPr>
      </w:pPr>
      <w:r w:rsidRPr="004E025C">
        <w:t xml:space="preserve">The expected cost per patient of </w:t>
      </w:r>
      <w:r w:rsidR="00621C90" w:rsidRPr="004E025C">
        <w:t>VDZ SC</w:t>
      </w:r>
      <w:r w:rsidRPr="004E025C">
        <w:t xml:space="preserve"> over two-year period, as estimated in the submission was $</w:t>
      </w:r>
      <w:r w:rsidR="00055457">
        <w:rPr>
          <w:noProof/>
          <w:color w:val="000000"/>
          <w:highlight w:val="black"/>
        </w:rPr>
        <w:t>''''''''''''''''''</w:t>
      </w:r>
      <w:r w:rsidRPr="004E025C">
        <w:t xml:space="preserve"> for MSUC treatment. This was</w:t>
      </w:r>
      <w:r w:rsidR="0002510B" w:rsidRPr="004E025C">
        <w:t xml:space="preserve"> based on a proposed indication-</w:t>
      </w:r>
      <w:r w:rsidRPr="004E025C">
        <w:t xml:space="preserve">specific </w:t>
      </w:r>
      <w:r w:rsidR="009E30F2">
        <w:t xml:space="preserve">approved </w:t>
      </w:r>
      <w:r w:rsidRPr="004E025C">
        <w:t>effective ex-manufacturer price (</w:t>
      </w:r>
      <w:r w:rsidR="00410378">
        <w:t>A</w:t>
      </w:r>
      <w:r w:rsidRPr="004E025C">
        <w:t xml:space="preserve">EMP). When cost per patient over 2 years is calculated </w:t>
      </w:r>
      <w:r w:rsidR="0002510B" w:rsidRPr="004E025C">
        <w:t>on the basis of</w:t>
      </w:r>
      <w:r w:rsidRPr="004E025C">
        <w:t xml:space="preserve"> the proposed dispensed price, expected cost is</w:t>
      </w:r>
      <w:r w:rsidR="0002510B" w:rsidRPr="004E025C">
        <w:t xml:space="preserve"> $</w:t>
      </w:r>
      <w:r w:rsidR="00055457">
        <w:rPr>
          <w:noProof/>
          <w:color w:val="000000"/>
          <w:highlight w:val="black"/>
        </w:rPr>
        <w:t>'''''''''''''''''''''</w:t>
      </w:r>
      <w:r w:rsidR="0002510B" w:rsidRPr="004E025C">
        <w:t xml:space="preserve">. </w:t>
      </w:r>
    </w:p>
    <w:p w:rsidR="0073472E" w:rsidRPr="004E025C" w:rsidRDefault="0073472E" w:rsidP="0073472E">
      <w:pPr>
        <w:pStyle w:val="TableFigureHeading"/>
      </w:pPr>
      <w:r w:rsidRPr="004E025C">
        <w:t xml:space="preserve">Table </w:t>
      </w:r>
      <w:r w:rsidR="007E6865">
        <w:rPr>
          <w:noProof/>
        </w:rPr>
        <w:t>14</w:t>
      </w:r>
      <w:r w:rsidRPr="004E025C">
        <w:t xml:space="preserve">: Drug cost per patient for </w:t>
      </w:r>
      <w:r w:rsidR="00621C90" w:rsidRPr="004E025C">
        <w:t>VDZ SC</w:t>
      </w:r>
      <w:r w:rsidRPr="004E025C">
        <w:t xml:space="preserve"> and </w:t>
      </w:r>
      <w:r w:rsidR="00621C90" w:rsidRPr="004E025C">
        <w:t>VDZ IV</w:t>
      </w:r>
      <w:r w:rsidRPr="004E025C">
        <w:t xml:space="preserve"> MSUC maintenance treatment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73472E" w:rsidRPr="004E025C" w:rsidTr="00322363">
        <w:trPr>
          <w:cantSplit/>
          <w:tblHeader/>
          <w:jc w:val="center"/>
        </w:trPr>
        <w:tc>
          <w:tcPr>
            <w:tcW w:w="815" w:type="pct"/>
            <w:shd w:val="clear" w:color="auto" w:fill="auto"/>
            <w:vAlign w:val="center"/>
          </w:tcPr>
          <w:p w:rsidR="0073472E" w:rsidRPr="004E025C" w:rsidRDefault="0073472E" w:rsidP="00322363">
            <w:pPr>
              <w:pStyle w:val="In-tableHeading"/>
              <w:jc w:val="center"/>
              <w:rPr>
                <w:lang w:val="en-AU"/>
              </w:rPr>
            </w:pPr>
          </w:p>
        </w:tc>
        <w:tc>
          <w:tcPr>
            <w:tcW w:w="2091" w:type="pct"/>
            <w:gridSpan w:val="3"/>
            <w:shd w:val="clear" w:color="auto" w:fill="auto"/>
            <w:vAlign w:val="center"/>
          </w:tcPr>
          <w:p w:rsidR="0073472E" w:rsidRPr="004E025C" w:rsidRDefault="00621C90" w:rsidP="00322363">
            <w:pPr>
              <w:pStyle w:val="In-tableHeading"/>
              <w:jc w:val="center"/>
              <w:rPr>
                <w:lang w:val="en-AU"/>
              </w:rPr>
            </w:pPr>
            <w:r w:rsidRPr="004E025C">
              <w:rPr>
                <w:lang w:val="en-AU"/>
              </w:rPr>
              <w:t>VDZ SC</w:t>
            </w:r>
          </w:p>
        </w:tc>
        <w:tc>
          <w:tcPr>
            <w:tcW w:w="2094" w:type="pct"/>
            <w:gridSpan w:val="3"/>
            <w:shd w:val="clear" w:color="auto" w:fill="auto"/>
            <w:vAlign w:val="center"/>
          </w:tcPr>
          <w:p w:rsidR="0073472E" w:rsidRPr="004E025C" w:rsidRDefault="00621C90" w:rsidP="00322363">
            <w:pPr>
              <w:pStyle w:val="In-tableHeading"/>
              <w:jc w:val="center"/>
              <w:rPr>
                <w:lang w:val="en-AU"/>
              </w:rPr>
            </w:pPr>
            <w:r w:rsidRPr="004E025C">
              <w:rPr>
                <w:lang w:val="en-AU"/>
              </w:rPr>
              <w:t>VDZ IV</w:t>
            </w:r>
          </w:p>
        </w:tc>
      </w:tr>
      <w:tr w:rsidR="0073472E" w:rsidRPr="004E025C" w:rsidTr="00322363">
        <w:trPr>
          <w:cantSplit/>
          <w:tblHeader/>
          <w:jc w:val="center"/>
        </w:trPr>
        <w:tc>
          <w:tcPr>
            <w:tcW w:w="815" w:type="pct"/>
            <w:shd w:val="clear" w:color="auto" w:fill="auto"/>
            <w:vAlign w:val="center"/>
          </w:tcPr>
          <w:p w:rsidR="0073472E" w:rsidRPr="004E025C" w:rsidRDefault="0073472E" w:rsidP="00322363">
            <w:pPr>
              <w:pStyle w:val="In-tableHeading"/>
              <w:jc w:val="center"/>
              <w:rPr>
                <w:lang w:val="en-AU"/>
              </w:rPr>
            </w:pPr>
            <w:r w:rsidRPr="004E025C">
              <w:rPr>
                <w:lang w:val="en-AU"/>
              </w:rPr>
              <w:t>MSUC</w:t>
            </w:r>
          </w:p>
        </w:tc>
        <w:tc>
          <w:tcPr>
            <w:tcW w:w="697" w:type="pct"/>
            <w:shd w:val="clear" w:color="auto" w:fill="auto"/>
            <w:vAlign w:val="center"/>
          </w:tcPr>
          <w:p w:rsidR="0073472E" w:rsidRPr="004E025C" w:rsidRDefault="0073472E" w:rsidP="00322363">
            <w:pPr>
              <w:pStyle w:val="In-tableHeading"/>
              <w:jc w:val="center"/>
              <w:rPr>
                <w:lang w:val="en-AU"/>
              </w:rPr>
            </w:pPr>
            <w:r w:rsidRPr="004E025C">
              <w:rPr>
                <w:lang w:val="en-AU"/>
              </w:rPr>
              <w:t>Trial dose and duration</w:t>
            </w:r>
          </w:p>
        </w:tc>
        <w:tc>
          <w:tcPr>
            <w:tcW w:w="696" w:type="pct"/>
            <w:shd w:val="clear" w:color="auto" w:fill="auto"/>
            <w:vAlign w:val="center"/>
          </w:tcPr>
          <w:p w:rsidR="0073472E" w:rsidRPr="004E025C" w:rsidRDefault="0073472E" w:rsidP="00322363">
            <w:pPr>
              <w:pStyle w:val="In-tableHeading"/>
              <w:jc w:val="center"/>
              <w:rPr>
                <w:lang w:val="en-AU"/>
              </w:rPr>
            </w:pPr>
            <w:r w:rsidRPr="004E025C">
              <w:rPr>
                <w:lang w:val="en-AU"/>
              </w:rPr>
              <w:t>Cost minimization analysis</w:t>
            </w:r>
          </w:p>
        </w:tc>
        <w:tc>
          <w:tcPr>
            <w:tcW w:w="698" w:type="pct"/>
            <w:shd w:val="clear" w:color="auto" w:fill="auto"/>
            <w:vAlign w:val="center"/>
          </w:tcPr>
          <w:p w:rsidR="0073472E" w:rsidRPr="004E025C" w:rsidRDefault="0073472E" w:rsidP="00322363">
            <w:pPr>
              <w:pStyle w:val="In-tableHeading"/>
              <w:jc w:val="center"/>
              <w:rPr>
                <w:lang w:val="en-AU"/>
              </w:rPr>
            </w:pPr>
            <w:r w:rsidRPr="004E025C">
              <w:rPr>
                <w:lang w:val="en-AU"/>
              </w:rPr>
              <w:t>Financial estimates</w:t>
            </w:r>
            <w:r w:rsidR="00234E18" w:rsidRPr="004E025C">
              <w:rPr>
                <w:b w:val="0"/>
                <w:vertAlign w:val="superscript"/>
                <w:lang w:val="en-AU"/>
              </w:rPr>
              <w:t>a</w:t>
            </w:r>
            <w:r w:rsidRPr="004E025C">
              <w:rPr>
                <w:lang w:val="en-AU"/>
              </w:rPr>
              <w:t xml:space="preserve"> </w:t>
            </w:r>
          </w:p>
        </w:tc>
        <w:tc>
          <w:tcPr>
            <w:tcW w:w="696" w:type="pct"/>
            <w:shd w:val="clear" w:color="auto" w:fill="auto"/>
            <w:vAlign w:val="center"/>
          </w:tcPr>
          <w:p w:rsidR="0073472E" w:rsidRPr="004E025C" w:rsidRDefault="0073472E" w:rsidP="00322363">
            <w:pPr>
              <w:pStyle w:val="In-tableHeading"/>
              <w:jc w:val="center"/>
              <w:rPr>
                <w:lang w:val="en-AU"/>
              </w:rPr>
            </w:pPr>
            <w:r w:rsidRPr="004E025C">
              <w:rPr>
                <w:lang w:val="en-AU"/>
              </w:rPr>
              <w:t>Trial dose and duration</w:t>
            </w:r>
          </w:p>
        </w:tc>
        <w:tc>
          <w:tcPr>
            <w:tcW w:w="699" w:type="pct"/>
            <w:shd w:val="clear" w:color="auto" w:fill="auto"/>
            <w:vAlign w:val="center"/>
          </w:tcPr>
          <w:p w:rsidR="0073472E" w:rsidRPr="004E025C" w:rsidRDefault="0073472E" w:rsidP="00322363">
            <w:pPr>
              <w:pStyle w:val="In-tableHeading"/>
              <w:jc w:val="center"/>
              <w:rPr>
                <w:lang w:val="en-AU"/>
              </w:rPr>
            </w:pPr>
            <w:r w:rsidRPr="004E025C">
              <w:rPr>
                <w:lang w:val="en-AU"/>
              </w:rPr>
              <w:t>Cost minimization analysis</w:t>
            </w:r>
          </w:p>
        </w:tc>
        <w:tc>
          <w:tcPr>
            <w:tcW w:w="699" w:type="pct"/>
            <w:vAlign w:val="center"/>
          </w:tcPr>
          <w:p w:rsidR="0073472E" w:rsidRPr="004E025C" w:rsidRDefault="0073472E" w:rsidP="00322363">
            <w:pPr>
              <w:pStyle w:val="In-tableHeading"/>
              <w:jc w:val="center"/>
              <w:rPr>
                <w:lang w:val="en-AU"/>
              </w:rPr>
            </w:pPr>
            <w:r w:rsidRPr="004E025C">
              <w:rPr>
                <w:lang w:val="en-AU"/>
              </w:rPr>
              <w:t>Financial estimates</w:t>
            </w:r>
            <w:r w:rsidR="00234E18" w:rsidRPr="004E025C">
              <w:rPr>
                <w:b w:val="0"/>
                <w:vertAlign w:val="superscript"/>
                <w:lang w:val="en-AU"/>
              </w:rPr>
              <w:t>a</w:t>
            </w:r>
          </w:p>
        </w:tc>
      </w:tr>
      <w:tr w:rsidR="0073472E" w:rsidRPr="004E025C" w:rsidTr="00322363">
        <w:trPr>
          <w:cantSplit/>
          <w:jc w:val="center"/>
        </w:trPr>
        <w:tc>
          <w:tcPr>
            <w:tcW w:w="815" w:type="pct"/>
            <w:shd w:val="clear" w:color="auto" w:fill="auto"/>
            <w:vAlign w:val="center"/>
          </w:tcPr>
          <w:p w:rsidR="0073472E" w:rsidRPr="004E025C" w:rsidRDefault="0073472E" w:rsidP="00322363">
            <w:pPr>
              <w:pStyle w:val="TableText0"/>
            </w:pPr>
            <w:r w:rsidRPr="004E025C">
              <w:t>Mean dose</w:t>
            </w:r>
          </w:p>
        </w:tc>
        <w:tc>
          <w:tcPr>
            <w:tcW w:w="697" w:type="pct"/>
            <w:shd w:val="clear" w:color="auto" w:fill="auto"/>
            <w:vAlign w:val="center"/>
          </w:tcPr>
          <w:p w:rsidR="0073472E" w:rsidRPr="004E025C" w:rsidRDefault="0073472E" w:rsidP="00322363">
            <w:pPr>
              <w:pStyle w:val="TableText0"/>
            </w:pPr>
            <w:r w:rsidRPr="004E025C">
              <w:t>108 mg Q2W</w:t>
            </w:r>
          </w:p>
        </w:tc>
        <w:tc>
          <w:tcPr>
            <w:tcW w:w="696" w:type="pct"/>
            <w:shd w:val="clear" w:color="auto" w:fill="auto"/>
            <w:vAlign w:val="center"/>
          </w:tcPr>
          <w:p w:rsidR="0073472E" w:rsidRPr="004E025C" w:rsidRDefault="0073472E" w:rsidP="00322363">
            <w:pPr>
              <w:pStyle w:val="TableText0"/>
            </w:pPr>
            <w:r w:rsidRPr="004E025C">
              <w:t>As in the trials</w:t>
            </w:r>
          </w:p>
        </w:tc>
        <w:tc>
          <w:tcPr>
            <w:tcW w:w="698" w:type="pct"/>
            <w:shd w:val="clear" w:color="auto" w:fill="auto"/>
            <w:vAlign w:val="center"/>
          </w:tcPr>
          <w:p w:rsidR="0073472E" w:rsidRPr="004E025C" w:rsidRDefault="0073472E" w:rsidP="00322363">
            <w:pPr>
              <w:pStyle w:val="TableText0"/>
            </w:pPr>
            <w:r w:rsidRPr="004E025C">
              <w:t>As in the trials</w:t>
            </w:r>
          </w:p>
        </w:tc>
        <w:tc>
          <w:tcPr>
            <w:tcW w:w="696" w:type="pct"/>
            <w:shd w:val="clear" w:color="auto" w:fill="auto"/>
            <w:vAlign w:val="center"/>
          </w:tcPr>
          <w:p w:rsidR="0073472E" w:rsidRPr="004E025C" w:rsidRDefault="0073472E" w:rsidP="00322363">
            <w:pPr>
              <w:pStyle w:val="TableText0"/>
            </w:pPr>
            <w:r w:rsidRPr="004E025C">
              <w:t>300 mg Q8W</w:t>
            </w:r>
          </w:p>
        </w:tc>
        <w:tc>
          <w:tcPr>
            <w:tcW w:w="699" w:type="pct"/>
            <w:shd w:val="clear" w:color="auto" w:fill="auto"/>
            <w:vAlign w:val="center"/>
          </w:tcPr>
          <w:p w:rsidR="0073472E" w:rsidRPr="004E025C" w:rsidRDefault="0073472E" w:rsidP="00322363">
            <w:pPr>
              <w:pStyle w:val="TableText0"/>
            </w:pPr>
            <w:r w:rsidRPr="004E025C">
              <w:t>As in the trials</w:t>
            </w:r>
          </w:p>
        </w:tc>
        <w:tc>
          <w:tcPr>
            <w:tcW w:w="699" w:type="pct"/>
          </w:tcPr>
          <w:p w:rsidR="0073472E" w:rsidRPr="004E025C" w:rsidRDefault="0073472E" w:rsidP="00322363">
            <w:pPr>
              <w:pStyle w:val="TableText0"/>
            </w:pPr>
            <w:r w:rsidRPr="004E025C">
              <w:t>As in the trials</w:t>
            </w:r>
          </w:p>
        </w:tc>
      </w:tr>
      <w:tr w:rsidR="0073472E" w:rsidRPr="004E025C" w:rsidTr="00322363">
        <w:trPr>
          <w:cantSplit/>
          <w:jc w:val="center"/>
        </w:trPr>
        <w:tc>
          <w:tcPr>
            <w:tcW w:w="815" w:type="pct"/>
            <w:shd w:val="clear" w:color="auto" w:fill="auto"/>
            <w:vAlign w:val="center"/>
          </w:tcPr>
          <w:p w:rsidR="0073472E" w:rsidRPr="004E025C" w:rsidRDefault="0073472E" w:rsidP="00322363">
            <w:pPr>
              <w:pStyle w:val="TableText0"/>
            </w:pPr>
            <w:r w:rsidRPr="004E025C">
              <w:t>Mean duration</w:t>
            </w:r>
          </w:p>
        </w:tc>
        <w:tc>
          <w:tcPr>
            <w:tcW w:w="697" w:type="pct"/>
            <w:shd w:val="clear" w:color="auto" w:fill="auto"/>
            <w:vAlign w:val="center"/>
          </w:tcPr>
          <w:p w:rsidR="0073472E" w:rsidRPr="004E025C" w:rsidRDefault="0073472E" w:rsidP="00322363">
            <w:pPr>
              <w:pStyle w:val="TableText0"/>
            </w:pPr>
            <w:r w:rsidRPr="004E025C">
              <w:t>52 weeks</w:t>
            </w:r>
          </w:p>
        </w:tc>
        <w:tc>
          <w:tcPr>
            <w:tcW w:w="696" w:type="pct"/>
            <w:shd w:val="clear" w:color="auto" w:fill="auto"/>
            <w:vAlign w:val="center"/>
          </w:tcPr>
          <w:p w:rsidR="0073472E" w:rsidRPr="004E025C" w:rsidRDefault="0073472E" w:rsidP="00322363">
            <w:pPr>
              <w:pStyle w:val="TableText0"/>
            </w:pPr>
            <w:r w:rsidRPr="004E025C">
              <w:t>2 years</w:t>
            </w:r>
          </w:p>
        </w:tc>
        <w:tc>
          <w:tcPr>
            <w:tcW w:w="698" w:type="pct"/>
            <w:shd w:val="clear" w:color="auto" w:fill="auto"/>
            <w:vAlign w:val="center"/>
          </w:tcPr>
          <w:p w:rsidR="0073472E" w:rsidRPr="004E025C" w:rsidRDefault="0073472E" w:rsidP="00322363">
            <w:pPr>
              <w:pStyle w:val="TableText0"/>
            </w:pPr>
            <w:r w:rsidRPr="004E025C">
              <w:t>Not estimated</w:t>
            </w:r>
          </w:p>
        </w:tc>
        <w:tc>
          <w:tcPr>
            <w:tcW w:w="696" w:type="pct"/>
            <w:shd w:val="clear" w:color="auto" w:fill="auto"/>
            <w:vAlign w:val="center"/>
          </w:tcPr>
          <w:p w:rsidR="0073472E" w:rsidRPr="004E025C" w:rsidRDefault="0073472E" w:rsidP="00322363">
            <w:pPr>
              <w:pStyle w:val="TableText0"/>
            </w:pPr>
            <w:r w:rsidRPr="004E025C">
              <w:t>52 weeks</w:t>
            </w:r>
          </w:p>
        </w:tc>
        <w:tc>
          <w:tcPr>
            <w:tcW w:w="699" w:type="pct"/>
            <w:shd w:val="clear" w:color="auto" w:fill="auto"/>
            <w:vAlign w:val="center"/>
          </w:tcPr>
          <w:p w:rsidR="0073472E" w:rsidRPr="004E025C" w:rsidRDefault="0073472E" w:rsidP="00322363">
            <w:pPr>
              <w:pStyle w:val="TableText0"/>
            </w:pPr>
            <w:r w:rsidRPr="004E025C">
              <w:t>2 years</w:t>
            </w:r>
          </w:p>
        </w:tc>
        <w:tc>
          <w:tcPr>
            <w:tcW w:w="699" w:type="pct"/>
          </w:tcPr>
          <w:p w:rsidR="0073472E" w:rsidRPr="004E025C" w:rsidRDefault="0073472E" w:rsidP="00322363">
            <w:pPr>
              <w:pStyle w:val="TableText0"/>
            </w:pPr>
            <w:r w:rsidRPr="004E025C">
              <w:t>Not estimated</w:t>
            </w:r>
          </w:p>
        </w:tc>
      </w:tr>
      <w:tr w:rsidR="0073472E" w:rsidRPr="004E025C" w:rsidTr="00322363">
        <w:trPr>
          <w:cantSplit/>
          <w:jc w:val="center"/>
        </w:trPr>
        <w:tc>
          <w:tcPr>
            <w:tcW w:w="5000" w:type="pct"/>
            <w:gridSpan w:val="7"/>
            <w:shd w:val="clear" w:color="auto" w:fill="auto"/>
            <w:vAlign w:val="center"/>
          </w:tcPr>
          <w:p w:rsidR="0073472E" w:rsidRPr="004E025C" w:rsidRDefault="00447285" w:rsidP="00322363">
            <w:pPr>
              <w:pStyle w:val="TableText0"/>
            </w:pPr>
            <w:r w:rsidRPr="004E025C">
              <w:t>Cost/patient/ 2-years</w:t>
            </w:r>
          </w:p>
        </w:tc>
      </w:tr>
      <w:tr w:rsidR="0073472E" w:rsidRPr="006C5BB9" w:rsidTr="00322363">
        <w:trPr>
          <w:cantSplit/>
          <w:jc w:val="center"/>
        </w:trPr>
        <w:tc>
          <w:tcPr>
            <w:tcW w:w="815" w:type="pct"/>
            <w:shd w:val="clear" w:color="auto" w:fill="auto"/>
            <w:vAlign w:val="center"/>
          </w:tcPr>
          <w:p w:rsidR="0073472E" w:rsidRPr="006C5BB9" w:rsidRDefault="0073472E" w:rsidP="00322363">
            <w:pPr>
              <w:pStyle w:val="TableText0"/>
            </w:pPr>
            <w:r w:rsidRPr="006C5BB9">
              <w:t>Effective AEMP</w:t>
            </w:r>
          </w:p>
        </w:tc>
        <w:tc>
          <w:tcPr>
            <w:tcW w:w="697" w:type="pct"/>
            <w:shd w:val="clear" w:color="auto" w:fill="auto"/>
            <w:vAlign w:val="center"/>
          </w:tcPr>
          <w:p w:rsidR="0073472E" w:rsidRPr="006C5BB9" w:rsidRDefault="0073472E" w:rsidP="00322363">
            <w:pPr>
              <w:pStyle w:val="TableText0"/>
            </w:pPr>
          </w:p>
        </w:tc>
        <w:tc>
          <w:tcPr>
            <w:tcW w:w="696" w:type="pct"/>
            <w:shd w:val="clear" w:color="auto" w:fill="auto"/>
            <w:vAlign w:val="center"/>
          </w:tcPr>
          <w:p w:rsidR="0073472E" w:rsidRPr="006C5BB9" w:rsidRDefault="0073472E" w:rsidP="00322363">
            <w:pPr>
              <w:pStyle w:val="TableText0"/>
            </w:pPr>
            <w:r w:rsidRPr="006C5BB9">
              <w:t>$</w:t>
            </w:r>
            <w:r w:rsidR="00055457">
              <w:rPr>
                <w:noProof/>
                <w:color w:val="000000"/>
                <w:highlight w:val="black"/>
              </w:rPr>
              <w:t>''''''''''''''''''''''</w:t>
            </w:r>
          </w:p>
        </w:tc>
        <w:tc>
          <w:tcPr>
            <w:tcW w:w="698" w:type="pct"/>
            <w:shd w:val="clear" w:color="auto" w:fill="auto"/>
            <w:vAlign w:val="center"/>
          </w:tcPr>
          <w:p w:rsidR="0073472E" w:rsidRPr="006C5BB9" w:rsidRDefault="0073472E" w:rsidP="00322363">
            <w:pPr>
              <w:pStyle w:val="TableText0"/>
            </w:pPr>
            <w:r w:rsidRPr="006C5BB9">
              <w:t>Not estimated</w:t>
            </w:r>
          </w:p>
        </w:tc>
        <w:tc>
          <w:tcPr>
            <w:tcW w:w="696" w:type="pct"/>
            <w:shd w:val="clear" w:color="auto" w:fill="auto"/>
            <w:vAlign w:val="center"/>
          </w:tcPr>
          <w:p w:rsidR="0073472E" w:rsidRPr="006C5BB9" w:rsidRDefault="0073472E" w:rsidP="00447285">
            <w:pPr>
              <w:pStyle w:val="TableText0"/>
            </w:pPr>
          </w:p>
        </w:tc>
        <w:tc>
          <w:tcPr>
            <w:tcW w:w="699" w:type="pct"/>
            <w:shd w:val="clear" w:color="auto" w:fill="auto"/>
            <w:vAlign w:val="center"/>
          </w:tcPr>
          <w:p w:rsidR="0073472E" w:rsidRPr="006C5BB9" w:rsidRDefault="0073472E" w:rsidP="00322363">
            <w:pPr>
              <w:pStyle w:val="TableText0"/>
            </w:pPr>
            <w:r w:rsidRPr="006C5BB9">
              <w:t>$</w:t>
            </w:r>
            <w:r w:rsidR="00055457">
              <w:rPr>
                <w:noProof/>
                <w:color w:val="000000"/>
                <w:highlight w:val="black"/>
              </w:rPr>
              <w:t>''''''''''''''''''''''''</w:t>
            </w:r>
          </w:p>
        </w:tc>
        <w:tc>
          <w:tcPr>
            <w:tcW w:w="699" w:type="pct"/>
          </w:tcPr>
          <w:p w:rsidR="0073472E" w:rsidRPr="006C5BB9" w:rsidRDefault="00447285" w:rsidP="00322363">
            <w:pPr>
              <w:pStyle w:val="TableText0"/>
            </w:pPr>
            <w:r w:rsidRPr="006C5BB9">
              <w:t>Not estimated</w:t>
            </w:r>
          </w:p>
        </w:tc>
      </w:tr>
      <w:tr w:rsidR="0073472E" w:rsidRPr="006C5BB9" w:rsidTr="00447285">
        <w:trPr>
          <w:cantSplit/>
          <w:trHeight w:val="71"/>
          <w:jc w:val="center"/>
        </w:trPr>
        <w:tc>
          <w:tcPr>
            <w:tcW w:w="815" w:type="pct"/>
            <w:shd w:val="clear" w:color="auto" w:fill="auto"/>
            <w:vAlign w:val="center"/>
          </w:tcPr>
          <w:p w:rsidR="0073472E" w:rsidRPr="006C5BB9" w:rsidRDefault="0073472E" w:rsidP="00322363">
            <w:pPr>
              <w:pStyle w:val="TableText0"/>
            </w:pPr>
            <w:r w:rsidRPr="006C5BB9">
              <w:t>Effective DPMQ</w:t>
            </w:r>
          </w:p>
        </w:tc>
        <w:tc>
          <w:tcPr>
            <w:tcW w:w="697" w:type="pct"/>
            <w:shd w:val="clear" w:color="auto" w:fill="auto"/>
            <w:vAlign w:val="center"/>
          </w:tcPr>
          <w:p w:rsidR="0073472E" w:rsidRPr="006C5BB9" w:rsidRDefault="0073472E" w:rsidP="00322363">
            <w:pPr>
              <w:pStyle w:val="TableText0"/>
            </w:pPr>
          </w:p>
        </w:tc>
        <w:tc>
          <w:tcPr>
            <w:tcW w:w="696" w:type="pct"/>
            <w:shd w:val="clear" w:color="auto" w:fill="auto"/>
            <w:vAlign w:val="center"/>
          </w:tcPr>
          <w:p w:rsidR="0073472E" w:rsidRPr="006C5BB9" w:rsidRDefault="0073472E" w:rsidP="00322363">
            <w:pPr>
              <w:pStyle w:val="TableText0"/>
            </w:pPr>
            <w:r w:rsidRPr="006C5BB9">
              <w:t>$</w:t>
            </w:r>
            <w:r w:rsidR="00055457">
              <w:rPr>
                <w:noProof/>
                <w:color w:val="000000"/>
                <w:highlight w:val="black"/>
              </w:rPr>
              <w:t>''''''''''''''''''''''</w:t>
            </w:r>
          </w:p>
        </w:tc>
        <w:tc>
          <w:tcPr>
            <w:tcW w:w="698" w:type="pct"/>
            <w:shd w:val="clear" w:color="auto" w:fill="auto"/>
            <w:vAlign w:val="center"/>
          </w:tcPr>
          <w:p w:rsidR="0073472E" w:rsidRPr="006C5BB9" w:rsidRDefault="00447285" w:rsidP="00322363">
            <w:pPr>
              <w:pStyle w:val="TableText0"/>
            </w:pPr>
            <w:r w:rsidRPr="006C5BB9">
              <w:t>Not estimated</w:t>
            </w:r>
          </w:p>
        </w:tc>
        <w:tc>
          <w:tcPr>
            <w:tcW w:w="696" w:type="pct"/>
            <w:shd w:val="clear" w:color="auto" w:fill="auto"/>
            <w:vAlign w:val="center"/>
          </w:tcPr>
          <w:p w:rsidR="0073472E" w:rsidRPr="006C5BB9" w:rsidRDefault="0073472E" w:rsidP="00447285">
            <w:pPr>
              <w:pStyle w:val="TableText0"/>
            </w:pPr>
          </w:p>
        </w:tc>
        <w:tc>
          <w:tcPr>
            <w:tcW w:w="699" w:type="pct"/>
            <w:shd w:val="clear" w:color="auto" w:fill="auto"/>
            <w:vAlign w:val="center"/>
          </w:tcPr>
          <w:p w:rsidR="0073472E" w:rsidRPr="006C5BB9" w:rsidRDefault="0073472E" w:rsidP="00322363">
            <w:pPr>
              <w:pStyle w:val="TableText0"/>
            </w:pPr>
            <w:r w:rsidRPr="006C5BB9">
              <w:t>$</w:t>
            </w:r>
            <w:r w:rsidR="00055457">
              <w:rPr>
                <w:noProof/>
                <w:color w:val="000000"/>
                <w:highlight w:val="black"/>
              </w:rPr>
              <w:t>'''''''''''''''''''''''</w:t>
            </w:r>
          </w:p>
        </w:tc>
        <w:tc>
          <w:tcPr>
            <w:tcW w:w="699" w:type="pct"/>
          </w:tcPr>
          <w:p w:rsidR="0073472E" w:rsidRPr="006C5BB9" w:rsidRDefault="00447285" w:rsidP="00322363">
            <w:pPr>
              <w:pStyle w:val="TableText0"/>
            </w:pPr>
            <w:r w:rsidRPr="006C5BB9">
              <w:t>Not estimated</w:t>
            </w:r>
          </w:p>
        </w:tc>
      </w:tr>
    </w:tbl>
    <w:p w:rsidR="0073472E" w:rsidRPr="004E025C" w:rsidRDefault="0073472E" w:rsidP="0073472E">
      <w:pPr>
        <w:pStyle w:val="TableFigureFooter"/>
      </w:pPr>
      <w:r w:rsidRPr="004E025C">
        <w:t>Source: Table compiled during the evaluation, based on Table 3.4.1, p124, and Table 3.4.3, p125 of the submission. Italicised values have been calculated</w:t>
      </w:r>
      <w:r w:rsidR="00985051" w:rsidRPr="004E025C">
        <w:t>.</w:t>
      </w:r>
    </w:p>
    <w:p w:rsidR="0073472E" w:rsidRPr="004E025C" w:rsidRDefault="0073472E" w:rsidP="0073472E">
      <w:pPr>
        <w:pStyle w:val="TableFigureFooter"/>
        <w:rPr>
          <w:szCs w:val="18"/>
        </w:rPr>
      </w:pPr>
      <w:r w:rsidRPr="004E025C">
        <w:rPr>
          <w:szCs w:val="18"/>
        </w:rPr>
        <w:t>SC = subcutaneous, IV = intravenous, Q2W = every 2 weeks, Q8w = every 8 weeks</w:t>
      </w:r>
      <w:r w:rsidR="00842599" w:rsidRPr="004E025C">
        <w:rPr>
          <w:szCs w:val="18"/>
        </w:rPr>
        <w:t xml:space="preserve">, </w:t>
      </w:r>
      <w:r w:rsidR="00842599" w:rsidRPr="004E025C">
        <w:t>VDZ= vedolizumab</w:t>
      </w:r>
    </w:p>
    <w:p w:rsidR="009E321F" w:rsidRPr="004E025C" w:rsidRDefault="00234E18" w:rsidP="0073472E">
      <w:pPr>
        <w:pStyle w:val="TableFigureFooter"/>
        <w:rPr>
          <w:szCs w:val="18"/>
          <w:vertAlign w:val="superscript"/>
        </w:rPr>
      </w:pPr>
      <w:r w:rsidRPr="004E025C">
        <w:rPr>
          <w:szCs w:val="18"/>
          <w:vertAlign w:val="superscript"/>
        </w:rPr>
        <w:t>a</w:t>
      </w:r>
      <w:r w:rsidR="0073472E" w:rsidRPr="004E025C">
        <w:rPr>
          <w:szCs w:val="18"/>
          <w:vertAlign w:val="superscript"/>
        </w:rPr>
        <w:t xml:space="preserve"> </w:t>
      </w:r>
      <w:r w:rsidR="009E321F" w:rsidRPr="004E025C">
        <w:rPr>
          <w:szCs w:val="18"/>
        </w:rPr>
        <w:t>Financial estimates are based on prescription numbers and market share, not a per patient or epidemiological approach.</w:t>
      </w:r>
    </w:p>
    <w:p w:rsidR="00DE3410" w:rsidRPr="004E025C" w:rsidRDefault="00DE3410" w:rsidP="00DE3410">
      <w:pPr>
        <w:pStyle w:val="4-SubsectionHeading"/>
      </w:pPr>
      <w:bookmarkStart w:id="35" w:name="_Toc51141275"/>
      <w:r w:rsidRPr="004E025C">
        <w:t xml:space="preserve">Drug cost/patient/2-years for severe </w:t>
      </w:r>
      <w:r w:rsidR="00F0627F" w:rsidRPr="004E025C">
        <w:t>CD</w:t>
      </w:r>
      <w:r w:rsidRPr="004E025C">
        <w:t xml:space="preserve"> maintenance treatment</w:t>
      </w:r>
      <w:bookmarkEnd w:id="35"/>
    </w:p>
    <w:p w:rsidR="0073472E" w:rsidRPr="004E025C" w:rsidRDefault="0073472E" w:rsidP="00907B94">
      <w:pPr>
        <w:pStyle w:val="3-BodyText"/>
        <w:numPr>
          <w:ilvl w:val="1"/>
          <w:numId w:val="1"/>
        </w:numPr>
      </w:pPr>
      <w:r w:rsidRPr="004E025C">
        <w:t xml:space="preserve">The expected cost per patient of </w:t>
      </w:r>
      <w:r w:rsidR="00621C90" w:rsidRPr="004E025C">
        <w:t>VDZ SC</w:t>
      </w:r>
      <w:r w:rsidRPr="004E025C">
        <w:t xml:space="preserve"> over two-year period, as estimated in the submission was $</w:t>
      </w:r>
      <w:r w:rsidR="00055457">
        <w:rPr>
          <w:noProof/>
          <w:color w:val="000000"/>
          <w:highlight w:val="black"/>
        </w:rPr>
        <w:t>''''''''''''''''''</w:t>
      </w:r>
      <w:r w:rsidRPr="004E025C">
        <w:t xml:space="preserve"> for severe </w:t>
      </w:r>
      <w:r w:rsidR="00F0627F" w:rsidRPr="004E025C">
        <w:t>CD</w:t>
      </w:r>
      <w:r w:rsidRPr="004E025C">
        <w:t xml:space="preserve"> treatment. This was based on a proposed indication specific effective </w:t>
      </w:r>
      <w:r w:rsidR="00934888">
        <w:t>A</w:t>
      </w:r>
      <w:r w:rsidRPr="004E025C">
        <w:t>EMP. When cost per patient over 2 years is calculated based on the proposed dispensed price, expec</w:t>
      </w:r>
      <w:r w:rsidR="00D755B1" w:rsidRPr="004E025C">
        <w:t>ted cost is $</w:t>
      </w:r>
      <w:r w:rsidR="00055457">
        <w:rPr>
          <w:noProof/>
          <w:color w:val="000000"/>
          <w:highlight w:val="black"/>
        </w:rPr>
        <w:t>''''''''''''''''''''</w:t>
      </w:r>
      <w:r w:rsidR="00D755B1" w:rsidRPr="006C5BB9">
        <w:t>.</w:t>
      </w:r>
      <w:r w:rsidR="00D755B1" w:rsidRPr="004E025C">
        <w:t xml:space="preserve"> </w:t>
      </w:r>
    </w:p>
    <w:p w:rsidR="0073472E" w:rsidRPr="004E025C" w:rsidRDefault="0073472E" w:rsidP="0073472E">
      <w:pPr>
        <w:pStyle w:val="TableFigureHeading"/>
      </w:pPr>
      <w:r w:rsidRPr="004E025C">
        <w:t xml:space="preserve">Table </w:t>
      </w:r>
      <w:r w:rsidR="007E6865">
        <w:rPr>
          <w:noProof/>
        </w:rPr>
        <w:t>15</w:t>
      </w:r>
      <w:r w:rsidRPr="004E025C">
        <w:t xml:space="preserve">: Drug cost per patient for </w:t>
      </w:r>
      <w:r w:rsidR="00621C90" w:rsidRPr="004E025C">
        <w:t>VDZ SC</w:t>
      </w:r>
      <w:r w:rsidRPr="004E025C">
        <w:t xml:space="preserve"> and </w:t>
      </w:r>
      <w:r w:rsidR="00621C90" w:rsidRPr="004E025C">
        <w:t>VDZ IV</w:t>
      </w:r>
      <w:r w:rsidRPr="004E025C">
        <w:t xml:space="preserve"> CD maintenance treatment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73472E" w:rsidRPr="004E025C" w:rsidTr="00322363">
        <w:trPr>
          <w:cantSplit/>
          <w:tblHeader/>
          <w:jc w:val="center"/>
        </w:trPr>
        <w:tc>
          <w:tcPr>
            <w:tcW w:w="815" w:type="pct"/>
            <w:shd w:val="clear" w:color="auto" w:fill="auto"/>
            <w:vAlign w:val="center"/>
          </w:tcPr>
          <w:p w:rsidR="0073472E" w:rsidRPr="004E025C" w:rsidRDefault="0073472E" w:rsidP="00322363">
            <w:pPr>
              <w:pStyle w:val="In-tableHeading"/>
              <w:jc w:val="center"/>
              <w:rPr>
                <w:lang w:val="en-AU"/>
              </w:rPr>
            </w:pPr>
          </w:p>
        </w:tc>
        <w:tc>
          <w:tcPr>
            <w:tcW w:w="2091" w:type="pct"/>
            <w:gridSpan w:val="3"/>
            <w:shd w:val="clear" w:color="auto" w:fill="auto"/>
            <w:vAlign w:val="center"/>
          </w:tcPr>
          <w:p w:rsidR="0073472E" w:rsidRPr="004E025C" w:rsidRDefault="00621C90" w:rsidP="00322363">
            <w:pPr>
              <w:pStyle w:val="In-tableHeading"/>
              <w:jc w:val="center"/>
              <w:rPr>
                <w:lang w:val="en-AU"/>
              </w:rPr>
            </w:pPr>
            <w:r w:rsidRPr="004E025C">
              <w:rPr>
                <w:lang w:val="en-AU"/>
              </w:rPr>
              <w:t>VDZ SC</w:t>
            </w:r>
          </w:p>
        </w:tc>
        <w:tc>
          <w:tcPr>
            <w:tcW w:w="2094" w:type="pct"/>
            <w:gridSpan w:val="3"/>
            <w:shd w:val="clear" w:color="auto" w:fill="auto"/>
            <w:vAlign w:val="center"/>
          </w:tcPr>
          <w:p w:rsidR="0073472E" w:rsidRPr="004E025C" w:rsidRDefault="00621C90" w:rsidP="00322363">
            <w:pPr>
              <w:pStyle w:val="In-tableHeading"/>
              <w:jc w:val="center"/>
              <w:rPr>
                <w:lang w:val="en-AU"/>
              </w:rPr>
            </w:pPr>
            <w:r w:rsidRPr="004E025C">
              <w:rPr>
                <w:lang w:val="en-AU"/>
              </w:rPr>
              <w:t>VDZ IV</w:t>
            </w:r>
          </w:p>
        </w:tc>
      </w:tr>
      <w:tr w:rsidR="0073472E" w:rsidRPr="004E025C" w:rsidTr="00322363">
        <w:trPr>
          <w:cantSplit/>
          <w:tblHeader/>
          <w:jc w:val="center"/>
        </w:trPr>
        <w:tc>
          <w:tcPr>
            <w:tcW w:w="815" w:type="pct"/>
            <w:shd w:val="clear" w:color="auto" w:fill="auto"/>
            <w:vAlign w:val="center"/>
          </w:tcPr>
          <w:p w:rsidR="0073472E" w:rsidRPr="004E025C" w:rsidRDefault="0073472E" w:rsidP="00C56D7A">
            <w:pPr>
              <w:pStyle w:val="In-tableHeading"/>
              <w:jc w:val="center"/>
              <w:rPr>
                <w:lang w:val="en-AU"/>
              </w:rPr>
            </w:pPr>
            <w:r w:rsidRPr="004E025C">
              <w:rPr>
                <w:lang w:val="en-AU"/>
              </w:rPr>
              <w:t xml:space="preserve">Severe </w:t>
            </w:r>
            <w:r w:rsidR="00C56D7A" w:rsidRPr="004E025C">
              <w:rPr>
                <w:lang w:val="en-AU"/>
              </w:rPr>
              <w:t>CD</w:t>
            </w:r>
          </w:p>
        </w:tc>
        <w:tc>
          <w:tcPr>
            <w:tcW w:w="697" w:type="pct"/>
            <w:shd w:val="clear" w:color="auto" w:fill="auto"/>
            <w:vAlign w:val="center"/>
          </w:tcPr>
          <w:p w:rsidR="0073472E" w:rsidRPr="004E025C" w:rsidRDefault="0073472E" w:rsidP="00322363">
            <w:pPr>
              <w:pStyle w:val="In-tableHeading"/>
              <w:jc w:val="center"/>
              <w:rPr>
                <w:lang w:val="en-AU"/>
              </w:rPr>
            </w:pPr>
            <w:r w:rsidRPr="004E025C">
              <w:rPr>
                <w:lang w:val="en-AU"/>
              </w:rPr>
              <w:t>Trial dose and duration</w:t>
            </w:r>
          </w:p>
        </w:tc>
        <w:tc>
          <w:tcPr>
            <w:tcW w:w="696" w:type="pct"/>
            <w:shd w:val="clear" w:color="auto" w:fill="auto"/>
            <w:vAlign w:val="center"/>
          </w:tcPr>
          <w:p w:rsidR="0073472E" w:rsidRPr="004E025C" w:rsidRDefault="0073472E" w:rsidP="00322363">
            <w:pPr>
              <w:pStyle w:val="In-tableHeading"/>
              <w:jc w:val="center"/>
              <w:rPr>
                <w:lang w:val="en-AU"/>
              </w:rPr>
            </w:pPr>
            <w:r w:rsidRPr="004E025C">
              <w:rPr>
                <w:lang w:val="en-AU"/>
              </w:rPr>
              <w:t>Cost minimization analysis</w:t>
            </w:r>
          </w:p>
        </w:tc>
        <w:tc>
          <w:tcPr>
            <w:tcW w:w="698" w:type="pct"/>
            <w:shd w:val="clear" w:color="auto" w:fill="auto"/>
            <w:vAlign w:val="center"/>
          </w:tcPr>
          <w:p w:rsidR="0073472E" w:rsidRPr="004E025C" w:rsidRDefault="0073472E" w:rsidP="00322363">
            <w:pPr>
              <w:pStyle w:val="In-tableHeading"/>
              <w:jc w:val="center"/>
              <w:rPr>
                <w:lang w:val="en-AU"/>
              </w:rPr>
            </w:pPr>
            <w:r w:rsidRPr="004E025C">
              <w:rPr>
                <w:lang w:val="en-AU"/>
              </w:rPr>
              <w:t xml:space="preserve">Financial estimates </w:t>
            </w:r>
            <w:r w:rsidR="00DB0C78" w:rsidRPr="004E025C">
              <w:rPr>
                <w:b w:val="0"/>
                <w:vertAlign w:val="superscript"/>
                <w:lang w:val="en-AU"/>
              </w:rPr>
              <w:t>a</w:t>
            </w:r>
          </w:p>
        </w:tc>
        <w:tc>
          <w:tcPr>
            <w:tcW w:w="696" w:type="pct"/>
            <w:shd w:val="clear" w:color="auto" w:fill="auto"/>
            <w:vAlign w:val="center"/>
          </w:tcPr>
          <w:p w:rsidR="0073472E" w:rsidRPr="004E025C" w:rsidRDefault="0073472E" w:rsidP="00322363">
            <w:pPr>
              <w:pStyle w:val="In-tableHeading"/>
              <w:jc w:val="center"/>
              <w:rPr>
                <w:lang w:val="en-AU"/>
              </w:rPr>
            </w:pPr>
            <w:r w:rsidRPr="004E025C">
              <w:rPr>
                <w:lang w:val="en-AU"/>
              </w:rPr>
              <w:t>Trial dose and duration</w:t>
            </w:r>
          </w:p>
        </w:tc>
        <w:tc>
          <w:tcPr>
            <w:tcW w:w="699" w:type="pct"/>
            <w:shd w:val="clear" w:color="auto" w:fill="auto"/>
            <w:vAlign w:val="center"/>
          </w:tcPr>
          <w:p w:rsidR="0073472E" w:rsidRPr="004E025C" w:rsidRDefault="0073472E" w:rsidP="00322363">
            <w:pPr>
              <w:pStyle w:val="In-tableHeading"/>
              <w:jc w:val="center"/>
              <w:rPr>
                <w:lang w:val="en-AU"/>
              </w:rPr>
            </w:pPr>
            <w:r w:rsidRPr="004E025C">
              <w:rPr>
                <w:lang w:val="en-AU"/>
              </w:rPr>
              <w:t>Cost minimization analysis</w:t>
            </w:r>
          </w:p>
        </w:tc>
        <w:tc>
          <w:tcPr>
            <w:tcW w:w="699" w:type="pct"/>
            <w:vAlign w:val="center"/>
          </w:tcPr>
          <w:p w:rsidR="0073472E" w:rsidRPr="004E025C" w:rsidRDefault="0073472E" w:rsidP="00322363">
            <w:pPr>
              <w:pStyle w:val="In-tableHeading"/>
              <w:jc w:val="center"/>
              <w:rPr>
                <w:lang w:val="en-AU"/>
              </w:rPr>
            </w:pPr>
            <w:r w:rsidRPr="004E025C">
              <w:rPr>
                <w:lang w:val="en-AU"/>
              </w:rPr>
              <w:t>Financial estimates</w:t>
            </w:r>
            <w:r w:rsidR="00DB0C78" w:rsidRPr="004E025C">
              <w:rPr>
                <w:b w:val="0"/>
                <w:vertAlign w:val="superscript"/>
                <w:lang w:val="en-AU"/>
              </w:rPr>
              <w:t xml:space="preserve"> a</w:t>
            </w:r>
          </w:p>
        </w:tc>
      </w:tr>
      <w:tr w:rsidR="0073472E" w:rsidRPr="004E025C" w:rsidTr="00322363">
        <w:trPr>
          <w:cantSplit/>
          <w:jc w:val="center"/>
        </w:trPr>
        <w:tc>
          <w:tcPr>
            <w:tcW w:w="815" w:type="pct"/>
            <w:shd w:val="clear" w:color="auto" w:fill="auto"/>
            <w:vAlign w:val="center"/>
          </w:tcPr>
          <w:p w:rsidR="0073472E" w:rsidRPr="004E025C" w:rsidRDefault="0073472E" w:rsidP="00322363">
            <w:pPr>
              <w:pStyle w:val="TableText0"/>
            </w:pPr>
            <w:r w:rsidRPr="004E025C">
              <w:t>Mean dose</w:t>
            </w:r>
          </w:p>
        </w:tc>
        <w:tc>
          <w:tcPr>
            <w:tcW w:w="697" w:type="pct"/>
            <w:shd w:val="clear" w:color="auto" w:fill="auto"/>
            <w:vAlign w:val="center"/>
          </w:tcPr>
          <w:p w:rsidR="0073472E" w:rsidRPr="004E025C" w:rsidRDefault="0073472E" w:rsidP="00322363">
            <w:pPr>
              <w:pStyle w:val="TableText0"/>
            </w:pPr>
            <w:r w:rsidRPr="004E025C">
              <w:t>108 mg Q2W</w:t>
            </w:r>
          </w:p>
        </w:tc>
        <w:tc>
          <w:tcPr>
            <w:tcW w:w="696" w:type="pct"/>
            <w:shd w:val="clear" w:color="auto" w:fill="auto"/>
            <w:vAlign w:val="center"/>
          </w:tcPr>
          <w:p w:rsidR="0073472E" w:rsidRPr="004E025C" w:rsidRDefault="0073472E" w:rsidP="00322363">
            <w:pPr>
              <w:pStyle w:val="TableText0"/>
            </w:pPr>
            <w:r w:rsidRPr="004E025C">
              <w:t>As in the trials</w:t>
            </w:r>
          </w:p>
        </w:tc>
        <w:tc>
          <w:tcPr>
            <w:tcW w:w="698" w:type="pct"/>
            <w:shd w:val="clear" w:color="auto" w:fill="auto"/>
            <w:vAlign w:val="center"/>
          </w:tcPr>
          <w:p w:rsidR="0073472E" w:rsidRPr="004E025C" w:rsidRDefault="0073472E" w:rsidP="00322363">
            <w:pPr>
              <w:pStyle w:val="TableText0"/>
            </w:pPr>
            <w:r w:rsidRPr="004E025C">
              <w:t>As in the trials</w:t>
            </w:r>
          </w:p>
        </w:tc>
        <w:tc>
          <w:tcPr>
            <w:tcW w:w="696" w:type="pct"/>
            <w:shd w:val="clear" w:color="auto" w:fill="auto"/>
            <w:vAlign w:val="center"/>
          </w:tcPr>
          <w:p w:rsidR="0073472E" w:rsidRPr="004E025C" w:rsidRDefault="0073472E" w:rsidP="00322363">
            <w:pPr>
              <w:pStyle w:val="TableText0"/>
            </w:pPr>
            <w:r w:rsidRPr="004E025C">
              <w:t>300 mg Q8W</w:t>
            </w:r>
          </w:p>
        </w:tc>
        <w:tc>
          <w:tcPr>
            <w:tcW w:w="699" w:type="pct"/>
            <w:shd w:val="clear" w:color="auto" w:fill="auto"/>
            <w:vAlign w:val="center"/>
          </w:tcPr>
          <w:p w:rsidR="0073472E" w:rsidRPr="004E025C" w:rsidRDefault="0073472E" w:rsidP="00322363">
            <w:pPr>
              <w:pStyle w:val="TableText0"/>
            </w:pPr>
            <w:r w:rsidRPr="004E025C">
              <w:t>As in the trials</w:t>
            </w:r>
          </w:p>
        </w:tc>
        <w:tc>
          <w:tcPr>
            <w:tcW w:w="699" w:type="pct"/>
          </w:tcPr>
          <w:p w:rsidR="0073472E" w:rsidRPr="004E025C" w:rsidRDefault="0073472E" w:rsidP="00322363">
            <w:pPr>
              <w:pStyle w:val="TableText0"/>
            </w:pPr>
            <w:r w:rsidRPr="004E025C">
              <w:t>As in the trials</w:t>
            </w:r>
          </w:p>
        </w:tc>
      </w:tr>
      <w:tr w:rsidR="0073472E" w:rsidRPr="004E025C" w:rsidTr="00322363">
        <w:trPr>
          <w:cantSplit/>
          <w:jc w:val="center"/>
        </w:trPr>
        <w:tc>
          <w:tcPr>
            <w:tcW w:w="815" w:type="pct"/>
            <w:shd w:val="clear" w:color="auto" w:fill="auto"/>
            <w:vAlign w:val="center"/>
          </w:tcPr>
          <w:p w:rsidR="0073472E" w:rsidRPr="004E025C" w:rsidRDefault="0073472E" w:rsidP="00322363">
            <w:pPr>
              <w:pStyle w:val="TableText0"/>
            </w:pPr>
            <w:r w:rsidRPr="004E025C">
              <w:t>Mean duration</w:t>
            </w:r>
          </w:p>
        </w:tc>
        <w:tc>
          <w:tcPr>
            <w:tcW w:w="697" w:type="pct"/>
            <w:shd w:val="clear" w:color="auto" w:fill="auto"/>
            <w:vAlign w:val="center"/>
          </w:tcPr>
          <w:p w:rsidR="0073472E" w:rsidRPr="004E025C" w:rsidRDefault="0073472E" w:rsidP="00322363">
            <w:pPr>
              <w:pStyle w:val="TableText0"/>
            </w:pPr>
            <w:r w:rsidRPr="004E025C">
              <w:t>52 weeks</w:t>
            </w:r>
          </w:p>
        </w:tc>
        <w:tc>
          <w:tcPr>
            <w:tcW w:w="696" w:type="pct"/>
            <w:shd w:val="clear" w:color="auto" w:fill="auto"/>
            <w:vAlign w:val="center"/>
          </w:tcPr>
          <w:p w:rsidR="0073472E" w:rsidRPr="004E025C" w:rsidRDefault="0073472E" w:rsidP="00322363">
            <w:pPr>
              <w:pStyle w:val="TableText0"/>
            </w:pPr>
            <w:r w:rsidRPr="004E025C">
              <w:t>2 years</w:t>
            </w:r>
          </w:p>
        </w:tc>
        <w:tc>
          <w:tcPr>
            <w:tcW w:w="698" w:type="pct"/>
            <w:shd w:val="clear" w:color="auto" w:fill="auto"/>
            <w:vAlign w:val="center"/>
          </w:tcPr>
          <w:p w:rsidR="0073472E" w:rsidRPr="004E025C" w:rsidRDefault="0073472E" w:rsidP="00322363">
            <w:pPr>
              <w:pStyle w:val="TableText0"/>
            </w:pPr>
            <w:r w:rsidRPr="004E025C">
              <w:t>Not estimated</w:t>
            </w:r>
          </w:p>
        </w:tc>
        <w:tc>
          <w:tcPr>
            <w:tcW w:w="696" w:type="pct"/>
            <w:shd w:val="clear" w:color="auto" w:fill="auto"/>
            <w:vAlign w:val="center"/>
          </w:tcPr>
          <w:p w:rsidR="0073472E" w:rsidRPr="004E025C" w:rsidRDefault="0073472E" w:rsidP="00322363">
            <w:pPr>
              <w:pStyle w:val="TableText0"/>
            </w:pPr>
            <w:r w:rsidRPr="004E025C">
              <w:t>52 weeks</w:t>
            </w:r>
          </w:p>
        </w:tc>
        <w:tc>
          <w:tcPr>
            <w:tcW w:w="699" w:type="pct"/>
            <w:shd w:val="clear" w:color="auto" w:fill="auto"/>
            <w:vAlign w:val="center"/>
          </w:tcPr>
          <w:p w:rsidR="0073472E" w:rsidRPr="004E025C" w:rsidRDefault="0073472E" w:rsidP="00322363">
            <w:pPr>
              <w:pStyle w:val="TableText0"/>
            </w:pPr>
            <w:r w:rsidRPr="004E025C">
              <w:t>2 years</w:t>
            </w:r>
          </w:p>
        </w:tc>
        <w:tc>
          <w:tcPr>
            <w:tcW w:w="699" w:type="pct"/>
          </w:tcPr>
          <w:p w:rsidR="0073472E" w:rsidRPr="004E025C" w:rsidRDefault="0073472E" w:rsidP="00322363">
            <w:pPr>
              <w:pStyle w:val="TableText0"/>
            </w:pPr>
            <w:r w:rsidRPr="004E025C">
              <w:t>Not estimated</w:t>
            </w:r>
          </w:p>
        </w:tc>
      </w:tr>
      <w:tr w:rsidR="0073472E" w:rsidRPr="004E025C" w:rsidTr="00322363">
        <w:trPr>
          <w:cantSplit/>
          <w:jc w:val="center"/>
        </w:trPr>
        <w:tc>
          <w:tcPr>
            <w:tcW w:w="5000" w:type="pct"/>
            <w:gridSpan w:val="7"/>
            <w:shd w:val="clear" w:color="auto" w:fill="auto"/>
            <w:vAlign w:val="center"/>
          </w:tcPr>
          <w:p w:rsidR="0073472E" w:rsidRPr="004E025C" w:rsidRDefault="0073472E" w:rsidP="00322363">
            <w:pPr>
              <w:pStyle w:val="TableText0"/>
            </w:pPr>
            <w:r w:rsidRPr="004E025C">
              <w:t>Cost/patient/ 2-year</w:t>
            </w:r>
            <w:r w:rsidR="00447285" w:rsidRPr="004E025C">
              <w:t>s</w:t>
            </w:r>
            <w:r w:rsidRPr="004E025C">
              <w:rPr>
                <w:vertAlign w:val="superscript"/>
              </w:rPr>
              <w:t xml:space="preserve"> g</w:t>
            </w:r>
          </w:p>
        </w:tc>
      </w:tr>
      <w:tr w:rsidR="0073472E" w:rsidRPr="004E025C" w:rsidTr="00322363">
        <w:trPr>
          <w:cantSplit/>
          <w:jc w:val="center"/>
        </w:trPr>
        <w:tc>
          <w:tcPr>
            <w:tcW w:w="815" w:type="pct"/>
            <w:shd w:val="clear" w:color="auto" w:fill="auto"/>
            <w:vAlign w:val="center"/>
          </w:tcPr>
          <w:p w:rsidR="0073472E" w:rsidRPr="004E025C" w:rsidRDefault="0073472E" w:rsidP="00322363">
            <w:pPr>
              <w:pStyle w:val="TableText0"/>
            </w:pPr>
            <w:r w:rsidRPr="004E025C">
              <w:t>Effective AEMP</w:t>
            </w:r>
          </w:p>
        </w:tc>
        <w:tc>
          <w:tcPr>
            <w:tcW w:w="697" w:type="pct"/>
            <w:shd w:val="clear" w:color="auto" w:fill="auto"/>
            <w:vAlign w:val="center"/>
          </w:tcPr>
          <w:p w:rsidR="0073472E" w:rsidRPr="006C5BB9" w:rsidRDefault="0073472E" w:rsidP="00322363">
            <w:pPr>
              <w:pStyle w:val="TableText0"/>
            </w:pPr>
          </w:p>
        </w:tc>
        <w:tc>
          <w:tcPr>
            <w:tcW w:w="696" w:type="pct"/>
            <w:shd w:val="clear" w:color="auto" w:fill="auto"/>
            <w:vAlign w:val="center"/>
          </w:tcPr>
          <w:p w:rsidR="0073472E" w:rsidRPr="006C5BB9" w:rsidRDefault="0073472E" w:rsidP="00322363">
            <w:pPr>
              <w:pStyle w:val="TableText0"/>
            </w:pPr>
            <w:r w:rsidRPr="006C5BB9">
              <w:t>$</w:t>
            </w:r>
            <w:r w:rsidR="00055457">
              <w:rPr>
                <w:noProof/>
                <w:color w:val="000000"/>
                <w:highlight w:val="black"/>
              </w:rPr>
              <w:t>'''''''''''''''''''''''</w:t>
            </w:r>
          </w:p>
        </w:tc>
        <w:tc>
          <w:tcPr>
            <w:tcW w:w="698" w:type="pct"/>
            <w:shd w:val="clear" w:color="auto" w:fill="auto"/>
            <w:vAlign w:val="center"/>
          </w:tcPr>
          <w:p w:rsidR="0073472E" w:rsidRPr="006C5BB9" w:rsidRDefault="0073472E" w:rsidP="00322363">
            <w:pPr>
              <w:pStyle w:val="TableText0"/>
            </w:pPr>
            <w:r w:rsidRPr="006C5BB9">
              <w:t>Not estimated</w:t>
            </w:r>
          </w:p>
        </w:tc>
        <w:tc>
          <w:tcPr>
            <w:tcW w:w="696" w:type="pct"/>
            <w:shd w:val="clear" w:color="auto" w:fill="auto"/>
          </w:tcPr>
          <w:p w:rsidR="0073472E" w:rsidRPr="006C5BB9" w:rsidRDefault="0073472E" w:rsidP="00322363">
            <w:pPr>
              <w:pStyle w:val="TableText0"/>
            </w:pPr>
          </w:p>
        </w:tc>
        <w:tc>
          <w:tcPr>
            <w:tcW w:w="699" w:type="pct"/>
            <w:shd w:val="clear" w:color="auto" w:fill="auto"/>
          </w:tcPr>
          <w:p w:rsidR="0073472E" w:rsidRPr="006C5BB9" w:rsidRDefault="0073472E" w:rsidP="00322363">
            <w:pPr>
              <w:pStyle w:val="TableText0"/>
            </w:pPr>
            <w:r w:rsidRPr="006C5BB9">
              <w:t>$</w:t>
            </w:r>
            <w:r w:rsidR="00055457">
              <w:rPr>
                <w:noProof/>
                <w:color w:val="000000"/>
                <w:highlight w:val="black"/>
              </w:rPr>
              <w:t>'''''''''''''''''''''</w:t>
            </w:r>
          </w:p>
        </w:tc>
        <w:tc>
          <w:tcPr>
            <w:tcW w:w="699" w:type="pct"/>
          </w:tcPr>
          <w:p w:rsidR="0073472E" w:rsidRPr="004E025C" w:rsidRDefault="0073472E" w:rsidP="00322363">
            <w:pPr>
              <w:pStyle w:val="TableText0"/>
            </w:pPr>
          </w:p>
        </w:tc>
      </w:tr>
      <w:tr w:rsidR="0073472E" w:rsidRPr="004E025C" w:rsidTr="00322363">
        <w:trPr>
          <w:cantSplit/>
          <w:jc w:val="center"/>
        </w:trPr>
        <w:tc>
          <w:tcPr>
            <w:tcW w:w="815" w:type="pct"/>
            <w:shd w:val="clear" w:color="auto" w:fill="auto"/>
            <w:vAlign w:val="center"/>
          </w:tcPr>
          <w:p w:rsidR="0073472E" w:rsidRPr="004E025C" w:rsidRDefault="0073472E" w:rsidP="00322363">
            <w:pPr>
              <w:pStyle w:val="TableText0"/>
            </w:pPr>
            <w:r w:rsidRPr="004E025C">
              <w:t>Effective DPMQ</w:t>
            </w:r>
          </w:p>
        </w:tc>
        <w:tc>
          <w:tcPr>
            <w:tcW w:w="697" w:type="pct"/>
            <w:shd w:val="clear" w:color="auto" w:fill="auto"/>
            <w:vAlign w:val="center"/>
          </w:tcPr>
          <w:p w:rsidR="0073472E" w:rsidRPr="006C5BB9" w:rsidRDefault="0073472E" w:rsidP="00322363">
            <w:pPr>
              <w:pStyle w:val="TableText0"/>
            </w:pPr>
          </w:p>
        </w:tc>
        <w:tc>
          <w:tcPr>
            <w:tcW w:w="696" w:type="pct"/>
            <w:shd w:val="clear" w:color="auto" w:fill="auto"/>
            <w:vAlign w:val="center"/>
          </w:tcPr>
          <w:p w:rsidR="0073472E" w:rsidRPr="006C5BB9" w:rsidRDefault="0073472E" w:rsidP="00322363">
            <w:pPr>
              <w:pStyle w:val="TableText0"/>
            </w:pPr>
            <w:r w:rsidRPr="006C5BB9">
              <w:t>$</w:t>
            </w:r>
            <w:r w:rsidR="00055457">
              <w:rPr>
                <w:noProof/>
                <w:color w:val="000000"/>
                <w:highlight w:val="black"/>
              </w:rPr>
              <w:t>'''''''''''''''''''''''</w:t>
            </w:r>
          </w:p>
        </w:tc>
        <w:tc>
          <w:tcPr>
            <w:tcW w:w="698" w:type="pct"/>
            <w:shd w:val="clear" w:color="auto" w:fill="auto"/>
            <w:vAlign w:val="center"/>
          </w:tcPr>
          <w:p w:rsidR="0073472E" w:rsidRPr="006C5BB9" w:rsidRDefault="0073472E" w:rsidP="00322363">
            <w:pPr>
              <w:pStyle w:val="TableText0"/>
            </w:pPr>
          </w:p>
        </w:tc>
        <w:tc>
          <w:tcPr>
            <w:tcW w:w="696" w:type="pct"/>
            <w:shd w:val="clear" w:color="auto" w:fill="auto"/>
            <w:vAlign w:val="center"/>
          </w:tcPr>
          <w:p w:rsidR="0073472E" w:rsidRPr="006C5BB9" w:rsidRDefault="0073472E" w:rsidP="00322363">
            <w:pPr>
              <w:pStyle w:val="TableText0"/>
            </w:pPr>
          </w:p>
        </w:tc>
        <w:tc>
          <w:tcPr>
            <w:tcW w:w="699" w:type="pct"/>
            <w:shd w:val="clear" w:color="auto" w:fill="auto"/>
            <w:vAlign w:val="center"/>
          </w:tcPr>
          <w:p w:rsidR="0073472E" w:rsidRPr="006C5BB9" w:rsidRDefault="0073472E" w:rsidP="00322363">
            <w:pPr>
              <w:pStyle w:val="TableText0"/>
            </w:pPr>
            <w:r w:rsidRPr="006C5BB9">
              <w:t>$</w:t>
            </w:r>
            <w:r w:rsidR="00055457">
              <w:rPr>
                <w:noProof/>
                <w:color w:val="000000"/>
                <w:highlight w:val="black"/>
              </w:rPr>
              <w:t>'''''''''''''''''''''</w:t>
            </w:r>
          </w:p>
        </w:tc>
        <w:tc>
          <w:tcPr>
            <w:tcW w:w="699" w:type="pct"/>
          </w:tcPr>
          <w:p w:rsidR="0073472E" w:rsidRPr="004E025C" w:rsidRDefault="0073472E" w:rsidP="00322363">
            <w:pPr>
              <w:pStyle w:val="TableText0"/>
            </w:pPr>
          </w:p>
        </w:tc>
      </w:tr>
    </w:tbl>
    <w:p w:rsidR="0073472E" w:rsidRPr="004E025C" w:rsidRDefault="0073472E" w:rsidP="0073472E">
      <w:pPr>
        <w:pStyle w:val="TableFigureFooter"/>
      </w:pPr>
      <w:r w:rsidRPr="004E025C">
        <w:t>Source: Table compiled during the evaluation, based on Table 3.4.1, p124, and Table 3.4.4, p126 of the submission. Italicised values have been calculated.</w:t>
      </w:r>
    </w:p>
    <w:p w:rsidR="0073472E" w:rsidRPr="004E025C" w:rsidRDefault="00C56D7A" w:rsidP="0073472E">
      <w:pPr>
        <w:pStyle w:val="TableFigureFooter"/>
        <w:rPr>
          <w:szCs w:val="18"/>
        </w:rPr>
      </w:pPr>
      <w:r w:rsidRPr="004E025C">
        <w:rPr>
          <w:szCs w:val="18"/>
        </w:rPr>
        <w:t xml:space="preserve">CD = Crohn’s disease, </w:t>
      </w:r>
      <w:r w:rsidR="0073472E" w:rsidRPr="004E025C">
        <w:rPr>
          <w:szCs w:val="18"/>
        </w:rPr>
        <w:t xml:space="preserve">SC = subcutaneous, IV = intravenous, Q2W = every 2 weeks, </w:t>
      </w:r>
      <w:r w:rsidR="009E30F2" w:rsidRPr="004E025C">
        <w:rPr>
          <w:szCs w:val="18"/>
        </w:rPr>
        <w:t>Q8W</w:t>
      </w:r>
      <w:r w:rsidR="0073472E" w:rsidRPr="004E025C">
        <w:rPr>
          <w:szCs w:val="18"/>
        </w:rPr>
        <w:t xml:space="preserve"> = every 8 weeks</w:t>
      </w:r>
      <w:r w:rsidR="00842599" w:rsidRPr="004E025C">
        <w:rPr>
          <w:szCs w:val="18"/>
        </w:rPr>
        <w:t xml:space="preserve">, </w:t>
      </w:r>
      <w:r w:rsidR="00842599" w:rsidRPr="004E025C">
        <w:t>VDZ= vedolizumab</w:t>
      </w:r>
    </w:p>
    <w:p w:rsidR="00DB0C78" w:rsidRPr="004E025C" w:rsidRDefault="00DB0C78" w:rsidP="00DB0C78">
      <w:pPr>
        <w:pStyle w:val="TableFigureFooter"/>
        <w:rPr>
          <w:szCs w:val="18"/>
          <w:vertAlign w:val="superscript"/>
        </w:rPr>
      </w:pPr>
      <w:r w:rsidRPr="004E025C">
        <w:rPr>
          <w:szCs w:val="18"/>
          <w:vertAlign w:val="superscript"/>
        </w:rPr>
        <w:t xml:space="preserve">a </w:t>
      </w:r>
      <w:r w:rsidRPr="004E025C">
        <w:rPr>
          <w:szCs w:val="18"/>
        </w:rPr>
        <w:t>Financial estimates are based on prescription numbers and market share, not a per patient or epidemiological approach.</w:t>
      </w:r>
    </w:p>
    <w:p w:rsidR="00B60939" w:rsidRPr="004E025C" w:rsidRDefault="00B60939" w:rsidP="002B05A1">
      <w:pPr>
        <w:pStyle w:val="4-SubsectionHeading"/>
      </w:pPr>
      <w:bookmarkStart w:id="36" w:name="_Toc22897647"/>
      <w:bookmarkStart w:id="37" w:name="_Toc51141276"/>
      <w:r w:rsidRPr="004E025C">
        <w:t>Estimated PBS usage &amp; financial implications</w:t>
      </w:r>
      <w:bookmarkEnd w:id="36"/>
      <w:bookmarkEnd w:id="37"/>
    </w:p>
    <w:p w:rsidR="00CB5E60" w:rsidRPr="004E025C" w:rsidRDefault="00CB5E60" w:rsidP="00CB5E60">
      <w:pPr>
        <w:pStyle w:val="3-BodyText"/>
        <w:numPr>
          <w:ilvl w:val="1"/>
          <w:numId w:val="1"/>
        </w:numPr>
        <w:rPr>
          <w:color w:val="0066FF"/>
        </w:rPr>
      </w:pPr>
      <w:bookmarkStart w:id="38" w:name="_Toc22897648"/>
      <w:r w:rsidRPr="004E025C">
        <w:t xml:space="preserve">This submission </w:t>
      </w:r>
      <w:r w:rsidR="00FD3921" w:rsidRPr="004E025C">
        <w:t xml:space="preserve">was </w:t>
      </w:r>
      <w:r w:rsidRPr="004E025C">
        <w:t xml:space="preserve">not considered by DUSC. The submission used a market-share approach to predict the likely use and financial impact of listing of </w:t>
      </w:r>
      <w:r w:rsidR="00EF6D33" w:rsidRPr="004E025C">
        <w:t xml:space="preserve">VDZ </w:t>
      </w:r>
      <w:r w:rsidRPr="004E025C">
        <w:t>subcutaneous on the PBS</w:t>
      </w:r>
      <w:r w:rsidR="00DB0C78" w:rsidRPr="004E025C">
        <w:t xml:space="preserve">. </w:t>
      </w:r>
    </w:p>
    <w:p w:rsidR="00B663D0" w:rsidRDefault="00B663D0">
      <w:pPr>
        <w:jc w:val="left"/>
        <w:rPr>
          <w:rFonts w:ascii="Arial Narrow" w:eastAsiaTheme="majorEastAsia" w:hAnsi="Arial Narrow" w:cstheme="majorBidi"/>
          <w:b/>
          <w:bCs/>
          <w:sz w:val="20"/>
        </w:rPr>
      </w:pPr>
      <w:r>
        <w:br w:type="page"/>
      </w:r>
    </w:p>
    <w:p w:rsidR="00CB5E60" w:rsidRPr="004E025C" w:rsidRDefault="00CB5E60" w:rsidP="00CB5E60">
      <w:pPr>
        <w:pStyle w:val="TableFigureHeading"/>
      </w:pPr>
      <w:r w:rsidRPr="004E025C">
        <w:t xml:space="preserve">Table </w:t>
      </w:r>
      <w:r w:rsidR="007E6865">
        <w:rPr>
          <w:noProof/>
        </w:rPr>
        <w:t>16</w:t>
      </w:r>
      <w:r w:rsidRPr="004E025C">
        <w:t>: Key inputs for financial estimates</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1"/>
        <w:gridCol w:w="1133"/>
        <w:gridCol w:w="71"/>
        <w:gridCol w:w="1206"/>
        <w:gridCol w:w="2271"/>
        <w:gridCol w:w="2090"/>
        <w:gridCol w:w="7"/>
      </w:tblGrid>
      <w:tr w:rsidR="00CB5E60" w:rsidRPr="004E025C" w:rsidTr="003F3C00">
        <w:trPr>
          <w:gridAfter w:val="1"/>
          <w:wAfter w:w="5" w:type="pct"/>
          <w:tblHeader/>
        </w:trPr>
        <w:tc>
          <w:tcPr>
            <w:tcW w:w="1251" w:type="pct"/>
            <w:shd w:val="clear" w:color="auto" w:fill="auto"/>
            <w:vAlign w:val="center"/>
          </w:tcPr>
          <w:p w:rsidR="00CB5E60" w:rsidRPr="004E025C" w:rsidRDefault="00CB5E60" w:rsidP="003F3C00">
            <w:pPr>
              <w:pStyle w:val="In-tableHeading"/>
              <w:keepNext w:val="0"/>
              <w:rPr>
                <w:lang w:val="en-AU"/>
              </w:rPr>
            </w:pPr>
            <w:r w:rsidRPr="004E025C">
              <w:rPr>
                <w:lang w:val="en-AU"/>
              </w:rPr>
              <w:t>Parameter</w:t>
            </w:r>
          </w:p>
        </w:tc>
        <w:tc>
          <w:tcPr>
            <w:tcW w:w="1333" w:type="pct"/>
            <w:gridSpan w:val="3"/>
            <w:shd w:val="clear" w:color="auto" w:fill="auto"/>
            <w:vAlign w:val="center"/>
          </w:tcPr>
          <w:p w:rsidR="00CB5E60" w:rsidRPr="004E025C" w:rsidRDefault="00CB5E60" w:rsidP="003F3C00">
            <w:pPr>
              <w:pStyle w:val="In-tableHeading"/>
              <w:keepNext w:val="0"/>
              <w:rPr>
                <w:lang w:val="en-AU"/>
              </w:rPr>
            </w:pPr>
            <w:r w:rsidRPr="004E025C">
              <w:rPr>
                <w:lang w:val="en-AU"/>
              </w:rPr>
              <w:t xml:space="preserve">Value applied </w:t>
            </w:r>
          </w:p>
        </w:tc>
        <w:tc>
          <w:tcPr>
            <w:tcW w:w="1256" w:type="pct"/>
          </w:tcPr>
          <w:p w:rsidR="00CB5E60" w:rsidRPr="004E025C" w:rsidRDefault="00CB5E60" w:rsidP="003F3C00">
            <w:pPr>
              <w:pStyle w:val="In-tableHeading"/>
              <w:keepNext w:val="0"/>
              <w:rPr>
                <w:lang w:val="en-AU"/>
              </w:rPr>
            </w:pPr>
            <w:r w:rsidRPr="004E025C">
              <w:rPr>
                <w:lang w:val="en-AU"/>
              </w:rPr>
              <w:t>Source</w:t>
            </w:r>
          </w:p>
        </w:tc>
        <w:tc>
          <w:tcPr>
            <w:tcW w:w="1156" w:type="pct"/>
            <w:shd w:val="clear" w:color="auto" w:fill="auto"/>
            <w:vAlign w:val="center"/>
          </w:tcPr>
          <w:p w:rsidR="00CB5E60" w:rsidRPr="004E025C" w:rsidRDefault="00CB5E60" w:rsidP="003F3C00">
            <w:pPr>
              <w:pStyle w:val="In-tableHeading"/>
              <w:keepNext w:val="0"/>
              <w:rPr>
                <w:lang w:val="en-AU"/>
              </w:rPr>
            </w:pPr>
            <w:r w:rsidRPr="004E025C">
              <w:rPr>
                <w:lang w:val="en-AU"/>
              </w:rPr>
              <w:t>Comment</w:t>
            </w:r>
          </w:p>
        </w:tc>
      </w:tr>
      <w:tr w:rsidR="00CB5E60" w:rsidRPr="004E025C" w:rsidTr="003F3C00">
        <w:trPr>
          <w:gridAfter w:val="1"/>
          <w:wAfter w:w="5" w:type="pct"/>
        </w:trPr>
        <w:tc>
          <w:tcPr>
            <w:tcW w:w="1251" w:type="pct"/>
            <w:shd w:val="clear" w:color="auto" w:fill="auto"/>
            <w:vAlign w:val="center"/>
          </w:tcPr>
          <w:p w:rsidR="00CB5E60" w:rsidRPr="004E025C" w:rsidRDefault="00CB5E60" w:rsidP="003F3C00">
            <w:pPr>
              <w:pStyle w:val="In-tableHeading"/>
              <w:keepNext w:val="0"/>
              <w:rPr>
                <w:lang w:val="en-AU"/>
              </w:rPr>
            </w:pPr>
            <w:r w:rsidRPr="004E025C">
              <w:rPr>
                <w:lang w:val="en-AU"/>
              </w:rPr>
              <w:t>Size of the market</w:t>
            </w:r>
          </w:p>
        </w:tc>
        <w:tc>
          <w:tcPr>
            <w:tcW w:w="1333" w:type="pct"/>
            <w:gridSpan w:val="3"/>
            <w:shd w:val="clear" w:color="auto" w:fill="auto"/>
            <w:vAlign w:val="center"/>
          </w:tcPr>
          <w:p w:rsidR="00CB5E60" w:rsidRPr="004E025C" w:rsidRDefault="00CB5E60" w:rsidP="003F3C00">
            <w:pPr>
              <w:pStyle w:val="In-tableHeading"/>
              <w:keepNext w:val="0"/>
              <w:rPr>
                <w:lang w:val="en-AU"/>
              </w:rPr>
            </w:pPr>
          </w:p>
        </w:tc>
        <w:tc>
          <w:tcPr>
            <w:tcW w:w="1256" w:type="pct"/>
          </w:tcPr>
          <w:p w:rsidR="00CB5E60" w:rsidRPr="004E025C" w:rsidRDefault="00CB5E60" w:rsidP="003F3C00">
            <w:pPr>
              <w:pStyle w:val="In-tableHeading"/>
              <w:keepNext w:val="0"/>
              <w:rPr>
                <w:lang w:val="en-AU"/>
              </w:rPr>
            </w:pPr>
          </w:p>
        </w:tc>
        <w:tc>
          <w:tcPr>
            <w:tcW w:w="1156" w:type="pct"/>
            <w:shd w:val="clear" w:color="auto" w:fill="auto"/>
            <w:vAlign w:val="center"/>
          </w:tcPr>
          <w:p w:rsidR="00CB5E60" w:rsidRPr="004E025C" w:rsidRDefault="00CB5E60" w:rsidP="003F3C00">
            <w:pPr>
              <w:pStyle w:val="In-tableHeading"/>
              <w:keepNext w:val="0"/>
              <w:rPr>
                <w:lang w:val="en-AU"/>
              </w:rPr>
            </w:pPr>
          </w:p>
        </w:tc>
      </w:tr>
      <w:tr w:rsidR="00CB5E60" w:rsidRPr="004E025C" w:rsidTr="003F3C00">
        <w:trPr>
          <w:gridAfter w:val="1"/>
          <w:wAfter w:w="5" w:type="pct"/>
        </w:trPr>
        <w:tc>
          <w:tcPr>
            <w:tcW w:w="1251" w:type="pct"/>
            <w:shd w:val="clear" w:color="auto" w:fill="auto"/>
            <w:vAlign w:val="center"/>
          </w:tcPr>
          <w:p w:rsidR="00CB5E60" w:rsidRPr="004E025C" w:rsidRDefault="00CB5E60" w:rsidP="003F3C00">
            <w:pPr>
              <w:pStyle w:val="TableText0"/>
              <w:keepNext w:val="0"/>
            </w:pPr>
            <w:r w:rsidRPr="004E025C">
              <w:t>Distribution of initiation vs maintenance scripts for PBS Items for MSUC and CD.</w:t>
            </w:r>
          </w:p>
          <w:p w:rsidR="00CB5E60" w:rsidRPr="004E025C" w:rsidRDefault="00CB5E60" w:rsidP="003F3C00">
            <w:pPr>
              <w:pStyle w:val="TableText0"/>
              <w:keepNext w:val="0"/>
            </w:pPr>
            <w:r w:rsidRPr="004E025C">
              <w:t>MSUC maintenance treatment (2014-2019):</w:t>
            </w:r>
          </w:p>
          <w:p w:rsidR="00CB5E60" w:rsidRPr="004E025C" w:rsidRDefault="00CB5E60" w:rsidP="003F3C00">
            <w:pPr>
              <w:pStyle w:val="TableText0"/>
              <w:keepNext w:val="0"/>
            </w:pPr>
            <w:r w:rsidRPr="004E025C">
              <w:t xml:space="preserve">Adalimumab: 10960W and 10961W </w:t>
            </w:r>
          </w:p>
          <w:p w:rsidR="00CB5E60" w:rsidRPr="004E025C" w:rsidRDefault="00CB5E60" w:rsidP="003F3C00">
            <w:pPr>
              <w:pStyle w:val="TableText0"/>
              <w:keepNext w:val="0"/>
            </w:pPr>
            <w:r w:rsidRPr="004E025C">
              <w:t xml:space="preserve">Golimumab 11381B. </w:t>
            </w:r>
          </w:p>
          <w:p w:rsidR="00CB5E60" w:rsidRPr="004E025C" w:rsidRDefault="00CB5E60" w:rsidP="003F3C00">
            <w:pPr>
              <w:pStyle w:val="TableText0"/>
              <w:keepNext w:val="0"/>
            </w:pPr>
            <w:r w:rsidRPr="004E025C">
              <w:t xml:space="preserve">CD maintenance </w:t>
            </w:r>
          </w:p>
          <w:p w:rsidR="00CB5E60" w:rsidRPr="004E025C" w:rsidRDefault="00CB5E60" w:rsidP="003F3C00">
            <w:pPr>
              <w:pStyle w:val="TableText0"/>
              <w:keepNext w:val="0"/>
            </w:pPr>
            <w:r w:rsidRPr="004E025C">
              <w:t>treatment (2007-2019):</w:t>
            </w:r>
          </w:p>
          <w:p w:rsidR="00CB5E60" w:rsidRPr="004E025C" w:rsidRDefault="00CB5E60" w:rsidP="003F3C00">
            <w:pPr>
              <w:pStyle w:val="TableText0"/>
              <w:keepNext w:val="0"/>
            </w:pPr>
            <w:r w:rsidRPr="004E025C">
              <w:t xml:space="preserve">Adalimumab (9189P and 9191R) </w:t>
            </w:r>
          </w:p>
          <w:p w:rsidR="00CB5E60" w:rsidRPr="004E025C" w:rsidRDefault="00CB5E60" w:rsidP="003F3C00">
            <w:pPr>
              <w:pStyle w:val="TableText0"/>
              <w:keepNext w:val="0"/>
            </w:pPr>
            <w:r w:rsidRPr="004E025C">
              <w:t>All data extrapolated to 2020-2025.</w:t>
            </w:r>
          </w:p>
        </w:tc>
        <w:tc>
          <w:tcPr>
            <w:tcW w:w="1333" w:type="pct"/>
            <w:gridSpan w:val="3"/>
            <w:shd w:val="clear" w:color="auto" w:fill="auto"/>
            <w:vAlign w:val="center"/>
          </w:tcPr>
          <w:p w:rsidR="00CB5E60" w:rsidRPr="004E025C" w:rsidRDefault="00CB5E60" w:rsidP="003F3C00">
            <w:pPr>
              <w:pStyle w:val="TableText0"/>
              <w:keepNext w:val="0"/>
            </w:pPr>
            <w:r w:rsidRPr="004E025C">
              <w:t>See Figure 4.2.1 and 4.2.2 for initiation prescriptions of adalimumab for MSUC and CD</w:t>
            </w:r>
          </w:p>
        </w:tc>
        <w:tc>
          <w:tcPr>
            <w:tcW w:w="1256" w:type="pct"/>
            <w:vAlign w:val="center"/>
          </w:tcPr>
          <w:p w:rsidR="00CB5E60" w:rsidRPr="004E025C" w:rsidRDefault="00CB5E60" w:rsidP="003F3C00">
            <w:pPr>
              <w:pStyle w:val="TableText0"/>
              <w:keepNext w:val="0"/>
            </w:pPr>
            <w:r w:rsidRPr="004E025C">
              <w:t xml:space="preserve">Services Australia PBS statistics </w:t>
            </w:r>
          </w:p>
          <w:p w:rsidR="00CB5E60" w:rsidRPr="004E025C" w:rsidRDefault="00CB5E60" w:rsidP="003F3C00">
            <w:pPr>
              <w:pStyle w:val="TableText0"/>
              <w:keepNext w:val="0"/>
            </w:pPr>
          </w:p>
          <w:p w:rsidR="00CB5E60" w:rsidRPr="004E025C" w:rsidRDefault="00CB5E60" w:rsidP="003F3C00">
            <w:pPr>
              <w:pStyle w:val="TableText0"/>
              <w:keepNext w:val="0"/>
            </w:pPr>
          </w:p>
        </w:tc>
        <w:tc>
          <w:tcPr>
            <w:tcW w:w="1156" w:type="pct"/>
            <w:shd w:val="clear" w:color="auto" w:fill="auto"/>
            <w:vAlign w:val="center"/>
          </w:tcPr>
          <w:p w:rsidR="00CB5E60" w:rsidRPr="004E025C" w:rsidRDefault="00CB5E60" w:rsidP="003F3C00">
            <w:pPr>
              <w:pStyle w:val="TableText0"/>
              <w:keepNext w:val="0"/>
            </w:pPr>
            <w:r w:rsidRPr="004E025C">
              <w:t>This data source was appropriate. It could be supplemented by 2017 DUSC reports for MSUC and CD to reflect market overview for all bDMDs used in MSUC &amp; CD treatment. Infliximab is not included in calculations/projections since PBS item codes for infliximab did not allow separation of initiation vs continuing treatment scripts prior to October 2019.</w:t>
            </w:r>
          </w:p>
        </w:tc>
      </w:tr>
      <w:tr w:rsidR="00CB5E60" w:rsidRPr="004E025C" w:rsidTr="003F3C00">
        <w:trPr>
          <w:gridAfter w:val="1"/>
          <w:wAfter w:w="5" w:type="pct"/>
        </w:trPr>
        <w:tc>
          <w:tcPr>
            <w:tcW w:w="1251" w:type="pct"/>
            <w:shd w:val="clear" w:color="auto" w:fill="auto"/>
            <w:vAlign w:val="center"/>
          </w:tcPr>
          <w:p w:rsidR="00CB5E60" w:rsidRPr="004E025C" w:rsidRDefault="00CB5E60" w:rsidP="003F3C00">
            <w:pPr>
              <w:pStyle w:val="TableText0"/>
              <w:keepNext w:val="0"/>
            </w:pPr>
            <w:r w:rsidRPr="004E025C">
              <w:t xml:space="preserve">Estimated number of maintenance prescriptions for </w:t>
            </w:r>
            <w:r w:rsidR="00621C90" w:rsidRPr="004E025C">
              <w:t>VDZ IV</w:t>
            </w:r>
          </w:p>
        </w:tc>
        <w:tc>
          <w:tcPr>
            <w:tcW w:w="627" w:type="pct"/>
            <w:shd w:val="clear" w:color="auto" w:fill="auto"/>
            <w:vAlign w:val="center"/>
          </w:tcPr>
          <w:p w:rsidR="00CB5E60" w:rsidRPr="004E025C" w:rsidRDefault="00CB5E60" w:rsidP="003F3C00">
            <w:pPr>
              <w:pStyle w:val="TableText0"/>
              <w:keepNext w:val="0"/>
              <w:rPr>
                <w:u w:val="single"/>
              </w:rPr>
            </w:pPr>
            <w:r w:rsidRPr="004E025C">
              <w:rPr>
                <w:u w:val="single"/>
              </w:rPr>
              <w:t>MSUC:</w:t>
            </w:r>
          </w:p>
          <w:p w:rsidR="00CB5E60" w:rsidRPr="00055457" w:rsidRDefault="00CB5E60" w:rsidP="003F3C00">
            <w:pPr>
              <w:pStyle w:val="TableText0"/>
              <w:keepNext w:val="0"/>
              <w:rPr>
                <w:vertAlign w:val="superscript"/>
              </w:rPr>
            </w:pPr>
            <w:r w:rsidRPr="004E025C">
              <w:t xml:space="preserve">Yr 1: </w:t>
            </w:r>
            <w:r w:rsidR="00055457">
              <w:rPr>
                <w:noProof/>
                <w:color w:val="000000"/>
                <w:highlight w:val="black"/>
              </w:rPr>
              <w:t>'''''''''''''''</w:t>
            </w:r>
            <w:r w:rsidR="00611B5D" w:rsidRPr="00611B5D">
              <w:rPr>
                <w:vertAlign w:val="superscript"/>
              </w:rPr>
              <w:t>1</w:t>
            </w:r>
          </w:p>
          <w:p w:rsidR="00CB5E60" w:rsidRPr="004E025C" w:rsidRDefault="00CB5E60" w:rsidP="003F3C00">
            <w:pPr>
              <w:pStyle w:val="TableText0"/>
              <w:keepNext w:val="0"/>
            </w:pPr>
            <w:r w:rsidRPr="004E025C">
              <w:t xml:space="preserve">Yr 2: </w:t>
            </w:r>
            <w:r w:rsidR="00055457">
              <w:rPr>
                <w:noProof/>
                <w:color w:val="000000"/>
                <w:highlight w:val="black"/>
              </w:rPr>
              <w:t>'''''''''''''''</w:t>
            </w:r>
            <w:r w:rsidR="00611B5D" w:rsidRPr="00611B5D">
              <w:rPr>
                <w:vertAlign w:val="superscript"/>
              </w:rPr>
              <w:t>1</w:t>
            </w:r>
          </w:p>
          <w:p w:rsidR="00CB5E60" w:rsidRPr="00611B5D" w:rsidRDefault="00CB5E60" w:rsidP="003F3C00">
            <w:pPr>
              <w:pStyle w:val="TableText0"/>
              <w:keepNext w:val="0"/>
              <w:rPr>
                <w:vertAlign w:val="superscript"/>
              </w:rPr>
            </w:pPr>
            <w:r w:rsidRPr="004E025C">
              <w:t xml:space="preserve">Yr 3: </w:t>
            </w:r>
            <w:r w:rsidR="00055457">
              <w:rPr>
                <w:noProof/>
                <w:color w:val="000000"/>
                <w:highlight w:val="black"/>
              </w:rPr>
              <w:t>'''''''''''''''</w:t>
            </w:r>
            <w:r w:rsidR="00611B5D" w:rsidRPr="00611B5D">
              <w:rPr>
                <w:vertAlign w:val="superscript"/>
              </w:rPr>
              <w:t>2</w:t>
            </w:r>
          </w:p>
          <w:p w:rsidR="00CB5E60" w:rsidRPr="004E025C" w:rsidRDefault="00CB5E60" w:rsidP="003F3C00">
            <w:pPr>
              <w:pStyle w:val="TableText0"/>
              <w:keepNext w:val="0"/>
            </w:pPr>
            <w:r w:rsidRPr="004E025C">
              <w:t xml:space="preserve">Yr 4: </w:t>
            </w:r>
            <w:r w:rsidR="00055457">
              <w:rPr>
                <w:noProof/>
                <w:color w:val="000000"/>
                <w:highlight w:val="black"/>
              </w:rPr>
              <w:t>''''''''''''''''''</w:t>
            </w:r>
            <w:r w:rsidR="00611B5D" w:rsidRPr="00611B5D">
              <w:rPr>
                <w:vertAlign w:val="superscript"/>
              </w:rPr>
              <w:t>2</w:t>
            </w:r>
          </w:p>
          <w:p w:rsidR="00CB5E60" w:rsidRPr="00055457" w:rsidRDefault="00CB5E60" w:rsidP="003F3C00">
            <w:pPr>
              <w:pStyle w:val="TableText0"/>
              <w:keepNext w:val="0"/>
            </w:pPr>
            <w:r w:rsidRPr="004E025C">
              <w:t xml:space="preserve">Yr 5: </w:t>
            </w:r>
            <w:r w:rsidR="00055457">
              <w:rPr>
                <w:noProof/>
                <w:color w:val="000000"/>
                <w:highlight w:val="black"/>
              </w:rPr>
              <w:t>''''''''''''''''</w:t>
            </w:r>
            <w:r w:rsidR="00611B5D" w:rsidRPr="00611B5D">
              <w:rPr>
                <w:vertAlign w:val="superscript"/>
              </w:rPr>
              <w:t>2</w:t>
            </w:r>
          </w:p>
          <w:p w:rsidR="00CB5E60" w:rsidRPr="004E025C" w:rsidRDefault="00CB5E60" w:rsidP="003F3C00">
            <w:pPr>
              <w:pStyle w:val="TableText0"/>
              <w:keepNext w:val="0"/>
            </w:pPr>
            <w:r w:rsidRPr="004E025C">
              <w:t xml:space="preserve">Yr 6: </w:t>
            </w:r>
            <w:r w:rsidR="00055457">
              <w:rPr>
                <w:noProof/>
                <w:color w:val="000000"/>
                <w:highlight w:val="black"/>
              </w:rPr>
              <w:t>'''''''''''''''''</w:t>
            </w:r>
            <w:r w:rsidR="00611B5D" w:rsidRPr="00611B5D">
              <w:rPr>
                <w:vertAlign w:val="superscript"/>
              </w:rPr>
              <w:t>2</w:t>
            </w:r>
          </w:p>
        </w:tc>
        <w:tc>
          <w:tcPr>
            <w:tcW w:w="706" w:type="pct"/>
            <w:gridSpan w:val="2"/>
            <w:shd w:val="clear" w:color="auto" w:fill="auto"/>
            <w:vAlign w:val="center"/>
          </w:tcPr>
          <w:p w:rsidR="00CB5E60" w:rsidRPr="004E025C" w:rsidRDefault="00CB5E60" w:rsidP="003F3C00">
            <w:pPr>
              <w:pStyle w:val="TableText0"/>
              <w:keepNext w:val="0"/>
              <w:rPr>
                <w:u w:val="single"/>
              </w:rPr>
            </w:pPr>
            <w:r w:rsidRPr="004E025C">
              <w:rPr>
                <w:u w:val="single"/>
              </w:rPr>
              <w:t>CD:</w:t>
            </w:r>
          </w:p>
          <w:p w:rsidR="00CB5E60" w:rsidRPr="00611B5D" w:rsidRDefault="00CB5E60" w:rsidP="003F3C00">
            <w:pPr>
              <w:pStyle w:val="TableText0"/>
              <w:keepNext w:val="0"/>
              <w:rPr>
                <w:vertAlign w:val="superscript"/>
              </w:rPr>
            </w:pPr>
            <w:r w:rsidRPr="004E025C">
              <w:t xml:space="preserve">Yr 1: </w:t>
            </w:r>
            <w:r w:rsidR="00055457">
              <w:rPr>
                <w:noProof/>
                <w:color w:val="000000"/>
                <w:highlight w:val="black"/>
              </w:rPr>
              <w:t>''''''''''''</w:t>
            </w:r>
            <w:r w:rsidR="00611B5D" w:rsidRPr="00611B5D">
              <w:rPr>
                <w:vertAlign w:val="superscript"/>
              </w:rPr>
              <w:t>3</w:t>
            </w:r>
          </w:p>
          <w:p w:rsidR="00CB5E60" w:rsidRPr="00611B5D" w:rsidRDefault="00CB5E60" w:rsidP="003F3C00">
            <w:pPr>
              <w:pStyle w:val="TableText0"/>
              <w:keepNext w:val="0"/>
              <w:rPr>
                <w:vertAlign w:val="superscript"/>
              </w:rPr>
            </w:pPr>
            <w:r w:rsidRPr="004E025C">
              <w:t xml:space="preserve">Yr 2: </w:t>
            </w:r>
            <w:r w:rsidR="00055457">
              <w:rPr>
                <w:noProof/>
                <w:color w:val="000000"/>
                <w:highlight w:val="black"/>
              </w:rPr>
              <w:t>'''''''''''''''</w:t>
            </w:r>
            <w:r w:rsidR="00611B5D" w:rsidRPr="00611B5D">
              <w:rPr>
                <w:vertAlign w:val="superscript"/>
              </w:rPr>
              <w:t>3</w:t>
            </w:r>
          </w:p>
          <w:p w:rsidR="00CB5E60" w:rsidRPr="00611B5D" w:rsidRDefault="00CB5E60" w:rsidP="003F3C00">
            <w:pPr>
              <w:pStyle w:val="TableText0"/>
              <w:keepNext w:val="0"/>
              <w:rPr>
                <w:vertAlign w:val="superscript"/>
              </w:rPr>
            </w:pPr>
            <w:r w:rsidRPr="004E025C">
              <w:t xml:space="preserve">Yr 3: </w:t>
            </w:r>
            <w:r w:rsidR="00055457">
              <w:rPr>
                <w:noProof/>
                <w:color w:val="000000"/>
                <w:highlight w:val="black"/>
              </w:rPr>
              <w:t>''''''''''''''''</w:t>
            </w:r>
            <w:r w:rsidR="00611B5D">
              <w:rPr>
                <w:vertAlign w:val="superscript"/>
              </w:rPr>
              <w:t>1</w:t>
            </w:r>
          </w:p>
          <w:p w:rsidR="00CB5E60" w:rsidRPr="004E025C" w:rsidRDefault="00CB5E60" w:rsidP="003F3C00">
            <w:pPr>
              <w:pStyle w:val="TableText0"/>
              <w:keepNext w:val="0"/>
            </w:pPr>
            <w:r w:rsidRPr="004E025C">
              <w:t xml:space="preserve">Yr 4: </w:t>
            </w:r>
            <w:r w:rsidR="00055457">
              <w:rPr>
                <w:noProof/>
                <w:color w:val="000000"/>
                <w:highlight w:val="black"/>
              </w:rPr>
              <w:t>'''''''''''''''''</w:t>
            </w:r>
            <w:r w:rsidR="00611B5D">
              <w:rPr>
                <w:vertAlign w:val="superscript"/>
              </w:rPr>
              <w:t>1</w:t>
            </w:r>
          </w:p>
          <w:p w:rsidR="00CB5E60" w:rsidRPr="004E025C" w:rsidRDefault="00CB5E60" w:rsidP="003F3C00">
            <w:pPr>
              <w:pStyle w:val="TableText0"/>
              <w:keepNext w:val="0"/>
            </w:pPr>
            <w:r w:rsidRPr="004E025C">
              <w:t xml:space="preserve">Yr 5: </w:t>
            </w:r>
            <w:r w:rsidR="00055457">
              <w:rPr>
                <w:noProof/>
                <w:color w:val="000000"/>
                <w:highlight w:val="black"/>
              </w:rPr>
              <w:t>'''''''''''''''</w:t>
            </w:r>
            <w:r w:rsidR="00611B5D">
              <w:rPr>
                <w:vertAlign w:val="superscript"/>
              </w:rPr>
              <w:t>1</w:t>
            </w:r>
          </w:p>
          <w:p w:rsidR="00CB5E60" w:rsidRPr="004E025C" w:rsidRDefault="00CB5E60" w:rsidP="003F3C00">
            <w:pPr>
              <w:pStyle w:val="TableText0"/>
              <w:keepNext w:val="0"/>
            </w:pPr>
            <w:r w:rsidRPr="004E025C">
              <w:t xml:space="preserve">Yr 6: </w:t>
            </w:r>
            <w:r w:rsidR="00055457">
              <w:rPr>
                <w:noProof/>
                <w:color w:val="000000"/>
                <w:highlight w:val="black"/>
              </w:rPr>
              <w:t>''''''''''''''''</w:t>
            </w:r>
            <w:r w:rsidR="00611B5D">
              <w:rPr>
                <w:vertAlign w:val="superscript"/>
              </w:rPr>
              <w:t>1</w:t>
            </w:r>
          </w:p>
        </w:tc>
        <w:tc>
          <w:tcPr>
            <w:tcW w:w="1256" w:type="pct"/>
            <w:vAlign w:val="center"/>
          </w:tcPr>
          <w:p w:rsidR="00CB5E60" w:rsidRPr="004E025C" w:rsidRDefault="00CB5E60" w:rsidP="003F3C00">
            <w:pPr>
              <w:pStyle w:val="TableText0"/>
              <w:keepNext w:val="0"/>
            </w:pPr>
            <w:r w:rsidRPr="004E025C">
              <w:t>Observed/predicted distributions of other bDMDs (for MSUC adalimumab and golimumab and for CD adalimumab) applied to the aggregated VDZ IV prescription volumes, adjusted for time of listing.</w:t>
            </w:r>
          </w:p>
        </w:tc>
        <w:tc>
          <w:tcPr>
            <w:tcW w:w="1156" w:type="pct"/>
            <w:shd w:val="clear" w:color="auto" w:fill="auto"/>
            <w:vAlign w:val="center"/>
          </w:tcPr>
          <w:p w:rsidR="00CB5E60" w:rsidRPr="004E025C" w:rsidRDefault="00CB5E60" w:rsidP="003F3C00">
            <w:pPr>
              <w:pStyle w:val="TableText0"/>
              <w:keepNext w:val="0"/>
            </w:pPr>
            <w:r w:rsidRPr="004E025C">
              <w:t xml:space="preserve">These estimates appeared reasonable. However, PBS 10% sample for all patients treated with PBS script for VDZ IV could present a more accurate estimation for breakdown of patients (initiation, switch in/out, continuation, discontinuation, etc). </w:t>
            </w:r>
          </w:p>
        </w:tc>
      </w:tr>
      <w:tr w:rsidR="00CB5E60" w:rsidRPr="004E025C" w:rsidTr="003F3C00">
        <w:tc>
          <w:tcPr>
            <w:tcW w:w="5000" w:type="pct"/>
            <w:gridSpan w:val="7"/>
            <w:shd w:val="clear" w:color="auto" w:fill="auto"/>
            <w:vAlign w:val="center"/>
          </w:tcPr>
          <w:p w:rsidR="00CB5E60" w:rsidRPr="004E025C" w:rsidRDefault="00CB5E60" w:rsidP="003F3C00">
            <w:pPr>
              <w:pStyle w:val="TableText0"/>
              <w:keepNext w:val="0"/>
            </w:pPr>
            <w:r w:rsidRPr="004E025C">
              <w:rPr>
                <w:b/>
              </w:rPr>
              <w:t>Expected substitution rates</w:t>
            </w:r>
          </w:p>
        </w:tc>
      </w:tr>
      <w:tr w:rsidR="00CB5E60" w:rsidRPr="004E025C" w:rsidTr="003F3C00">
        <w:trPr>
          <w:gridAfter w:val="1"/>
          <w:wAfter w:w="5" w:type="pct"/>
        </w:trPr>
        <w:tc>
          <w:tcPr>
            <w:tcW w:w="1251" w:type="pct"/>
            <w:shd w:val="clear" w:color="auto" w:fill="auto"/>
            <w:vAlign w:val="center"/>
          </w:tcPr>
          <w:p w:rsidR="00CB5E60" w:rsidRPr="004E025C" w:rsidRDefault="00CB5E60" w:rsidP="003F3C00">
            <w:pPr>
              <w:pStyle w:val="TableText0"/>
              <w:keepNext w:val="0"/>
            </w:pPr>
            <w:r w:rsidRPr="004E025C">
              <w:t>Proportion of VDZ IV scripts replaced by VDZ SC</w:t>
            </w:r>
          </w:p>
        </w:tc>
        <w:tc>
          <w:tcPr>
            <w:tcW w:w="666" w:type="pct"/>
            <w:gridSpan w:val="2"/>
            <w:shd w:val="clear" w:color="auto" w:fill="auto"/>
            <w:vAlign w:val="center"/>
          </w:tcPr>
          <w:p w:rsidR="00CB5E60" w:rsidRPr="004E025C" w:rsidRDefault="00CB5E60" w:rsidP="003F3C00">
            <w:pPr>
              <w:pStyle w:val="TableText0"/>
              <w:keepNext w:val="0"/>
              <w:rPr>
                <w:u w:val="single"/>
              </w:rPr>
            </w:pPr>
            <w:r w:rsidRPr="004E025C">
              <w:rPr>
                <w:u w:val="single"/>
              </w:rPr>
              <w:t>MSUC:</w:t>
            </w:r>
          </w:p>
          <w:p w:rsidR="00CB5E60" w:rsidRPr="004E025C" w:rsidRDefault="00CB5E60" w:rsidP="003F3C00">
            <w:pPr>
              <w:pStyle w:val="TableText0"/>
              <w:keepNext w:val="0"/>
            </w:pPr>
            <w:r w:rsidRPr="004E025C">
              <w:t xml:space="preserve">Yr 1: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2: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3: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4: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5: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6: </w:t>
            </w:r>
            <w:r w:rsidR="00084C98">
              <w:rPr>
                <w:noProof/>
                <w:color w:val="000000"/>
                <w:highlight w:val="black"/>
              </w:rPr>
              <w:t>'''''''</w:t>
            </w:r>
            <w:r w:rsidRPr="004E025C">
              <w:t>%</w:t>
            </w:r>
          </w:p>
        </w:tc>
        <w:tc>
          <w:tcPr>
            <w:tcW w:w="667" w:type="pct"/>
            <w:shd w:val="clear" w:color="auto" w:fill="auto"/>
            <w:vAlign w:val="center"/>
          </w:tcPr>
          <w:p w:rsidR="00CB5E60" w:rsidRPr="004E025C" w:rsidRDefault="00CB5E60" w:rsidP="003F3C00">
            <w:pPr>
              <w:pStyle w:val="TableText0"/>
              <w:keepNext w:val="0"/>
              <w:rPr>
                <w:u w:val="single"/>
              </w:rPr>
            </w:pPr>
            <w:r w:rsidRPr="004E025C">
              <w:rPr>
                <w:u w:val="single"/>
              </w:rPr>
              <w:t>CD:</w:t>
            </w:r>
          </w:p>
          <w:p w:rsidR="00CB5E60" w:rsidRPr="004E025C" w:rsidRDefault="00CB5E60" w:rsidP="003F3C00">
            <w:pPr>
              <w:pStyle w:val="TableText0"/>
              <w:keepNext w:val="0"/>
            </w:pPr>
            <w:r w:rsidRPr="004E025C">
              <w:t xml:space="preserve">Yr 1: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2: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3: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4: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5: </w:t>
            </w:r>
            <w:r w:rsidR="00084C98">
              <w:rPr>
                <w:noProof/>
                <w:color w:val="000000"/>
                <w:highlight w:val="black"/>
              </w:rPr>
              <w:t>'''''''</w:t>
            </w:r>
            <w:r w:rsidRPr="004E025C">
              <w:t>%</w:t>
            </w:r>
          </w:p>
          <w:p w:rsidR="00CB5E60" w:rsidRPr="004E025C" w:rsidRDefault="00CB5E60" w:rsidP="003F3C00">
            <w:pPr>
              <w:pStyle w:val="TableText0"/>
              <w:keepNext w:val="0"/>
            </w:pPr>
            <w:r w:rsidRPr="004E025C">
              <w:t xml:space="preserve">Yr 6: </w:t>
            </w:r>
            <w:r w:rsidR="00084C98">
              <w:rPr>
                <w:noProof/>
                <w:color w:val="000000"/>
                <w:highlight w:val="black"/>
              </w:rPr>
              <w:t>'''''</w:t>
            </w:r>
            <w:r w:rsidRPr="004E025C">
              <w:t>%</w:t>
            </w:r>
          </w:p>
        </w:tc>
        <w:tc>
          <w:tcPr>
            <w:tcW w:w="1256" w:type="pct"/>
            <w:vAlign w:val="center"/>
          </w:tcPr>
          <w:p w:rsidR="00CB5E60" w:rsidRPr="004E025C" w:rsidRDefault="00CB5E60" w:rsidP="003F3C00">
            <w:pPr>
              <w:pStyle w:val="TableText0"/>
              <w:keepNext w:val="0"/>
            </w:pPr>
            <w:r w:rsidRPr="004E025C">
              <w:t>Assumption</w:t>
            </w:r>
          </w:p>
        </w:tc>
        <w:tc>
          <w:tcPr>
            <w:tcW w:w="1156" w:type="pct"/>
            <w:shd w:val="clear" w:color="auto" w:fill="auto"/>
            <w:vAlign w:val="center"/>
          </w:tcPr>
          <w:p w:rsidR="00CB5E60" w:rsidRPr="004E025C" w:rsidRDefault="00CB5E60" w:rsidP="003F3C00">
            <w:pPr>
              <w:pStyle w:val="TableText0"/>
              <w:keepNext w:val="0"/>
            </w:pPr>
            <w:r w:rsidRPr="004E025C">
              <w:t xml:space="preserve">The sponsor did not provide any rationale for this assumption. </w:t>
            </w:r>
          </w:p>
        </w:tc>
      </w:tr>
      <w:tr w:rsidR="00CB5E60" w:rsidRPr="004E025C" w:rsidTr="003F3C00">
        <w:trPr>
          <w:gridAfter w:val="1"/>
          <w:wAfter w:w="5" w:type="pct"/>
        </w:trPr>
        <w:tc>
          <w:tcPr>
            <w:tcW w:w="1251" w:type="pct"/>
            <w:shd w:val="clear" w:color="auto" w:fill="auto"/>
            <w:vAlign w:val="center"/>
          </w:tcPr>
          <w:p w:rsidR="00CB5E60" w:rsidRPr="004E025C" w:rsidRDefault="00CB5E60" w:rsidP="003F3C00">
            <w:pPr>
              <w:pStyle w:val="TableText0"/>
              <w:keepNext w:val="0"/>
            </w:pPr>
            <w:r w:rsidRPr="004E025C">
              <w:t>Scripts dispensed for VDZ SC</w:t>
            </w:r>
          </w:p>
        </w:tc>
        <w:tc>
          <w:tcPr>
            <w:tcW w:w="666" w:type="pct"/>
            <w:gridSpan w:val="2"/>
            <w:shd w:val="clear" w:color="auto" w:fill="auto"/>
            <w:vAlign w:val="center"/>
          </w:tcPr>
          <w:p w:rsidR="00CB5E60" w:rsidRPr="004E025C" w:rsidRDefault="00CB5E60" w:rsidP="003F3C00">
            <w:pPr>
              <w:pStyle w:val="TableText0"/>
              <w:keepNext w:val="0"/>
              <w:rPr>
                <w:u w:val="single"/>
              </w:rPr>
            </w:pPr>
            <w:r w:rsidRPr="004E025C">
              <w:rPr>
                <w:u w:val="single"/>
              </w:rPr>
              <w:t>MSUC:</w:t>
            </w:r>
          </w:p>
          <w:p w:rsidR="00CB5E60" w:rsidRPr="00611B5D" w:rsidRDefault="00CB5E60" w:rsidP="003F3C00">
            <w:pPr>
              <w:pStyle w:val="TableText0"/>
              <w:keepNext w:val="0"/>
              <w:rPr>
                <w:vertAlign w:val="superscript"/>
              </w:rPr>
            </w:pPr>
            <w:r w:rsidRPr="004E025C">
              <w:t xml:space="preserve">Yr 1: </w:t>
            </w:r>
            <w:r w:rsidR="00055457">
              <w:rPr>
                <w:noProof/>
                <w:color w:val="000000"/>
                <w:highlight w:val="black"/>
              </w:rPr>
              <w:t>'''''''''''''</w:t>
            </w:r>
            <w:r w:rsidR="00611B5D">
              <w:rPr>
                <w:vertAlign w:val="superscript"/>
              </w:rPr>
              <w:t>3</w:t>
            </w:r>
          </w:p>
          <w:p w:rsidR="00CB5E60" w:rsidRPr="00611B5D" w:rsidRDefault="00CB5E60" w:rsidP="003F3C00">
            <w:pPr>
              <w:pStyle w:val="TableText0"/>
              <w:keepNext w:val="0"/>
              <w:rPr>
                <w:vertAlign w:val="superscript"/>
              </w:rPr>
            </w:pPr>
            <w:r w:rsidRPr="004E025C">
              <w:t xml:space="preserve">Yr 2: </w:t>
            </w:r>
            <w:r w:rsidR="00055457">
              <w:rPr>
                <w:noProof/>
                <w:color w:val="000000"/>
                <w:highlight w:val="black"/>
              </w:rPr>
              <w:t>''''''''''''''''</w:t>
            </w:r>
            <w:r w:rsidR="00611B5D">
              <w:rPr>
                <w:vertAlign w:val="superscript"/>
              </w:rPr>
              <w:t>1</w:t>
            </w:r>
          </w:p>
          <w:p w:rsidR="00CB5E60" w:rsidRPr="00611B5D" w:rsidRDefault="00CB5E60" w:rsidP="003F3C00">
            <w:pPr>
              <w:pStyle w:val="TableText0"/>
              <w:keepNext w:val="0"/>
              <w:rPr>
                <w:vertAlign w:val="superscript"/>
              </w:rPr>
            </w:pPr>
            <w:r w:rsidRPr="004E025C">
              <w:t xml:space="preserve">Yr 3: </w:t>
            </w:r>
            <w:r w:rsidR="00055457">
              <w:rPr>
                <w:noProof/>
                <w:color w:val="000000"/>
                <w:highlight w:val="black"/>
              </w:rPr>
              <w:t>'''''''''''''''''</w:t>
            </w:r>
            <w:r w:rsidR="00611B5D">
              <w:rPr>
                <w:vertAlign w:val="superscript"/>
              </w:rPr>
              <w:t>1</w:t>
            </w:r>
          </w:p>
          <w:p w:rsidR="00CB5E60" w:rsidRPr="00611B5D" w:rsidRDefault="00CB5E60" w:rsidP="003F3C00">
            <w:pPr>
              <w:pStyle w:val="TableText0"/>
              <w:keepNext w:val="0"/>
              <w:rPr>
                <w:vertAlign w:val="superscript"/>
              </w:rPr>
            </w:pPr>
            <w:r w:rsidRPr="004E025C">
              <w:t xml:space="preserve">Yr 4: </w:t>
            </w:r>
            <w:r w:rsidR="00055457">
              <w:rPr>
                <w:noProof/>
                <w:color w:val="000000"/>
                <w:highlight w:val="black"/>
              </w:rPr>
              <w:t>'''''''''''''''</w:t>
            </w:r>
            <w:r w:rsidR="00611B5D">
              <w:rPr>
                <w:vertAlign w:val="superscript"/>
              </w:rPr>
              <w:t>1</w:t>
            </w:r>
          </w:p>
          <w:p w:rsidR="00CB5E60" w:rsidRPr="00611B5D" w:rsidRDefault="00CB5E60" w:rsidP="003F3C00">
            <w:pPr>
              <w:pStyle w:val="TableText0"/>
              <w:keepNext w:val="0"/>
              <w:rPr>
                <w:vertAlign w:val="superscript"/>
              </w:rPr>
            </w:pPr>
            <w:r w:rsidRPr="004E025C">
              <w:t xml:space="preserve">Yr 5: </w:t>
            </w:r>
            <w:r w:rsidR="00055457">
              <w:rPr>
                <w:noProof/>
                <w:color w:val="000000"/>
                <w:highlight w:val="black"/>
              </w:rPr>
              <w:t>'''''''''''''''</w:t>
            </w:r>
            <w:r w:rsidR="00611B5D">
              <w:rPr>
                <w:vertAlign w:val="superscript"/>
              </w:rPr>
              <w:t>2</w:t>
            </w:r>
          </w:p>
          <w:p w:rsidR="00CB5E60" w:rsidRPr="00611B5D" w:rsidRDefault="00CB5E60" w:rsidP="003F3C00">
            <w:pPr>
              <w:pStyle w:val="TableText0"/>
              <w:keepNext w:val="0"/>
              <w:rPr>
                <w:vertAlign w:val="superscript"/>
              </w:rPr>
            </w:pPr>
            <w:r w:rsidRPr="004E025C">
              <w:t xml:space="preserve">Yr 6: </w:t>
            </w:r>
            <w:r w:rsidR="00055457">
              <w:rPr>
                <w:noProof/>
                <w:color w:val="000000"/>
                <w:highlight w:val="black"/>
              </w:rPr>
              <w:t>''''''''''''''''</w:t>
            </w:r>
            <w:r w:rsidR="00611B5D">
              <w:rPr>
                <w:vertAlign w:val="superscript"/>
              </w:rPr>
              <w:t>2</w:t>
            </w:r>
          </w:p>
        </w:tc>
        <w:tc>
          <w:tcPr>
            <w:tcW w:w="667" w:type="pct"/>
            <w:shd w:val="clear" w:color="auto" w:fill="auto"/>
            <w:vAlign w:val="center"/>
          </w:tcPr>
          <w:p w:rsidR="00CB5E60" w:rsidRPr="004E025C" w:rsidRDefault="00CB5E60" w:rsidP="003F3C00">
            <w:pPr>
              <w:pStyle w:val="TableText0"/>
              <w:keepNext w:val="0"/>
              <w:rPr>
                <w:u w:val="single"/>
              </w:rPr>
            </w:pPr>
            <w:r w:rsidRPr="004E025C">
              <w:rPr>
                <w:u w:val="single"/>
              </w:rPr>
              <w:t>CD:</w:t>
            </w:r>
          </w:p>
          <w:p w:rsidR="00CB5E60" w:rsidRPr="00611B5D" w:rsidRDefault="00CB5E60" w:rsidP="003F3C00">
            <w:pPr>
              <w:pStyle w:val="TableText0"/>
              <w:keepNext w:val="0"/>
              <w:rPr>
                <w:vertAlign w:val="superscript"/>
              </w:rPr>
            </w:pPr>
            <w:r w:rsidRPr="004E025C">
              <w:t xml:space="preserve">Yr 1: </w:t>
            </w:r>
            <w:r w:rsidR="00055457">
              <w:rPr>
                <w:noProof/>
                <w:color w:val="000000"/>
                <w:highlight w:val="black"/>
              </w:rPr>
              <w:t>''''''''''''''</w:t>
            </w:r>
            <w:r w:rsidR="00611B5D">
              <w:rPr>
                <w:vertAlign w:val="superscript"/>
              </w:rPr>
              <w:t>3</w:t>
            </w:r>
          </w:p>
          <w:p w:rsidR="00CB5E60" w:rsidRPr="00611B5D" w:rsidRDefault="00CB5E60" w:rsidP="003F3C00">
            <w:pPr>
              <w:pStyle w:val="TableText0"/>
              <w:keepNext w:val="0"/>
              <w:rPr>
                <w:vertAlign w:val="superscript"/>
              </w:rPr>
            </w:pPr>
            <w:r w:rsidRPr="004E025C">
              <w:t xml:space="preserve">Yr 2: </w:t>
            </w:r>
            <w:r w:rsidR="00055457">
              <w:rPr>
                <w:noProof/>
                <w:color w:val="000000"/>
                <w:highlight w:val="black"/>
              </w:rPr>
              <w:t>'''''''''''''</w:t>
            </w:r>
            <w:r w:rsidR="00611B5D">
              <w:rPr>
                <w:vertAlign w:val="superscript"/>
              </w:rPr>
              <w:t>3</w:t>
            </w:r>
          </w:p>
          <w:p w:rsidR="00CB5E60" w:rsidRPr="00611B5D" w:rsidRDefault="00CB5E60" w:rsidP="003F3C00">
            <w:pPr>
              <w:pStyle w:val="TableText0"/>
              <w:keepNext w:val="0"/>
              <w:rPr>
                <w:vertAlign w:val="superscript"/>
              </w:rPr>
            </w:pPr>
            <w:r w:rsidRPr="004E025C">
              <w:t xml:space="preserve">Yr 3: </w:t>
            </w:r>
            <w:r w:rsidR="00055457">
              <w:rPr>
                <w:noProof/>
                <w:color w:val="000000"/>
                <w:highlight w:val="black"/>
              </w:rPr>
              <w:t>''''''''''''''''</w:t>
            </w:r>
            <w:r w:rsidR="00611B5D">
              <w:rPr>
                <w:vertAlign w:val="superscript"/>
              </w:rPr>
              <w:t>1</w:t>
            </w:r>
          </w:p>
          <w:p w:rsidR="00CB5E60" w:rsidRPr="00611B5D" w:rsidRDefault="00CB5E60" w:rsidP="003F3C00">
            <w:pPr>
              <w:pStyle w:val="TableText0"/>
              <w:keepNext w:val="0"/>
              <w:rPr>
                <w:vertAlign w:val="superscript"/>
              </w:rPr>
            </w:pPr>
            <w:r w:rsidRPr="004E025C">
              <w:t xml:space="preserve">Yr 4: </w:t>
            </w:r>
            <w:r w:rsidR="00055457">
              <w:rPr>
                <w:noProof/>
                <w:color w:val="000000"/>
                <w:highlight w:val="black"/>
              </w:rPr>
              <w:t>'''''''''''''''</w:t>
            </w:r>
            <w:r w:rsidR="00611B5D">
              <w:rPr>
                <w:vertAlign w:val="superscript"/>
              </w:rPr>
              <w:t>1</w:t>
            </w:r>
          </w:p>
          <w:p w:rsidR="00CB5E60" w:rsidRPr="00611B5D" w:rsidRDefault="00CB5E60" w:rsidP="003F3C00">
            <w:pPr>
              <w:pStyle w:val="TableText0"/>
              <w:keepNext w:val="0"/>
              <w:rPr>
                <w:vertAlign w:val="superscript"/>
              </w:rPr>
            </w:pPr>
            <w:r w:rsidRPr="004E025C">
              <w:t xml:space="preserve">Yr 5: </w:t>
            </w:r>
            <w:r w:rsidR="00055457">
              <w:rPr>
                <w:noProof/>
                <w:color w:val="000000"/>
                <w:highlight w:val="black"/>
              </w:rPr>
              <w:t>''''''''''''''''</w:t>
            </w:r>
            <w:r w:rsidR="00611B5D">
              <w:rPr>
                <w:vertAlign w:val="superscript"/>
              </w:rPr>
              <w:t>1</w:t>
            </w:r>
          </w:p>
          <w:p w:rsidR="00CB5E60" w:rsidRPr="00611B5D" w:rsidRDefault="00CB5E60" w:rsidP="003F3C00">
            <w:pPr>
              <w:pStyle w:val="TableText0"/>
              <w:keepNext w:val="0"/>
              <w:rPr>
                <w:vertAlign w:val="superscript"/>
              </w:rPr>
            </w:pPr>
            <w:r w:rsidRPr="004E025C">
              <w:t xml:space="preserve">Yr 6: </w:t>
            </w:r>
            <w:r w:rsidR="00055457">
              <w:rPr>
                <w:noProof/>
                <w:color w:val="000000"/>
                <w:highlight w:val="black"/>
              </w:rPr>
              <w:t>'''''''''''''''</w:t>
            </w:r>
            <w:r w:rsidR="00611B5D">
              <w:rPr>
                <w:vertAlign w:val="superscript"/>
              </w:rPr>
              <w:t>1</w:t>
            </w:r>
          </w:p>
        </w:tc>
        <w:tc>
          <w:tcPr>
            <w:tcW w:w="1256" w:type="pct"/>
            <w:vAlign w:val="center"/>
          </w:tcPr>
          <w:p w:rsidR="00CB5E60" w:rsidRPr="004E025C" w:rsidRDefault="00CB5E60" w:rsidP="003F3C00">
            <w:pPr>
              <w:pStyle w:val="TableText0"/>
              <w:keepNext w:val="0"/>
              <w:rPr>
                <w:u w:val="single"/>
              </w:rPr>
            </w:pPr>
            <w:r w:rsidRPr="004E025C">
              <w:rPr>
                <w:u w:val="single"/>
              </w:rPr>
              <w:t>MSUC:</w:t>
            </w:r>
          </w:p>
          <w:p w:rsidR="00CB5E60" w:rsidRPr="004E025C" w:rsidRDefault="00CB5E60" w:rsidP="003F3C00">
            <w:pPr>
              <w:pStyle w:val="TableText0"/>
              <w:keepNext w:val="0"/>
            </w:pPr>
            <w:r w:rsidRPr="004E025C">
              <w:t>PBS item codes for VDZ IV do not differentiate between initiation and maintenance treatment. Observed/predicted distributions of adalimumab and golimumab are applied to the aggregated VDZ IV prescription volumes, adjusted for time of listing. Linear and logarithmic trend analysis using MS Excel built-in function is applied to estimate projected number of maintenance prescriptions for VDZ IV.</w:t>
            </w:r>
          </w:p>
          <w:p w:rsidR="00CB5E60" w:rsidRPr="004E025C" w:rsidRDefault="00CB5E60" w:rsidP="003F3C00">
            <w:pPr>
              <w:pStyle w:val="TableText0"/>
              <w:keepNext w:val="0"/>
            </w:pPr>
            <w:r w:rsidRPr="004E025C">
              <w:rPr>
                <w:u w:val="single"/>
              </w:rPr>
              <w:t>CD</w:t>
            </w:r>
            <w:r w:rsidRPr="004E025C">
              <w:t xml:space="preserve">: </w:t>
            </w:r>
          </w:p>
          <w:p w:rsidR="00CB5E60" w:rsidRPr="004E025C" w:rsidRDefault="00CB5E60" w:rsidP="003F3C00">
            <w:pPr>
              <w:pStyle w:val="TableText0"/>
              <w:keepNext w:val="0"/>
            </w:pPr>
            <w:r w:rsidRPr="004E025C">
              <w:t>Same methodology and calculations used for VDZ IV prescription predictions based on observed/predicted distributions of adalimumab only.</w:t>
            </w:r>
          </w:p>
        </w:tc>
        <w:tc>
          <w:tcPr>
            <w:tcW w:w="1156" w:type="pct"/>
            <w:shd w:val="clear" w:color="auto" w:fill="auto"/>
            <w:vAlign w:val="center"/>
          </w:tcPr>
          <w:p w:rsidR="00CB5E60" w:rsidRPr="004E025C" w:rsidRDefault="00CB5E60" w:rsidP="003F3C00">
            <w:pPr>
              <w:pStyle w:val="TableText0"/>
              <w:keepNext w:val="0"/>
            </w:pPr>
            <w:r w:rsidRPr="004E025C">
              <w:t xml:space="preserve">PBS 10% sample for all patients treated with PBS script for VDZ IV could present a more accurate estimation for breakdown of patients (initiation, switch in/out, continuation, discontinuation, etc). </w:t>
            </w:r>
          </w:p>
          <w:p w:rsidR="00CB5E60" w:rsidRPr="004E025C" w:rsidRDefault="00CB5E60" w:rsidP="003F3C00">
            <w:pPr>
              <w:pStyle w:val="TableText0"/>
              <w:keepNext w:val="0"/>
            </w:pPr>
            <w:r w:rsidRPr="004E025C">
              <w:t xml:space="preserve">This data could be supplemented by 2017 DUSC reports for MSUC and CD. </w:t>
            </w:r>
          </w:p>
          <w:p w:rsidR="00CB5E60" w:rsidRPr="004E025C" w:rsidRDefault="00CB5E60" w:rsidP="003F3C00">
            <w:pPr>
              <w:pStyle w:val="TableText0"/>
              <w:keepNext w:val="0"/>
            </w:pPr>
          </w:p>
          <w:p w:rsidR="00CB5E60" w:rsidRPr="004E025C" w:rsidRDefault="00CB5E60" w:rsidP="003F3C00">
            <w:pPr>
              <w:pStyle w:val="TableFigureHeading"/>
              <w:keepNext w:val="0"/>
            </w:pPr>
          </w:p>
        </w:tc>
      </w:tr>
      <w:tr w:rsidR="00CB5E60" w:rsidRPr="004E025C" w:rsidTr="003F3C00">
        <w:trPr>
          <w:gridAfter w:val="1"/>
          <w:wAfter w:w="5" w:type="pct"/>
        </w:trPr>
        <w:tc>
          <w:tcPr>
            <w:tcW w:w="1251" w:type="pct"/>
            <w:shd w:val="clear" w:color="auto" w:fill="auto"/>
            <w:vAlign w:val="center"/>
          </w:tcPr>
          <w:p w:rsidR="00CB5E60" w:rsidRPr="004E025C" w:rsidRDefault="00CB5E60" w:rsidP="003F3C00">
            <w:pPr>
              <w:pStyle w:val="TableText0"/>
              <w:keepNext w:val="0"/>
            </w:pPr>
            <w:r w:rsidRPr="004E025C">
              <w:t xml:space="preserve">Number of injections per patient year </w:t>
            </w:r>
          </w:p>
        </w:tc>
        <w:tc>
          <w:tcPr>
            <w:tcW w:w="1333" w:type="pct"/>
            <w:gridSpan w:val="3"/>
            <w:shd w:val="clear" w:color="auto" w:fill="auto"/>
            <w:vAlign w:val="center"/>
          </w:tcPr>
          <w:p w:rsidR="00CB5E60" w:rsidRPr="004E025C" w:rsidRDefault="00CB5E60" w:rsidP="003F3C00">
            <w:pPr>
              <w:pStyle w:val="TableText0"/>
              <w:keepNext w:val="0"/>
            </w:pPr>
            <w:r w:rsidRPr="004E025C">
              <w:t>VDZ SC: 52 pen or PFS</w:t>
            </w:r>
          </w:p>
          <w:p w:rsidR="00CB5E60" w:rsidRPr="004E025C" w:rsidRDefault="00CB5E60" w:rsidP="003F3C00">
            <w:pPr>
              <w:pStyle w:val="TableText0"/>
              <w:keepNext w:val="0"/>
            </w:pPr>
            <w:r w:rsidRPr="004E025C">
              <w:t>(equals to 26 pack)</w:t>
            </w:r>
          </w:p>
        </w:tc>
        <w:tc>
          <w:tcPr>
            <w:tcW w:w="1256" w:type="pct"/>
            <w:vAlign w:val="center"/>
          </w:tcPr>
          <w:p w:rsidR="00CB5E60" w:rsidRPr="004E025C" w:rsidRDefault="00CB5E60" w:rsidP="003F3C00">
            <w:pPr>
              <w:pStyle w:val="TableText0"/>
              <w:keepNext w:val="0"/>
            </w:pPr>
            <w:r w:rsidRPr="004E025C">
              <w:t>PI</w:t>
            </w:r>
          </w:p>
        </w:tc>
        <w:tc>
          <w:tcPr>
            <w:tcW w:w="1156" w:type="pct"/>
            <w:shd w:val="clear" w:color="auto" w:fill="auto"/>
            <w:vAlign w:val="center"/>
          </w:tcPr>
          <w:p w:rsidR="00CB5E60" w:rsidRPr="004E025C" w:rsidRDefault="00CB5E60" w:rsidP="003F3C00">
            <w:pPr>
              <w:pStyle w:val="TableText0"/>
              <w:keepNext w:val="0"/>
            </w:pPr>
            <w:r w:rsidRPr="004E025C">
              <w:t>This is reasonable.</w:t>
            </w:r>
          </w:p>
        </w:tc>
      </w:tr>
      <w:tr w:rsidR="00CB5E60" w:rsidRPr="004E025C" w:rsidTr="003F3C00">
        <w:trPr>
          <w:gridAfter w:val="1"/>
          <w:wAfter w:w="5" w:type="pct"/>
        </w:trPr>
        <w:tc>
          <w:tcPr>
            <w:tcW w:w="1251" w:type="pct"/>
            <w:shd w:val="clear" w:color="auto" w:fill="auto"/>
            <w:vAlign w:val="center"/>
          </w:tcPr>
          <w:p w:rsidR="00CB5E60" w:rsidRPr="004E025C" w:rsidRDefault="00CB5E60" w:rsidP="003F3C00">
            <w:pPr>
              <w:pStyle w:val="TableText0"/>
              <w:keepNext w:val="0"/>
            </w:pPr>
            <w:r w:rsidRPr="004E025C">
              <w:rPr>
                <w:bCs w:val="0"/>
              </w:rPr>
              <w:t>Public : Private split</w:t>
            </w:r>
          </w:p>
        </w:tc>
        <w:tc>
          <w:tcPr>
            <w:tcW w:w="1333" w:type="pct"/>
            <w:gridSpan w:val="3"/>
            <w:shd w:val="clear" w:color="auto" w:fill="auto"/>
            <w:vAlign w:val="center"/>
          </w:tcPr>
          <w:p w:rsidR="00CB5E60" w:rsidRPr="004E025C" w:rsidRDefault="00CB5E60" w:rsidP="003F3C00">
            <w:pPr>
              <w:pStyle w:val="TableText0"/>
              <w:keepNext w:val="0"/>
              <w:rPr>
                <w:u w:val="single"/>
              </w:rPr>
            </w:pPr>
            <w:r w:rsidRPr="004E025C">
              <w:rPr>
                <w:u w:val="single"/>
              </w:rPr>
              <w:t>MSUC</w:t>
            </w:r>
            <w:r w:rsidRPr="004E025C">
              <w:t>: 61.9% : 38.1%</w:t>
            </w:r>
          </w:p>
          <w:p w:rsidR="00CB5E60" w:rsidRPr="004E025C" w:rsidRDefault="00CB5E60" w:rsidP="003F3C00">
            <w:pPr>
              <w:pStyle w:val="TableText0"/>
              <w:keepNext w:val="0"/>
            </w:pPr>
            <w:r w:rsidRPr="004E025C">
              <w:rPr>
                <w:u w:val="single"/>
              </w:rPr>
              <w:t>CD</w:t>
            </w:r>
            <w:r w:rsidRPr="004E025C">
              <w:t>: 64.7% : 35:3%</w:t>
            </w:r>
          </w:p>
        </w:tc>
        <w:tc>
          <w:tcPr>
            <w:tcW w:w="1256" w:type="pct"/>
            <w:vAlign w:val="center"/>
          </w:tcPr>
          <w:p w:rsidR="00CB5E60" w:rsidRPr="004E025C" w:rsidRDefault="00CB5E60" w:rsidP="003F3C00">
            <w:pPr>
              <w:pStyle w:val="TableText0"/>
              <w:keepNext w:val="0"/>
            </w:pPr>
            <w:r w:rsidRPr="004E025C">
              <w:t xml:space="preserve">PBS statistics from Jan 2019 to Dec 2019 for VDZ IV items for: </w:t>
            </w:r>
          </w:p>
          <w:p w:rsidR="00CB5E60" w:rsidRPr="004E025C" w:rsidRDefault="00CB5E60" w:rsidP="003F3C00">
            <w:pPr>
              <w:pStyle w:val="TableText0"/>
              <w:keepNext w:val="0"/>
            </w:pPr>
            <w:r w:rsidRPr="004E025C">
              <w:t>MSUC: 10384M and 10398G</w:t>
            </w:r>
          </w:p>
          <w:p w:rsidR="00CB5E60" w:rsidRPr="004E025C" w:rsidRDefault="00CB5E60" w:rsidP="003F3C00">
            <w:pPr>
              <w:pStyle w:val="TableText0"/>
              <w:keepNext w:val="0"/>
            </w:pPr>
            <w:r w:rsidRPr="004E025C">
              <w:t>CD: 10390W and 10415E</w:t>
            </w:r>
          </w:p>
        </w:tc>
        <w:tc>
          <w:tcPr>
            <w:tcW w:w="1156" w:type="pct"/>
            <w:shd w:val="clear" w:color="auto" w:fill="auto"/>
            <w:vAlign w:val="center"/>
          </w:tcPr>
          <w:p w:rsidR="00CB5E60" w:rsidRPr="004E025C" w:rsidRDefault="00CB5E60" w:rsidP="003F3C00">
            <w:pPr>
              <w:pStyle w:val="TableText0"/>
              <w:keepNext w:val="0"/>
            </w:pPr>
            <w:r w:rsidRPr="004E025C">
              <w:t>This is reasonable.</w:t>
            </w:r>
          </w:p>
          <w:p w:rsidR="00CB5E60" w:rsidRPr="004E025C" w:rsidRDefault="00CB5E60" w:rsidP="003F3C00">
            <w:pPr>
              <w:pStyle w:val="TableText0"/>
              <w:keepNext w:val="0"/>
            </w:pPr>
          </w:p>
        </w:tc>
      </w:tr>
    </w:tbl>
    <w:p w:rsidR="00CB5E60" w:rsidRPr="004E025C" w:rsidRDefault="00AA5A7B" w:rsidP="00CB5E60">
      <w:pPr>
        <w:pStyle w:val="TableFigureFooter"/>
      </w:pPr>
      <w:r w:rsidRPr="004E025C">
        <w:t>Source: Table 4.1.1, pp128-9,</w:t>
      </w:r>
      <w:r w:rsidR="00CB5E60" w:rsidRPr="004E025C">
        <w:t xml:space="preserve"> Table 4.2.2, pp 135-6</w:t>
      </w:r>
      <w:r w:rsidR="00F21206" w:rsidRPr="004E025C">
        <w:t>, Table</w:t>
      </w:r>
      <w:r w:rsidR="00CB5E60" w:rsidRPr="004E025C">
        <w:t xml:space="preserve"> 4.2.3, p 135  Table 4.2.4, p 137 of the submission.</w:t>
      </w:r>
    </w:p>
    <w:p w:rsidR="00CB5E60" w:rsidRDefault="00CB5E60" w:rsidP="00CB5E60">
      <w:pPr>
        <w:pStyle w:val="TableFigureFooter"/>
        <w:rPr>
          <w:szCs w:val="18"/>
        </w:rPr>
      </w:pPr>
      <w:r w:rsidRPr="004E025C">
        <w:rPr>
          <w:szCs w:val="18"/>
        </w:rPr>
        <w:t xml:space="preserve">PBS = Pharmaceutical Benefits Scheme, MSUC = Moderate to Severe Ulcerative Colitis, CD = Crohn’s Disease, DUSC = Drug utilisation sub-committee, bDMDs = biologic disease modifying drugs, VDZ SC = vedolizumab subcutaneous, VDZ IV = vedolizumab intravenous, PFS = pre-filled syringe, AEMP = Approved Ex-Manufacturer Price, DPMQ = Dispensed Price for Maximum Quantity, </w:t>
      </w:r>
      <w:r w:rsidRPr="004E025C">
        <w:t>PI = product information,</w:t>
      </w:r>
      <w:r w:rsidRPr="004E025C">
        <w:rPr>
          <w:szCs w:val="18"/>
        </w:rPr>
        <w:t xml:space="preserve"> MBS = Medicare Benefits Schedule</w:t>
      </w:r>
    </w:p>
    <w:p w:rsidR="00611B5D" w:rsidRPr="00611B5D" w:rsidRDefault="00611B5D" w:rsidP="00CB5E60">
      <w:pPr>
        <w:pStyle w:val="TableFigureFooter"/>
        <w:rPr>
          <w:i/>
          <w:szCs w:val="18"/>
        </w:rPr>
      </w:pPr>
      <w:r w:rsidRPr="00611B5D">
        <w:rPr>
          <w:i/>
          <w:szCs w:val="18"/>
        </w:rPr>
        <w:t>The redacted values correspond to the following ranges:</w:t>
      </w:r>
    </w:p>
    <w:p w:rsidR="00611B5D" w:rsidRPr="00611B5D" w:rsidRDefault="00611B5D" w:rsidP="00CB5E60">
      <w:pPr>
        <w:pStyle w:val="TableFigureFooter"/>
        <w:rPr>
          <w:i/>
          <w:szCs w:val="18"/>
        </w:rPr>
      </w:pPr>
      <w:r w:rsidRPr="00611B5D">
        <w:rPr>
          <w:i/>
          <w:szCs w:val="18"/>
          <w:vertAlign w:val="superscript"/>
        </w:rPr>
        <w:t>1</w:t>
      </w:r>
      <w:r w:rsidRPr="00611B5D">
        <w:rPr>
          <w:i/>
          <w:szCs w:val="18"/>
        </w:rPr>
        <w:t>10,000 to &lt;20,000</w:t>
      </w:r>
    </w:p>
    <w:p w:rsidR="00611B5D" w:rsidRPr="00611B5D" w:rsidRDefault="00611B5D" w:rsidP="00CB5E60">
      <w:pPr>
        <w:pStyle w:val="TableFigureFooter"/>
        <w:rPr>
          <w:i/>
          <w:szCs w:val="18"/>
        </w:rPr>
      </w:pPr>
      <w:r w:rsidRPr="00611B5D">
        <w:rPr>
          <w:i/>
          <w:szCs w:val="18"/>
          <w:vertAlign w:val="superscript"/>
        </w:rPr>
        <w:t>2</w:t>
      </w:r>
      <w:r w:rsidRPr="00611B5D">
        <w:rPr>
          <w:i/>
          <w:szCs w:val="18"/>
        </w:rPr>
        <w:t>20,000 to &lt;30,000</w:t>
      </w:r>
    </w:p>
    <w:p w:rsidR="00611B5D" w:rsidRPr="00611B5D" w:rsidRDefault="00611B5D" w:rsidP="00CB5E60">
      <w:pPr>
        <w:pStyle w:val="TableFigureFooter"/>
        <w:rPr>
          <w:i/>
          <w:szCs w:val="18"/>
        </w:rPr>
      </w:pPr>
      <w:r w:rsidRPr="00611B5D">
        <w:rPr>
          <w:i/>
          <w:szCs w:val="18"/>
          <w:vertAlign w:val="superscript"/>
        </w:rPr>
        <w:t>3</w:t>
      </w:r>
      <w:r w:rsidRPr="00611B5D">
        <w:rPr>
          <w:i/>
          <w:szCs w:val="18"/>
        </w:rPr>
        <w:t>5,000 to &lt;10,000</w:t>
      </w:r>
    </w:p>
    <w:p w:rsidR="00D74EB5" w:rsidRPr="004E025C" w:rsidRDefault="00CB5E60" w:rsidP="00E779C2">
      <w:pPr>
        <w:pStyle w:val="3-BodyText"/>
      </w:pPr>
      <w:r w:rsidRPr="004E025C">
        <w:t xml:space="preserve">The total cost to the PBS/RPBS of listing </w:t>
      </w:r>
      <w:r w:rsidR="00621C90" w:rsidRPr="004E025C">
        <w:t>VDZ SC</w:t>
      </w:r>
      <w:r w:rsidRPr="004E025C">
        <w:t xml:space="preserve"> was estimated to be $</w:t>
      </w:r>
      <w:r w:rsidR="003D2A3B">
        <w:t>0 to &lt;$10 million</w:t>
      </w:r>
      <w:r w:rsidRPr="004E025C">
        <w:t xml:space="preserve"> in Year 6, and a total of $</w:t>
      </w:r>
      <w:r w:rsidR="003D2A3B">
        <w:t>20 to &lt;$30</w:t>
      </w:r>
      <w:r w:rsidRPr="004E025C">
        <w:t xml:space="preserve"> million in the first 6 years of listing. This was based on the indication-specific proposed effective </w:t>
      </w:r>
      <w:r w:rsidR="009E30F2">
        <w:t>DPMQs</w:t>
      </w:r>
      <w:r w:rsidRPr="004E025C">
        <w:t xml:space="preserve"> for </w:t>
      </w:r>
      <w:r w:rsidR="00621C90" w:rsidRPr="004E025C">
        <w:t>VDZ SC</w:t>
      </w:r>
      <w:r w:rsidRPr="004E025C">
        <w:t xml:space="preserve"> and indication-specific effective DPMQs for </w:t>
      </w:r>
      <w:r w:rsidR="00621C90" w:rsidRPr="004E025C">
        <w:t>VDZ IV</w:t>
      </w:r>
      <w:r w:rsidRPr="004E025C">
        <w:t xml:space="preserve">, which </w:t>
      </w:r>
      <w:r w:rsidR="009E30F2">
        <w:t>were</w:t>
      </w:r>
      <w:r w:rsidRPr="004E025C">
        <w:t xml:space="preserve"> known by the submission. </w:t>
      </w:r>
      <w:r w:rsidR="00D74EB5" w:rsidRPr="004E025C">
        <w:t>Calculation errors were identified in the financial analysis Excel workbook</w:t>
      </w:r>
      <w:r w:rsidR="00692475" w:rsidRPr="004E025C">
        <w:t>,</w:t>
      </w:r>
      <w:r w:rsidR="00D74EB5" w:rsidRPr="004E025C">
        <w:t xml:space="preserve"> which results in different utilisation rates across beneficiary types. In addition, an (average) 80% rebate rate for the MBS 116 cost offset was included in the revised calculations </w:t>
      </w:r>
      <w:r w:rsidR="00C57DCD" w:rsidRPr="004E025C">
        <w:t>during the evaluation.</w:t>
      </w:r>
      <w:r w:rsidR="00D74EB5" w:rsidRPr="004E025C">
        <w:t xml:space="preserve"> </w:t>
      </w:r>
      <w:r w:rsidR="0069211B" w:rsidRPr="004E025C">
        <w:t>The PSCR (p stated that revising the subtotal to include the December 2019 figures only impacts the distribution of prescriptions by beneficiary type and thus the patient co-payments, but not the total number of prescriptions for VDZ SC. The net cost to the PBS</w:t>
      </w:r>
      <w:r w:rsidR="00692475" w:rsidRPr="004E025C">
        <w:t>/RPBS</w:t>
      </w:r>
      <w:r w:rsidR="0069211B" w:rsidRPr="004E025C">
        <w:t xml:space="preserve"> was marginally underestimated</w:t>
      </w:r>
      <w:r w:rsidR="00AA5A7B" w:rsidRPr="004E025C">
        <w:t>; the revised numbers in the PSCR were $</w:t>
      </w:r>
      <w:r w:rsidR="003D2A3B">
        <w:t xml:space="preserve">0 to &lt;$10 million </w:t>
      </w:r>
      <w:r w:rsidR="00AA5A7B" w:rsidRPr="004E025C">
        <w:t>to $</w:t>
      </w:r>
      <w:r w:rsidR="003D2A3B">
        <w:t xml:space="preserve">0 to &lt;$10 million </w:t>
      </w:r>
      <w:r w:rsidR="00AA5A7B" w:rsidRPr="004E025C">
        <w:t>higher over Years 1 to 6, respectively</w:t>
      </w:r>
      <w:r w:rsidR="0069211B" w:rsidRPr="004E025C">
        <w:t xml:space="preserve">. It is noted that no </w:t>
      </w:r>
      <w:r w:rsidR="009E30F2">
        <w:t>E</w:t>
      </w:r>
      <w:r w:rsidR="009E30F2" w:rsidRPr="004E025C">
        <w:t>xcel work</w:t>
      </w:r>
      <w:r w:rsidR="009E30F2">
        <w:t>book</w:t>
      </w:r>
      <w:r w:rsidR="009E30F2" w:rsidRPr="004E025C">
        <w:t xml:space="preserve"> </w:t>
      </w:r>
      <w:r w:rsidR="0069211B" w:rsidRPr="004E025C">
        <w:t>was supplied with the PSCR and these results could not be replicated based on the U</w:t>
      </w:r>
      <w:r w:rsidR="00762AB5" w:rsidRPr="004E025C">
        <w:t xml:space="preserve">tilisation and </w:t>
      </w:r>
      <w:r w:rsidR="0069211B" w:rsidRPr="004E025C">
        <w:t>C</w:t>
      </w:r>
      <w:r w:rsidR="00762AB5" w:rsidRPr="004E025C">
        <w:t xml:space="preserve">ost </w:t>
      </w:r>
      <w:r w:rsidR="0069211B" w:rsidRPr="004E025C">
        <w:t>M</w:t>
      </w:r>
      <w:r w:rsidR="00762AB5" w:rsidRPr="004E025C">
        <w:t>odel</w:t>
      </w:r>
      <w:r w:rsidR="0069211B" w:rsidRPr="004E025C">
        <w:t xml:space="preserve"> workbook received during submission. </w:t>
      </w:r>
    </w:p>
    <w:p w:rsidR="000D3D47" w:rsidRPr="004E025C" w:rsidRDefault="00CB5E60" w:rsidP="003F3C00">
      <w:pPr>
        <w:pStyle w:val="3-BodyText"/>
        <w:numPr>
          <w:ilvl w:val="1"/>
          <w:numId w:val="1"/>
        </w:numPr>
        <w:rPr>
          <w:rFonts w:cs="Times New Roman"/>
          <w:i/>
        </w:rPr>
      </w:pPr>
      <w:r w:rsidRPr="004E025C">
        <w:t xml:space="preserve">The financial impact of listing </w:t>
      </w:r>
      <w:r w:rsidR="00621C90" w:rsidRPr="004E025C">
        <w:t>VDZ SC</w:t>
      </w:r>
      <w:r w:rsidRPr="004E025C">
        <w:t xml:space="preserve"> is underestimated as the cost-offsets are calculated based on full schedule fee of MBS item 14245</w:t>
      </w:r>
      <w:r w:rsidR="00A23E14" w:rsidRPr="004E025C">
        <w:t>, rather than MBS item 116</w:t>
      </w:r>
      <w:r w:rsidRPr="004E025C">
        <w:t xml:space="preserve">. </w:t>
      </w:r>
      <w:r w:rsidR="00CE63E6" w:rsidRPr="004E025C">
        <w:t xml:space="preserve">The PSCR </w:t>
      </w:r>
      <w:r w:rsidR="00A167BE" w:rsidRPr="004E025C">
        <w:t xml:space="preserve">noted that the financial analysis was revised during the evaluation </w:t>
      </w:r>
      <w:r w:rsidR="00CE63E6" w:rsidRPr="004E025C">
        <w:t>using an average 80% benefit for MBS item 116</w:t>
      </w:r>
      <w:r w:rsidR="00A167BE" w:rsidRPr="004E025C">
        <w:t>. T</w:t>
      </w:r>
      <w:r w:rsidR="00037E92" w:rsidRPr="004E025C">
        <w:t>he S</w:t>
      </w:r>
      <w:r w:rsidR="00A07689" w:rsidRPr="004E025C">
        <w:t>ponsor</w:t>
      </w:r>
      <w:r w:rsidR="00CE63E6" w:rsidRPr="004E025C">
        <w:t xml:space="preserve"> considered that</w:t>
      </w:r>
      <w:r w:rsidR="000E1DDA" w:rsidRPr="004E025C">
        <w:t xml:space="preserve"> </w:t>
      </w:r>
      <w:r w:rsidR="00CE63E6" w:rsidRPr="004E025C">
        <w:t>the 85% MBS benefit should be applied</w:t>
      </w:r>
      <w:r w:rsidR="000E1DDA" w:rsidRPr="004E025C">
        <w:t>, and revised the analysis accordingly</w:t>
      </w:r>
      <w:r w:rsidR="00A167BE" w:rsidRPr="004E025C">
        <w:t xml:space="preserve"> in the PSCR</w:t>
      </w:r>
      <w:r w:rsidR="00CE63E6" w:rsidRPr="004E025C">
        <w:t>.</w:t>
      </w:r>
      <w:r w:rsidR="00A167BE" w:rsidRPr="004E025C">
        <w:t xml:space="preserve"> However, </w:t>
      </w:r>
      <w:r w:rsidR="00AA5A7B" w:rsidRPr="004E025C">
        <w:t xml:space="preserve">it is </w:t>
      </w:r>
      <w:r w:rsidR="00A167BE" w:rsidRPr="004E025C">
        <w:t>the 80% benefit</w:t>
      </w:r>
      <w:r w:rsidR="00AA5A7B" w:rsidRPr="004E025C">
        <w:t xml:space="preserve"> that</w:t>
      </w:r>
      <w:r w:rsidR="00A167BE" w:rsidRPr="004E025C">
        <w:t xml:space="preserve"> should be applied, as it is in line with the User Manual for the Utilisation and Cost Model Workbook: “The Workbook calculates the financial impact at 80% of the Schedule fee and is indicative only” (Section 12.1.1.1, pg 47) and a footnote states “This figure [80%] is the average between the 75% and 85% rebate rate”.</w:t>
      </w:r>
      <w:bookmarkEnd w:id="38"/>
      <w:r w:rsidR="003F3C00" w:rsidRPr="004E025C">
        <w:rPr>
          <w:rFonts w:cs="Times New Roman"/>
          <w:i/>
        </w:rPr>
        <w:t xml:space="preserve"> </w:t>
      </w:r>
    </w:p>
    <w:p w:rsidR="00044C4F" w:rsidRPr="004E025C" w:rsidRDefault="000D3D47" w:rsidP="003F3C00">
      <w:pPr>
        <w:ind w:firstLine="720"/>
        <w:contextualSpacing/>
        <w:rPr>
          <w:highlight w:val="yellow"/>
        </w:rPr>
      </w:pPr>
      <w:r w:rsidRPr="004E025C">
        <w:rPr>
          <w:rFonts w:cs="Times New Roman"/>
          <w:i/>
        </w:rPr>
        <w:t>For more detail on PBAC’s view, see section 7 PBAC outcome.</w:t>
      </w:r>
    </w:p>
    <w:p w:rsidR="00A3364E" w:rsidRPr="004E025C" w:rsidRDefault="00A3364E" w:rsidP="00523F6B">
      <w:pPr>
        <w:pStyle w:val="2-SectionHeading"/>
        <w:numPr>
          <w:ilvl w:val="0"/>
          <w:numId w:val="1"/>
        </w:numPr>
      </w:pPr>
      <w:r w:rsidRPr="004E025C">
        <w:t>PBAC Outcome</w:t>
      </w:r>
    </w:p>
    <w:p w:rsidR="002C2F8A" w:rsidRPr="004E025C" w:rsidRDefault="00A3364E" w:rsidP="0062746A">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The P</w:t>
      </w:r>
      <w:r w:rsidR="00523F6B" w:rsidRPr="004E025C">
        <w:rPr>
          <w:rFonts w:asciiTheme="minorHAnsi" w:hAnsiTheme="minorHAnsi"/>
          <w:bCs/>
          <w:snapToGrid w:val="0"/>
        </w:rPr>
        <w:t xml:space="preserve">BAC recommended the listing of </w:t>
      </w:r>
      <w:r w:rsidR="00C95948" w:rsidRPr="004E025C">
        <w:rPr>
          <w:rFonts w:asciiTheme="minorHAnsi" w:hAnsiTheme="minorHAnsi"/>
          <w:bCs/>
          <w:snapToGrid w:val="0"/>
        </w:rPr>
        <w:t>vedolizumab (</w:t>
      </w:r>
      <w:r w:rsidR="00523F6B" w:rsidRPr="004E025C">
        <w:rPr>
          <w:rFonts w:asciiTheme="minorHAnsi" w:hAnsiTheme="minorHAnsi"/>
          <w:bCs/>
          <w:snapToGrid w:val="0"/>
        </w:rPr>
        <w:t>VDZ</w:t>
      </w:r>
      <w:r w:rsidR="00C95948" w:rsidRPr="004E025C">
        <w:rPr>
          <w:rFonts w:asciiTheme="minorHAnsi" w:hAnsiTheme="minorHAnsi"/>
          <w:bCs/>
          <w:snapToGrid w:val="0"/>
        </w:rPr>
        <w:t>)</w:t>
      </w:r>
      <w:r w:rsidR="00523F6B" w:rsidRPr="004E025C">
        <w:rPr>
          <w:rFonts w:asciiTheme="minorHAnsi" w:hAnsiTheme="minorHAnsi"/>
          <w:bCs/>
          <w:snapToGrid w:val="0"/>
        </w:rPr>
        <w:t xml:space="preserve"> </w:t>
      </w:r>
      <w:r w:rsidR="00C95948" w:rsidRPr="004E025C">
        <w:rPr>
          <w:rFonts w:asciiTheme="minorHAnsi" w:hAnsiTheme="minorHAnsi"/>
          <w:bCs/>
          <w:snapToGrid w:val="0"/>
        </w:rPr>
        <w:t>subcutaneous (</w:t>
      </w:r>
      <w:r w:rsidR="00523F6B" w:rsidRPr="004E025C">
        <w:rPr>
          <w:rFonts w:asciiTheme="minorHAnsi" w:hAnsiTheme="minorHAnsi"/>
          <w:bCs/>
          <w:snapToGrid w:val="0"/>
        </w:rPr>
        <w:t>SC</w:t>
      </w:r>
      <w:r w:rsidR="00C95948" w:rsidRPr="004E025C">
        <w:rPr>
          <w:rFonts w:asciiTheme="minorHAnsi" w:hAnsiTheme="minorHAnsi"/>
          <w:bCs/>
          <w:snapToGrid w:val="0"/>
        </w:rPr>
        <w:t>)</w:t>
      </w:r>
      <w:r w:rsidR="0070558B" w:rsidRPr="004E025C">
        <w:rPr>
          <w:rFonts w:asciiTheme="minorHAnsi" w:hAnsiTheme="minorHAnsi"/>
          <w:bCs/>
          <w:snapToGrid w:val="0"/>
        </w:rPr>
        <w:t xml:space="preserve"> on the General Schedule (Section 85)</w:t>
      </w:r>
      <w:r w:rsidRPr="004E025C">
        <w:rPr>
          <w:rFonts w:asciiTheme="minorHAnsi" w:hAnsiTheme="minorHAnsi"/>
          <w:bCs/>
          <w:snapToGrid w:val="0"/>
        </w:rPr>
        <w:t xml:space="preserve">, </w:t>
      </w:r>
      <w:r w:rsidR="00523F6B" w:rsidRPr="004E025C">
        <w:rPr>
          <w:rFonts w:asciiTheme="minorHAnsi" w:hAnsiTheme="minorHAnsi"/>
          <w:bCs/>
          <w:snapToGrid w:val="0"/>
        </w:rPr>
        <w:t>for the treatment of</w:t>
      </w:r>
      <w:r w:rsidR="00945FCB" w:rsidRPr="004E025C">
        <w:rPr>
          <w:rFonts w:asciiTheme="minorHAnsi" w:hAnsiTheme="minorHAnsi"/>
          <w:bCs/>
          <w:snapToGrid w:val="0"/>
        </w:rPr>
        <w:t xml:space="preserve"> moderate to severe ulcerative colitis</w:t>
      </w:r>
      <w:r w:rsidR="00523F6B" w:rsidRPr="004E025C">
        <w:rPr>
          <w:rFonts w:asciiTheme="minorHAnsi" w:hAnsiTheme="minorHAnsi"/>
          <w:bCs/>
          <w:snapToGrid w:val="0"/>
        </w:rPr>
        <w:t xml:space="preserve"> </w:t>
      </w:r>
      <w:r w:rsidR="00945FCB" w:rsidRPr="004E025C">
        <w:rPr>
          <w:rFonts w:asciiTheme="minorHAnsi" w:hAnsiTheme="minorHAnsi"/>
          <w:bCs/>
          <w:snapToGrid w:val="0"/>
        </w:rPr>
        <w:t>(</w:t>
      </w:r>
      <w:r w:rsidR="000C29D6" w:rsidRPr="004E025C">
        <w:rPr>
          <w:rFonts w:asciiTheme="minorHAnsi" w:hAnsiTheme="minorHAnsi"/>
          <w:bCs/>
          <w:snapToGrid w:val="0"/>
        </w:rPr>
        <w:t>MSUC</w:t>
      </w:r>
      <w:r w:rsidR="00945FCB" w:rsidRPr="004E025C">
        <w:rPr>
          <w:rFonts w:asciiTheme="minorHAnsi" w:hAnsiTheme="minorHAnsi"/>
          <w:bCs/>
          <w:snapToGrid w:val="0"/>
        </w:rPr>
        <w:t>)</w:t>
      </w:r>
      <w:r w:rsidR="00523F6B" w:rsidRPr="004E025C">
        <w:rPr>
          <w:rFonts w:asciiTheme="minorHAnsi" w:hAnsiTheme="minorHAnsi"/>
          <w:bCs/>
          <w:snapToGrid w:val="0"/>
        </w:rPr>
        <w:t xml:space="preserve"> and severe</w:t>
      </w:r>
      <w:r w:rsidR="00945FCB" w:rsidRPr="004E025C">
        <w:rPr>
          <w:rFonts w:asciiTheme="minorHAnsi" w:hAnsiTheme="minorHAnsi"/>
          <w:bCs/>
          <w:snapToGrid w:val="0"/>
        </w:rPr>
        <w:t xml:space="preserve"> Crohn’s disease</w:t>
      </w:r>
      <w:r w:rsidR="00523F6B" w:rsidRPr="004E025C">
        <w:rPr>
          <w:rFonts w:asciiTheme="minorHAnsi" w:hAnsiTheme="minorHAnsi"/>
          <w:bCs/>
          <w:snapToGrid w:val="0"/>
        </w:rPr>
        <w:t xml:space="preserve"> </w:t>
      </w:r>
      <w:r w:rsidR="00945FCB" w:rsidRPr="004E025C">
        <w:rPr>
          <w:rFonts w:asciiTheme="minorHAnsi" w:hAnsiTheme="minorHAnsi"/>
          <w:bCs/>
          <w:snapToGrid w:val="0"/>
        </w:rPr>
        <w:t>(</w:t>
      </w:r>
      <w:r w:rsidR="000C29D6" w:rsidRPr="004E025C">
        <w:rPr>
          <w:rFonts w:asciiTheme="minorHAnsi" w:hAnsiTheme="minorHAnsi"/>
          <w:bCs/>
          <w:snapToGrid w:val="0"/>
        </w:rPr>
        <w:t>CD</w:t>
      </w:r>
      <w:r w:rsidR="00945FCB" w:rsidRPr="004E025C">
        <w:rPr>
          <w:rFonts w:asciiTheme="minorHAnsi" w:hAnsiTheme="minorHAnsi"/>
          <w:bCs/>
          <w:snapToGrid w:val="0"/>
        </w:rPr>
        <w:t>)</w:t>
      </w:r>
      <w:r w:rsidR="00523F6B" w:rsidRPr="004E025C">
        <w:rPr>
          <w:rFonts w:asciiTheme="minorHAnsi" w:hAnsiTheme="minorHAnsi"/>
          <w:bCs/>
          <w:snapToGrid w:val="0"/>
        </w:rPr>
        <w:t xml:space="preserve"> on a cost minimisation basis to VDZ</w:t>
      </w:r>
      <w:r w:rsidR="00C95948" w:rsidRPr="004E025C">
        <w:rPr>
          <w:rFonts w:asciiTheme="minorHAnsi" w:hAnsiTheme="minorHAnsi"/>
          <w:bCs/>
          <w:snapToGrid w:val="0"/>
        </w:rPr>
        <w:t xml:space="preserve"> intravenous</w:t>
      </w:r>
      <w:r w:rsidR="00523F6B" w:rsidRPr="004E025C">
        <w:rPr>
          <w:rFonts w:asciiTheme="minorHAnsi" w:hAnsiTheme="minorHAnsi"/>
          <w:bCs/>
          <w:snapToGrid w:val="0"/>
        </w:rPr>
        <w:t xml:space="preserve"> </w:t>
      </w:r>
      <w:r w:rsidR="00C95948" w:rsidRPr="004E025C">
        <w:rPr>
          <w:rFonts w:asciiTheme="minorHAnsi" w:hAnsiTheme="minorHAnsi"/>
          <w:bCs/>
          <w:snapToGrid w:val="0"/>
        </w:rPr>
        <w:t>(</w:t>
      </w:r>
      <w:r w:rsidR="00523F6B" w:rsidRPr="004E025C">
        <w:rPr>
          <w:rFonts w:asciiTheme="minorHAnsi" w:hAnsiTheme="minorHAnsi"/>
          <w:bCs/>
          <w:snapToGrid w:val="0"/>
        </w:rPr>
        <w:t>IV</w:t>
      </w:r>
      <w:r w:rsidR="00C95948" w:rsidRPr="004E025C">
        <w:rPr>
          <w:rFonts w:asciiTheme="minorHAnsi" w:hAnsiTheme="minorHAnsi"/>
          <w:bCs/>
          <w:snapToGrid w:val="0"/>
        </w:rPr>
        <w:t>)</w:t>
      </w:r>
      <w:r w:rsidR="00523F6B" w:rsidRPr="004E025C">
        <w:rPr>
          <w:rFonts w:asciiTheme="minorHAnsi" w:hAnsiTheme="minorHAnsi"/>
          <w:bCs/>
          <w:snapToGrid w:val="0"/>
        </w:rPr>
        <w:t>.</w:t>
      </w:r>
      <w:r w:rsidR="00945FCB" w:rsidRPr="004E025C">
        <w:rPr>
          <w:rFonts w:asciiTheme="minorHAnsi" w:hAnsiTheme="minorHAnsi"/>
          <w:bCs/>
          <w:snapToGrid w:val="0"/>
        </w:rPr>
        <w:t xml:space="preserve"> </w:t>
      </w:r>
      <w:r w:rsidR="00945FCB" w:rsidRPr="004E025C">
        <w:rPr>
          <w:rFonts w:asciiTheme="minorHAnsi" w:hAnsiTheme="minorHAnsi"/>
          <w:bCs/>
        </w:rPr>
        <w:t xml:space="preserve">The PBAC’s recommendation for listing was based on, among other matters, </w:t>
      </w:r>
      <w:r w:rsidR="00945FCB" w:rsidRPr="004E025C">
        <w:t>its assessment, as described above, that the cost-effectiveness of VDZ SC would be acceptable if it were cost-minimised against VDZ IV</w:t>
      </w:r>
      <w:r w:rsidR="004E025C">
        <w:t xml:space="preserve">. </w:t>
      </w:r>
    </w:p>
    <w:p w:rsidR="00A3364E" w:rsidRPr="004E025C" w:rsidRDefault="0070558B" w:rsidP="0062746A">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advised that the listing of VDZ SC </w:t>
      </w:r>
      <w:r w:rsidR="007404FC" w:rsidRPr="004E025C">
        <w:rPr>
          <w:rFonts w:asciiTheme="minorHAnsi" w:hAnsiTheme="minorHAnsi"/>
          <w:bCs/>
          <w:snapToGrid w:val="0"/>
        </w:rPr>
        <w:t xml:space="preserve">should </w:t>
      </w:r>
      <w:r w:rsidRPr="004E025C">
        <w:rPr>
          <w:rFonts w:asciiTheme="minorHAnsi" w:hAnsiTheme="minorHAnsi"/>
          <w:bCs/>
          <w:snapToGrid w:val="0"/>
        </w:rPr>
        <w:t>be based on the equi-effective dose of VDZ SC 108 mg Q2W and VDZ IV 300 mg Q8W</w:t>
      </w:r>
      <w:r w:rsidR="00A3364E" w:rsidRPr="004E025C">
        <w:rPr>
          <w:rFonts w:asciiTheme="minorHAnsi" w:hAnsiTheme="minorHAnsi"/>
          <w:bCs/>
          <w:snapToGrid w:val="0"/>
        </w:rPr>
        <w:t>.</w:t>
      </w:r>
    </w:p>
    <w:p w:rsidR="00A3364E" w:rsidRPr="004E025C" w:rsidRDefault="000C29D6" w:rsidP="00A3364E">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T</w:t>
      </w:r>
      <w:r w:rsidR="00122EB9" w:rsidRPr="004E025C">
        <w:rPr>
          <w:rFonts w:asciiTheme="minorHAnsi" w:hAnsiTheme="minorHAnsi"/>
          <w:bCs/>
          <w:snapToGrid w:val="0"/>
        </w:rPr>
        <w:t>he PBAC considered that</w:t>
      </w:r>
      <w:r w:rsidRPr="004E025C">
        <w:rPr>
          <w:rFonts w:asciiTheme="minorHAnsi" w:hAnsiTheme="minorHAnsi"/>
          <w:bCs/>
          <w:snapToGrid w:val="0"/>
        </w:rPr>
        <w:t xml:space="preserve"> there is a clinical need for effective therapies in MSUC and severe CD, </w:t>
      </w:r>
      <w:r w:rsidR="00122EB9" w:rsidRPr="004E025C">
        <w:rPr>
          <w:rFonts w:asciiTheme="minorHAnsi" w:hAnsiTheme="minorHAnsi"/>
          <w:bCs/>
          <w:snapToGrid w:val="0"/>
        </w:rPr>
        <w:t xml:space="preserve">and </w:t>
      </w:r>
      <w:r w:rsidRPr="004E025C">
        <w:rPr>
          <w:rFonts w:asciiTheme="minorHAnsi" w:hAnsiTheme="minorHAnsi"/>
          <w:bCs/>
          <w:snapToGrid w:val="0"/>
        </w:rPr>
        <w:t xml:space="preserve">the availability of a SC formulation </w:t>
      </w:r>
      <w:r w:rsidR="00061B30" w:rsidRPr="004E025C">
        <w:rPr>
          <w:rFonts w:asciiTheme="minorHAnsi" w:hAnsiTheme="minorHAnsi"/>
          <w:bCs/>
          <w:snapToGrid w:val="0"/>
        </w:rPr>
        <w:t>would</w:t>
      </w:r>
      <w:r w:rsidRPr="004E025C">
        <w:rPr>
          <w:rFonts w:asciiTheme="minorHAnsi" w:hAnsiTheme="minorHAnsi"/>
          <w:bCs/>
          <w:snapToGrid w:val="0"/>
        </w:rPr>
        <w:t xml:space="preserve"> provide an additional, potentially patient-relevant option for maintenance therapy. </w:t>
      </w:r>
    </w:p>
    <w:p w:rsidR="00A3364E" w:rsidRPr="004E025C" w:rsidRDefault="00061B30" w:rsidP="00D47C67">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noted that the requested authority level for </w:t>
      </w:r>
      <w:r w:rsidR="00102E75">
        <w:rPr>
          <w:rFonts w:asciiTheme="minorHAnsi" w:hAnsiTheme="minorHAnsi"/>
          <w:bCs/>
          <w:snapToGrid w:val="0"/>
        </w:rPr>
        <w:t>the treatment of MSUC and severe CD</w:t>
      </w:r>
      <w:r w:rsidRPr="004E025C">
        <w:rPr>
          <w:rFonts w:asciiTheme="minorHAnsi" w:hAnsiTheme="minorHAnsi"/>
          <w:bCs/>
          <w:snapToGrid w:val="0"/>
        </w:rPr>
        <w:t xml:space="preserve"> is </w:t>
      </w:r>
      <w:r w:rsidR="00307332" w:rsidRPr="004E025C">
        <w:rPr>
          <w:rFonts w:asciiTheme="minorHAnsi" w:hAnsiTheme="minorHAnsi"/>
          <w:bCs/>
          <w:snapToGrid w:val="0"/>
        </w:rPr>
        <w:t>aligned</w:t>
      </w:r>
      <w:r w:rsidRPr="004E025C">
        <w:rPr>
          <w:rFonts w:asciiTheme="minorHAnsi" w:hAnsiTheme="minorHAnsi"/>
          <w:bCs/>
          <w:snapToGrid w:val="0"/>
        </w:rPr>
        <w:t xml:space="preserve"> with the other PBS listed drugs for the corresponding treatments.</w:t>
      </w:r>
    </w:p>
    <w:p w:rsidR="00402FC7" w:rsidRPr="004E025C" w:rsidRDefault="00402FC7" w:rsidP="00402FC7">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The PBAC considered that the current PBS listing for VDZ IV will provide for the supply of</w:t>
      </w:r>
      <w:r w:rsidR="00783897" w:rsidRPr="004E025C">
        <w:rPr>
          <w:rFonts w:asciiTheme="minorHAnsi" w:hAnsiTheme="minorHAnsi"/>
          <w:bCs/>
          <w:snapToGrid w:val="0"/>
        </w:rPr>
        <w:t xml:space="preserve"> the initial IV induction doses</w:t>
      </w:r>
      <w:r w:rsidRPr="004E025C">
        <w:rPr>
          <w:rFonts w:asciiTheme="minorHAnsi" w:hAnsiTheme="minorHAnsi"/>
          <w:bCs/>
          <w:snapToGrid w:val="0"/>
        </w:rPr>
        <w:t>, and that new PBS item codes for this purpo</w:t>
      </w:r>
      <w:r w:rsidR="00685D70" w:rsidRPr="004E025C">
        <w:rPr>
          <w:rFonts w:asciiTheme="minorHAnsi" w:hAnsiTheme="minorHAnsi"/>
          <w:bCs/>
          <w:snapToGrid w:val="0"/>
        </w:rPr>
        <w:t>se are not necessary for VDZ IV</w:t>
      </w:r>
      <w:r w:rsidR="004E025C">
        <w:rPr>
          <w:rFonts w:asciiTheme="minorHAnsi" w:hAnsiTheme="minorHAnsi"/>
          <w:bCs/>
          <w:snapToGrid w:val="0"/>
        </w:rPr>
        <w:t xml:space="preserve">. </w:t>
      </w:r>
    </w:p>
    <w:p w:rsidR="00402FC7" w:rsidRPr="004E025C" w:rsidRDefault="00402FC7" w:rsidP="00402FC7">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The PBAC noted that the proposed maximum quantities of 2 x 108 mg injection with 5 repeats, for both MSUC and CD, will supply 24 weeks of SC treatment for each indication</w:t>
      </w:r>
      <w:r w:rsidR="0042674E" w:rsidRPr="004E025C">
        <w:rPr>
          <w:rFonts w:asciiTheme="minorHAnsi" w:hAnsiTheme="minorHAnsi"/>
          <w:bCs/>
          <w:snapToGrid w:val="0"/>
        </w:rPr>
        <w:t xml:space="preserve"> for continuing treatment</w:t>
      </w:r>
      <w:r w:rsidRPr="004E025C">
        <w:rPr>
          <w:rFonts w:asciiTheme="minorHAnsi" w:hAnsiTheme="minorHAnsi"/>
          <w:bCs/>
          <w:snapToGrid w:val="0"/>
        </w:rPr>
        <w:t>. This is appropriate and consistent with existing listings for continuing treatment for alternative SC-administered bDMDs for MSUC and severe CD, which all supply up to 24 weeks of therapy.</w:t>
      </w:r>
    </w:p>
    <w:p w:rsidR="00402FC7" w:rsidRPr="004E025C" w:rsidRDefault="00402FC7" w:rsidP="00402FC7">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advised that a restriction for </w:t>
      </w:r>
      <w:r w:rsidR="00D25557" w:rsidRPr="004E025C">
        <w:rPr>
          <w:rFonts w:asciiTheme="minorHAnsi" w:hAnsiTheme="minorHAnsi"/>
          <w:bCs/>
          <w:snapToGrid w:val="0"/>
        </w:rPr>
        <w:t>B</w:t>
      </w:r>
      <w:r w:rsidRPr="004E025C">
        <w:rPr>
          <w:rFonts w:asciiTheme="minorHAnsi" w:hAnsiTheme="minorHAnsi"/>
          <w:bCs/>
          <w:snapToGrid w:val="0"/>
        </w:rPr>
        <w:t xml:space="preserve">alance of </w:t>
      </w:r>
      <w:r w:rsidR="00D25557" w:rsidRPr="004E025C">
        <w:rPr>
          <w:rFonts w:asciiTheme="minorHAnsi" w:hAnsiTheme="minorHAnsi"/>
          <w:bCs/>
          <w:snapToGrid w:val="0"/>
        </w:rPr>
        <w:t>S</w:t>
      </w:r>
      <w:r w:rsidRPr="004E025C">
        <w:rPr>
          <w:rFonts w:asciiTheme="minorHAnsi" w:hAnsiTheme="minorHAnsi"/>
          <w:bCs/>
          <w:snapToGrid w:val="0"/>
        </w:rPr>
        <w:t xml:space="preserve">upply for continuing treatment with VDZ SC for MSUC and severe CD should be included, in line with the listings of other PBS listed drugs for the corresponding treatments. </w:t>
      </w:r>
    </w:p>
    <w:p w:rsidR="000D3B20" w:rsidRPr="004E025C" w:rsidRDefault="000D3B20" w:rsidP="00D47C67">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noted that although a </w:t>
      </w:r>
      <w:r w:rsidR="00D25557" w:rsidRPr="004E025C">
        <w:rPr>
          <w:rFonts w:asciiTheme="minorHAnsi" w:hAnsiTheme="minorHAnsi"/>
          <w:bCs/>
          <w:snapToGrid w:val="0"/>
        </w:rPr>
        <w:t>G</w:t>
      </w:r>
      <w:r w:rsidRPr="004E025C">
        <w:rPr>
          <w:rFonts w:asciiTheme="minorHAnsi" w:hAnsiTheme="minorHAnsi"/>
          <w:bCs/>
          <w:snapToGrid w:val="0"/>
        </w:rPr>
        <w:t xml:space="preserve">randfather </w:t>
      </w:r>
      <w:r w:rsidR="001E36E6" w:rsidRPr="004E025C">
        <w:rPr>
          <w:rFonts w:asciiTheme="minorHAnsi" w:hAnsiTheme="minorHAnsi"/>
          <w:bCs/>
          <w:snapToGrid w:val="0"/>
        </w:rPr>
        <w:t>clause</w:t>
      </w:r>
      <w:r w:rsidRPr="004E025C">
        <w:rPr>
          <w:rFonts w:asciiTheme="minorHAnsi" w:hAnsiTheme="minorHAnsi"/>
          <w:bCs/>
          <w:snapToGrid w:val="0"/>
        </w:rPr>
        <w:t xml:space="preserve"> was requested, a restriction</w:t>
      </w:r>
      <w:r w:rsidR="004D3ED3" w:rsidRPr="004E025C">
        <w:rPr>
          <w:rFonts w:asciiTheme="minorHAnsi" w:hAnsiTheme="minorHAnsi"/>
          <w:bCs/>
          <w:snapToGrid w:val="0"/>
        </w:rPr>
        <w:t xml:space="preserve"> summary</w:t>
      </w:r>
      <w:r w:rsidR="00BD55DD">
        <w:rPr>
          <w:rFonts w:asciiTheme="minorHAnsi" w:hAnsiTheme="minorHAnsi"/>
          <w:bCs/>
          <w:snapToGrid w:val="0"/>
        </w:rPr>
        <w:t xml:space="preserve"> was not provided. The Sponsor will be required to work with the Secretariat to finalise the Grandfather clause.</w:t>
      </w:r>
    </w:p>
    <w:p w:rsidR="00B92E31" w:rsidRPr="004E025C" w:rsidRDefault="00B92E31" w:rsidP="00D47C67">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The PBAC considered that the restrictions should</w:t>
      </w:r>
      <w:r w:rsidR="007F2E98" w:rsidRPr="004E025C">
        <w:rPr>
          <w:rFonts w:asciiTheme="minorHAnsi" w:hAnsiTheme="minorHAnsi"/>
          <w:bCs/>
          <w:snapToGrid w:val="0"/>
        </w:rPr>
        <w:t xml:space="preserve"> be aligned with the PI to</w:t>
      </w:r>
      <w:r w:rsidRPr="004E025C">
        <w:rPr>
          <w:rFonts w:asciiTheme="minorHAnsi" w:hAnsiTheme="minorHAnsi"/>
          <w:bCs/>
          <w:snapToGrid w:val="0"/>
        </w:rPr>
        <w:t xml:space="preserve"> allow patients </w:t>
      </w:r>
      <w:r w:rsidR="007F2E98" w:rsidRPr="004E025C">
        <w:rPr>
          <w:rFonts w:asciiTheme="minorHAnsi" w:hAnsiTheme="minorHAnsi"/>
          <w:bCs/>
          <w:snapToGrid w:val="0"/>
        </w:rPr>
        <w:t>to resume VDZ SC after a treatment break without the need of a re-induction of VDZ IV</w:t>
      </w:r>
      <w:r w:rsidR="004E025C">
        <w:rPr>
          <w:rFonts w:asciiTheme="minorHAnsi" w:hAnsiTheme="minorHAnsi"/>
          <w:bCs/>
          <w:snapToGrid w:val="0"/>
        </w:rPr>
        <w:t xml:space="preserve">. </w:t>
      </w:r>
    </w:p>
    <w:p w:rsidR="00B34318" w:rsidRDefault="0081210B" w:rsidP="00D47C67">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The PBAC noted that the TGA recommended dosage regimen and the key clinical trials for VDZ SC allowed patients to receive</w:t>
      </w:r>
      <w:r w:rsidR="00B93BAA" w:rsidRPr="004E025C">
        <w:rPr>
          <w:rFonts w:asciiTheme="minorHAnsi" w:hAnsiTheme="minorHAnsi"/>
          <w:bCs/>
          <w:snapToGrid w:val="0"/>
        </w:rPr>
        <w:t xml:space="preserve"> SC</w:t>
      </w:r>
      <w:r w:rsidRPr="004E025C">
        <w:rPr>
          <w:rFonts w:asciiTheme="minorHAnsi" w:hAnsiTheme="minorHAnsi"/>
          <w:bCs/>
          <w:snapToGrid w:val="0"/>
        </w:rPr>
        <w:t xml:space="preserve"> maintenance treatment after</w:t>
      </w:r>
      <w:r w:rsidR="00C5490F" w:rsidRPr="004E025C">
        <w:rPr>
          <w:rFonts w:asciiTheme="minorHAnsi" w:hAnsiTheme="minorHAnsi"/>
          <w:bCs/>
          <w:snapToGrid w:val="0"/>
        </w:rPr>
        <w:t xml:space="preserve"> at least</w:t>
      </w:r>
      <w:r w:rsidRPr="004E025C">
        <w:rPr>
          <w:rFonts w:asciiTheme="minorHAnsi" w:hAnsiTheme="minorHAnsi"/>
          <w:bCs/>
          <w:snapToGrid w:val="0"/>
        </w:rPr>
        <w:t xml:space="preserve"> 2 doses of induction treatment with</w:t>
      </w:r>
      <w:r w:rsidR="00B93BAA" w:rsidRPr="004E025C">
        <w:rPr>
          <w:rFonts w:asciiTheme="minorHAnsi" w:hAnsiTheme="minorHAnsi"/>
          <w:bCs/>
          <w:snapToGrid w:val="0"/>
        </w:rPr>
        <w:t xml:space="preserve"> the</w:t>
      </w:r>
      <w:r w:rsidRPr="004E025C">
        <w:rPr>
          <w:rFonts w:asciiTheme="minorHAnsi" w:hAnsiTheme="minorHAnsi"/>
          <w:bCs/>
          <w:snapToGrid w:val="0"/>
        </w:rPr>
        <w:t xml:space="preserve"> IV</w:t>
      </w:r>
      <w:r w:rsidR="00B93BAA" w:rsidRPr="004E025C">
        <w:rPr>
          <w:rFonts w:asciiTheme="minorHAnsi" w:hAnsiTheme="minorHAnsi"/>
          <w:bCs/>
          <w:snapToGrid w:val="0"/>
        </w:rPr>
        <w:t xml:space="preserve"> formulation</w:t>
      </w:r>
      <w:r w:rsidRPr="004E025C">
        <w:rPr>
          <w:rFonts w:asciiTheme="minorHAnsi" w:hAnsiTheme="minorHAnsi"/>
          <w:bCs/>
          <w:snapToGrid w:val="0"/>
        </w:rPr>
        <w:t>.</w:t>
      </w:r>
      <w:r w:rsidR="00470769" w:rsidRPr="004E025C">
        <w:rPr>
          <w:rFonts w:asciiTheme="minorHAnsi" w:hAnsiTheme="minorHAnsi"/>
          <w:bCs/>
          <w:snapToGrid w:val="0"/>
        </w:rPr>
        <w:t xml:space="preserve"> </w:t>
      </w:r>
      <w:r w:rsidR="007F2E98" w:rsidRPr="004E025C">
        <w:rPr>
          <w:rFonts w:asciiTheme="minorHAnsi" w:hAnsiTheme="minorHAnsi"/>
          <w:bCs/>
          <w:snapToGrid w:val="0"/>
        </w:rPr>
        <w:t>The PBAC advised that it would be appropriate to allow VDZ IV patients</w:t>
      </w:r>
      <w:r w:rsidRPr="004E025C">
        <w:rPr>
          <w:rFonts w:asciiTheme="minorHAnsi" w:hAnsiTheme="minorHAnsi"/>
          <w:bCs/>
          <w:snapToGrid w:val="0"/>
        </w:rPr>
        <w:t xml:space="preserve"> </w:t>
      </w:r>
      <w:r w:rsidR="007F2E98" w:rsidRPr="004E025C">
        <w:rPr>
          <w:rFonts w:asciiTheme="minorHAnsi" w:hAnsiTheme="minorHAnsi"/>
          <w:bCs/>
          <w:snapToGrid w:val="0"/>
        </w:rPr>
        <w:t xml:space="preserve">to switch to VDZ SC after at least 2 doses of </w:t>
      </w:r>
      <w:r w:rsidRPr="004E025C">
        <w:rPr>
          <w:rFonts w:asciiTheme="minorHAnsi" w:hAnsiTheme="minorHAnsi"/>
          <w:bCs/>
          <w:snapToGrid w:val="0"/>
        </w:rPr>
        <w:t>induction treatment</w:t>
      </w:r>
      <w:r w:rsidR="0062746A" w:rsidRPr="004E025C">
        <w:rPr>
          <w:rFonts w:asciiTheme="minorHAnsi" w:hAnsiTheme="minorHAnsi"/>
          <w:bCs/>
          <w:snapToGrid w:val="0"/>
        </w:rPr>
        <w:t>.</w:t>
      </w:r>
      <w:r w:rsidR="00AD618F" w:rsidRPr="004E025C">
        <w:rPr>
          <w:rFonts w:asciiTheme="minorHAnsi" w:hAnsiTheme="minorHAnsi"/>
          <w:bCs/>
          <w:snapToGrid w:val="0"/>
        </w:rPr>
        <w:t xml:space="preserve"> Assessment of response at 12 to 14 weeks should be bridged by a Balance of Supply restriction</w:t>
      </w:r>
      <w:r w:rsidR="00783897" w:rsidRPr="004E025C">
        <w:rPr>
          <w:rFonts w:asciiTheme="minorHAnsi" w:hAnsiTheme="minorHAnsi"/>
          <w:bCs/>
          <w:snapToGrid w:val="0"/>
        </w:rPr>
        <w:t>, if required</w:t>
      </w:r>
      <w:r w:rsidR="00AD618F" w:rsidRPr="004E025C">
        <w:rPr>
          <w:rFonts w:asciiTheme="minorHAnsi" w:hAnsiTheme="minorHAnsi"/>
          <w:bCs/>
          <w:snapToGrid w:val="0"/>
        </w:rPr>
        <w:t>.</w:t>
      </w:r>
      <w:r w:rsidR="0062746A" w:rsidRPr="004E025C">
        <w:rPr>
          <w:rFonts w:asciiTheme="minorHAnsi" w:hAnsiTheme="minorHAnsi"/>
          <w:bCs/>
          <w:snapToGrid w:val="0"/>
        </w:rPr>
        <w:t xml:space="preserve"> </w:t>
      </w:r>
      <w:r w:rsidR="00C30841" w:rsidRPr="004E025C">
        <w:rPr>
          <w:rFonts w:asciiTheme="minorHAnsi" w:hAnsiTheme="minorHAnsi"/>
          <w:bCs/>
          <w:snapToGrid w:val="0"/>
        </w:rPr>
        <w:t xml:space="preserve">This allows patients the flexibility to access the SC formulation from Week 6 or alternatively use the IV formulation until assessment at 12 to 14 weeks. </w:t>
      </w:r>
      <w:r w:rsidR="0062746A" w:rsidRPr="004E025C">
        <w:rPr>
          <w:rFonts w:asciiTheme="minorHAnsi" w:hAnsiTheme="minorHAnsi"/>
          <w:bCs/>
          <w:snapToGrid w:val="0"/>
        </w:rPr>
        <w:t xml:space="preserve">The PBAC considered that this option would assist patients in remote areas who may have difficulty in accessing the VDZ IV induction treatment. </w:t>
      </w:r>
    </w:p>
    <w:p w:rsidR="006F4C57" w:rsidRPr="004E025C" w:rsidRDefault="006F4C57" w:rsidP="003E78F6">
      <w:pPr>
        <w:pStyle w:val="3-BodyText"/>
      </w:pPr>
      <w:r>
        <w:t>The PBAC advised that patients should be able to switch back to VDZ IV after receiving VDZ SC, and that this should not be considered a treatment failure.</w:t>
      </w:r>
      <w:r w:rsidR="003E78F6">
        <w:t xml:space="preserve"> </w:t>
      </w:r>
      <w:r w:rsidR="003E78F6" w:rsidRPr="003E78F6">
        <w:rPr>
          <w:bCs/>
        </w:rPr>
        <w:t xml:space="preserve">Flow-on changes to the </w:t>
      </w:r>
      <w:r w:rsidR="003E78F6">
        <w:rPr>
          <w:bCs/>
        </w:rPr>
        <w:t>VDZ</w:t>
      </w:r>
      <w:r w:rsidR="003E78F6" w:rsidRPr="003E78F6">
        <w:rPr>
          <w:bCs/>
        </w:rPr>
        <w:t xml:space="preserve"> IV continuing treatment restriction will be required.</w:t>
      </w:r>
    </w:p>
    <w:p w:rsidR="00A3364E" w:rsidRPr="004E025C" w:rsidRDefault="00D47C67" w:rsidP="00A3364E">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considered that the nomination of VDZ IV as comparator is appropriate. The PBAC </w:t>
      </w:r>
      <w:r w:rsidR="00C32752" w:rsidRPr="004E025C">
        <w:rPr>
          <w:rFonts w:asciiTheme="minorHAnsi" w:hAnsiTheme="minorHAnsi"/>
          <w:bCs/>
          <w:snapToGrid w:val="0"/>
        </w:rPr>
        <w:t>considered</w:t>
      </w:r>
      <w:r w:rsidRPr="004E025C">
        <w:rPr>
          <w:rFonts w:asciiTheme="minorHAnsi" w:hAnsiTheme="minorHAnsi"/>
          <w:bCs/>
          <w:snapToGrid w:val="0"/>
        </w:rPr>
        <w:t xml:space="preserve"> that </w:t>
      </w:r>
      <w:r w:rsidR="00C32752" w:rsidRPr="004E025C">
        <w:rPr>
          <w:rFonts w:asciiTheme="minorHAnsi" w:hAnsiTheme="minorHAnsi"/>
          <w:bCs/>
          <w:snapToGrid w:val="0"/>
        </w:rPr>
        <w:t xml:space="preserve">while </w:t>
      </w:r>
      <w:r w:rsidRPr="004E025C">
        <w:rPr>
          <w:rFonts w:asciiTheme="minorHAnsi" w:hAnsiTheme="minorHAnsi"/>
          <w:bCs/>
          <w:snapToGrid w:val="0"/>
        </w:rPr>
        <w:t xml:space="preserve">there are alternative </w:t>
      </w:r>
      <w:r w:rsidR="00470769" w:rsidRPr="004E025C">
        <w:rPr>
          <w:rFonts w:asciiTheme="minorHAnsi" w:hAnsiTheme="minorHAnsi"/>
          <w:bCs/>
          <w:snapToGrid w:val="0"/>
        </w:rPr>
        <w:t>b</w:t>
      </w:r>
      <w:r w:rsidRPr="004E025C">
        <w:rPr>
          <w:rFonts w:asciiTheme="minorHAnsi" w:hAnsiTheme="minorHAnsi"/>
          <w:bCs/>
          <w:snapToGrid w:val="0"/>
        </w:rPr>
        <w:t xml:space="preserve">DMDs which may be less costly, </w:t>
      </w:r>
      <w:r w:rsidR="00C32752" w:rsidRPr="004E025C">
        <w:rPr>
          <w:rFonts w:asciiTheme="minorHAnsi" w:hAnsiTheme="minorHAnsi"/>
          <w:bCs/>
          <w:snapToGrid w:val="0"/>
        </w:rPr>
        <w:t>a switch</w:t>
      </w:r>
      <w:r w:rsidR="00470769" w:rsidRPr="004E025C">
        <w:rPr>
          <w:rFonts w:asciiTheme="minorHAnsi" w:hAnsiTheme="minorHAnsi"/>
          <w:bCs/>
          <w:snapToGrid w:val="0"/>
        </w:rPr>
        <w:t xml:space="preserve"> from those alternative agents</w:t>
      </w:r>
      <w:r w:rsidRPr="004E025C">
        <w:rPr>
          <w:rFonts w:asciiTheme="minorHAnsi" w:hAnsiTheme="minorHAnsi"/>
          <w:bCs/>
          <w:snapToGrid w:val="0"/>
        </w:rPr>
        <w:t xml:space="preserve"> to VDZ SC </w:t>
      </w:r>
      <w:r w:rsidR="00C32752" w:rsidRPr="004E025C">
        <w:rPr>
          <w:rFonts w:asciiTheme="minorHAnsi" w:hAnsiTheme="minorHAnsi"/>
          <w:bCs/>
          <w:snapToGrid w:val="0"/>
        </w:rPr>
        <w:t>for</w:t>
      </w:r>
      <w:r w:rsidRPr="004E025C">
        <w:rPr>
          <w:rFonts w:asciiTheme="minorHAnsi" w:hAnsiTheme="minorHAnsi"/>
          <w:bCs/>
          <w:snapToGrid w:val="0"/>
        </w:rPr>
        <w:t xml:space="preserve"> maintenance treatment</w:t>
      </w:r>
      <w:r w:rsidR="00C32752" w:rsidRPr="004E025C">
        <w:rPr>
          <w:rFonts w:asciiTheme="minorHAnsi" w:hAnsiTheme="minorHAnsi"/>
          <w:bCs/>
          <w:snapToGrid w:val="0"/>
        </w:rPr>
        <w:t xml:space="preserve"> is less likely, in particular where an assessment of response defined at 12 to 14 weeks makes it inappropriate</w:t>
      </w:r>
      <w:r w:rsidR="00AD618F" w:rsidRPr="004E025C">
        <w:rPr>
          <w:rFonts w:asciiTheme="minorHAnsi" w:hAnsiTheme="minorHAnsi"/>
          <w:bCs/>
          <w:snapToGrid w:val="0"/>
        </w:rPr>
        <w:t xml:space="preserve"> and/or when re-induction with VDZ IV would be required</w:t>
      </w:r>
      <w:r w:rsidR="00C32752" w:rsidRPr="004E025C">
        <w:rPr>
          <w:rFonts w:asciiTheme="minorHAnsi" w:hAnsiTheme="minorHAnsi"/>
          <w:bCs/>
          <w:snapToGrid w:val="0"/>
        </w:rPr>
        <w:t>. The PBAC further considered that</w:t>
      </w:r>
      <w:r w:rsidR="00470769" w:rsidRPr="004E025C">
        <w:rPr>
          <w:rFonts w:asciiTheme="minorHAnsi" w:hAnsiTheme="minorHAnsi"/>
          <w:bCs/>
          <w:snapToGrid w:val="0"/>
        </w:rPr>
        <w:t xml:space="preserve"> VDZ IV followed by</w:t>
      </w:r>
      <w:r w:rsidR="00C32752" w:rsidRPr="004E025C">
        <w:rPr>
          <w:rFonts w:asciiTheme="minorHAnsi" w:hAnsiTheme="minorHAnsi"/>
          <w:bCs/>
          <w:snapToGrid w:val="0"/>
        </w:rPr>
        <w:t xml:space="preserve"> VDZ SC is likely to deliver</w:t>
      </w:r>
      <w:r w:rsidR="00DE31B4" w:rsidRPr="004E025C">
        <w:rPr>
          <w:rFonts w:asciiTheme="minorHAnsi" w:hAnsiTheme="minorHAnsi"/>
          <w:bCs/>
          <w:snapToGrid w:val="0"/>
        </w:rPr>
        <w:t xml:space="preserve"> </w:t>
      </w:r>
      <w:r w:rsidR="006C3CBC">
        <w:rPr>
          <w:rFonts w:asciiTheme="minorHAnsi" w:hAnsiTheme="minorHAnsi"/>
          <w:bCs/>
          <w:snapToGrid w:val="0"/>
        </w:rPr>
        <w:t xml:space="preserve">improved </w:t>
      </w:r>
      <w:r w:rsidR="00DE31B4" w:rsidRPr="004E025C">
        <w:rPr>
          <w:rFonts w:asciiTheme="minorHAnsi" w:hAnsiTheme="minorHAnsi"/>
          <w:bCs/>
          <w:snapToGrid w:val="0"/>
        </w:rPr>
        <w:t>outcome</w:t>
      </w:r>
      <w:r w:rsidR="006C3CBC">
        <w:rPr>
          <w:rFonts w:asciiTheme="minorHAnsi" w:hAnsiTheme="minorHAnsi"/>
          <w:bCs/>
          <w:snapToGrid w:val="0"/>
        </w:rPr>
        <w:t>s</w:t>
      </w:r>
      <w:r w:rsidR="00DE31B4" w:rsidRPr="004E025C">
        <w:rPr>
          <w:rFonts w:asciiTheme="minorHAnsi" w:hAnsiTheme="minorHAnsi"/>
          <w:bCs/>
          <w:snapToGrid w:val="0"/>
        </w:rPr>
        <w:t>,</w:t>
      </w:r>
      <w:r w:rsidR="00C32752" w:rsidRPr="004E025C">
        <w:rPr>
          <w:rFonts w:asciiTheme="minorHAnsi" w:hAnsiTheme="minorHAnsi"/>
          <w:bCs/>
          <w:snapToGrid w:val="0"/>
        </w:rPr>
        <w:t xml:space="preserve"> </w:t>
      </w:r>
      <w:r w:rsidR="006C3CBC">
        <w:rPr>
          <w:rFonts w:asciiTheme="minorHAnsi" w:hAnsiTheme="minorHAnsi"/>
          <w:bCs/>
          <w:snapToGrid w:val="0"/>
        </w:rPr>
        <w:t>for</w:t>
      </w:r>
      <w:r w:rsidR="006C3CBC" w:rsidRPr="004E025C">
        <w:rPr>
          <w:rFonts w:asciiTheme="minorHAnsi" w:hAnsiTheme="minorHAnsi"/>
          <w:bCs/>
          <w:snapToGrid w:val="0"/>
        </w:rPr>
        <w:t xml:space="preserve"> </w:t>
      </w:r>
      <w:r w:rsidR="00C32752" w:rsidRPr="004E025C">
        <w:rPr>
          <w:rFonts w:asciiTheme="minorHAnsi" w:hAnsiTheme="minorHAnsi"/>
          <w:bCs/>
          <w:snapToGrid w:val="0"/>
        </w:rPr>
        <w:t>some patients</w:t>
      </w:r>
      <w:r w:rsidR="00AD618F" w:rsidRPr="004E025C">
        <w:rPr>
          <w:rFonts w:asciiTheme="minorHAnsi" w:hAnsiTheme="minorHAnsi"/>
          <w:bCs/>
          <w:snapToGrid w:val="0"/>
        </w:rPr>
        <w:t>,</w:t>
      </w:r>
      <w:r w:rsidR="00C32752" w:rsidRPr="004E025C">
        <w:rPr>
          <w:rFonts w:asciiTheme="minorHAnsi" w:hAnsiTheme="minorHAnsi"/>
          <w:bCs/>
          <w:snapToGrid w:val="0"/>
        </w:rPr>
        <w:t xml:space="preserve"> </w:t>
      </w:r>
      <w:r w:rsidR="006C3CBC">
        <w:rPr>
          <w:iCs/>
        </w:rPr>
        <w:t>compared with</w:t>
      </w:r>
      <w:r w:rsidR="006C3CBC" w:rsidRPr="004E025C">
        <w:rPr>
          <w:iCs/>
        </w:rPr>
        <w:t xml:space="preserve"> </w:t>
      </w:r>
      <w:r w:rsidR="00DE31B4" w:rsidRPr="004E025C">
        <w:rPr>
          <w:iCs/>
        </w:rPr>
        <w:t>a switch to an alternative agent</w:t>
      </w:r>
      <w:r w:rsidR="00C32752" w:rsidRPr="004E025C">
        <w:rPr>
          <w:rFonts w:asciiTheme="minorHAnsi" w:hAnsiTheme="minorHAnsi"/>
          <w:bCs/>
          <w:snapToGrid w:val="0"/>
        </w:rPr>
        <w:t>.</w:t>
      </w:r>
    </w:p>
    <w:p w:rsidR="00A3364E" w:rsidRPr="004E025C" w:rsidRDefault="00575245" w:rsidP="00A3364E">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w:t>
      </w:r>
      <w:r w:rsidR="004D3ED3" w:rsidRPr="004E025C">
        <w:rPr>
          <w:rFonts w:asciiTheme="minorHAnsi" w:hAnsiTheme="minorHAnsi"/>
          <w:bCs/>
          <w:snapToGrid w:val="0"/>
        </w:rPr>
        <w:t>noted</w:t>
      </w:r>
      <w:r w:rsidRPr="004E025C">
        <w:rPr>
          <w:rFonts w:asciiTheme="minorHAnsi" w:hAnsiTheme="minorHAnsi"/>
          <w:bCs/>
          <w:snapToGrid w:val="0"/>
        </w:rPr>
        <w:t xml:space="preserve"> that in relation to MSUC,</w:t>
      </w:r>
      <w:r w:rsidR="004D3ED3" w:rsidRPr="004E025C">
        <w:rPr>
          <w:rFonts w:asciiTheme="minorHAnsi" w:hAnsiTheme="minorHAnsi"/>
          <w:bCs/>
          <w:snapToGrid w:val="0"/>
        </w:rPr>
        <w:t xml:space="preserve"> the VISIBLE 1 trial was not powered to detect a difference between VDZ SC and VDZ IV, however considered that</w:t>
      </w:r>
      <w:r w:rsidRPr="004E025C">
        <w:rPr>
          <w:rFonts w:asciiTheme="minorHAnsi" w:hAnsiTheme="minorHAnsi"/>
          <w:bCs/>
          <w:snapToGrid w:val="0"/>
        </w:rPr>
        <w:t xml:space="preserve"> </w:t>
      </w:r>
      <w:r w:rsidR="004D3ED3" w:rsidRPr="004E025C">
        <w:rPr>
          <w:rFonts w:asciiTheme="minorHAnsi" w:hAnsiTheme="minorHAnsi"/>
          <w:bCs/>
          <w:snapToGrid w:val="0"/>
        </w:rPr>
        <w:t>that the results w</w:t>
      </w:r>
      <w:r w:rsidR="00AF7309" w:rsidRPr="004E025C">
        <w:rPr>
          <w:rFonts w:asciiTheme="minorHAnsi" w:hAnsiTheme="minorHAnsi"/>
          <w:bCs/>
          <w:snapToGrid w:val="0"/>
        </w:rPr>
        <w:t>ere</w:t>
      </w:r>
      <w:r w:rsidR="004D3ED3" w:rsidRPr="004E025C">
        <w:rPr>
          <w:rFonts w:asciiTheme="minorHAnsi" w:hAnsiTheme="minorHAnsi"/>
          <w:bCs/>
          <w:snapToGrid w:val="0"/>
        </w:rPr>
        <w:t xml:space="preserve"> consistent with a conclusion of no difference</w:t>
      </w:r>
      <w:r w:rsidRPr="004E025C">
        <w:rPr>
          <w:rFonts w:asciiTheme="minorHAnsi" w:hAnsiTheme="minorHAnsi"/>
          <w:bCs/>
          <w:snapToGrid w:val="0"/>
        </w:rPr>
        <w:t xml:space="preserve">. </w:t>
      </w:r>
      <w:r w:rsidR="004C2FA6" w:rsidRPr="004E025C">
        <w:rPr>
          <w:rFonts w:asciiTheme="minorHAnsi" w:hAnsiTheme="minorHAnsi"/>
          <w:bCs/>
          <w:snapToGrid w:val="0"/>
        </w:rPr>
        <w:t xml:space="preserve">The PBAC considered that although there are uncertainties in the direct clinical </w:t>
      </w:r>
      <w:r w:rsidR="00AF7309" w:rsidRPr="004E025C">
        <w:rPr>
          <w:rFonts w:asciiTheme="minorHAnsi" w:hAnsiTheme="minorHAnsi"/>
          <w:bCs/>
          <w:snapToGrid w:val="0"/>
        </w:rPr>
        <w:t xml:space="preserve">evidence </w:t>
      </w:r>
      <w:r w:rsidR="004C2FA6" w:rsidRPr="004E025C">
        <w:rPr>
          <w:rFonts w:asciiTheme="minorHAnsi" w:hAnsiTheme="minorHAnsi"/>
          <w:bCs/>
          <w:snapToGrid w:val="0"/>
        </w:rPr>
        <w:t xml:space="preserve">for MSUC, VDZ SC may deliver similar outcomes to VDZ </w:t>
      </w:r>
      <w:r w:rsidR="00AF7309" w:rsidRPr="004E025C">
        <w:rPr>
          <w:rFonts w:asciiTheme="minorHAnsi" w:hAnsiTheme="minorHAnsi"/>
          <w:bCs/>
          <w:snapToGrid w:val="0"/>
        </w:rPr>
        <w:t xml:space="preserve">IV </w:t>
      </w:r>
      <w:r w:rsidR="004C2FA6" w:rsidRPr="004E025C">
        <w:rPr>
          <w:rFonts w:asciiTheme="minorHAnsi" w:hAnsiTheme="minorHAnsi"/>
          <w:bCs/>
          <w:snapToGrid w:val="0"/>
        </w:rPr>
        <w:t xml:space="preserve">during the maintenance phase after a 12 to 14 week assessment point. </w:t>
      </w:r>
    </w:p>
    <w:p w:rsidR="004C2FA6" w:rsidRPr="004E025C" w:rsidRDefault="004C2FA6" w:rsidP="002C2F8A">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considered that in </w:t>
      </w:r>
      <w:r w:rsidR="002C2F8A" w:rsidRPr="004E025C">
        <w:rPr>
          <w:rFonts w:asciiTheme="minorHAnsi" w:hAnsiTheme="minorHAnsi"/>
          <w:bCs/>
          <w:snapToGrid w:val="0"/>
        </w:rPr>
        <w:t>relation to severe CD, there were</w:t>
      </w:r>
      <w:r w:rsidRPr="004E025C">
        <w:rPr>
          <w:rFonts w:asciiTheme="minorHAnsi" w:hAnsiTheme="minorHAnsi"/>
          <w:bCs/>
          <w:snapToGrid w:val="0"/>
        </w:rPr>
        <w:t xml:space="preserve"> no differences identified in the indirect analysis of VDZ SC compared to VDZ IV. The PBAC noted that heterogeneity between the VISIBLE 2 and GEMINI 2 trials, including differences in the </w:t>
      </w:r>
      <w:r w:rsidR="00A157D7" w:rsidRPr="004E025C">
        <w:rPr>
          <w:rFonts w:asciiTheme="minorHAnsi" w:hAnsiTheme="minorHAnsi"/>
          <w:bCs/>
          <w:snapToGrid w:val="0"/>
        </w:rPr>
        <w:t>treatment durations and placebo response rates</w:t>
      </w:r>
      <w:r w:rsidR="002C2F8A" w:rsidRPr="004E025C">
        <w:rPr>
          <w:rFonts w:asciiTheme="minorHAnsi" w:hAnsiTheme="minorHAnsi"/>
          <w:bCs/>
          <w:snapToGrid w:val="0"/>
        </w:rPr>
        <w:t>,</w:t>
      </w:r>
      <w:r w:rsidR="00A157D7" w:rsidRPr="004E025C">
        <w:rPr>
          <w:rFonts w:asciiTheme="minorHAnsi" w:hAnsiTheme="minorHAnsi"/>
          <w:bCs/>
          <w:snapToGrid w:val="0"/>
        </w:rPr>
        <w:t xml:space="preserve"> raised concerns regarding the indirect estimates of treatment effect. However, the PBAC considered that a </w:t>
      </w:r>
      <w:r w:rsidR="00857B3D">
        <w:rPr>
          <w:rFonts w:asciiTheme="minorHAnsi" w:hAnsiTheme="minorHAnsi"/>
          <w:bCs/>
          <w:snapToGrid w:val="0"/>
        </w:rPr>
        <w:t>claim of non-inferior efficacy compared with</w:t>
      </w:r>
      <w:r w:rsidR="00A157D7" w:rsidRPr="004E025C">
        <w:rPr>
          <w:rFonts w:asciiTheme="minorHAnsi" w:hAnsiTheme="minorHAnsi"/>
          <w:bCs/>
          <w:snapToGrid w:val="0"/>
        </w:rPr>
        <w:t xml:space="preserve"> VDZ IV is reasonable</w:t>
      </w:r>
      <w:r w:rsidR="00857B3D">
        <w:rPr>
          <w:rFonts w:asciiTheme="minorHAnsi" w:hAnsiTheme="minorHAnsi"/>
          <w:bCs/>
          <w:snapToGrid w:val="0"/>
        </w:rPr>
        <w:t>, noting</w:t>
      </w:r>
      <w:r w:rsidR="00A157D7" w:rsidRPr="004E025C">
        <w:rPr>
          <w:rFonts w:asciiTheme="minorHAnsi" w:hAnsiTheme="minorHAnsi"/>
          <w:bCs/>
          <w:snapToGrid w:val="0"/>
        </w:rPr>
        <w:t xml:space="preserve"> that there </w:t>
      </w:r>
      <w:r w:rsidR="002A35B4" w:rsidRPr="004E025C">
        <w:rPr>
          <w:rFonts w:asciiTheme="minorHAnsi" w:hAnsiTheme="minorHAnsi"/>
          <w:bCs/>
          <w:snapToGrid w:val="0"/>
        </w:rPr>
        <w:t>is</w:t>
      </w:r>
      <w:r w:rsidR="00A157D7" w:rsidRPr="004E025C">
        <w:rPr>
          <w:rFonts w:asciiTheme="minorHAnsi" w:hAnsiTheme="minorHAnsi"/>
          <w:bCs/>
          <w:snapToGrid w:val="0"/>
        </w:rPr>
        <w:t xml:space="preserve"> greater patient exposure to VDZ in the SC form and</w:t>
      </w:r>
      <w:r w:rsidR="002C2F8A" w:rsidRPr="004E025C">
        <w:rPr>
          <w:rFonts w:asciiTheme="minorHAnsi" w:hAnsiTheme="minorHAnsi"/>
          <w:bCs/>
          <w:snapToGrid w:val="0"/>
        </w:rPr>
        <w:t xml:space="preserve"> there is</w:t>
      </w:r>
      <w:r w:rsidR="00A157D7" w:rsidRPr="004E025C">
        <w:rPr>
          <w:rFonts w:asciiTheme="minorHAnsi" w:hAnsiTheme="minorHAnsi"/>
          <w:bCs/>
          <w:snapToGrid w:val="0"/>
        </w:rPr>
        <w:t xml:space="preserve"> an association between </w:t>
      </w:r>
      <w:r w:rsidR="002C2F8A" w:rsidRPr="004E025C">
        <w:rPr>
          <w:rFonts w:asciiTheme="minorHAnsi" w:hAnsiTheme="minorHAnsi"/>
          <w:bCs/>
          <w:snapToGrid w:val="0"/>
        </w:rPr>
        <w:t>exposure and its effect.</w:t>
      </w:r>
    </w:p>
    <w:p w:rsidR="00A3364E" w:rsidRPr="004E025C" w:rsidRDefault="00A157D7" w:rsidP="00A3364E">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considered that there are no </w:t>
      </w:r>
      <w:r w:rsidR="00857B3D">
        <w:rPr>
          <w:rFonts w:asciiTheme="minorHAnsi" w:hAnsiTheme="minorHAnsi"/>
          <w:bCs/>
          <w:snapToGrid w:val="0"/>
        </w:rPr>
        <w:t xml:space="preserve">overall </w:t>
      </w:r>
      <w:r w:rsidRPr="004E025C">
        <w:rPr>
          <w:rFonts w:asciiTheme="minorHAnsi" w:hAnsiTheme="minorHAnsi"/>
          <w:bCs/>
          <w:snapToGrid w:val="0"/>
        </w:rPr>
        <w:t xml:space="preserve">differences in the </w:t>
      </w:r>
      <w:r w:rsidR="0062746A" w:rsidRPr="004E025C">
        <w:rPr>
          <w:rFonts w:asciiTheme="minorHAnsi" w:hAnsiTheme="minorHAnsi"/>
          <w:bCs/>
          <w:snapToGrid w:val="0"/>
        </w:rPr>
        <w:t>safety profile</w:t>
      </w:r>
      <w:r w:rsidRPr="004E025C">
        <w:rPr>
          <w:rFonts w:asciiTheme="minorHAnsi" w:hAnsiTheme="minorHAnsi"/>
          <w:bCs/>
          <w:snapToGrid w:val="0"/>
        </w:rPr>
        <w:t xml:space="preserve"> between VDZ SC and VDZ IV</w:t>
      </w:r>
      <w:r w:rsidR="00280CDB" w:rsidRPr="004E025C">
        <w:rPr>
          <w:rFonts w:asciiTheme="minorHAnsi" w:hAnsiTheme="minorHAnsi"/>
          <w:bCs/>
          <w:snapToGrid w:val="0"/>
        </w:rPr>
        <w:t xml:space="preserve"> for both MSUC and severe CD</w:t>
      </w:r>
      <w:r w:rsidRPr="004E025C">
        <w:rPr>
          <w:rFonts w:asciiTheme="minorHAnsi" w:hAnsiTheme="minorHAnsi"/>
          <w:bCs/>
          <w:snapToGrid w:val="0"/>
        </w:rPr>
        <w:t xml:space="preserve">, however noted that </w:t>
      </w:r>
      <w:r w:rsidR="00280CDB" w:rsidRPr="004E025C">
        <w:rPr>
          <w:rFonts w:asciiTheme="minorHAnsi" w:hAnsiTheme="minorHAnsi"/>
          <w:bCs/>
          <w:snapToGrid w:val="0"/>
        </w:rPr>
        <w:t xml:space="preserve">the discontinuation rates favour VDZ SC. </w:t>
      </w:r>
    </w:p>
    <w:p w:rsidR="0062746A" w:rsidRPr="004E025C" w:rsidRDefault="0062746A" w:rsidP="00457543">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w:t>
      </w:r>
      <w:r w:rsidR="00457543" w:rsidRPr="004E025C">
        <w:rPr>
          <w:rFonts w:asciiTheme="minorHAnsi" w:hAnsiTheme="minorHAnsi"/>
          <w:bCs/>
          <w:snapToGrid w:val="0"/>
        </w:rPr>
        <w:t>considered it is reasonable to conduct</w:t>
      </w:r>
      <w:r w:rsidRPr="004E025C">
        <w:rPr>
          <w:rFonts w:asciiTheme="minorHAnsi" w:hAnsiTheme="minorHAnsi"/>
          <w:bCs/>
          <w:snapToGrid w:val="0"/>
        </w:rPr>
        <w:t xml:space="preserve"> the CMA of VDZ SC</w:t>
      </w:r>
      <w:r w:rsidR="00457543" w:rsidRPr="004E025C">
        <w:rPr>
          <w:rFonts w:asciiTheme="minorHAnsi" w:hAnsiTheme="minorHAnsi"/>
          <w:bCs/>
          <w:snapToGrid w:val="0"/>
        </w:rPr>
        <w:t xml:space="preserve"> over a 2-year time horizon that is calculated from the point of patients starting VDZ SC following IV induction.</w:t>
      </w:r>
      <w:r w:rsidRPr="004E025C">
        <w:rPr>
          <w:rFonts w:asciiTheme="minorHAnsi" w:hAnsiTheme="minorHAnsi"/>
          <w:bCs/>
          <w:snapToGrid w:val="0"/>
        </w:rPr>
        <w:t xml:space="preserve"> The PBAC</w:t>
      </w:r>
      <w:r w:rsidR="00457543" w:rsidRPr="004E025C">
        <w:rPr>
          <w:rFonts w:asciiTheme="minorHAnsi" w:hAnsiTheme="minorHAnsi"/>
          <w:bCs/>
          <w:snapToGrid w:val="0"/>
        </w:rPr>
        <w:t xml:space="preserve"> also</w:t>
      </w:r>
      <w:r w:rsidRPr="004E025C">
        <w:rPr>
          <w:rFonts w:asciiTheme="minorHAnsi" w:hAnsiTheme="minorHAnsi"/>
          <w:bCs/>
          <w:snapToGrid w:val="0"/>
        </w:rPr>
        <w:t xml:space="preserve"> considered that</w:t>
      </w:r>
      <w:r w:rsidR="00BD72CF" w:rsidRPr="004E025C">
        <w:rPr>
          <w:rFonts w:asciiTheme="minorHAnsi" w:hAnsiTheme="minorHAnsi"/>
          <w:bCs/>
          <w:snapToGrid w:val="0"/>
        </w:rPr>
        <w:t xml:space="preserve"> </w:t>
      </w:r>
      <w:r w:rsidR="00BD72CF" w:rsidRPr="004E025C">
        <w:t xml:space="preserve">the CMA should </w:t>
      </w:r>
      <w:r w:rsidR="00B93F8E" w:rsidRPr="004E025C">
        <w:t>ensure there is no additional cost to the government at the effective price, noting that</w:t>
      </w:r>
      <w:r w:rsidR="00BD72CF" w:rsidRPr="004E025C">
        <w:t xml:space="preserve"> different fees and mark-ups </w:t>
      </w:r>
      <w:r w:rsidR="00B93F8E" w:rsidRPr="004E025C">
        <w:t xml:space="preserve">apply </w:t>
      </w:r>
      <w:r w:rsidR="00BD72CF" w:rsidRPr="004E025C">
        <w:t>for VDZ IV (S100) and VDZ SC (S85)</w:t>
      </w:r>
      <w:r w:rsidRPr="004E025C">
        <w:rPr>
          <w:rFonts w:asciiTheme="minorHAnsi" w:hAnsiTheme="minorHAnsi"/>
          <w:bCs/>
          <w:snapToGrid w:val="0"/>
        </w:rPr>
        <w:t xml:space="preserve">. </w:t>
      </w:r>
      <w:r w:rsidR="00690D84" w:rsidRPr="004E025C">
        <w:rPr>
          <w:rFonts w:asciiTheme="minorHAnsi" w:hAnsiTheme="minorHAnsi"/>
          <w:bCs/>
          <w:snapToGrid w:val="0"/>
        </w:rPr>
        <w:t xml:space="preserve">The PBAC considered that </w:t>
      </w:r>
      <w:r w:rsidR="00690D84" w:rsidRPr="004E025C">
        <w:t>it is reasonable to assume 10% of patients will require medical assistance with injections and that this cost should be included in the CMA as a visit to a doctor.</w:t>
      </w:r>
    </w:p>
    <w:p w:rsidR="00BD72CF" w:rsidRPr="004E025C" w:rsidRDefault="00857B3D" w:rsidP="00457543">
      <w:pPr>
        <w:widowControl w:val="0"/>
        <w:numPr>
          <w:ilvl w:val="1"/>
          <w:numId w:val="1"/>
        </w:numPr>
        <w:spacing w:after="120"/>
        <w:rPr>
          <w:rFonts w:asciiTheme="minorHAnsi" w:hAnsiTheme="minorHAnsi"/>
          <w:bCs/>
          <w:snapToGrid w:val="0"/>
        </w:rPr>
      </w:pPr>
      <w:r>
        <w:rPr>
          <w:rFonts w:asciiTheme="minorHAnsi" w:hAnsiTheme="minorHAnsi"/>
          <w:bCs/>
          <w:snapToGrid w:val="0"/>
          <w:lang w:val="en-GB"/>
        </w:rPr>
        <w:t>Consistent with the cost-minimisation basis of the listing, the PBAC expected the listing of VDZ SC to be approximately cost neutral.</w:t>
      </w:r>
    </w:p>
    <w:p w:rsidR="00A3364E" w:rsidRPr="004E025C" w:rsidRDefault="00A3364E" w:rsidP="00A3364E">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recommended that the Early Supply Rule should apply. </w:t>
      </w:r>
    </w:p>
    <w:p w:rsidR="00C95948" w:rsidRPr="004E025C" w:rsidRDefault="00C95948" w:rsidP="00C95948">
      <w:pPr>
        <w:pStyle w:val="3-BodyText"/>
        <w:rPr>
          <w:bCs/>
        </w:rPr>
      </w:pPr>
      <w:r w:rsidRPr="004E025C">
        <w:rPr>
          <w:bCs/>
        </w:rPr>
        <w:t xml:space="preserve">The PBAC noted that its recommendation was on a cost-minimisation basis and advised that, because VDZ SC is not expected to provide a substantial and clinically relevant improvement in efficacy, or reduction of toxicity, over VDZ IV, or not expected to address a high and urgent unmet clinical need given the presence of an alternative therapy, the criteria prescribed by the </w:t>
      </w:r>
      <w:r w:rsidRPr="009A6321">
        <w:rPr>
          <w:bCs/>
          <w:i/>
        </w:rPr>
        <w:t>National Health (Pharmaceuticals and Vaccines – Cost Recovery) Regulations 2009</w:t>
      </w:r>
      <w:r w:rsidRPr="004E025C">
        <w:rPr>
          <w:bCs/>
        </w:rPr>
        <w:t xml:space="preserve"> for Pricing Pathway A were not met.</w:t>
      </w:r>
    </w:p>
    <w:p w:rsidR="00C03D90" w:rsidRPr="004E025C" w:rsidRDefault="00C03D90" w:rsidP="00C03D90">
      <w:pPr>
        <w:widowControl w:val="0"/>
        <w:numPr>
          <w:ilvl w:val="1"/>
          <w:numId w:val="1"/>
        </w:numPr>
        <w:spacing w:after="120"/>
        <w:rPr>
          <w:rFonts w:asciiTheme="minorHAnsi" w:hAnsiTheme="minorHAnsi"/>
          <w:bCs/>
          <w:snapToGrid w:val="0"/>
        </w:rPr>
      </w:pPr>
      <w:r w:rsidRPr="004E025C">
        <w:rPr>
          <w:rFonts w:asciiTheme="minorHAnsi" w:hAnsiTheme="minorHAnsi"/>
          <w:bCs/>
          <w:snapToGrid w:val="0"/>
        </w:rPr>
        <w:t xml:space="preserve">The PBAC advised that VDZ SC </w:t>
      </w:r>
      <w:r w:rsidR="007F1E1B" w:rsidRPr="004E025C">
        <w:rPr>
          <w:rFonts w:asciiTheme="minorHAnsi" w:hAnsiTheme="minorHAnsi"/>
          <w:bCs/>
          <w:snapToGrid w:val="0"/>
        </w:rPr>
        <w:t>is</w:t>
      </w:r>
      <w:r w:rsidRPr="004E025C">
        <w:rPr>
          <w:rFonts w:asciiTheme="minorHAnsi" w:hAnsiTheme="minorHAnsi"/>
          <w:bCs/>
          <w:snapToGrid w:val="0"/>
        </w:rPr>
        <w:t xml:space="preserve"> not suitable for prescribing by nurse practitioners.</w:t>
      </w:r>
    </w:p>
    <w:p w:rsidR="00C03D90" w:rsidRPr="004E025C" w:rsidRDefault="00C03D90" w:rsidP="00C03D90">
      <w:pPr>
        <w:widowControl w:val="0"/>
        <w:numPr>
          <w:ilvl w:val="1"/>
          <w:numId w:val="1"/>
        </w:numPr>
        <w:spacing w:after="120"/>
        <w:rPr>
          <w:rFonts w:asciiTheme="minorHAnsi" w:hAnsiTheme="minorHAnsi"/>
          <w:bCs/>
          <w:snapToGrid w:val="0"/>
        </w:rPr>
      </w:pPr>
      <w:r w:rsidRPr="004E025C">
        <w:t>The PBAC noted that this submission is not eligible for an Independent Review as it received a positive recommendation</w:t>
      </w:r>
      <w:r w:rsidRPr="004E025C">
        <w:rPr>
          <w:rFonts w:asciiTheme="minorHAnsi" w:hAnsiTheme="minorHAnsi"/>
          <w:bCs/>
          <w:snapToGrid w:val="0"/>
        </w:rPr>
        <w:t>.</w:t>
      </w:r>
    </w:p>
    <w:p w:rsidR="00A3364E" w:rsidRPr="004E025C" w:rsidRDefault="00A3364E" w:rsidP="00A3364E">
      <w:pPr>
        <w:spacing w:before="240"/>
        <w:rPr>
          <w:rFonts w:asciiTheme="minorHAnsi" w:hAnsiTheme="minorHAnsi"/>
          <w:b/>
          <w:bCs/>
          <w:snapToGrid w:val="0"/>
        </w:rPr>
      </w:pPr>
      <w:r w:rsidRPr="004E025C">
        <w:rPr>
          <w:rFonts w:asciiTheme="minorHAnsi" w:hAnsiTheme="minorHAnsi"/>
          <w:b/>
          <w:bCs/>
          <w:snapToGrid w:val="0"/>
        </w:rPr>
        <w:t>Outcome:</w:t>
      </w:r>
    </w:p>
    <w:p w:rsidR="00A3364E" w:rsidRPr="00A30D57" w:rsidRDefault="00A3364E" w:rsidP="00A30D57">
      <w:pPr>
        <w:rPr>
          <w:rFonts w:asciiTheme="minorHAnsi" w:hAnsiTheme="minorHAnsi"/>
          <w:bCs/>
          <w:snapToGrid w:val="0"/>
        </w:rPr>
      </w:pPr>
      <w:r w:rsidRPr="004E025C">
        <w:rPr>
          <w:rFonts w:asciiTheme="minorHAnsi" w:hAnsiTheme="minorHAnsi"/>
          <w:bCs/>
          <w:snapToGrid w:val="0"/>
        </w:rPr>
        <w:t>Recommended</w:t>
      </w:r>
    </w:p>
    <w:p w:rsidR="00A3364E" w:rsidRPr="004E025C" w:rsidRDefault="00A3364E" w:rsidP="003E3661">
      <w:pPr>
        <w:pStyle w:val="2-SectionHeading"/>
        <w:keepLines/>
        <w:numPr>
          <w:ilvl w:val="0"/>
          <w:numId w:val="1"/>
        </w:numPr>
      </w:pPr>
      <w:r w:rsidRPr="004E025C">
        <w:t>Recommended listing</w:t>
      </w:r>
    </w:p>
    <w:p w:rsidR="00A3364E" w:rsidRPr="004E025C" w:rsidRDefault="0062746A" w:rsidP="003E3661">
      <w:pPr>
        <w:keepNext/>
        <w:keepLines/>
        <w:widowControl w:val="0"/>
        <w:numPr>
          <w:ilvl w:val="1"/>
          <w:numId w:val="1"/>
        </w:numPr>
        <w:spacing w:after="120"/>
        <w:rPr>
          <w:rFonts w:asciiTheme="minorHAnsi" w:hAnsiTheme="minorHAnsi"/>
          <w:bCs/>
          <w:snapToGrid w:val="0"/>
        </w:rPr>
      </w:pPr>
      <w:r w:rsidRPr="004E025C">
        <w:rPr>
          <w:rFonts w:asciiTheme="minorHAnsi" w:hAnsiTheme="minorHAnsi"/>
          <w:bCs/>
          <w:snapToGrid w:val="0"/>
        </w:rPr>
        <w:t>A</w:t>
      </w:r>
      <w:r w:rsidR="00A3364E" w:rsidRPr="004E025C">
        <w:rPr>
          <w:rFonts w:asciiTheme="minorHAnsi" w:hAnsiTheme="minorHAnsi"/>
          <w:bCs/>
          <w:snapToGrid w:val="0"/>
        </w:rPr>
        <w:t>dd new item:</w:t>
      </w:r>
    </w:p>
    <w:p w:rsidR="0062746A" w:rsidRPr="004E025C" w:rsidRDefault="0062746A" w:rsidP="003E3661">
      <w:pPr>
        <w:keepNext/>
        <w:keepLines/>
      </w:pPr>
      <w:r w:rsidRPr="004E025C">
        <w:rPr>
          <w:rFonts w:ascii="Arial Narrow" w:hAnsi="Arial Narrow"/>
          <w:b/>
          <w:sz w:val="18"/>
          <w:szCs w:val="18"/>
        </w:rPr>
        <w:t>Moderate to severe ulcerative colitis</w:t>
      </w:r>
    </w:p>
    <w:p w:rsidR="0062746A" w:rsidRPr="004E025C" w:rsidRDefault="0062746A" w:rsidP="003E3661">
      <w:pPr>
        <w:keepNext/>
        <w:keepLines/>
        <w:rPr>
          <w:rFonts w:ascii="Arial Narrow" w:hAnsi="Arial Narrow"/>
          <w:b/>
          <w:sz w:val="18"/>
          <w:szCs w:val="18"/>
        </w:rPr>
      </w:pPr>
      <w:r w:rsidRPr="004E025C">
        <w:rPr>
          <w:rFonts w:ascii="Arial Narrow" w:hAnsi="Arial Narrow"/>
          <w:b/>
          <w:sz w:val="18"/>
          <w:szCs w:val="18"/>
        </w:rPr>
        <w:t>NEW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858"/>
        <w:gridCol w:w="716"/>
        <w:gridCol w:w="716"/>
        <w:gridCol w:w="716"/>
        <w:gridCol w:w="858"/>
        <w:gridCol w:w="1432"/>
      </w:tblGrid>
      <w:tr w:rsidR="0062746A" w:rsidRPr="004E025C" w:rsidTr="00D02B13">
        <w:trPr>
          <w:cantSplit/>
          <w:trHeight w:val="471"/>
        </w:trPr>
        <w:tc>
          <w:tcPr>
            <w:tcW w:w="2063" w:type="pct"/>
          </w:tcPr>
          <w:p w:rsidR="0062746A" w:rsidRPr="004E025C" w:rsidRDefault="0062746A" w:rsidP="003E3661">
            <w:pPr>
              <w:keepNext/>
              <w:keepLines/>
              <w:ind w:left="-108"/>
              <w:rPr>
                <w:rFonts w:ascii="Arial Narrow" w:hAnsi="Arial Narrow"/>
                <w:b/>
                <w:color w:val="000000" w:themeColor="text1"/>
                <w:sz w:val="18"/>
                <w:szCs w:val="18"/>
              </w:rPr>
            </w:pPr>
            <w:r w:rsidRPr="004E025C">
              <w:rPr>
                <w:rFonts w:ascii="Arial Narrow" w:hAnsi="Arial Narrow"/>
                <w:b/>
                <w:color w:val="000000" w:themeColor="text1"/>
                <w:sz w:val="18"/>
                <w:szCs w:val="18"/>
              </w:rPr>
              <w:t>Name, Restriction,</w:t>
            </w:r>
          </w:p>
          <w:p w:rsidR="0062746A" w:rsidRPr="004E025C" w:rsidRDefault="0062746A" w:rsidP="003E3661">
            <w:pPr>
              <w:keepNext/>
              <w:keepLines/>
              <w:ind w:left="-108"/>
              <w:rPr>
                <w:rFonts w:ascii="Arial Narrow" w:hAnsi="Arial Narrow"/>
                <w:b/>
                <w:color w:val="000000" w:themeColor="text1"/>
                <w:sz w:val="18"/>
                <w:szCs w:val="18"/>
              </w:rPr>
            </w:pPr>
            <w:r w:rsidRPr="004E025C">
              <w:rPr>
                <w:rFonts w:ascii="Arial Narrow" w:hAnsi="Arial Narrow"/>
                <w:b/>
                <w:color w:val="000000" w:themeColor="text1"/>
                <w:sz w:val="18"/>
                <w:szCs w:val="18"/>
              </w:rPr>
              <w:t>Manner of administration and form</w:t>
            </w:r>
          </w:p>
        </w:tc>
        <w:tc>
          <w:tcPr>
            <w:tcW w:w="476" w:type="pct"/>
          </w:tcPr>
          <w:p w:rsidR="0062746A" w:rsidRPr="004E025C" w:rsidRDefault="0062746A" w:rsidP="003E3661">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PBS item code</w:t>
            </w:r>
          </w:p>
        </w:tc>
        <w:tc>
          <w:tcPr>
            <w:tcW w:w="397" w:type="pct"/>
          </w:tcPr>
          <w:p w:rsidR="0062746A" w:rsidRPr="004E025C" w:rsidRDefault="0062746A" w:rsidP="003E3661">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packs</w:t>
            </w:r>
          </w:p>
        </w:tc>
        <w:tc>
          <w:tcPr>
            <w:tcW w:w="397" w:type="pct"/>
          </w:tcPr>
          <w:p w:rsidR="0062746A" w:rsidRPr="004E025C" w:rsidRDefault="0062746A" w:rsidP="003E3661">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units</w:t>
            </w:r>
          </w:p>
        </w:tc>
        <w:tc>
          <w:tcPr>
            <w:tcW w:w="397" w:type="pct"/>
          </w:tcPr>
          <w:p w:rsidR="0062746A" w:rsidRPr="004E025C" w:rsidRDefault="0062746A" w:rsidP="003E3661">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№.of</w:t>
            </w:r>
          </w:p>
          <w:p w:rsidR="0062746A" w:rsidRPr="004E025C" w:rsidRDefault="0062746A" w:rsidP="003E3661">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Rpts</w:t>
            </w:r>
          </w:p>
        </w:tc>
        <w:tc>
          <w:tcPr>
            <w:tcW w:w="1270" w:type="pct"/>
            <w:gridSpan w:val="2"/>
          </w:tcPr>
          <w:p w:rsidR="0062746A" w:rsidRPr="004E025C" w:rsidRDefault="0062746A" w:rsidP="003E3661">
            <w:pPr>
              <w:keepNext/>
              <w:keepLines/>
              <w:rPr>
                <w:rFonts w:ascii="Arial Narrow" w:hAnsi="Arial Narrow"/>
                <w:b/>
                <w:color w:val="000000" w:themeColor="text1"/>
                <w:sz w:val="18"/>
                <w:szCs w:val="18"/>
              </w:rPr>
            </w:pPr>
            <w:r w:rsidRPr="004E025C">
              <w:rPr>
                <w:rFonts w:ascii="Arial Narrow" w:hAnsi="Arial Narrow"/>
                <w:b/>
                <w:color w:val="000000" w:themeColor="text1"/>
                <w:sz w:val="18"/>
                <w:szCs w:val="18"/>
              </w:rPr>
              <w:t>Proprietary Name and Manufacturer</w:t>
            </w:r>
          </w:p>
        </w:tc>
      </w:tr>
      <w:tr w:rsidR="0062746A" w:rsidRPr="004E025C" w:rsidTr="00D02B13">
        <w:trPr>
          <w:cantSplit/>
          <w:trHeight w:val="346"/>
        </w:trPr>
        <w:tc>
          <w:tcPr>
            <w:tcW w:w="2063" w:type="pct"/>
          </w:tcPr>
          <w:p w:rsidR="0062746A" w:rsidRPr="004E025C" w:rsidRDefault="0062746A" w:rsidP="003E3661">
            <w:pPr>
              <w:keepNext/>
              <w:keepLines/>
              <w:ind w:left="-108"/>
              <w:rPr>
                <w:rFonts w:ascii="Arial Narrow" w:hAnsi="Arial Narrow"/>
                <w:sz w:val="18"/>
                <w:szCs w:val="18"/>
              </w:rPr>
            </w:pPr>
            <w:r w:rsidRPr="004E025C">
              <w:rPr>
                <w:rFonts w:ascii="Arial Narrow" w:hAnsi="Arial Narrow" w:cstheme="minorHAnsi"/>
                <w:sz w:val="18"/>
                <w:szCs w:val="18"/>
              </w:rPr>
              <w:t>VEDOLIZUMAB 108 mg/0.68 mL injection, 2 x 0.68 mL syringes</w:t>
            </w:r>
          </w:p>
          <w:p w:rsidR="0062746A" w:rsidRPr="004E025C" w:rsidRDefault="0062746A" w:rsidP="003E3661">
            <w:pPr>
              <w:keepNext/>
              <w:keepLines/>
              <w:ind w:left="-108"/>
              <w:rPr>
                <w:rFonts w:ascii="Arial Narrow" w:hAnsi="Arial Narrow"/>
                <w:color w:val="000000" w:themeColor="text1"/>
                <w:sz w:val="18"/>
                <w:szCs w:val="18"/>
              </w:rPr>
            </w:pPr>
          </w:p>
        </w:tc>
        <w:tc>
          <w:tcPr>
            <w:tcW w:w="476" w:type="pct"/>
          </w:tcPr>
          <w:p w:rsidR="0062746A" w:rsidRPr="004E025C" w:rsidRDefault="0062746A" w:rsidP="003E3661">
            <w:pPr>
              <w:keepNext/>
              <w:keepLines/>
              <w:ind w:left="-108"/>
              <w:jc w:val="center"/>
              <w:rPr>
                <w:rFonts w:ascii="Arial Narrow" w:hAnsi="Arial Narrow"/>
                <w:sz w:val="18"/>
                <w:szCs w:val="18"/>
              </w:rPr>
            </w:pPr>
            <w:r w:rsidRPr="004E025C">
              <w:rPr>
                <w:rFonts w:ascii="Arial Narrow" w:hAnsi="Arial Narrow"/>
                <w:sz w:val="18"/>
                <w:szCs w:val="18"/>
              </w:rPr>
              <w:t>NEW</w:t>
            </w:r>
          </w:p>
          <w:p w:rsidR="0062746A" w:rsidRPr="004E025C" w:rsidRDefault="0062746A" w:rsidP="003E3661">
            <w:pPr>
              <w:keepNext/>
              <w:keepLines/>
              <w:ind w:left="-108"/>
              <w:jc w:val="center"/>
              <w:rPr>
                <w:rFonts w:ascii="Arial Narrow" w:hAnsi="Arial Narrow"/>
                <w:color w:val="000000" w:themeColor="text1"/>
                <w:sz w:val="18"/>
                <w:szCs w:val="18"/>
              </w:rPr>
            </w:pPr>
            <w:r w:rsidRPr="004E025C">
              <w:rPr>
                <w:rFonts w:ascii="Arial Narrow" w:hAnsi="Arial Narrow"/>
                <w:sz w:val="18"/>
                <w:szCs w:val="18"/>
              </w:rPr>
              <w:t>NEW</w:t>
            </w:r>
          </w:p>
        </w:tc>
        <w:tc>
          <w:tcPr>
            <w:tcW w:w="397" w:type="pct"/>
          </w:tcPr>
          <w:p w:rsidR="0062746A" w:rsidRPr="004E025C" w:rsidRDefault="0062746A" w:rsidP="003E3661">
            <w:pPr>
              <w:keepNext/>
              <w:keepLines/>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62746A" w:rsidRPr="004E025C" w:rsidRDefault="0062746A" w:rsidP="003E3661">
            <w:pPr>
              <w:keepNext/>
              <w:keepLines/>
              <w:ind w:left="-108"/>
              <w:jc w:val="center"/>
              <w:rPr>
                <w:rFonts w:ascii="Arial Narrow" w:hAnsi="Arial Narrow"/>
                <w:color w:val="000000" w:themeColor="text1"/>
                <w:sz w:val="18"/>
                <w:szCs w:val="18"/>
              </w:rPr>
            </w:pPr>
            <w:r w:rsidRPr="004E025C">
              <w:rPr>
                <w:rFonts w:ascii="Arial Narrow" w:hAnsi="Arial Narrow"/>
                <w:sz w:val="18"/>
                <w:szCs w:val="18"/>
              </w:rPr>
              <w:t>2</w:t>
            </w:r>
          </w:p>
        </w:tc>
        <w:tc>
          <w:tcPr>
            <w:tcW w:w="397" w:type="pct"/>
          </w:tcPr>
          <w:p w:rsidR="008737BC" w:rsidRPr="004E025C" w:rsidRDefault="008737BC" w:rsidP="008737BC">
            <w:pPr>
              <w:keepNext/>
              <w:keepLines/>
              <w:ind w:left="-108"/>
              <w:jc w:val="center"/>
              <w:rPr>
                <w:rFonts w:ascii="Arial Narrow" w:hAnsi="Arial Narrow"/>
                <w:sz w:val="18"/>
                <w:szCs w:val="18"/>
              </w:rPr>
            </w:pPr>
            <w:r w:rsidRPr="004E025C">
              <w:rPr>
                <w:rFonts w:ascii="Arial Narrow" w:hAnsi="Arial Narrow"/>
                <w:sz w:val="18"/>
                <w:szCs w:val="18"/>
              </w:rPr>
              <w:t>0</w:t>
            </w:r>
          </w:p>
          <w:p w:rsidR="0062746A" w:rsidRPr="004E025C" w:rsidRDefault="0062746A" w:rsidP="003E3661">
            <w:pPr>
              <w:keepNext/>
              <w:keepLines/>
              <w:rPr>
                <w:rFonts w:ascii="Arial Narrow" w:hAnsi="Arial Narrow"/>
                <w:color w:val="000000" w:themeColor="text1"/>
                <w:sz w:val="18"/>
                <w:szCs w:val="18"/>
              </w:rPr>
            </w:pPr>
          </w:p>
        </w:tc>
        <w:tc>
          <w:tcPr>
            <w:tcW w:w="476" w:type="pct"/>
          </w:tcPr>
          <w:p w:rsidR="0062746A" w:rsidRPr="004E025C" w:rsidRDefault="0062746A" w:rsidP="003E3661">
            <w:pPr>
              <w:keepNext/>
              <w:keepLines/>
              <w:rPr>
                <w:rFonts w:ascii="Arial Narrow" w:hAnsi="Arial Narrow"/>
                <w:color w:val="000000" w:themeColor="text1"/>
                <w:sz w:val="18"/>
                <w:szCs w:val="18"/>
              </w:rPr>
            </w:pPr>
            <w:r w:rsidRPr="004E025C">
              <w:rPr>
                <w:rFonts w:ascii="Arial Narrow" w:hAnsi="Arial Narrow"/>
                <w:sz w:val="18"/>
                <w:szCs w:val="18"/>
              </w:rPr>
              <w:t>Entyvio</w:t>
            </w:r>
            <w:r w:rsidRPr="004E025C">
              <w:rPr>
                <w:rFonts w:ascii="Arial Narrow" w:hAnsi="Arial Narrow"/>
                <w:sz w:val="18"/>
                <w:szCs w:val="18"/>
                <w:vertAlign w:val="superscript"/>
              </w:rPr>
              <w:t>®</w:t>
            </w:r>
          </w:p>
          <w:p w:rsidR="0062746A" w:rsidRPr="004E025C" w:rsidRDefault="0062746A" w:rsidP="003E3661">
            <w:pPr>
              <w:keepNext/>
              <w:keepLines/>
              <w:rPr>
                <w:rFonts w:ascii="Arial Narrow" w:hAnsi="Arial Narrow"/>
                <w:sz w:val="18"/>
                <w:szCs w:val="18"/>
              </w:rPr>
            </w:pPr>
          </w:p>
        </w:tc>
        <w:tc>
          <w:tcPr>
            <w:tcW w:w="794" w:type="pct"/>
          </w:tcPr>
          <w:p w:rsidR="0062746A" w:rsidRPr="004E025C" w:rsidRDefault="0062746A" w:rsidP="003E3661">
            <w:pPr>
              <w:keepNext/>
              <w:keepLines/>
              <w:rPr>
                <w:rFonts w:ascii="Arial Narrow" w:hAnsi="Arial Narrow"/>
                <w:color w:val="000000" w:themeColor="text1"/>
                <w:sz w:val="18"/>
                <w:szCs w:val="18"/>
              </w:rPr>
            </w:pPr>
            <w:r w:rsidRPr="004E025C">
              <w:rPr>
                <w:rFonts w:ascii="Arial Narrow" w:hAnsi="Arial Narrow"/>
                <w:sz w:val="18"/>
                <w:szCs w:val="18"/>
              </w:rPr>
              <w:t>Takeda Pharmaceuticals Australia Pty Ltd</w:t>
            </w:r>
          </w:p>
        </w:tc>
      </w:tr>
      <w:tr w:rsidR="0062746A" w:rsidRPr="004E025C" w:rsidTr="00D02B13">
        <w:trPr>
          <w:cantSplit/>
          <w:trHeight w:val="346"/>
        </w:trPr>
        <w:tc>
          <w:tcPr>
            <w:tcW w:w="2063" w:type="pct"/>
          </w:tcPr>
          <w:p w:rsidR="0062746A" w:rsidRPr="004E025C" w:rsidRDefault="0062746A" w:rsidP="003E3661">
            <w:pPr>
              <w:keepNext/>
              <w:keepLines/>
              <w:ind w:left="-108"/>
              <w:rPr>
                <w:rFonts w:ascii="Arial Narrow" w:hAnsi="Arial Narrow" w:cstheme="minorHAnsi"/>
                <w:sz w:val="18"/>
                <w:szCs w:val="18"/>
              </w:rPr>
            </w:pPr>
            <w:r w:rsidRPr="004E025C">
              <w:rPr>
                <w:rFonts w:ascii="Arial Narrow" w:hAnsi="Arial Narrow" w:cstheme="minorHAnsi"/>
                <w:sz w:val="18"/>
                <w:szCs w:val="18"/>
              </w:rPr>
              <w:t>VEDOLIZUMAB 108 mg/0.68 mL injection, 2 x 0.68 mL pen devices</w:t>
            </w:r>
          </w:p>
        </w:tc>
        <w:tc>
          <w:tcPr>
            <w:tcW w:w="476" w:type="pct"/>
          </w:tcPr>
          <w:p w:rsidR="0062746A" w:rsidRPr="004E025C" w:rsidRDefault="0062746A" w:rsidP="003E3661">
            <w:pPr>
              <w:keepNext/>
              <w:keepLines/>
              <w:ind w:left="-108"/>
              <w:jc w:val="center"/>
              <w:rPr>
                <w:rFonts w:ascii="Arial Narrow" w:hAnsi="Arial Narrow"/>
                <w:sz w:val="18"/>
                <w:szCs w:val="18"/>
              </w:rPr>
            </w:pPr>
            <w:r w:rsidRPr="004E025C">
              <w:rPr>
                <w:rFonts w:ascii="Arial Narrow" w:hAnsi="Arial Narrow"/>
                <w:sz w:val="18"/>
                <w:szCs w:val="18"/>
              </w:rPr>
              <w:t>NEW</w:t>
            </w:r>
          </w:p>
          <w:p w:rsidR="0062746A" w:rsidRPr="004E025C" w:rsidRDefault="0062746A" w:rsidP="003E3661">
            <w:pPr>
              <w:keepNext/>
              <w:keepLines/>
              <w:ind w:left="-108"/>
              <w:jc w:val="center"/>
              <w:rPr>
                <w:rFonts w:ascii="Arial Narrow" w:hAnsi="Arial Narrow"/>
                <w:sz w:val="18"/>
                <w:szCs w:val="18"/>
              </w:rPr>
            </w:pPr>
            <w:r w:rsidRPr="004E025C">
              <w:rPr>
                <w:rFonts w:ascii="Arial Narrow" w:hAnsi="Arial Narrow"/>
                <w:sz w:val="18"/>
                <w:szCs w:val="18"/>
              </w:rPr>
              <w:t>NEW</w:t>
            </w:r>
          </w:p>
        </w:tc>
        <w:tc>
          <w:tcPr>
            <w:tcW w:w="397" w:type="pct"/>
          </w:tcPr>
          <w:p w:rsidR="0062746A" w:rsidRPr="004E025C" w:rsidRDefault="0062746A" w:rsidP="003E3661">
            <w:pPr>
              <w:keepNext/>
              <w:keepLines/>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62746A" w:rsidRPr="004E025C" w:rsidRDefault="0062746A" w:rsidP="003E3661">
            <w:pPr>
              <w:keepNext/>
              <w:keepLines/>
              <w:ind w:left="-108"/>
              <w:jc w:val="center"/>
              <w:rPr>
                <w:rFonts w:ascii="Arial Narrow" w:hAnsi="Arial Narrow"/>
                <w:sz w:val="18"/>
                <w:szCs w:val="18"/>
              </w:rPr>
            </w:pPr>
            <w:r w:rsidRPr="004E025C">
              <w:rPr>
                <w:rFonts w:ascii="Arial Narrow" w:hAnsi="Arial Narrow"/>
                <w:sz w:val="18"/>
                <w:szCs w:val="18"/>
              </w:rPr>
              <w:t>2</w:t>
            </w:r>
          </w:p>
        </w:tc>
        <w:tc>
          <w:tcPr>
            <w:tcW w:w="397" w:type="pct"/>
          </w:tcPr>
          <w:p w:rsidR="008737BC" w:rsidRPr="004E025C" w:rsidRDefault="008737BC" w:rsidP="008737BC">
            <w:pPr>
              <w:keepNext/>
              <w:keepLines/>
              <w:ind w:left="-108"/>
              <w:jc w:val="center"/>
              <w:rPr>
                <w:rFonts w:ascii="Arial Narrow" w:hAnsi="Arial Narrow"/>
                <w:sz w:val="18"/>
                <w:szCs w:val="18"/>
              </w:rPr>
            </w:pPr>
            <w:r w:rsidRPr="004E025C">
              <w:rPr>
                <w:rFonts w:ascii="Arial Narrow" w:hAnsi="Arial Narrow"/>
                <w:sz w:val="18"/>
                <w:szCs w:val="18"/>
              </w:rPr>
              <w:t>0</w:t>
            </w:r>
          </w:p>
          <w:p w:rsidR="0062746A" w:rsidRPr="004E025C" w:rsidRDefault="0062746A" w:rsidP="003E3661">
            <w:pPr>
              <w:keepNext/>
              <w:keepLines/>
              <w:ind w:left="-108"/>
              <w:jc w:val="center"/>
              <w:rPr>
                <w:rFonts w:ascii="Arial Narrow" w:hAnsi="Arial Narrow"/>
                <w:sz w:val="18"/>
                <w:szCs w:val="18"/>
              </w:rPr>
            </w:pPr>
          </w:p>
        </w:tc>
        <w:tc>
          <w:tcPr>
            <w:tcW w:w="476" w:type="pct"/>
          </w:tcPr>
          <w:p w:rsidR="0062746A" w:rsidRPr="004E025C" w:rsidRDefault="0062746A" w:rsidP="003E3661">
            <w:pPr>
              <w:keepNext/>
              <w:keepLines/>
              <w:rPr>
                <w:rFonts w:ascii="Arial Narrow" w:hAnsi="Arial Narrow"/>
                <w:sz w:val="18"/>
                <w:szCs w:val="18"/>
              </w:rPr>
            </w:pPr>
            <w:r w:rsidRPr="004E025C">
              <w:rPr>
                <w:rFonts w:ascii="Arial Narrow" w:hAnsi="Arial Narrow"/>
                <w:sz w:val="18"/>
                <w:szCs w:val="18"/>
              </w:rPr>
              <w:t>Entyvio</w:t>
            </w:r>
            <w:r w:rsidRPr="004E025C">
              <w:rPr>
                <w:rFonts w:ascii="Arial Narrow" w:hAnsi="Arial Narrow"/>
                <w:sz w:val="18"/>
                <w:szCs w:val="18"/>
                <w:vertAlign w:val="superscript"/>
              </w:rPr>
              <w:t xml:space="preserve"> ®</w:t>
            </w:r>
          </w:p>
        </w:tc>
        <w:tc>
          <w:tcPr>
            <w:tcW w:w="794" w:type="pct"/>
          </w:tcPr>
          <w:p w:rsidR="0062746A" w:rsidRPr="004E025C" w:rsidRDefault="0062746A" w:rsidP="003E3661">
            <w:pPr>
              <w:keepNext/>
              <w:keepLines/>
              <w:rPr>
                <w:rFonts w:ascii="Arial Narrow" w:hAnsi="Arial Narrow"/>
                <w:sz w:val="18"/>
                <w:szCs w:val="18"/>
              </w:rPr>
            </w:pPr>
            <w:r w:rsidRPr="004E025C">
              <w:rPr>
                <w:rFonts w:ascii="Arial Narrow" w:hAnsi="Arial Narrow"/>
                <w:sz w:val="18"/>
                <w:szCs w:val="18"/>
              </w:rPr>
              <w:t>Takeda Pharmaceuticals Australia Pty Ltd</w:t>
            </w:r>
          </w:p>
        </w:tc>
      </w:tr>
    </w:tbl>
    <w:p w:rsidR="0062746A" w:rsidRPr="004E025C" w:rsidRDefault="0062746A" w:rsidP="0062746A">
      <w:pPr>
        <w:rPr>
          <w:sz w:val="20"/>
          <w:szCs w:val="20"/>
        </w:rPr>
      </w:pPr>
    </w:p>
    <w:tbl>
      <w:tblPr>
        <w:tblW w:w="5000" w:type="pct"/>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65CDD" w:rsidRPr="004E025C" w:rsidTr="00D65CDD">
        <w:tc>
          <w:tcPr>
            <w:tcW w:w="5000" w:type="pct"/>
            <w:tcBorders>
              <w:top w:val="single" w:sz="4" w:space="0" w:color="000000"/>
              <w:bottom w:val="single" w:sz="4" w:space="0" w:color="000000"/>
            </w:tcBorders>
          </w:tcPr>
          <w:p w:rsidR="00D65CDD" w:rsidRPr="004E025C" w:rsidRDefault="00D65CDD" w:rsidP="00D02B13">
            <w:pPr>
              <w:rPr>
                <w:rFonts w:ascii="Arial Narrow" w:hAnsi="Arial Narrow"/>
                <w:sz w:val="18"/>
                <w:szCs w:val="18"/>
              </w:rPr>
            </w:pPr>
            <w:r w:rsidRPr="004E025C">
              <w:rPr>
                <w:rFonts w:ascii="Arial Narrow" w:hAnsi="Arial Narrow"/>
                <w:b/>
                <w:sz w:val="18"/>
                <w:szCs w:val="18"/>
              </w:rPr>
              <w:t>Category / Program</w:t>
            </w:r>
            <w:r w:rsidRPr="004E025C">
              <w:rPr>
                <w:rFonts w:ascii="Arial Narrow" w:hAnsi="Arial Narrow"/>
                <w:sz w:val="18"/>
                <w:szCs w:val="18"/>
              </w:rPr>
              <w:t>: GENERAL – General Schedule (Code GE)</w:t>
            </w:r>
          </w:p>
        </w:tc>
      </w:tr>
      <w:tr w:rsidR="00D65CDD" w:rsidRPr="004E025C" w:rsidTr="00D65CDD">
        <w:tc>
          <w:tcPr>
            <w:tcW w:w="5000" w:type="pct"/>
            <w:tcBorders>
              <w:top w:val="single" w:sz="4" w:space="0" w:color="000000"/>
            </w:tcBorders>
          </w:tcPr>
          <w:p w:rsidR="00D65CDD" w:rsidRPr="004E025C" w:rsidRDefault="00D65CDD" w:rsidP="00D02B13">
            <w:pPr>
              <w:rPr>
                <w:rFonts w:ascii="Arial Narrow" w:hAnsi="Arial Narrow"/>
                <w:sz w:val="18"/>
                <w:szCs w:val="18"/>
              </w:rPr>
            </w:pPr>
            <w:r w:rsidRPr="004E025C">
              <w:rPr>
                <w:rFonts w:ascii="Arial Narrow" w:hAnsi="Arial Narrow"/>
                <w:b/>
                <w:sz w:val="18"/>
                <w:szCs w:val="18"/>
              </w:rPr>
              <w:t>Prescriber Type(s)</w:t>
            </w:r>
            <w:r w:rsidRPr="004E025C">
              <w:rPr>
                <w:rFonts w:ascii="Arial Narrow" w:hAnsi="Arial Narrow"/>
                <w:sz w:val="18"/>
                <w:szCs w:val="18"/>
              </w:rPr>
              <w:t>: Medical Practitioners</w:t>
            </w:r>
          </w:p>
        </w:tc>
      </w:tr>
      <w:tr w:rsidR="00D65CDD" w:rsidRPr="004E025C" w:rsidTr="00D65CDD">
        <w:tc>
          <w:tcPr>
            <w:tcW w:w="5000" w:type="pct"/>
          </w:tcPr>
          <w:p w:rsidR="00D65CDD" w:rsidRPr="004E025C" w:rsidRDefault="00D65CDD" w:rsidP="00D02B13">
            <w:pPr>
              <w:rPr>
                <w:rFonts w:ascii="Arial Narrow" w:hAnsi="Arial Narrow"/>
                <w:sz w:val="18"/>
                <w:szCs w:val="18"/>
              </w:rPr>
            </w:pPr>
            <w:r w:rsidRPr="004E025C">
              <w:rPr>
                <w:rFonts w:ascii="Arial Narrow" w:hAnsi="Arial Narrow"/>
                <w:b/>
                <w:sz w:val="18"/>
                <w:szCs w:val="18"/>
              </w:rPr>
              <w:t>PBS Indication</w:t>
            </w:r>
            <w:r w:rsidRPr="004E025C">
              <w:rPr>
                <w:rFonts w:ascii="Arial Narrow" w:hAnsi="Arial Narrow"/>
                <w:sz w:val="18"/>
                <w:szCs w:val="18"/>
              </w:rPr>
              <w:t>: Moderate to severe ulcerative colitis</w:t>
            </w:r>
          </w:p>
        </w:tc>
      </w:tr>
      <w:tr w:rsidR="00D65CDD" w:rsidRPr="004E025C" w:rsidTr="00D65CDD">
        <w:tc>
          <w:tcPr>
            <w:tcW w:w="5000" w:type="pct"/>
          </w:tcPr>
          <w:p w:rsidR="00D65CDD" w:rsidRPr="004E025C" w:rsidRDefault="00D65CDD" w:rsidP="00D02B13">
            <w:pPr>
              <w:rPr>
                <w:rFonts w:ascii="Arial Narrow" w:hAnsi="Arial Narrow"/>
                <w:sz w:val="18"/>
                <w:szCs w:val="18"/>
              </w:rPr>
            </w:pPr>
            <w:r w:rsidRPr="004E025C">
              <w:rPr>
                <w:rFonts w:ascii="Arial Narrow" w:hAnsi="Arial Narrow"/>
                <w:b/>
                <w:sz w:val="18"/>
                <w:szCs w:val="18"/>
              </w:rPr>
              <w:t>Treatment phase</w:t>
            </w:r>
            <w:r w:rsidRPr="004E025C">
              <w:rPr>
                <w:rFonts w:ascii="Arial Narrow" w:hAnsi="Arial Narrow"/>
                <w:sz w:val="18"/>
                <w:szCs w:val="18"/>
              </w:rPr>
              <w:t xml:space="preserve"> : </w:t>
            </w:r>
            <w:r w:rsidRPr="004E025C">
              <w:rPr>
                <w:rFonts w:ascii="Arial Narrow" w:hAnsi="Arial Narrow"/>
                <w:b/>
                <w:sz w:val="18"/>
                <w:szCs w:val="18"/>
              </w:rPr>
              <w:t>Initial t</w:t>
            </w:r>
            <w:r>
              <w:rPr>
                <w:rFonts w:ascii="Arial Narrow" w:hAnsi="Arial Narrow"/>
                <w:b/>
                <w:sz w:val="18"/>
                <w:szCs w:val="18"/>
              </w:rPr>
              <w:t>reatment with subcutaneous form</w:t>
            </w:r>
          </w:p>
        </w:tc>
      </w:tr>
      <w:tr w:rsidR="00D65CDD" w:rsidRPr="004E025C" w:rsidTr="00D65CDD">
        <w:tc>
          <w:tcPr>
            <w:tcW w:w="5000" w:type="pct"/>
            <w:tcBorders>
              <w:bottom w:val="nil"/>
            </w:tcBorders>
          </w:tcPr>
          <w:p w:rsidR="00D65CDD" w:rsidRPr="004E025C" w:rsidRDefault="00D65CDD" w:rsidP="00D02B13">
            <w:pPr>
              <w:rPr>
                <w:rFonts w:ascii="Arial Narrow" w:hAnsi="Arial Narrow"/>
                <w:sz w:val="18"/>
                <w:szCs w:val="18"/>
              </w:rPr>
            </w:pPr>
            <w:r w:rsidRPr="004E025C">
              <w:rPr>
                <w:rFonts w:ascii="Arial Narrow" w:hAnsi="Arial Narrow"/>
                <w:b/>
                <w:sz w:val="18"/>
                <w:szCs w:val="18"/>
              </w:rPr>
              <w:t>Restriction Type</w:t>
            </w:r>
            <w:r w:rsidRPr="004E025C">
              <w:rPr>
                <w:rFonts w:ascii="Arial Narrow" w:hAnsi="Arial Narrow"/>
                <w:sz w:val="18"/>
                <w:szCs w:val="18"/>
              </w:rPr>
              <w:t xml:space="preserve">: Authority </w:t>
            </w:r>
            <w:r w:rsidRPr="002823A0">
              <w:rPr>
                <w:rFonts w:ascii="Arial Narrow" w:hAnsi="Arial Narrow"/>
                <w:sz w:val="18"/>
                <w:szCs w:val="18"/>
              </w:rPr>
              <w:t xml:space="preserve">required - </w:t>
            </w:r>
            <w:r w:rsidRPr="002823A0">
              <w:rPr>
                <w:rFonts w:ascii="Arial Narrow" w:hAnsi="Arial Narrow"/>
                <w:bCs/>
                <w:sz w:val="18"/>
                <w:szCs w:val="18"/>
              </w:rPr>
              <w:t>non-immediate/delayed assessment by Services Australia (in-writing only via mail/postal service or electronic upload to Hobart)</w:t>
            </w:r>
          </w:p>
        </w:tc>
      </w:tr>
      <w:tr w:rsidR="00D65CDD" w:rsidRPr="004E025C" w:rsidTr="00D65CDD">
        <w:tc>
          <w:tcPr>
            <w:tcW w:w="5000" w:type="pct"/>
            <w:tcBorders>
              <w:top w:val="nil"/>
              <w:bottom w:val="single" w:sz="4" w:space="0" w:color="000000"/>
            </w:tcBorders>
          </w:tcPr>
          <w:p w:rsidR="00D65CDD" w:rsidRPr="004E025C" w:rsidRDefault="00D65CDD" w:rsidP="00D02B13">
            <w:pPr>
              <w:rPr>
                <w:rFonts w:ascii="Arial Narrow" w:hAnsi="Arial Narrow"/>
                <w:sz w:val="18"/>
                <w:szCs w:val="18"/>
              </w:rPr>
            </w:pPr>
            <w:r w:rsidRPr="004E025C">
              <w:rPr>
                <w:rFonts w:ascii="Arial Narrow" w:hAnsi="Arial Narrow"/>
                <w:b/>
                <w:sz w:val="18"/>
                <w:szCs w:val="18"/>
              </w:rPr>
              <w:t>Treatment criteria:</w:t>
            </w:r>
          </w:p>
          <w:p w:rsidR="00D65CDD" w:rsidRPr="004E025C" w:rsidRDefault="00D65CDD" w:rsidP="00D02B13">
            <w:pPr>
              <w:rPr>
                <w:rFonts w:ascii="Arial Narrow" w:hAnsi="Arial Narrow"/>
                <w:sz w:val="18"/>
                <w:szCs w:val="18"/>
              </w:rPr>
            </w:pPr>
            <w:r w:rsidRPr="004E025C">
              <w:rPr>
                <w:rFonts w:ascii="Arial Narrow" w:hAnsi="Arial Narrow"/>
                <w:sz w:val="18"/>
                <w:szCs w:val="18"/>
              </w:rPr>
              <w:t>Must be treated by a gastroenterologist (code 87); or</w:t>
            </w:r>
          </w:p>
          <w:p w:rsidR="00D65CDD" w:rsidRPr="004E025C" w:rsidRDefault="00D65CDD" w:rsidP="00D02B13">
            <w:pPr>
              <w:rPr>
                <w:rFonts w:ascii="Arial Narrow" w:hAnsi="Arial Narrow"/>
                <w:sz w:val="18"/>
                <w:szCs w:val="18"/>
              </w:rPr>
            </w:pPr>
            <w:r w:rsidRPr="004E025C">
              <w:rPr>
                <w:rFonts w:ascii="Arial Narrow" w:hAnsi="Arial Narrow"/>
                <w:sz w:val="18"/>
                <w:szCs w:val="18"/>
              </w:rPr>
              <w:t>Must be treated by a consultant physician [internal medicine specialising in gastroenterology (code 81)]; or</w:t>
            </w:r>
          </w:p>
          <w:p w:rsidR="00D65CDD" w:rsidRPr="004E025C" w:rsidRDefault="00D65CDD" w:rsidP="00D02B13">
            <w:pPr>
              <w:rPr>
                <w:rFonts w:ascii="Arial Narrow" w:hAnsi="Arial Narrow"/>
                <w:sz w:val="18"/>
                <w:szCs w:val="18"/>
              </w:rPr>
            </w:pPr>
            <w:r w:rsidRPr="004E025C">
              <w:rPr>
                <w:rFonts w:ascii="Arial Narrow" w:hAnsi="Arial Narrow"/>
                <w:sz w:val="18"/>
                <w:szCs w:val="18"/>
              </w:rPr>
              <w:t>Must be treated by a consultant physician [general medicine specialising in gastroenterology (code 82)]</w:t>
            </w:r>
          </w:p>
          <w:p w:rsidR="00D65CDD" w:rsidRPr="004E025C" w:rsidRDefault="00D65CDD" w:rsidP="00D02B13">
            <w:pPr>
              <w:rPr>
                <w:rFonts w:ascii="Arial Narrow" w:hAnsi="Arial Narrow"/>
                <w:sz w:val="18"/>
                <w:szCs w:val="18"/>
              </w:rPr>
            </w:pPr>
          </w:p>
        </w:tc>
      </w:tr>
      <w:tr w:rsidR="00D65CDD" w:rsidRPr="004E025C" w:rsidTr="00D65CDD">
        <w:tc>
          <w:tcPr>
            <w:tcW w:w="5000" w:type="pct"/>
            <w:tcBorders>
              <w:top w:val="single" w:sz="4" w:space="0" w:color="000000"/>
              <w:bottom w:val="single" w:sz="4" w:space="0" w:color="000000"/>
            </w:tcBorders>
          </w:tcPr>
          <w:p w:rsidR="00D65CDD" w:rsidRPr="004E025C" w:rsidRDefault="00D65CDD" w:rsidP="008737BC">
            <w:pPr>
              <w:rPr>
                <w:rFonts w:ascii="Arial Narrow" w:hAnsi="Arial Narrow"/>
                <w:sz w:val="18"/>
                <w:szCs w:val="18"/>
              </w:rPr>
            </w:pPr>
            <w:r w:rsidRPr="004E025C">
              <w:rPr>
                <w:rFonts w:ascii="Arial Narrow" w:hAnsi="Arial Narrow"/>
                <w:b/>
                <w:sz w:val="18"/>
                <w:szCs w:val="18"/>
              </w:rPr>
              <w:t>Clinical criteria:</w:t>
            </w:r>
          </w:p>
        </w:tc>
      </w:tr>
      <w:tr w:rsidR="00D65CDD" w:rsidRPr="004E025C" w:rsidTr="00D65CDD">
        <w:tc>
          <w:tcPr>
            <w:tcW w:w="5000" w:type="pct"/>
            <w:tcBorders>
              <w:top w:val="single" w:sz="4" w:space="0" w:color="000000"/>
              <w:bottom w:val="single" w:sz="4" w:space="0" w:color="000000"/>
            </w:tcBorders>
          </w:tcPr>
          <w:p w:rsidR="00D65CDD" w:rsidRPr="00496210" w:rsidRDefault="00D65CDD" w:rsidP="008737BC">
            <w:pPr>
              <w:rPr>
                <w:rFonts w:ascii="Arial Narrow" w:hAnsi="Arial Narrow"/>
                <w:sz w:val="18"/>
                <w:szCs w:val="18"/>
              </w:rPr>
            </w:pPr>
            <w:r w:rsidRPr="00496210">
              <w:rPr>
                <w:rFonts w:ascii="Arial Narrow" w:hAnsi="Arial Narrow"/>
                <w:sz w:val="18"/>
                <w:szCs w:val="18"/>
              </w:rPr>
              <w:t>Patient must have received at least 2 of the 3 initial intravenous infusions with this drug for this condition at weeks 0, 2 and 6 under Initial 1 (new patient); OR</w:t>
            </w:r>
          </w:p>
        </w:tc>
      </w:tr>
      <w:tr w:rsidR="00D65CDD" w:rsidRPr="004E025C" w:rsidTr="00D65CDD">
        <w:tc>
          <w:tcPr>
            <w:tcW w:w="5000" w:type="pct"/>
            <w:tcBorders>
              <w:top w:val="single" w:sz="4" w:space="0" w:color="000000"/>
            </w:tcBorders>
          </w:tcPr>
          <w:p w:rsidR="00D65CDD" w:rsidRPr="00496210" w:rsidRDefault="00D65CDD" w:rsidP="008737BC">
            <w:pPr>
              <w:rPr>
                <w:rFonts w:ascii="Arial Narrow" w:hAnsi="Arial Narrow"/>
                <w:sz w:val="18"/>
                <w:szCs w:val="18"/>
              </w:rPr>
            </w:pPr>
            <w:r w:rsidRPr="00496210">
              <w:rPr>
                <w:rFonts w:ascii="Arial Narrow" w:hAnsi="Arial Narrow"/>
                <w:b/>
                <w:sz w:val="18"/>
                <w:szCs w:val="18"/>
              </w:rPr>
              <w:t>Clinical criteria:</w:t>
            </w:r>
          </w:p>
        </w:tc>
      </w:tr>
      <w:tr w:rsidR="00D65CDD" w:rsidRPr="004E025C" w:rsidTr="00D65CDD">
        <w:tc>
          <w:tcPr>
            <w:tcW w:w="5000" w:type="pct"/>
          </w:tcPr>
          <w:p w:rsidR="00D65CDD" w:rsidRPr="00496210" w:rsidRDefault="00D65CDD" w:rsidP="008737BC">
            <w:pPr>
              <w:rPr>
                <w:rFonts w:ascii="Arial Narrow" w:hAnsi="Arial Narrow"/>
                <w:sz w:val="18"/>
                <w:szCs w:val="18"/>
              </w:rPr>
            </w:pPr>
            <w:r w:rsidRPr="00496210">
              <w:rPr>
                <w:rFonts w:ascii="Arial Narrow" w:hAnsi="Arial Narrow"/>
                <w:sz w:val="18"/>
                <w:szCs w:val="18"/>
              </w:rPr>
              <w:t>Patient must have received at least 2 of the 3 initial intravenous infusions with this drug for this condition at weeks 0, 2 and 6 under Initial 2 (change or re-commencement of treatment after a break in biological medicine of less than 24 months); OR</w:t>
            </w:r>
          </w:p>
        </w:tc>
      </w:tr>
      <w:tr w:rsidR="00D65CDD" w:rsidRPr="004E025C" w:rsidTr="00D65CDD">
        <w:tc>
          <w:tcPr>
            <w:tcW w:w="5000" w:type="pct"/>
          </w:tcPr>
          <w:p w:rsidR="00D65CDD" w:rsidRPr="00496210" w:rsidRDefault="00D65CDD" w:rsidP="008737BC">
            <w:pPr>
              <w:rPr>
                <w:rFonts w:ascii="Arial Narrow" w:hAnsi="Arial Narrow"/>
                <w:sz w:val="18"/>
                <w:szCs w:val="18"/>
              </w:rPr>
            </w:pPr>
            <w:r w:rsidRPr="00496210">
              <w:rPr>
                <w:rFonts w:ascii="Arial Narrow" w:hAnsi="Arial Narrow"/>
                <w:b/>
                <w:sz w:val="18"/>
                <w:szCs w:val="18"/>
              </w:rPr>
              <w:t>Clinical criteria:</w:t>
            </w:r>
          </w:p>
        </w:tc>
      </w:tr>
      <w:tr w:rsidR="00D65CDD" w:rsidRPr="004E025C" w:rsidTr="00D65CDD">
        <w:tc>
          <w:tcPr>
            <w:tcW w:w="5000" w:type="pct"/>
          </w:tcPr>
          <w:p w:rsidR="00D65CDD" w:rsidRPr="00496210" w:rsidRDefault="00D65CDD" w:rsidP="008737BC">
            <w:pPr>
              <w:rPr>
                <w:rFonts w:ascii="Arial Narrow" w:hAnsi="Arial Narrow"/>
                <w:sz w:val="18"/>
                <w:szCs w:val="18"/>
              </w:rPr>
            </w:pPr>
            <w:r w:rsidRPr="00496210">
              <w:rPr>
                <w:rFonts w:ascii="Arial Narrow" w:hAnsi="Arial Narrow"/>
                <w:sz w:val="18"/>
                <w:szCs w:val="18"/>
              </w:rPr>
              <w:t xml:space="preserve">Patient must have received at least 2 of the 3 initial intravenous infusions with this drug for this condition at weeks 0, 2 and 6 under Initial 3 (recommencement of treatment after a break in biological medicine of more than 5 years); </w:t>
            </w:r>
          </w:p>
        </w:tc>
      </w:tr>
      <w:tr w:rsidR="00D65CDD" w:rsidRPr="004E025C" w:rsidTr="00D65CDD">
        <w:tc>
          <w:tcPr>
            <w:tcW w:w="5000" w:type="pct"/>
          </w:tcPr>
          <w:p w:rsidR="00D65CDD" w:rsidRPr="00496210" w:rsidRDefault="00D65CDD" w:rsidP="008737BC">
            <w:pPr>
              <w:pStyle w:val="KMC16-Tablecontent"/>
              <w:spacing w:after="0"/>
              <w:rPr>
                <w:b/>
                <w:sz w:val="18"/>
                <w:szCs w:val="18"/>
                <w:lang w:val="en-AU"/>
              </w:rPr>
            </w:pPr>
            <w:r w:rsidRPr="00496210">
              <w:rPr>
                <w:b/>
                <w:sz w:val="18"/>
                <w:szCs w:val="18"/>
                <w:lang w:val="en-AU"/>
              </w:rPr>
              <w:t>AND</w:t>
            </w:r>
          </w:p>
        </w:tc>
      </w:tr>
      <w:tr w:rsidR="00D65CDD" w:rsidRPr="004E025C" w:rsidTr="00D65CDD">
        <w:tc>
          <w:tcPr>
            <w:tcW w:w="5000" w:type="pct"/>
          </w:tcPr>
          <w:p w:rsidR="00D65CDD" w:rsidRPr="00496210" w:rsidRDefault="00D65CDD" w:rsidP="008737BC">
            <w:pPr>
              <w:pStyle w:val="KMC16-Tablecontent"/>
              <w:spacing w:after="0"/>
              <w:rPr>
                <w:b/>
                <w:sz w:val="18"/>
                <w:szCs w:val="18"/>
                <w:lang w:val="en-AU"/>
              </w:rPr>
            </w:pPr>
            <w:r w:rsidRPr="00496210">
              <w:rPr>
                <w:b/>
                <w:sz w:val="18"/>
                <w:szCs w:val="18"/>
                <w:lang w:val="en-AU"/>
              </w:rPr>
              <w:t>Population criteria:</w:t>
            </w:r>
          </w:p>
        </w:tc>
      </w:tr>
      <w:tr w:rsidR="00D65CDD" w:rsidRPr="004E025C" w:rsidTr="00D65CDD">
        <w:tc>
          <w:tcPr>
            <w:tcW w:w="5000" w:type="pct"/>
          </w:tcPr>
          <w:p w:rsidR="00D65CDD" w:rsidRPr="00496210" w:rsidRDefault="00D65CDD" w:rsidP="008737BC">
            <w:pPr>
              <w:rPr>
                <w:rFonts w:ascii="Arial Narrow" w:hAnsi="Arial Narrow"/>
                <w:b/>
                <w:sz w:val="18"/>
                <w:szCs w:val="18"/>
              </w:rPr>
            </w:pPr>
            <w:r w:rsidRPr="00496210">
              <w:rPr>
                <w:rFonts w:ascii="Arial Narrow" w:hAnsi="Arial Narrow"/>
                <w:sz w:val="18"/>
                <w:szCs w:val="18"/>
              </w:rPr>
              <w:t>Patient must be aged 18 years or older</w:t>
            </w:r>
          </w:p>
        </w:tc>
      </w:tr>
      <w:tr w:rsidR="00D65CDD" w:rsidRPr="004E025C" w:rsidTr="00D65CDD">
        <w:tc>
          <w:tcPr>
            <w:tcW w:w="5000" w:type="pct"/>
          </w:tcPr>
          <w:p w:rsidR="00D65CDD" w:rsidRPr="00496210" w:rsidRDefault="00D65CDD" w:rsidP="008737BC">
            <w:pPr>
              <w:pStyle w:val="KMC16-Tablecontent"/>
              <w:spacing w:after="0"/>
              <w:rPr>
                <w:b/>
                <w:sz w:val="18"/>
                <w:szCs w:val="18"/>
                <w:lang w:val="en-AU"/>
              </w:rPr>
            </w:pPr>
            <w:r w:rsidRPr="00496210">
              <w:rPr>
                <w:b/>
                <w:sz w:val="18"/>
                <w:szCs w:val="18"/>
                <w:lang w:val="en-AU"/>
              </w:rPr>
              <w:t>AND</w:t>
            </w:r>
          </w:p>
        </w:tc>
      </w:tr>
      <w:tr w:rsidR="00D65CDD" w:rsidRPr="004E025C" w:rsidTr="00D65CDD">
        <w:tc>
          <w:tcPr>
            <w:tcW w:w="5000" w:type="pct"/>
          </w:tcPr>
          <w:p w:rsidR="00D65CDD" w:rsidRPr="00496210" w:rsidRDefault="00D65CDD" w:rsidP="008737BC">
            <w:pPr>
              <w:pStyle w:val="KMC16-Tablecontent"/>
              <w:spacing w:after="0"/>
              <w:rPr>
                <w:b/>
                <w:sz w:val="18"/>
                <w:szCs w:val="18"/>
                <w:lang w:val="en-AU"/>
              </w:rPr>
            </w:pPr>
            <w:r w:rsidRPr="00496210">
              <w:rPr>
                <w:b/>
                <w:sz w:val="18"/>
                <w:szCs w:val="18"/>
                <w:lang w:val="en-AU"/>
              </w:rPr>
              <w:t>Clinical criteria:</w:t>
            </w:r>
          </w:p>
        </w:tc>
      </w:tr>
      <w:tr w:rsidR="00D65CDD" w:rsidRPr="004E025C" w:rsidTr="00D65CDD">
        <w:tc>
          <w:tcPr>
            <w:tcW w:w="5000" w:type="pct"/>
          </w:tcPr>
          <w:p w:rsidR="00D65CDD" w:rsidRPr="00496210" w:rsidRDefault="00D65CDD" w:rsidP="008737BC">
            <w:pPr>
              <w:rPr>
                <w:rFonts w:ascii="Arial Narrow" w:hAnsi="Arial Narrow"/>
                <w:sz w:val="18"/>
                <w:szCs w:val="18"/>
              </w:rPr>
            </w:pPr>
            <w:r w:rsidRPr="00496210">
              <w:rPr>
                <w:rFonts w:ascii="Arial Narrow" w:hAnsi="Arial Narrow"/>
                <w:sz w:val="18"/>
                <w:szCs w:val="18"/>
              </w:rPr>
              <w:t>Patient must be appropriately assessed for the risk of developing progressive multifocal leukoencephalopathy whilst on this treatment</w:t>
            </w:r>
          </w:p>
        </w:tc>
      </w:tr>
      <w:tr w:rsidR="00D65CDD" w:rsidRPr="004E025C" w:rsidTr="00D65CDD">
        <w:tc>
          <w:tcPr>
            <w:tcW w:w="5000" w:type="pct"/>
          </w:tcPr>
          <w:p w:rsidR="00D65CDD" w:rsidRPr="00496210" w:rsidRDefault="00D65CDD" w:rsidP="008737BC">
            <w:pPr>
              <w:rPr>
                <w:rFonts w:ascii="Arial Narrow" w:hAnsi="Arial Narrow"/>
                <w:b/>
                <w:sz w:val="18"/>
                <w:szCs w:val="18"/>
              </w:rPr>
            </w:pPr>
            <w:r w:rsidRPr="00496210">
              <w:rPr>
                <w:rFonts w:ascii="Arial Narrow" w:hAnsi="Arial Narrow"/>
                <w:b/>
                <w:sz w:val="18"/>
                <w:szCs w:val="18"/>
              </w:rPr>
              <w:t>Prescribing Instructions:</w:t>
            </w:r>
          </w:p>
        </w:tc>
      </w:tr>
      <w:tr w:rsidR="00D65CDD" w:rsidRPr="004E025C" w:rsidTr="00D65CDD">
        <w:tc>
          <w:tcPr>
            <w:tcW w:w="5000" w:type="pct"/>
          </w:tcPr>
          <w:p w:rsidR="00D65CDD" w:rsidRPr="00496210" w:rsidRDefault="00D65CDD" w:rsidP="008737BC">
            <w:pPr>
              <w:rPr>
                <w:rFonts w:ascii="Arial Narrow" w:hAnsi="Arial Narrow"/>
                <w:sz w:val="18"/>
                <w:szCs w:val="18"/>
              </w:rPr>
            </w:pPr>
            <w:r w:rsidRPr="00496210">
              <w:rPr>
                <w:rFonts w:ascii="Arial Narrow" w:hAnsi="Arial Narrow"/>
                <w:sz w:val="18"/>
                <w:szCs w:val="18"/>
              </w:rPr>
              <w:t>Where two initial doses of vedolizumab (at weeks 0 and 2) is administered via intravenous infusion, initial treatment with subcutaneous form will commence at week 6. A maximum quantity and number of repeats to provide for weeks 6, 8, 10, 12, 14 and 16 will be authorised.</w:t>
            </w:r>
          </w:p>
        </w:tc>
      </w:tr>
      <w:tr w:rsidR="00D65CDD" w:rsidRPr="004E025C" w:rsidTr="00D65CDD">
        <w:tc>
          <w:tcPr>
            <w:tcW w:w="5000" w:type="pct"/>
          </w:tcPr>
          <w:p w:rsidR="00D65CDD" w:rsidRPr="004E025C" w:rsidRDefault="00D65CDD" w:rsidP="008737BC">
            <w:pPr>
              <w:rPr>
                <w:rFonts w:ascii="Arial Narrow" w:hAnsi="Arial Narrow"/>
                <w:b/>
                <w:sz w:val="18"/>
                <w:szCs w:val="18"/>
              </w:rPr>
            </w:pPr>
            <w:r w:rsidRPr="004E025C">
              <w:rPr>
                <w:rFonts w:ascii="Arial Narrow" w:hAnsi="Arial Narrow"/>
                <w:b/>
                <w:sz w:val="18"/>
                <w:szCs w:val="18"/>
              </w:rPr>
              <w:t>Prescribing Instructions:</w:t>
            </w:r>
          </w:p>
        </w:tc>
      </w:tr>
      <w:tr w:rsidR="00D65CDD" w:rsidRPr="004E025C" w:rsidTr="00D65CDD">
        <w:tc>
          <w:tcPr>
            <w:tcW w:w="5000" w:type="pct"/>
          </w:tcPr>
          <w:p w:rsidR="00D65CDD" w:rsidRPr="0068694B" w:rsidRDefault="00D65CDD" w:rsidP="008737BC">
            <w:pPr>
              <w:rPr>
                <w:rFonts w:ascii="Arial Narrow" w:hAnsi="Arial Narrow"/>
                <w:sz w:val="18"/>
                <w:szCs w:val="18"/>
              </w:rPr>
            </w:pPr>
            <w:r w:rsidRPr="0068694B">
              <w:rPr>
                <w:rFonts w:ascii="Arial Narrow" w:hAnsi="Arial Narrow"/>
                <w:sz w:val="18"/>
                <w:szCs w:val="18"/>
              </w:rPr>
              <w:t>Where three initial doses of vedolizumab (at weeks 0, 2 and 6) is administered via intravenous infusion, initial treatment with subcutaneous form will commence at week 14 (8 weeks after the third dose). A maximum quantity to provide for weeks 14 and 16 will be authorised.</w:t>
            </w:r>
          </w:p>
        </w:tc>
      </w:tr>
      <w:tr w:rsidR="00D65CDD" w:rsidRPr="00A9036A" w:rsidTr="00D65CDD">
        <w:tc>
          <w:tcPr>
            <w:tcW w:w="5000" w:type="pct"/>
            <w:tcBorders>
              <w:top w:val="single" w:sz="4" w:space="0" w:color="000000"/>
              <w:left w:val="single" w:sz="4" w:space="0" w:color="000000"/>
              <w:bottom w:val="single" w:sz="4" w:space="0" w:color="000000"/>
              <w:right w:val="single" w:sz="4" w:space="0" w:color="000000"/>
            </w:tcBorders>
          </w:tcPr>
          <w:p w:rsidR="00D65CDD" w:rsidRPr="00A9036A" w:rsidRDefault="00D65CDD" w:rsidP="003D2A3B">
            <w:pPr>
              <w:rPr>
                <w:rFonts w:ascii="Arial Narrow" w:hAnsi="Arial Narrow"/>
                <w:b/>
                <w:sz w:val="18"/>
                <w:szCs w:val="18"/>
              </w:rPr>
            </w:pPr>
            <w:r w:rsidRPr="00A9036A">
              <w:rPr>
                <w:rFonts w:ascii="Arial Narrow" w:hAnsi="Arial Narrow"/>
                <w:b/>
                <w:sz w:val="18"/>
                <w:szCs w:val="18"/>
              </w:rPr>
              <w:t>Prescribing Instructions:</w:t>
            </w:r>
          </w:p>
        </w:tc>
      </w:tr>
      <w:tr w:rsidR="00D65CDD" w:rsidRPr="0062746A" w:rsidTr="00D65CDD">
        <w:tc>
          <w:tcPr>
            <w:tcW w:w="5000" w:type="pct"/>
            <w:tcBorders>
              <w:top w:val="single" w:sz="4" w:space="0" w:color="000000"/>
              <w:left w:val="single" w:sz="4" w:space="0" w:color="000000"/>
              <w:bottom w:val="single" w:sz="4" w:space="0" w:color="000000"/>
              <w:right w:val="single" w:sz="4" w:space="0" w:color="000000"/>
            </w:tcBorders>
          </w:tcPr>
          <w:p w:rsidR="00D65CDD" w:rsidRPr="00A9036A" w:rsidRDefault="00D65CDD" w:rsidP="003D2A3B">
            <w:pPr>
              <w:rPr>
                <w:rFonts w:ascii="Arial Narrow" w:hAnsi="Arial Narrow"/>
                <w:sz w:val="18"/>
                <w:szCs w:val="18"/>
              </w:rPr>
            </w:pPr>
            <w:r w:rsidRPr="00A9036A">
              <w:rPr>
                <w:rFonts w:ascii="Arial Narrow" w:hAnsi="Arial Narrow"/>
                <w:sz w:val="18"/>
                <w:szCs w:val="18"/>
              </w:rPr>
              <w:t>Applications for authorisation must be made in writing and must include:</w:t>
            </w:r>
          </w:p>
          <w:p w:rsidR="00D65CDD" w:rsidRPr="00A9036A" w:rsidRDefault="00D65CDD" w:rsidP="003D2A3B">
            <w:pPr>
              <w:rPr>
                <w:rFonts w:ascii="Arial Narrow" w:hAnsi="Arial Narrow"/>
                <w:sz w:val="18"/>
                <w:szCs w:val="18"/>
              </w:rPr>
            </w:pPr>
            <w:r w:rsidRPr="00A9036A">
              <w:rPr>
                <w:rFonts w:ascii="Arial Narrow" w:hAnsi="Arial Narrow"/>
                <w:sz w:val="18"/>
                <w:szCs w:val="18"/>
              </w:rPr>
              <w:t>(a) a completed authority prescription form; and</w:t>
            </w:r>
          </w:p>
          <w:p w:rsidR="00D65CDD" w:rsidRPr="00A9036A" w:rsidRDefault="00D65CDD" w:rsidP="00A9036A">
            <w:pPr>
              <w:rPr>
                <w:rFonts w:ascii="Arial Narrow" w:hAnsi="Arial Narrow"/>
                <w:sz w:val="18"/>
                <w:szCs w:val="18"/>
              </w:rPr>
            </w:pPr>
            <w:r w:rsidRPr="00A9036A">
              <w:rPr>
                <w:rFonts w:ascii="Arial Narrow" w:hAnsi="Arial Narrow"/>
                <w:sz w:val="18"/>
                <w:szCs w:val="18"/>
              </w:rPr>
              <w:t xml:space="preserve">(b) a completed </w:t>
            </w:r>
            <w:r>
              <w:rPr>
                <w:rFonts w:ascii="Arial Narrow" w:hAnsi="Arial Narrow"/>
                <w:sz w:val="18"/>
                <w:szCs w:val="18"/>
              </w:rPr>
              <w:t>Ulcerative Colitis</w:t>
            </w:r>
            <w:r w:rsidRPr="00A9036A">
              <w:rPr>
                <w:rFonts w:ascii="Arial Narrow" w:hAnsi="Arial Narrow"/>
                <w:sz w:val="18"/>
                <w:szCs w:val="18"/>
              </w:rPr>
              <w:t xml:space="preserve"> PBS Authority Application Form </w:t>
            </w:r>
          </w:p>
        </w:tc>
      </w:tr>
      <w:tr w:rsidR="00D65CDD" w:rsidRPr="004E025C" w:rsidTr="00D65CDD">
        <w:tc>
          <w:tcPr>
            <w:tcW w:w="5000" w:type="pct"/>
          </w:tcPr>
          <w:p w:rsidR="00D65CDD" w:rsidRPr="004E025C" w:rsidRDefault="00D65CDD" w:rsidP="008737BC">
            <w:pPr>
              <w:rPr>
                <w:rFonts w:ascii="Arial Narrow" w:hAnsi="Arial Narrow"/>
                <w:i/>
                <w:sz w:val="18"/>
                <w:szCs w:val="18"/>
              </w:rPr>
            </w:pPr>
            <w:r w:rsidRPr="004E025C">
              <w:rPr>
                <w:rFonts w:ascii="Arial Narrow" w:hAnsi="Arial Narrow"/>
                <w:b/>
                <w:sz w:val="18"/>
                <w:szCs w:val="18"/>
              </w:rPr>
              <w:t>Prescribing Instructions:</w:t>
            </w:r>
          </w:p>
        </w:tc>
      </w:tr>
      <w:tr w:rsidR="00D65CDD" w:rsidRPr="004E025C" w:rsidTr="00D65CDD">
        <w:tc>
          <w:tcPr>
            <w:tcW w:w="5000" w:type="pct"/>
          </w:tcPr>
          <w:p w:rsidR="00D65CDD" w:rsidRPr="004E025C" w:rsidRDefault="00D65CDD" w:rsidP="008737BC">
            <w:pPr>
              <w:rPr>
                <w:rFonts w:ascii="Arial Narrow" w:hAnsi="Arial Narrow"/>
                <w:sz w:val="18"/>
                <w:szCs w:val="18"/>
              </w:rPr>
            </w:pPr>
            <w:r w:rsidRPr="004E025C">
              <w:rPr>
                <w:rFonts w:ascii="Arial Narrow" w:hAnsi="Arial Narrow"/>
                <w:bCs/>
                <w:sz w:val="18"/>
                <w:szCs w:val="18"/>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D65CDD" w:rsidRPr="004E025C" w:rsidTr="00D65CDD">
        <w:tc>
          <w:tcPr>
            <w:tcW w:w="5000" w:type="pct"/>
          </w:tcPr>
          <w:p w:rsidR="00D65CDD" w:rsidRPr="004E025C" w:rsidRDefault="00D65CDD" w:rsidP="008737BC">
            <w:pPr>
              <w:rPr>
                <w:rFonts w:ascii="Arial Narrow" w:hAnsi="Arial Narrow"/>
                <w:bCs/>
                <w:sz w:val="18"/>
                <w:szCs w:val="18"/>
              </w:rPr>
            </w:pPr>
            <w:r w:rsidRPr="004E025C">
              <w:rPr>
                <w:rFonts w:ascii="Arial Narrow" w:hAnsi="Arial Narrow"/>
                <w:b/>
                <w:sz w:val="18"/>
                <w:szCs w:val="18"/>
              </w:rPr>
              <w:t>Prescribing Instructions:</w:t>
            </w:r>
          </w:p>
        </w:tc>
      </w:tr>
      <w:tr w:rsidR="00D65CDD" w:rsidRPr="004E025C" w:rsidTr="00D65CDD">
        <w:tc>
          <w:tcPr>
            <w:tcW w:w="5000" w:type="pct"/>
          </w:tcPr>
          <w:p w:rsidR="00D65CDD" w:rsidRPr="004E025C" w:rsidRDefault="00D65CDD" w:rsidP="008737BC">
            <w:pPr>
              <w:rPr>
                <w:rFonts w:ascii="Arial Narrow" w:hAnsi="Arial Narrow"/>
                <w:bCs/>
                <w:sz w:val="18"/>
                <w:szCs w:val="18"/>
              </w:rPr>
            </w:pPr>
            <w:r w:rsidRPr="004E025C">
              <w:rPr>
                <w:rFonts w:ascii="Arial Narrow" w:hAnsi="Arial Narrow" w:cs="Arial Narrow"/>
                <w:iCs/>
                <w:sz w:val="18"/>
                <w:szCs w:val="18"/>
              </w:rPr>
              <w:t>Where a response ass</w:t>
            </w:r>
            <w:r>
              <w:rPr>
                <w:rFonts w:ascii="Arial Narrow" w:hAnsi="Arial Narrow" w:cs="Arial Narrow"/>
                <w:iCs/>
                <w:sz w:val="18"/>
                <w:szCs w:val="18"/>
              </w:rPr>
              <w:t>essment is not conducted within</w:t>
            </w:r>
            <w:r w:rsidRPr="004E025C">
              <w:rPr>
                <w:rFonts w:ascii="Arial Narrow" w:hAnsi="Arial Narrow" w:cs="Arial Narrow"/>
                <w:iCs/>
                <w:sz w:val="18"/>
                <w:szCs w:val="18"/>
              </w:rPr>
              <w:t xml:space="preserve"> </w:t>
            </w:r>
            <w:r w:rsidRPr="00213CBE">
              <w:rPr>
                <w:rFonts w:ascii="Arial Narrow" w:hAnsi="Arial Narrow" w:cs="Arial Narrow"/>
                <w:iCs/>
                <w:sz w:val="18"/>
                <w:szCs w:val="18"/>
              </w:rPr>
              <w:t>the required</w:t>
            </w:r>
            <w:r w:rsidRPr="004E025C">
              <w:rPr>
                <w:rFonts w:ascii="Arial Narrow" w:hAnsi="Arial Narrow" w:cs="Arial Narrow"/>
                <w:iCs/>
                <w:sz w:val="18"/>
                <w:szCs w:val="18"/>
              </w:rPr>
              <w:t xml:space="preserve"> timeframe, the patient will be deemed to have failed to respond to treatment with this drug, unless the patient has experienced a serious adverse reaction of a severity resulting in the necessity for permanent withdrawal of treatment.</w:t>
            </w:r>
          </w:p>
        </w:tc>
      </w:tr>
      <w:tr w:rsidR="00D65CDD" w:rsidRPr="004E025C" w:rsidTr="00D65CDD">
        <w:tblPrEx>
          <w:tblCellMar>
            <w:top w:w="15" w:type="dxa"/>
            <w:left w:w="15" w:type="dxa"/>
            <w:bottom w:w="15" w:type="dxa"/>
            <w:right w:w="15" w:type="dxa"/>
          </w:tblCellMar>
        </w:tblPrEx>
        <w:tc>
          <w:tcPr>
            <w:tcW w:w="5000" w:type="pct"/>
            <w:vAlign w:val="center"/>
          </w:tcPr>
          <w:p w:rsidR="00D65CDD" w:rsidRPr="004E025C" w:rsidRDefault="00D65CDD" w:rsidP="0068694B">
            <w:pPr>
              <w:ind w:firstLine="58"/>
              <w:jc w:val="left"/>
              <w:rPr>
                <w:rFonts w:ascii="Arial Narrow" w:hAnsi="Arial Narrow"/>
                <w:b/>
                <w:color w:val="333333"/>
                <w:sz w:val="18"/>
                <w:szCs w:val="18"/>
              </w:rPr>
            </w:pPr>
            <w:r>
              <w:rPr>
                <w:rFonts w:ascii="Arial Narrow" w:hAnsi="Arial Narrow"/>
                <w:b/>
                <w:color w:val="333333"/>
                <w:sz w:val="18"/>
                <w:szCs w:val="18"/>
              </w:rPr>
              <w:t xml:space="preserve"> </w:t>
            </w:r>
            <w:r w:rsidRPr="004E025C">
              <w:rPr>
                <w:rFonts w:ascii="Arial Narrow" w:hAnsi="Arial Narrow"/>
                <w:b/>
                <w:color w:val="333333"/>
                <w:sz w:val="18"/>
                <w:szCs w:val="18"/>
              </w:rPr>
              <w:t>Prescribing Instructions:</w:t>
            </w:r>
          </w:p>
        </w:tc>
      </w:tr>
      <w:tr w:rsidR="00D65CDD" w:rsidRPr="004E025C" w:rsidTr="00D65CDD">
        <w:tblPrEx>
          <w:tblCellMar>
            <w:top w:w="15" w:type="dxa"/>
            <w:left w:w="15" w:type="dxa"/>
            <w:bottom w:w="15" w:type="dxa"/>
            <w:right w:w="15" w:type="dxa"/>
          </w:tblCellMar>
        </w:tblPrEx>
        <w:tc>
          <w:tcPr>
            <w:tcW w:w="5000" w:type="pct"/>
            <w:vAlign w:val="center"/>
          </w:tcPr>
          <w:p w:rsidR="00D65CDD" w:rsidRPr="004E025C" w:rsidRDefault="00D65CDD" w:rsidP="008737BC">
            <w:pPr>
              <w:spacing w:after="150"/>
              <w:ind w:left="110"/>
              <w:rPr>
                <w:rFonts w:ascii="Arial Narrow" w:hAnsi="Arial Narrow" w:cs="Arial Narrow"/>
                <w:iCs/>
                <w:sz w:val="18"/>
                <w:szCs w:val="18"/>
              </w:rPr>
            </w:pPr>
            <w:r w:rsidRPr="004E025C">
              <w:rPr>
                <w:rFonts w:ascii="Arial Narrow" w:hAnsi="Arial Narrow" w:cs="Arial Narrow"/>
                <w:iCs/>
                <w:sz w:val="18"/>
                <w:szCs w:val="18"/>
              </w:rPr>
              <w:t xml:space="preserve">If a patient fails to demonstrate a response to treatment with this drug they will not be eligible to receive further PBS-subsidised treatment with this drug for this condition </w:t>
            </w:r>
            <w:r w:rsidRPr="00604E97">
              <w:rPr>
                <w:rFonts w:ascii="Arial Narrow" w:hAnsi="Arial Narrow" w:cs="Arial Narrow"/>
                <w:iCs/>
                <w:sz w:val="18"/>
                <w:szCs w:val="18"/>
              </w:rPr>
              <w:t>in this treatment cycle</w:t>
            </w:r>
            <w:r w:rsidRPr="004E025C">
              <w:rPr>
                <w:rFonts w:ascii="Arial Narrow" w:hAnsi="Arial Narrow" w:cs="Arial Narrow"/>
                <w:iCs/>
                <w:sz w:val="18"/>
                <w:szCs w:val="18"/>
              </w:rPr>
              <w:t xml:space="preserve">. Serious adverse reaction of a severity resulting in the necessity for permanent withdrawal of treatment is not considered as a treatment failure. </w:t>
            </w:r>
          </w:p>
        </w:tc>
      </w:tr>
      <w:tr w:rsidR="00D65CDD" w:rsidRPr="004E025C" w:rsidTr="00D65CDD">
        <w:tc>
          <w:tcPr>
            <w:tcW w:w="5000" w:type="pct"/>
            <w:vAlign w:val="center"/>
          </w:tcPr>
          <w:p w:rsidR="00D65CDD" w:rsidRPr="004E025C" w:rsidRDefault="00D65CDD" w:rsidP="008737BC">
            <w:pPr>
              <w:rPr>
                <w:rFonts w:ascii="Arial Narrow" w:hAnsi="Arial Narrow"/>
                <w:b/>
                <w:sz w:val="18"/>
                <w:szCs w:val="18"/>
              </w:rPr>
            </w:pPr>
            <w:r w:rsidRPr="004E025C">
              <w:rPr>
                <w:rFonts w:ascii="Arial Narrow" w:hAnsi="Arial Narrow"/>
                <w:b/>
                <w:bCs/>
                <w:sz w:val="18"/>
                <w:szCs w:val="18"/>
              </w:rPr>
              <w:t>Administrative Advice:</w:t>
            </w:r>
            <w:r w:rsidRPr="004E025C">
              <w:rPr>
                <w:rFonts w:ascii="Arial Narrow" w:hAnsi="Arial Narrow"/>
                <w:sz w:val="18"/>
                <w:szCs w:val="18"/>
              </w:rPr>
              <w:t xml:space="preserve"> No increase in the maximum quantity or number of units may be authorised.</w:t>
            </w:r>
          </w:p>
        </w:tc>
      </w:tr>
      <w:tr w:rsidR="00D65CDD" w:rsidRPr="004E025C" w:rsidTr="00D65CDD">
        <w:tc>
          <w:tcPr>
            <w:tcW w:w="5000" w:type="pct"/>
            <w:tcBorders>
              <w:bottom w:val="single" w:sz="4" w:space="0" w:color="000000"/>
            </w:tcBorders>
          </w:tcPr>
          <w:p w:rsidR="00D65CDD" w:rsidRPr="004E025C" w:rsidRDefault="00D65CDD" w:rsidP="00952E8E">
            <w:pPr>
              <w:rPr>
                <w:rFonts w:ascii="Arial Narrow" w:hAnsi="Arial Narrow"/>
                <w:sz w:val="18"/>
                <w:szCs w:val="18"/>
              </w:rPr>
            </w:pPr>
            <w:r w:rsidRPr="004E025C">
              <w:rPr>
                <w:rFonts w:ascii="Arial Narrow" w:hAnsi="Arial Narrow"/>
                <w:b/>
                <w:bCs/>
                <w:sz w:val="18"/>
                <w:szCs w:val="18"/>
              </w:rPr>
              <w:t>Administrative Advice:</w:t>
            </w:r>
          </w:p>
        </w:tc>
      </w:tr>
      <w:tr w:rsidR="00D65CDD" w:rsidRPr="004E025C" w:rsidTr="00D65CDD">
        <w:tc>
          <w:tcPr>
            <w:tcW w:w="5000" w:type="pct"/>
            <w:tcBorders>
              <w:top w:val="single" w:sz="4" w:space="0" w:color="000000"/>
              <w:bottom w:val="single" w:sz="4" w:space="0" w:color="000000"/>
            </w:tcBorders>
          </w:tcPr>
          <w:p w:rsidR="00D65CDD" w:rsidRPr="004E025C" w:rsidRDefault="00D65CDD" w:rsidP="00952E8E">
            <w:pPr>
              <w:rPr>
                <w:rFonts w:ascii="Arial Narrow" w:hAnsi="Arial Narrow"/>
                <w:sz w:val="18"/>
                <w:szCs w:val="18"/>
              </w:rPr>
            </w:pPr>
            <w:r w:rsidRPr="004E025C">
              <w:rPr>
                <w:rFonts w:ascii="Arial Narrow" w:hAnsi="Arial Narrow"/>
                <w:sz w:val="18"/>
                <w:szCs w:val="18"/>
              </w:rPr>
              <w:t>Any queries concerning the arrangements to prescribe may be directed to Services Australia on 1800 700 270 (hours of operation 8 a.m. to 5 p.m. EST Monday to Friday).</w:t>
            </w:r>
          </w:p>
          <w:p w:rsidR="00D65CDD" w:rsidRPr="004E025C" w:rsidRDefault="00D65CDD" w:rsidP="00952E8E">
            <w:pPr>
              <w:rPr>
                <w:rFonts w:ascii="Arial Narrow" w:hAnsi="Arial Narrow"/>
                <w:sz w:val="18"/>
                <w:szCs w:val="18"/>
              </w:rPr>
            </w:pPr>
            <w:r w:rsidRPr="004E025C">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rsidR="00D65CDD" w:rsidRPr="004E025C" w:rsidRDefault="00D65CDD" w:rsidP="00952E8E">
            <w:pPr>
              <w:rPr>
                <w:rFonts w:ascii="Arial Narrow" w:hAnsi="Arial Narrow"/>
                <w:sz w:val="18"/>
                <w:szCs w:val="18"/>
              </w:rPr>
            </w:pPr>
            <w:r w:rsidRPr="004E025C">
              <w:rPr>
                <w:rFonts w:ascii="Arial Narrow" w:hAnsi="Arial Narrow"/>
                <w:sz w:val="18"/>
                <w:szCs w:val="18"/>
              </w:rPr>
              <w:t>Applications for authority to prescribe should be submitted online using the form upload facility in Health Professional Online Services (HPOS) at www.servicesaustralia.gov.au/hpos</w:t>
            </w:r>
          </w:p>
          <w:p w:rsidR="00D65CDD" w:rsidRPr="004E025C" w:rsidRDefault="00D65CDD" w:rsidP="00952E8E">
            <w:pPr>
              <w:rPr>
                <w:rFonts w:ascii="Arial Narrow" w:hAnsi="Arial Narrow"/>
                <w:sz w:val="18"/>
                <w:szCs w:val="18"/>
              </w:rPr>
            </w:pPr>
            <w:r w:rsidRPr="004E025C">
              <w:rPr>
                <w:rFonts w:ascii="Arial Narrow" w:hAnsi="Arial Narrow"/>
                <w:sz w:val="18"/>
                <w:szCs w:val="18"/>
              </w:rPr>
              <w:t>Or mailed to:</w:t>
            </w:r>
          </w:p>
          <w:p w:rsidR="00D65CDD" w:rsidRPr="004E025C" w:rsidRDefault="00D65CDD" w:rsidP="00952E8E">
            <w:pPr>
              <w:rPr>
                <w:rFonts w:ascii="Arial Narrow" w:hAnsi="Arial Narrow"/>
                <w:sz w:val="18"/>
                <w:szCs w:val="18"/>
              </w:rPr>
            </w:pPr>
            <w:r w:rsidRPr="004E025C">
              <w:rPr>
                <w:rFonts w:ascii="Arial Narrow" w:hAnsi="Arial Narrow"/>
                <w:sz w:val="18"/>
                <w:szCs w:val="18"/>
              </w:rPr>
              <w:t>Services Australia</w:t>
            </w:r>
          </w:p>
          <w:p w:rsidR="00D65CDD" w:rsidRPr="004E025C" w:rsidRDefault="00D65CDD" w:rsidP="00952E8E">
            <w:pPr>
              <w:rPr>
                <w:rFonts w:ascii="Arial Narrow" w:hAnsi="Arial Narrow"/>
                <w:sz w:val="18"/>
                <w:szCs w:val="18"/>
              </w:rPr>
            </w:pPr>
            <w:r w:rsidRPr="004E025C">
              <w:rPr>
                <w:rFonts w:ascii="Arial Narrow" w:hAnsi="Arial Narrow"/>
                <w:sz w:val="18"/>
                <w:szCs w:val="18"/>
              </w:rPr>
              <w:t>Complex Drugs</w:t>
            </w:r>
          </w:p>
          <w:p w:rsidR="00D65CDD" w:rsidRPr="004E025C" w:rsidRDefault="00D65CDD" w:rsidP="00952E8E">
            <w:pPr>
              <w:rPr>
                <w:rFonts w:ascii="Arial Narrow" w:hAnsi="Arial Narrow"/>
                <w:sz w:val="18"/>
                <w:szCs w:val="18"/>
              </w:rPr>
            </w:pPr>
            <w:r w:rsidRPr="004E025C">
              <w:rPr>
                <w:rFonts w:ascii="Arial Narrow" w:hAnsi="Arial Narrow"/>
                <w:sz w:val="18"/>
                <w:szCs w:val="18"/>
              </w:rPr>
              <w:t>Reply Paid 9826</w:t>
            </w:r>
          </w:p>
          <w:p w:rsidR="00D65CDD" w:rsidRPr="004E025C" w:rsidRDefault="00D65CDD" w:rsidP="00952E8E">
            <w:pPr>
              <w:rPr>
                <w:rFonts w:ascii="Arial Narrow" w:hAnsi="Arial Narrow"/>
                <w:sz w:val="18"/>
                <w:szCs w:val="18"/>
              </w:rPr>
            </w:pPr>
            <w:r w:rsidRPr="004E025C">
              <w:rPr>
                <w:rFonts w:ascii="Arial Narrow" w:hAnsi="Arial Narrow"/>
                <w:sz w:val="18"/>
                <w:szCs w:val="18"/>
              </w:rPr>
              <w:t>HOBART TAS 7001</w:t>
            </w:r>
          </w:p>
        </w:tc>
      </w:tr>
    </w:tbl>
    <w:p w:rsidR="0062746A" w:rsidRPr="004E025C" w:rsidRDefault="0062746A" w:rsidP="006274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858"/>
        <w:gridCol w:w="716"/>
        <w:gridCol w:w="716"/>
        <w:gridCol w:w="716"/>
        <w:gridCol w:w="858"/>
        <w:gridCol w:w="1432"/>
      </w:tblGrid>
      <w:tr w:rsidR="0062746A" w:rsidRPr="004E025C" w:rsidTr="001E7635">
        <w:trPr>
          <w:cantSplit/>
          <w:trHeight w:val="471"/>
        </w:trPr>
        <w:tc>
          <w:tcPr>
            <w:tcW w:w="2063" w:type="pct"/>
          </w:tcPr>
          <w:p w:rsidR="0062746A" w:rsidRPr="004E025C" w:rsidRDefault="0062746A" w:rsidP="00D02B13">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Name, Restriction,</w:t>
            </w:r>
          </w:p>
          <w:p w:rsidR="0062746A" w:rsidRPr="004E025C" w:rsidRDefault="0062746A" w:rsidP="00D02B13">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Manner of administration and form</w:t>
            </w:r>
          </w:p>
        </w:tc>
        <w:tc>
          <w:tcPr>
            <w:tcW w:w="476"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PBS item code</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packs</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units</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№.of</w:t>
            </w:r>
          </w:p>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Rpts</w:t>
            </w:r>
          </w:p>
        </w:tc>
        <w:tc>
          <w:tcPr>
            <w:tcW w:w="1270" w:type="pct"/>
            <w:gridSpan w:val="2"/>
          </w:tcPr>
          <w:p w:rsidR="0062746A" w:rsidRPr="004E025C" w:rsidRDefault="0062746A" w:rsidP="00D02B13">
            <w:pPr>
              <w:keepNext/>
              <w:rPr>
                <w:rFonts w:ascii="Arial Narrow" w:hAnsi="Arial Narrow"/>
                <w:b/>
                <w:color w:val="000000" w:themeColor="text1"/>
                <w:sz w:val="18"/>
                <w:szCs w:val="18"/>
              </w:rPr>
            </w:pPr>
            <w:r w:rsidRPr="004E025C">
              <w:rPr>
                <w:rFonts w:ascii="Arial Narrow" w:hAnsi="Arial Narrow"/>
                <w:b/>
                <w:color w:val="000000" w:themeColor="text1"/>
                <w:sz w:val="18"/>
                <w:szCs w:val="18"/>
              </w:rPr>
              <w:t>Proprietary Name and Manufacturer</w:t>
            </w:r>
          </w:p>
        </w:tc>
      </w:tr>
      <w:tr w:rsidR="0062746A" w:rsidRPr="004E025C" w:rsidTr="001E7635">
        <w:trPr>
          <w:cantSplit/>
          <w:trHeight w:val="346"/>
        </w:trPr>
        <w:tc>
          <w:tcPr>
            <w:tcW w:w="2063" w:type="pct"/>
          </w:tcPr>
          <w:p w:rsidR="0062746A" w:rsidRPr="004E025C" w:rsidRDefault="0062746A" w:rsidP="00D02B13">
            <w:pPr>
              <w:keepNext/>
              <w:ind w:left="-108"/>
              <w:rPr>
                <w:rFonts w:ascii="Arial Narrow" w:hAnsi="Arial Narrow"/>
                <w:sz w:val="18"/>
                <w:szCs w:val="18"/>
              </w:rPr>
            </w:pPr>
            <w:r w:rsidRPr="004E025C">
              <w:rPr>
                <w:rFonts w:ascii="Arial Narrow" w:hAnsi="Arial Narrow" w:cstheme="minorHAnsi"/>
                <w:sz w:val="18"/>
                <w:szCs w:val="18"/>
              </w:rPr>
              <w:t>VEDOLIZUMAB 108 mg/0.68 mL injection, 2 x 0.68 mL syringes</w:t>
            </w:r>
          </w:p>
          <w:p w:rsidR="0062746A" w:rsidRPr="004E025C" w:rsidRDefault="0062746A" w:rsidP="00D02B13">
            <w:pPr>
              <w:keepNext/>
              <w:ind w:left="-108"/>
              <w:rPr>
                <w:rFonts w:ascii="Arial Narrow" w:hAnsi="Arial Narrow"/>
                <w:color w:val="000000" w:themeColor="text1"/>
                <w:sz w:val="18"/>
                <w:szCs w:val="18"/>
              </w:rPr>
            </w:pPr>
          </w:p>
        </w:tc>
        <w:tc>
          <w:tcPr>
            <w:tcW w:w="476"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NEW</w:t>
            </w:r>
          </w:p>
          <w:p w:rsidR="0062746A" w:rsidRPr="004E025C" w:rsidRDefault="0062746A" w:rsidP="00D02B13">
            <w:pPr>
              <w:keepNext/>
              <w:ind w:left="-108"/>
              <w:jc w:val="center"/>
              <w:rPr>
                <w:rFonts w:ascii="Arial Narrow" w:hAnsi="Arial Narrow"/>
                <w:color w:val="000000" w:themeColor="text1"/>
                <w:sz w:val="18"/>
                <w:szCs w:val="18"/>
              </w:rPr>
            </w:pPr>
            <w:r w:rsidRPr="004E025C">
              <w:rPr>
                <w:rFonts w:ascii="Arial Narrow" w:hAnsi="Arial Narrow"/>
                <w:sz w:val="18"/>
                <w:szCs w:val="18"/>
              </w:rPr>
              <w:t>NEW</w:t>
            </w:r>
          </w:p>
        </w:tc>
        <w:tc>
          <w:tcPr>
            <w:tcW w:w="397" w:type="pct"/>
          </w:tcPr>
          <w:p w:rsidR="0062746A" w:rsidRPr="004E025C" w:rsidRDefault="0062746A" w:rsidP="00D02B13">
            <w:pPr>
              <w:keepNext/>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62746A" w:rsidRPr="004E025C" w:rsidRDefault="0062746A" w:rsidP="00D02B13">
            <w:pPr>
              <w:keepNext/>
              <w:ind w:left="-108"/>
              <w:jc w:val="center"/>
              <w:rPr>
                <w:rFonts w:ascii="Arial Narrow" w:hAnsi="Arial Narrow"/>
                <w:color w:val="000000" w:themeColor="text1"/>
                <w:sz w:val="18"/>
                <w:szCs w:val="18"/>
              </w:rPr>
            </w:pPr>
            <w:r w:rsidRPr="004E025C">
              <w:rPr>
                <w:rFonts w:ascii="Arial Narrow" w:hAnsi="Arial Narrow"/>
                <w:sz w:val="18"/>
                <w:szCs w:val="18"/>
              </w:rPr>
              <w:t>2</w:t>
            </w:r>
          </w:p>
        </w:tc>
        <w:tc>
          <w:tcPr>
            <w:tcW w:w="397"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5</w:t>
            </w:r>
          </w:p>
          <w:p w:rsidR="0062746A" w:rsidRPr="004E025C" w:rsidRDefault="0062746A" w:rsidP="00D02B13">
            <w:pPr>
              <w:keepNext/>
              <w:rPr>
                <w:rFonts w:ascii="Arial Narrow" w:hAnsi="Arial Narrow"/>
                <w:color w:val="000000" w:themeColor="text1"/>
                <w:sz w:val="18"/>
                <w:szCs w:val="18"/>
              </w:rPr>
            </w:pPr>
          </w:p>
        </w:tc>
        <w:tc>
          <w:tcPr>
            <w:tcW w:w="476" w:type="pct"/>
          </w:tcPr>
          <w:p w:rsidR="0062746A" w:rsidRPr="004E025C" w:rsidRDefault="0062746A" w:rsidP="00D02B13">
            <w:pPr>
              <w:keepNext/>
              <w:rPr>
                <w:rFonts w:ascii="Arial Narrow" w:hAnsi="Arial Narrow"/>
                <w:color w:val="000000" w:themeColor="text1"/>
                <w:sz w:val="18"/>
                <w:szCs w:val="18"/>
              </w:rPr>
            </w:pPr>
            <w:r w:rsidRPr="004E025C">
              <w:rPr>
                <w:rFonts w:ascii="Arial Narrow" w:hAnsi="Arial Narrow"/>
                <w:sz w:val="18"/>
                <w:szCs w:val="18"/>
              </w:rPr>
              <w:t>Entyvio</w:t>
            </w:r>
            <w:r w:rsidRPr="004E025C">
              <w:rPr>
                <w:rFonts w:ascii="Arial Narrow" w:hAnsi="Arial Narrow"/>
                <w:sz w:val="18"/>
                <w:szCs w:val="18"/>
                <w:vertAlign w:val="superscript"/>
              </w:rPr>
              <w:t>®</w:t>
            </w:r>
          </w:p>
          <w:p w:rsidR="0062746A" w:rsidRPr="004E025C" w:rsidRDefault="0062746A" w:rsidP="00D02B13">
            <w:pPr>
              <w:rPr>
                <w:rFonts w:ascii="Arial Narrow" w:hAnsi="Arial Narrow"/>
                <w:sz w:val="18"/>
                <w:szCs w:val="18"/>
              </w:rPr>
            </w:pPr>
          </w:p>
        </w:tc>
        <w:tc>
          <w:tcPr>
            <w:tcW w:w="794" w:type="pct"/>
          </w:tcPr>
          <w:p w:rsidR="0062746A" w:rsidRPr="004E025C" w:rsidRDefault="0062746A" w:rsidP="00D02B13">
            <w:pPr>
              <w:keepNext/>
              <w:rPr>
                <w:rFonts w:ascii="Arial Narrow" w:hAnsi="Arial Narrow"/>
                <w:color w:val="000000" w:themeColor="text1"/>
                <w:sz w:val="18"/>
                <w:szCs w:val="18"/>
              </w:rPr>
            </w:pPr>
            <w:r w:rsidRPr="004E025C">
              <w:rPr>
                <w:rFonts w:ascii="Arial Narrow" w:hAnsi="Arial Narrow"/>
                <w:sz w:val="18"/>
                <w:szCs w:val="18"/>
              </w:rPr>
              <w:t>Takeda Pharmaceuticals Australia Pty Ltd</w:t>
            </w:r>
          </w:p>
        </w:tc>
      </w:tr>
      <w:tr w:rsidR="0062746A" w:rsidRPr="004E025C" w:rsidTr="001E7635">
        <w:trPr>
          <w:cantSplit/>
          <w:trHeight w:val="346"/>
        </w:trPr>
        <w:tc>
          <w:tcPr>
            <w:tcW w:w="2063" w:type="pct"/>
          </w:tcPr>
          <w:p w:rsidR="0062746A" w:rsidRPr="004E025C" w:rsidRDefault="0062746A" w:rsidP="00D02B13">
            <w:pPr>
              <w:keepNext/>
              <w:ind w:left="-108"/>
              <w:rPr>
                <w:rFonts w:ascii="Arial Narrow" w:hAnsi="Arial Narrow" w:cstheme="minorHAnsi"/>
                <w:sz w:val="18"/>
                <w:szCs w:val="18"/>
              </w:rPr>
            </w:pPr>
            <w:r w:rsidRPr="004E025C">
              <w:rPr>
                <w:rFonts w:ascii="Arial Narrow" w:hAnsi="Arial Narrow" w:cstheme="minorHAnsi"/>
                <w:sz w:val="18"/>
                <w:szCs w:val="18"/>
              </w:rPr>
              <w:t>VEDOLIZUMAB 108 mg/0.68 mL injection, 2 x 0.68 mL pen devices</w:t>
            </w:r>
          </w:p>
        </w:tc>
        <w:tc>
          <w:tcPr>
            <w:tcW w:w="476"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NEW</w:t>
            </w:r>
          </w:p>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NEW</w:t>
            </w:r>
          </w:p>
        </w:tc>
        <w:tc>
          <w:tcPr>
            <w:tcW w:w="397" w:type="pct"/>
          </w:tcPr>
          <w:p w:rsidR="0062746A" w:rsidRPr="004E025C" w:rsidRDefault="0062746A" w:rsidP="00D02B13">
            <w:pPr>
              <w:keepNext/>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2</w:t>
            </w:r>
          </w:p>
        </w:tc>
        <w:tc>
          <w:tcPr>
            <w:tcW w:w="397"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5</w:t>
            </w:r>
          </w:p>
          <w:p w:rsidR="0062746A" w:rsidRPr="004E025C" w:rsidRDefault="0062746A" w:rsidP="00D02B13">
            <w:pPr>
              <w:keepNext/>
              <w:ind w:left="-108"/>
              <w:jc w:val="center"/>
              <w:rPr>
                <w:rFonts w:ascii="Arial Narrow" w:hAnsi="Arial Narrow"/>
                <w:sz w:val="18"/>
                <w:szCs w:val="18"/>
              </w:rPr>
            </w:pPr>
          </w:p>
        </w:tc>
        <w:tc>
          <w:tcPr>
            <w:tcW w:w="476" w:type="pct"/>
          </w:tcPr>
          <w:p w:rsidR="0062746A" w:rsidRPr="004E025C" w:rsidRDefault="0062746A" w:rsidP="00D02B13">
            <w:pPr>
              <w:keepNext/>
              <w:rPr>
                <w:rFonts w:ascii="Arial Narrow" w:hAnsi="Arial Narrow"/>
                <w:sz w:val="18"/>
                <w:szCs w:val="18"/>
              </w:rPr>
            </w:pPr>
            <w:r w:rsidRPr="004E025C">
              <w:rPr>
                <w:rFonts w:ascii="Arial Narrow" w:hAnsi="Arial Narrow"/>
                <w:sz w:val="18"/>
                <w:szCs w:val="18"/>
              </w:rPr>
              <w:t>Entyvio</w:t>
            </w:r>
            <w:r w:rsidRPr="004E025C">
              <w:rPr>
                <w:rFonts w:ascii="Arial Narrow" w:hAnsi="Arial Narrow"/>
                <w:sz w:val="18"/>
                <w:szCs w:val="18"/>
                <w:vertAlign w:val="superscript"/>
              </w:rPr>
              <w:t xml:space="preserve"> ®</w:t>
            </w:r>
          </w:p>
        </w:tc>
        <w:tc>
          <w:tcPr>
            <w:tcW w:w="794" w:type="pct"/>
          </w:tcPr>
          <w:p w:rsidR="0062746A" w:rsidRPr="004E025C" w:rsidRDefault="0062746A" w:rsidP="00D02B13">
            <w:pPr>
              <w:keepNext/>
              <w:rPr>
                <w:rFonts w:ascii="Arial Narrow" w:hAnsi="Arial Narrow"/>
                <w:sz w:val="18"/>
                <w:szCs w:val="18"/>
              </w:rPr>
            </w:pPr>
            <w:r w:rsidRPr="004E025C">
              <w:rPr>
                <w:rFonts w:ascii="Arial Narrow" w:hAnsi="Arial Narrow"/>
                <w:sz w:val="18"/>
                <w:szCs w:val="18"/>
              </w:rPr>
              <w:t>Takeda Pharmaceuticals Australia Pty Ltd</w:t>
            </w:r>
          </w:p>
        </w:tc>
      </w:tr>
    </w:tbl>
    <w:p w:rsidR="0062746A" w:rsidRPr="004E025C" w:rsidRDefault="0062746A" w:rsidP="006274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D65CDD" w:rsidRPr="00470428" w:rsidTr="00D65CDD">
        <w:tc>
          <w:tcPr>
            <w:tcW w:w="5000" w:type="pct"/>
            <w:tcBorders>
              <w:top w:val="single" w:sz="4" w:space="0" w:color="auto"/>
              <w:left w:val="single" w:sz="4" w:space="0" w:color="auto"/>
              <w:bottom w:val="single" w:sz="4" w:space="0" w:color="auto"/>
              <w:right w:val="single" w:sz="4" w:space="0" w:color="auto"/>
            </w:tcBorders>
          </w:tcPr>
          <w:p w:rsidR="00D65CDD" w:rsidRPr="00470428" w:rsidRDefault="00D65CDD" w:rsidP="00D02B13">
            <w:pPr>
              <w:rPr>
                <w:rFonts w:ascii="Arial Narrow" w:hAnsi="Arial Narrow"/>
                <w:sz w:val="18"/>
                <w:szCs w:val="18"/>
              </w:rPr>
            </w:pPr>
            <w:r w:rsidRPr="00470428">
              <w:rPr>
                <w:rFonts w:ascii="Arial Narrow" w:hAnsi="Arial Narrow"/>
                <w:b/>
                <w:sz w:val="18"/>
                <w:szCs w:val="18"/>
              </w:rPr>
              <w:t xml:space="preserve">Category / Program:   </w:t>
            </w:r>
            <w:r w:rsidRPr="00470428">
              <w:rPr>
                <w:rFonts w:ascii="Arial Narrow" w:hAnsi="Arial Narrow"/>
                <w:sz w:val="18"/>
                <w:szCs w:val="18"/>
              </w:rPr>
              <w:t xml:space="preserve">GENERAL – General Schedule (Code GE) </w:t>
            </w:r>
          </w:p>
        </w:tc>
      </w:tr>
      <w:tr w:rsidR="00D65CDD" w:rsidRPr="00470428" w:rsidTr="00D65CDD">
        <w:trPr>
          <w:trHeight w:val="240"/>
        </w:trPr>
        <w:tc>
          <w:tcPr>
            <w:tcW w:w="5000" w:type="pct"/>
            <w:tcBorders>
              <w:top w:val="single" w:sz="4" w:space="0" w:color="auto"/>
              <w:left w:val="single" w:sz="4" w:space="0" w:color="auto"/>
              <w:bottom w:val="single" w:sz="4" w:space="0" w:color="auto"/>
              <w:right w:val="single" w:sz="4" w:space="0" w:color="auto"/>
            </w:tcBorders>
          </w:tcPr>
          <w:p w:rsidR="00D65CDD" w:rsidRPr="00470428" w:rsidRDefault="00D65CDD" w:rsidP="00D02B13">
            <w:pPr>
              <w:rPr>
                <w:rFonts w:ascii="Arial Narrow" w:hAnsi="Arial Narrow"/>
                <w:b/>
                <w:sz w:val="18"/>
                <w:szCs w:val="18"/>
              </w:rPr>
            </w:pPr>
            <w:r w:rsidRPr="00470428">
              <w:rPr>
                <w:rFonts w:ascii="Arial Narrow" w:hAnsi="Arial Narrow"/>
                <w:b/>
                <w:sz w:val="18"/>
                <w:szCs w:val="18"/>
              </w:rPr>
              <w:t xml:space="preserve">Prescriber type:   </w:t>
            </w:r>
            <w:r w:rsidRPr="00470428">
              <w:rPr>
                <w:rFonts w:ascii="Arial Narrow" w:hAnsi="Arial Narrow"/>
                <w:sz w:val="18"/>
                <w:szCs w:val="18"/>
              </w:rPr>
              <w:fldChar w:fldCharType="begin">
                <w:ffData>
                  <w:name w:val="Check1"/>
                  <w:enabled/>
                  <w:calcOnExit w:val="0"/>
                  <w:checkBox>
                    <w:sizeAuto/>
                    <w:default w:val="0"/>
                  </w:checkBox>
                </w:ffData>
              </w:fldChar>
            </w:r>
            <w:r w:rsidRPr="0047042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470428">
              <w:rPr>
                <w:rFonts w:ascii="Arial Narrow" w:hAnsi="Arial Narrow"/>
                <w:sz w:val="18"/>
                <w:szCs w:val="18"/>
              </w:rPr>
              <w:fldChar w:fldCharType="end"/>
            </w:r>
            <w:r w:rsidRPr="00470428">
              <w:rPr>
                <w:rFonts w:ascii="Arial Narrow" w:hAnsi="Arial Narrow"/>
                <w:sz w:val="18"/>
                <w:szCs w:val="18"/>
              </w:rPr>
              <w:t xml:space="preserve">Dental    </w:t>
            </w:r>
            <w:r w:rsidRPr="00470428">
              <w:rPr>
                <w:rFonts w:ascii="Arial Narrow" w:hAnsi="Arial Narrow"/>
                <w:sz w:val="18"/>
                <w:szCs w:val="18"/>
              </w:rPr>
              <w:fldChar w:fldCharType="begin">
                <w:ffData>
                  <w:name w:val=""/>
                  <w:enabled/>
                  <w:calcOnExit w:val="0"/>
                  <w:checkBox>
                    <w:sizeAuto/>
                    <w:default w:val="1"/>
                  </w:checkBox>
                </w:ffData>
              </w:fldChar>
            </w:r>
            <w:r w:rsidRPr="0047042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470428">
              <w:rPr>
                <w:rFonts w:ascii="Arial Narrow" w:hAnsi="Arial Narrow"/>
                <w:sz w:val="18"/>
                <w:szCs w:val="18"/>
              </w:rPr>
              <w:fldChar w:fldCharType="end"/>
            </w:r>
            <w:r w:rsidRPr="00470428">
              <w:rPr>
                <w:rFonts w:ascii="Arial Narrow" w:hAnsi="Arial Narrow"/>
                <w:sz w:val="18"/>
                <w:szCs w:val="18"/>
              </w:rPr>
              <w:t xml:space="preserve">Medical Practitioners    </w:t>
            </w:r>
            <w:r w:rsidRPr="00470428">
              <w:rPr>
                <w:rFonts w:ascii="Arial Narrow" w:hAnsi="Arial Narrow"/>
                <w:sz w:val="18"/>
                <w:szCs w:val="18"/>
              </w:rPr>
              <w:fldChar w:fldCharType="begin">
                <w:ffData>
                  <w:name w:val="Check3"/>
                  <w:enabled/>
                  <w:calcOnExit w:val="0"/>
                  <w:checkBox>
                    <w:sizeAuto/>
                    <w:default w:val="0"/>
                  </w:checkBox>
                </w:ffData>
              </w:fldChar>
            </w:r>
            <w:r w:rsidRPr="0047042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470428">
              <w:rPr>
                <w:rFonts w:ascii="Arial Narrow" w:hAnsi="Arial Narrow"/>
                <w:sz w:val="18"/>
                <w:szCs w:val="18"/>
              </w:rPr>
              <w:fldChar w:fldCharType="end"/>
            </w:r>
            <w:r w:rsidRPr="00470428">
              <w:rPr>
                <w:rFonts w:ascii="Arial Narrow" w:hAnsi="Arial Narrow"/>
                <w:sz w:val="18"/>
                <w:szCs w:val="18"/>
              </w:rPr>
              <w:t xml:space="preserve">Nurse practitioners     </w:t>
            </w:r>
            <w:r w:rsidRPr="00470428">
              <w:rPr>
                <w:rFonts w:ascii="Arial Narrow" w:hAnsi="Arial Narrow"/>
                <w:sz w:val="18"/>
                <w:szCs w:val="18"/>
              </w:rPr>
              <w:fldChar w:fldCharType="begin">
                <w:ffData>
                  <w:name w:val=""/>
                  <w:enabled/>
                  <w:calcOnExit w:val="0"/>
                  <w:checkBox>
                    <w:sizeAuto/>
                    <w:default w:val="0"/>
                  </w:checkBox>
                </w:ffData>
              </w:fldChar>
            </w:r>
            <w:r w:rsidRPr="0047042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470428">
              <w:rPr>
                <w:rFonts w:ascii="Arial Narrow" w:hAnsi="Arial Narrow"/>
                <w:sz w:val="18"/>
                <w:szCs w:val="18"/>
              </w:rPr>
              <w:fldChar w:fldCharType="end"/>
            </w:r>
            <w:r w:rsidRPr="00470428">
              <w:rPr>
                <w:rFonts w:ascii="Arial Narrow" w:hAnsi="Arial Narrow"/>
                <w:sz w:val="18"/>
                <w:szCs w:val="18"/>
              </w:rPr>
              <w:t xml:space="preserve">Optometrists    </w:t>
            </w:r>
            <w:r w:rsidRPr="00470428">
              <w:rPr>
                <w:rFonts w:ascii="Arial Narrow" w:hAnsi="Arial Narrow"/>
                <w:sz w:val="18"/>
                <w:szCs w:val="18"/>
              </w:rPr>
              <w:fldChar w:fldCharType="begin">
                <w:ffData>
                  <w:name w:val="Check5"/>
                  <w:enabled/>
                  <w:calcOnExit w:val="0"/>
                  <w:checkBox>
                    <w:sizeAuto/>
                    <w:default w:val="0"/>
                  </w:checkBox>
                </w:ffData>
              </w:fldChar>
            </w:r>
            <w:r w:rsidRPr="00470428">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470428">
              <w:rPr>
                <w:rFonts w:ascii="Arial Narrow" w:hAnsi="Arial Narrow"/>
                <w:sz w:val="18"/>
                <w:szCs w:val="18"/>
              </w:rPr>
              <w:fldChar w:fldCharType="end"/>
            </w:r>
            <w:r w:rsidRPr="00470428">
              <w:rPr>
                <w:rFonts w:ascii="Arial Narrow" w:hAnsi="Arial Narrow"/>
                <w:sz w:val="18"/>
                <w:szCs w:val="18"/>
              </w:rPr>
              <w:t>Midwives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tcPr>
          <w:p w:rsidR="00D65CDD" w:rsidRPr="00470428" w:rsidRDefault="00D65CDD" w:rsidP="00D02B13">
            <w:pPr>
              <w:rPr>
                <w:rFonts w:ascii="Arial Narrow" w:eastAsia="Calibri" w:hAnsi="Arial Narrow"/>
                <w:sz w:val="18"/>
                <w:szCs w:val="18"/>
              </w:rPr>
            </w:pPr>
            <w:r w:rsidRPr="00470428">
              <w:rPr>
                <w:rFonts w:ascii="Arial Narrow" w:hAnsi="Arial Narrow"/>
                <w:b/>
                <w:sz w:val="18"/>
                <w:szCs w:val="18"/>
              </w:rPr>
              <w:t xml:space="preserve">Restriction Type – </w:t>
            </w:r>
            <w:r w:rsidRPr="00470428">
              <w:rPr>
                <w:rFonts w:ascii="Arial Narrow" w:eastAsia="Calibri" w:hAnsi="Arial Narrow"/>
                <w:sz w:val="18"/>
                <w:szCs w:val="18"/>
              </w:rPr>
              <w:fldChar w:fldCharType="begin">
                <w:ffData>
                  <w:name w:val=""/>
                  <w:enabled/>
                  <w:calcOnExit w:val="0"/>
                  <w:checkBox>
                    <w:sizeAuto/>
                    <w:default w:val="1"/>
                  </w:checkBox>
                </w:ffData>
              </w:fldChar>
            </w:r>
            <w:r w:rsidRPr="00470428">
              <w:rPr>
                <w:rFonts w:ascii="Arial Narrow" w:eastAsia="Calibri" w:hAnsi="Arial Narrow"/>
                <w:sz w:val="18"/>
                <w:szCs w:val="18"/>
              </w:rPr>
              <w:instrText xml:space="preserve"> FORMCHECKBOX </w:instrText>
            </w:r>
            <w:r w:rsidR="00226F00">
              <w:rPr>
                <w:rFonts w:ascii="Arial Narrow" w:eastAsia="Calibri" w:hAnsi="Arial Narrow"/>
                <w:sz w:val="18"/>
                <w:szCs w:val="18"/>
              </w:rPr>
            </w:r>
            <w:r w:rsidR="00226F00">
              <w:rPr>
                <w:rFonts w:ascii="Arial Narrow" w:eastAsia="Calibri" w:hAnsi="Arial Narrow"/>
                <w:sz w:val="18"/>
                <w:szCs w:val="18"/>
              </w:rPr>
              <w:fldChar w:fldCharType="separate"/>
            </w:r>
            <w:r w:rsidRPr="00470428">
              <w:rPr>
                <w:rFonts w:ascii="Arial Narrow" w:eastAsia="Calibri" w:hAnsi="Arial Narrow"/>
                <w:sz w:val="18"/>
                <w:szCs w:val="18"/>
              </w:rPr>
              <w:fldChar w:fldCharType="end"/>
            </w:r>
            <w:r>
              <w:rPr>
                <w:rFonts w:ascii="Arial Narrow" w:eastAsia="Calibri" w:hAnsi="Arial Narrow"/>
                <w:sz w:val="18"/>
                <w:szCs w:val="18"/>
              </w:rPr>
              <w:t xml:space="preserve"> Authority Required – </w:t>
            </w:r>
            <w:r w:rsidRPr="00F86065">
              <w:rPr>
                <w:rFonts w:ascii="Arial Narrow" w:eastAsia="Calibri" w:hAnsi="Arial Narrow"/>
                <w:sz w:val="18"/>
                <w:szCs w:val="18"/>
              </w:rPr>
              <w:t>immediate/real time assessment by Medicare (telephone/online/emergency)</w:t>
            </w:r>
          </w:p>
        </w:tc>
      </w:tr>
      <w:tr w:rsidR="00D65CDD" w:rsidRPr="00470428" w:rsidTr="00D65CDD">
        <w:tc>
          <w:tcPr>
            <w:tcW w:w="5000" w:type="pct"/>
            <w:vAlign w:val="center"/>
          </w:tcPr>
          <w:p w:rsidR="00D65CDD" w:rsidRPr="00470428" w:rsidRDefault="00D65CDD" w:rsidP="00D02B13">
            <w:pPr>
              <w:rPr>
                <w:rFonts w:ascii="Arial Narrow" w:hAnsi="Arial Narrow"/>
                <w:b/>
                <w:bCs/>
                <w:sz w:val="18"/>
                <w:szCs w:val="18"/>
              </w:rPr>
            </w:pPr>
            <w:r w:rsidRPr="00470428">
              <w:rPr>
                <w:rFonts w:ascii="Arial Narrow" w:hAnsi="Arial Narrow"/>
                <w:b/>
                <w:bCs/>
                <w:sz w:val="18"/>
                <w:szCs w:val="18"/>
              </w:rPr>
              <w:t xml:space="preserve">Severity: </w:t>
            </w:r>
            <w:r w:rsidRPr="00470428">
              <w:rPr>
                <w:rFonts w:ascii="Arial Narrow" w:hAnsi="Arial Narrow"/>
                <w:bCs/>
                <w:sz w:val="18"/>
                <w:szCs w:val="18"/>
              </w:rPr>
              <w:t>Moderate to severe</w:t>
            </w:r>
          </w:p>
        </w:tc>
      </w:tr>
      <w:tr w:rsidR="00D65CDD" w:rsidRPr="00470428" w:rsidTr="00D65CDD">
        <w:tc>
          <w:tcPr>
            <w:tcW w:w="5000" w:type="pct"/>
            <w:vAlign w:val="center"/>
          </w:tcPr>
          <w:p w:rsidR="00D65CDD" w:rsidRPr="00470428" w:rsidRDefault="00D65CDD" w:rsidP="00D02B13">
            <w:pPr>
              <w:rPr>
                <w:rFonts w:ascii="Arial Narrow" w:hAnsi="Arial Narrow"/>
                <w:b/>
                <w:bCs/>
                <w:sz w:val="18"/>
                <w:szCs w:val="18"/>
              </w:rPr>
            </w:pPr>
            <w:r w:rsidRPr="00470428">
              <w:rPr>
                <w:rFonts w:ascii="Arial Narrow" w:hAnsi="Arial Narrow"/>
                <w:b/>
                <w:bCs/>
                <w:sz w:val="18"/>
                <w:szCs w:val="18"/>
              </w:rPr>
              <w:t xml:space="preserve">Condition: </w:t>
            </w:r>
            <w:r w:rsidRPr="00470428">
              <w:rPr>
                <w:rFonts w:ascii="Arial Narrow" w:hAnsi="Arial Narrow"/>
                <w:bCs/>
                <w:sz w:val="18"/>
                <w:szCs w:val="18"/>
              </w:rPr>
              <w:t>Ulcerative colitis</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b/>
                <w:bCs/>
                <w:sz w:val="18"/>
                <w:szCs w:val="18"/>
              </w:rPr>
              <w:t>Indication:</w:t>
            </w:r>
            <w:r w:rsidRPr="00470428">
              <w:rPr>
                <w:rFonts w:ascii="Arial Narrow" w:hAnsi="Arial Narrow"/>
                <w:sz w:val="18"/>
                <w:szCs w:val="18"/>
              </w:rPr>
              <w:t xml:space="preserve"> Moderate to severe ulcerative colitis</w:t>
            </w:r>
          </w:p>
        </w:tc>
      </w:tr>
      <w:tr w:rsidR="00D65CDD" w:rsidRPr="00470428" w:rsidTr="00D65CDD">
        <w:tc>
          <w:tcPr>
            <w:tcW w:w="5000" w:type="pct"/>
            <w:vAlign w:val="center"/>
            <w:hideMark/>
          </w:tcPr>
          <w:p w:rsidR="00D65CDD" w:rsidRPr="00470428" w:rsidRDefault="00D65CDD" w:rsidP="000F2733">
            <w:pPr>
              <w:rPr>
                <w:rFonts w:ascii="Arial Narrow" w:hAnsi="Arial Narrow"/>
                <w:sz w:val="18"/>
                <w:szCs w:val="18"/>
              </w:rPr>
            </w:pPr>
            <w:r w:rsidRPr="00470428">
              <w:rPr>
                <w:rFonts w:ascii="Arial Narrow" w:hAnsi="Arial Narrow"/>
                <w:b/>
                <w:bCs/>
                <w:sz w:val="18"/>
                <w:szCs w:val="18"/>
              </w:rPr>
              <w:t>Treatment Phase:</w:t>
            </w:r>
            <w:r w:rsidRPr="00470428">
              <w:rPr>
                <w:rFonts w:ascii="Arial Narrow" w:hAnsi="Arial Narrow"/>
                <w:sz w:val="18"/>
                <w:szCs w:val="18"/>
              </w:rPr>
              <w:t xml:space="preserve"> Continuing treatment with subcutaneous form or switching from intravenous form to subcutaneous form</w:t>
            </w:r>
          </w:p>
        </w:tc>
      </w:tr>
      <w:tr w:rsidR="00D65CDD" w:rsidRPr="00470428" w:rsidTr="00D65CDD">
        <w:tc>
          <w:tcPr>
            <w:tcW w:w="5000" w:type="pct"/>
            <w:vAlign w:val="center"/>
          </w:tcPr>
          <w:p w:rsidR="00D65CDD" w:rsidRPr="00470428" w:rsidRDefault="00D65CDD" w:rsidP="00D02B13">
            <w:pPr>
              <w:rPr>
                <w:rFonts w:ascii="Arial Narrow" w:hAnsi="Arial Narrow"/>
                <w:b/>
                <w:bCs/>
                <w:sz w:val="18"/>
                <w:szCs w:val="18"/>
              </w:rPr>
            </w:pPr>
            <w:r w:rsidRPr="00470428">
              <w:rPr>
                <w:rFonts w:ascii="Arial Narrow" w:hAnsi="Arial Narrow"/>
                <w:b/>
                <w:bCs/>
                <w:sz w:val="18"/>
                <w:szCs w:val="18"/>
              </w:rPr>
              <w:t>Treatment criteria:</w:t>
            </w:r>
          </w:p>
        </w:tc>
      </w:tr>
      <w:tr w:rsidR="00D65CDD" w:rsidRPr="00470428" w:rsidTr="00D65CDD">
        <w:tc>
          <w:tcPr>
            <w:tcW w:w="5000" w:type="pct"/>
            <w:vAlign w:val="center"/>
          </w:tcPr>
          <w:p w:rsidR="00D65CDD" w:rsidRPr="00470428" w:rsidRDefault="00D65CDD" w:rsidP="00D02B13">
            <w:pPr>
              <w:rPr>
                <w:rFonts w:ascii="Arial Narrow" w:hAnsi="Arial Narrow"/>
                <w:bCs/>
                <w:sz w:val="18"/>
                <w:szCs w:val="18"/>
              </w:rPr>
            </w:pPr>
            <w:r w:rsidRPr="00470428">
              <w:rPr>
                <w:rFonts w:ascii="Arial Narrow" w:hAnsi="Arial Narrow"/>
                <w:bCs/>
                <w:sz w:val="18"/>
                <w:szCs w:val="18"/>
              </w:rPr>
              <w:t>Must be treated by a gastroenterologist; or</w:t>
            </w:r>
          </w:p>
        </w:tc>
      </w:tr>
      <w:tr w:rsidR="00D65CDD" w:rsidRPr="00470428" w:rsidTr="00D65CDD">
        <w:tc>
          <w:tcPr>
            <w:tcW w:w="5000" w:type="pct"/>
            <w:vAlign w:val="center"/>
          </w:tcPr>
          <w:p w:rsidR="00D65CDD" w:rsidRPr="00470428" w:rsidRDefault="00D65CDD" w:rsidP="00D02B13">
            <w:pPr>
              <w:rPr>
                <w:rFonts w:ascii="Arial Narrow" w:hAnsi="Arial Narrow"/>
                <w:bCs/>
                <w:sz w:val="18"/>
                <w:szCs w:val="18"/>
              </w:rPr>
            </w:pPr>
            <w:r w:rsidRPr="00470428">
              <w:rPr>
                <w:rFonts w:ascii="Arial Narrow" w:hAnsi="Arial Narrow"/>
                <w:bCs/>
                <w:sz w:val="18"/>
                <w:szCs w:val="18"/>
              </w:rPr>
              <w:t>Must be treated by a consultant physician [internal medicine specialising in gastroenterology]; or</w:t>
            </w:r>
          </w:p>
        </w:tc>
      </w:tr>
      <w:tr w:rsidR="00D65CDD" w:rsidRPr="00470428" w:rsidTr="00D65CDD">
        <w:tc>
          <w:tcPr>
            <w:tcW w:w="5000" w:type="pct"/>
            <w:vAlign w:val="center"/>
          </w:tcPr>
          <w:p w:rsidR="00D65CDD" w:rsidRPr="00470428" w:rsidRDefault="00D65CDD" w:rsidP="00D02B13">
            <w:pPr>
              <w:rPr>
                <w:rFonts w:ascii="Arial Narrow" w:hAnsi="Arial Narrow"/>
                <w:bCs/>
                <w:sz w:val="18"/>
                <w:szCs w:val="18"/>
              </w:rPr>
            </w:pPr>
            <w:r w:rsidRPr="00470428">
              <w:rPr>
                <w:rFonts w:ascii="Arial Narrow" w:hAnsi="Arial Narrow"/>
                <w:bCs/>
                <w:sz w:val="18"/>
                <w:szCs w:val="18"/>
              </w:rPr>
              <w:t>Must be treated by a consultant physician [general medicine specialising in gastroenterology]</w:t>
            </w:r>
          </w:p>
        </w:tc>
      </w:tr>
      <w:tr w:rsidR="00D65CDD" w:rsidRPr="00470428" w:rsidTr="00D65CDD">
        <w:tc>
          <w:tcPr>
            <w:tcW w:w="5000" w:type="pct"/>
            <w:vAlign w:val="center"/>
          </w:tcPr>
          <w:p w:rsidR="00D65CDD" w:rsidRPr="00470428" w:rsidRDefault="00D65CDD" w:rsidP="00D02B13">
            <w:pPr>
              <w:rPr>
                <w:rFonts w:ascii="Arial Narrow" w:hAnsi="Arial Narrow"/>
                <w:b/>
                <w:bCs/>
                <w:sz w:val="18"/>
                <w:szCs w:val="18"/>
              </w:rPr>
            </w:pPr>
            <w:r w:rsidRPr="00470428">
              <w:rPr>
                <w:rFonts w:ascii="Arial Narrow" w:hAnsi="Arial Narrow"/>
                <w:b/>
                <w:bCs/>
                <w:sz w:val="18"/>
                <w:szCs w:val="18"/>
              </w:rPr>
              <w:t>AND</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b/>
                <w:bCs/>
                <w:sz w:val="18"/>
                <w:szCs w:val="18"/>
              </w:rPr>
              <w:t>Clinical criteria:</w:t>
            </w:r>
          </w:p>
        </w:tc>
      </w:tr>
      <w:tr w:rsidR="00D65CDD" w:rsidRPr="00470428" w:rsidTr="00D65CDD">
        <w:tc>
          <w:tcPr>
            <w:tcW w:w="5000" w:type="pct"/>
            <w:hideMark/>
          </w:tcPr>
          <w:p w:rsidR="00D65CDD" w:rsidRPr="00470428" w:rsidRDefault="00D65CDD" w:rsidP="008737BC">
            <w:pPr>
              <w:pStyle w:val="CommentText"/>
              <w:rPr>
                <w:lang w:eastAsia="en-GB"/>
              </w:rPr>
            </w:pPr>
            <w:r w:rsidRPr="00470428">
              <w:rPr>
                <w:rFonts w:ascii="Arial Narrow" w:hAnsi="Arial Narrow"/>
                <w:sz w:val="18"/>
                <w:szCs w:val="18"/>
              </w:rPr>
              <w:t>Patient must have received this drug as their most recent course of PBS-subsidised biological medicine treatment for this condition, OR</w:t>
            </w:r>
          </w:p>
        </w:tc>
      </w:tr>
      <w:tr w:rsidR="00D65CDD" w:rsidRPr="00470428" w:rsidTr="00D65CDD">
        <w:tc>
          <w:tcPr>
            <w:tcW w:w="5000" w:type="pct"/>
            <w:vAlign w:val="center"/>
          </w:tcPr>
          <w:p w:rsidR="00D65CDD" w:rsidRPr="00470428" w:rsidRDefault="00D65CDD" w:rsidP="008737BC">
            <w:pPr>
              <w:rPr>
                <w:rFonts w:ascii="Arial Narrow" w:hAnsi="Arial Narrow"/>
                <w:bCs/>
                <w:sz w:val="18"/>
                <w:szCs w:val="18"/>
              </w:rPr>
            </w:pPr>
            <w:r w:rsidRPr="00470428">
              <w:rPr>
                <w:rFonts w:ascii="Arial Narrow" w:hAnsi="Arial Narrow"/>
                <w:b/>
                <w:bCs/>
                <w:sz w:val="18"/>
                <w:szCs w:val="18"/>
              </w:rPr>
              <w:t>Clinical criteria:</w:t>
            </w:r>
          </w:p>
        </w:tc>
      </w:tr>
      <w:tr w:rsidR="00D65CDD" w:rsidRPr="00470428" w:rsidTr="00D65CDD">
        <w:tc>
          <w:tcPr>
            <w:tcW w:w="5000" w:type="pct"/>
            <w:vAlign w:val="center"/>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Patient must have received this drug in the intravenous form as their most recent course of PBS-subsidised biological medicine for this condition under the vedolizumab intravenous form continuing restriction</w:t>
            </w:r>
          </w:p>
        </w:tc>
      </w:tr>
      <w:tr w:rsidR="00D65CDD" w:rsidRPr="00470428" w:rsidTr="00D65CDD">
        <w:tc>
          <w:tcPr>
            <w:tcW w:w="5000" w:type="pct"/>
            <w:vAlign w:val="center"/>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AND</w:t>
            </w:r>
          </w:p>
        </w:tc>
      </w:tr>
      <w:tr w:rsidR="00D65CDD" w:rsidRPr="00470428" w:rsidTr="00D65CDD">
        <w:tc>
          <w:tcPr>
            <w:tcW w:w="5000" w:type="pct"/>
            <w:vAlign w:val="center"/>
          </w:tcPr>
          <w:p w:rsidR="00D65CDD" w:rsidRPr="00470428" w:rsidRDefault="00D65CDD" w:rsidP="008737BC">
            <w:pPr>
              <w:rPr>
                <w:rFonts w:ascii="Arial Narrow" w:hAnsi="Arial Narrow"/>
                <w:bCs/>
                <w:sz w:val="18"/>
                <w:szCs w:val="18"/>
              </w:rPr>
            </w:pPr>
            <w:r w:rsidRPr="00470428">
              <w:rPr>
                <w:rFonts w:ascii="Arial Narrow" w:hAnsi="Arial Narrow"/>
                <w:b/>
                <w:bCs/>
                <w:sz w:val="18"/>
                <w:szCs w:val="18"/>
              </w:rPr>
              <w:t>Clinical criteria:</w:t>
            </w:r>
          </w:p>
        </w:tc>
      </w:tr>
      <w:tr w:rsidR="00D65CDD" w:rsidRPr="00470428" w:rsidTr="00D65CDD">
        <w:tc>
          <w:tcPr>
            <w:tcW w:w="5000" w:type="pct"/>
            <w:vAlign w:val="center"/>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Patient must not receive more than 24 weeks of treatment under this restriction</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b/>
                <w:bCs/>
                <w:sz w:val="18"/>
                <w:szCs w:val="18"/>
              </w:rPr>
              <w:t>AND</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b/>
                <w:bCs/>
                <w:sz w:val="18"/>
                <w:szCs w:val="18"/>
              </w:rPr>
              <w:t>Clinical criteria:</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sz w:val="18"/>
                <w:szCs w:val="18"/>
              </w:rPr>
              <w:t>Patient must have demonstrated or sustained an adequate response to treatment by having a partial Mayo clinic score less than or equal to 2, with no subscore greater than 1 while receiving treatment with this drug,</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b/>
                <w:bCs/>
                <w:sz w:val="18"/>
                <w:szCs w:val="18"/>
              </w:rPr>
              <w:t>AND</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b/>
                <w:bCs/>
                <w:sz w:val="18"/>
                <w:szCs w:val="18"/>
              </w:rPr>
              <w:t>Clinical criteria:</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sz w:val="18"/>
                <w:szCs w:val="18"/>
              </w:rPr>
              <w:t>Patient must be appropriately assessed for the risk of developing progressive multifocal leukoencephalopathy whilst on this treatment.</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b/>
                <w:bCs/>
                <w:sz w:val="18"/>
                <w:szCs w:val="18"/>
              </w:rPr>
              <w:t>Population criteria:</w:t>
            </w:r>
          </w:p>
        </w:tc>
      </w:tr>
      <w:tr w:rsidR="00D65CDD" w:rsidRPr="00470428" w:rsidTr="00D65CDD">
        <w:tc>
          <w:tcPr>
            <w:tcW w:w="5000" w:type="pct"/>
            <w:vAlign w:val="center"/>
            <w:hideMark/>
          </w:tcPr>
          <w:p w:rsidR="00D65CDD" w:rsidRPr="00470428" w:rsidRDefault="00D65CDD" w:rsidP="00D02B13">
            <w:pPr>
              <w:rPr>
                <w:rFonts w:ascii="Arial Narrow" w:hAnsi="Arial Narrow"/>
                <w:sz w:val="18"/>
                <w:szCs w:val="18"/>
              </w:rPr>
            </w:pPr>
            <w:r w:rsidRPr="00470428">
              <w:rPr>
                <w:rFonts w:ascii="Arial Narrow" w:hAnsi="Arial Narrow"/>
                <w:sz w:val="18"/>
                <w:szCs w:val="18"/>
              </w:rPr>
              <w:t>Patient must be aged 18 years or older.</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Prescribing Instructions: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Patients who have failed to maintain a partial Mayo clinic score less than or equal to 2, with no subscore greater than 1 with continuing treatment with this drug, will not be eligible to receive further PBS-subsidised treatment with this drug.</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Prescribing Instructions: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 xml:space="preserve">Patients are eligible to receive continuing treatment with this drug in courses of up to 24 weeks providing they continue to sustain the response. </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Prescribing Instructions: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 xml:space="preserve">At the time of the authority application, medical practitioners should request sufficient quantity for up to 24 weeks of treatment under this restriction. </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Prescribing Instructions: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Up to a maximum of 5 repeats will be authorised.</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Prescribing Instructions: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An application for the continuing treatment must be accompanied with the assessment of response conducted following a minimum of 12 weeks of therapy and no later than 4 weeks from cessation of the most recent</w:t>
            </w:r>
            <w:r>
              <w:rPr>
                <w:rFonts w:ascii="Arial Narrow" w:hAnsi="Arial Narrow"/>
                <w:bCs/>
                <w:sz w:val="18"/>
                <w:szCs w:val="18"/>
              </w:rPr>
              <w:t xml:space="preserve"> course the date of completion </w:t>
            </w:r>
            <w:r w:rsidRPr="00470428">
              <w:rPr>
                <w:rFonts w:ascii="Arial Narrow" w:hAnsi="Arial Narrow"/>
                <w:bCs/>
                <w:sz w:val="18"/>
                <w:szCs w:val="18"/>
              </w:rPr>
              <w:t xml:space="preserve">of treatment. This will enable ongoing treatment for those who meet the continuing restriction for PBS-subsidised treatment. </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Prescribing Instructions: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Where a response assessment is not conducted within this the required timeframe, the patient will be deemed to have failed to respond to treatment with this drug, unless the patient has experienced a serious adverse reaction of a severity resulting in the necessity for permanent withdrawal of treatment.</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Prescribing Instructions: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 xml:space="preserve">If a patient fails to demonstrate a response to treatment with this drug they will not be eligible to receive further PBS-subsidised treatment with this drug for this condition in this treatment cycle. Serious adverse reaction of a severity resulting in the necessity for permanent withdrawal of treatment is not considered as a treatment failure. </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
                <w:bCs/>
                <w:sz w:val="18"/>
                <w:szCs w:val="18"/>
              </w:rPr>
            </w:pPr>
            <w:r w:rsidRPr="00470428">
              <w:rPr>
                <w:rFonts w:ascii="Arial Narrow" w:hAnsi="Arial Narrow"/>
                <w:b/>
                <w:bCs/>
                <w:sz w:val="18"/>
                <w:szCs w:val="18"/>
              </w:rPr>
              <w:t>Prescribing Instructions:</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
                <w:bCs/>
                <w:sz w:val="18"/>
                <w:szCs w:val="18"/>
              </w:rPr>
              <w:t>Administrative Advice:</w:t>
            </w:r>
            <w:r w:rsidRPr="00470428">
              <w:rPr>
                <w:rFonts w:ascii="Arial Narrow" w:hAnsi="Arial Narrow"/>
                <w:bCs/>
                <w:sz w:val="18"/>
                <w:szCs w:val="18"/>
              </w:rPr>
              <w:t xml:space="preserve"> No increase in the maximum quantity or number of units may be authorised.</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Administrative Advice: No increase in the maximum number of repeats may be authorised.</w:t>
            </w:r>
          </w:p>
        </w:tc>
      </w:tr>
      <w:tr w:rsidR="00D65CDD" w:rsidRPr="00470428" w:rsidTr="00D65CDD">
        <w:tc>
          <w:tcPr>
            <w:tcW w:w="5000" w:type="pct"/>
            <w:tcBorders>
              <w:top w:val="single" w:sz="4" w:space="0" w:color="auto"/>
              <w:left w:val="single" w:sz="4" w:space="0" w:color="auto"/>
              <w:bottom w:val="single" w:sz="4" w:space="0" w:color="auto"/>
              <w:right w:val="single" w:sz="4" w:space="0" w:color="auto"/>
            </w:tcBorders>
            <w:vAlign w:val="center"/>
            <w:hideMark/>
          </w:tcPr>
          <w:p w:rsidR="00D65CDD" w:rsidRPr="00470428" w:rsidRDefault="00D65CDD" w:rsidP="008737BC">
            <w:pPr>
              <w:rPr>
                <w:rFonts w:ascii="Arial Narrow" w:hAnsi="Arial Narrow"/>
                <w:bCs/>
                <w:sz w:val="18"/>
                <w:szCs w:val="18"/>
              </w:rPr>
            </w:pPr>
            <w:r w:rsidRPr="00470428">
              <w:rPr>
                <w:rFonts w:ascii="Arial Narrow" w:hAnsi="Arial Narrow"/>
                <w:bCs/>
                <w:sz w:val="18"/>
                <w:szCs w:val="18"/>
              </w:rPr>
              <w:t>Administrative Advice:</w:t>
            </w:r>
          </w:p>
          <w:p w:rsidR="00D65CDD" w:rsidRPr="00470428" w:rsidRDefault="00D65CDD" w:rsidP="008737BC">
            <w:pPr>
              <w:rPr>
                <w:rFonts w:ascii="Arial Narrow" w:hAnsi="Arial Narrow"/>
                <w:bCs/>
                <w:sz w:val="18"/>
                <w:szCs w:val="18"/>
              </w:rPr>
            </w:pPr>
            <w:r w:rsidRPr="00470428">
              <w:rPr>
                <w:rFonts w:ascii="Arial Narrow" w:hAnsi="Arial Narrow"/>
                <w:bCs/>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43209E" w:rsidRDefault="0043209E" w:rsidP="0062746A">
      <w:pPr>
        <w:rPr>
          <w:b/>
          <w:sz w:val="20"/>
          <w:szCs w:val="20"/>
        </w:rPr>
      </w:pPr>
    </w:p>
    <w:p w:rsidR="000664C1" w:rsidRDefault="000664C1" w:rsidP="0062746A">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858"/>
        <w:gridCol w:w="716"/>
        <w:gridCol w:w="716"/>
        <w:gridCol w:w="716"/>
        <w:gridCol w:w="858"/>
        <w:gridCol w:w="1432"/>
      </w:tblGrid>
      <w:tr w:rsidR="000664C1" w:rsidRPr="004E025C" w:rsidTr="0043209E">
        <w:trPr>
          <w:cantSplit/>
          <w:trHeight w:val="471"/>
        </w:trPr>
        <w:tc>
          <w:tcPr>
            <w:tcW w:w="2063" w:type="pct"/>
          </w:tcPr>
          <w:p w:rsidR="000664C1" w:rsidRPr="004E025C" w:rsidRDefault="000664C1" w:rsidP="0043209E">
            <w:pPr>
              <w:keepNext/>
              <w:keepLines/>
              <w:ind w:left="-108"/>
              <w:rPr>
                <w:rFonts w:ascii="Arial Narrow" w:hAnsi="Arial Narrow"/>
                <w:b/>
                <w:color w:val="000000" w:themeColor="text1"/>
                <w:sz w:val="18"/>
                <w:szCs w:val="18"/>
              </w:rPr>
            </w:pPr>
            <w:r w:rsidRPr="004E025C">
              <w:rPr>
                <w:rFonts w:ascii="Arial Narrow" w:hAnsi="Arial Narrow"/>
                <w:b/>
                <w:color w:val="000000" w:themeColor="text1"/>
                <w:sz w:val="18"/>
                <w:szCs w:val="18"/>
              </w:rPr>
              <w:t>Name, Restriction,</w:t>
            </w:r>
          </w:p>
          <w:p w:rsidR="000664C1" w:rsidRPr="004E025C" w:rsidRDefault="000664C1" w:rsidP="0043209E">
            <w:pPr>
              <w:keepNext/>
              <w:keepLines/>
              <w:ind w:left="-108"/>
              <w:rPr>
                <w:rFonts w:ascii="Arial Narrow" w:hAnsi="Arial Narrow"/>
                <w:b/>
                <w:color w:val="000000" w:themeColor="text1"/>
                <w:sz w:val="18"/>
                <w:szCs w:val="18"/>
              </w:rPr>
            </w:pPr>
            <w:r w:rsidRPr="004E025C">
              <w:rPr>
                <w:rFonts w:ascii="Arial Narrow" w:hAnsi="Arial Narrow"/>
                <w:b/>
                <w:color w:val="000000" w:themeColor="text1"/>
                <w:sz w:val="18"/>
                <w:szCs w:val="18"/>
              </w:rPr>
              <w:t>Manner of administration and form</w:t>
            </w:r>
          </w:p>
        </w:tc>
        <w:tc>
          <w:tcPr>
            <w:tcW w:w="476" w:type="pct"/>
          </w:tcPr>
          <w:p w:rsidR="000664C1" w:rsidRPr="004E025C" w:rsidRDefault="000664C1" w:rsidP="0043209E">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PBS item code</w:t>
            </w:r>
          </w:p>
        </w:tc>
        <w:tc>
          <w:tcPr>
            <w:tcW w:w="397" w:type="pct"/>
          </w:tcPr>
          <w:p w:rsidR="000664C1" w:rsidRPr="004E025C" w:rsidRDefault="000664C1" w:rsidP="0043209E">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packs</w:t>
            </w:r>
          </w:p>
        </w:tc>
        <w:tc>
          <w:tcPr>
            <w:tcW w:w="397" w:type="pct"/>
          </w:tcPr>
          <w:p w:rsidR="000664C1" w:rsidRPr="004E025C" w:rsidRDefault="000664C1" w:rsidP="0043209E">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units</w:t>
            </w:r>
          </w:p>
        </w:tc>
        <w:tc>
          <w:tcPr>
            <w:tcW w:w="397" w:type="pct"/>
          </w:tcPr>
          <w:p w:rsidR="000664C1" w:rsidRPr="004E025C" w:rsidRDefault="000664C1" w:rsidP="0043209E">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№.of</w:t>
            </w:r>
          </w:p>
          <w:p w:rsidR="000664C1" w:rsidRPr="004E025C" w:rsidRDefault="000664C1" w:rsidP="0043209E">
            <w:pPr>
              <w:keepNext/>
              <w:keepLines/>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Rpts</w:t>
            </w:r>
          </w:p>
        </w:tc>
        <w:tc>
          <w:tcPr>
            <w:tcW w:w="1270" w:type="pct"/>
            <w:gridSpan w:val="2"/>
          </w:tcPr>
          <w:p w:rsidR="000664C1" w:rsidRPr="004E025C" w:rsidRDefault="000664C1" w:rsidP="0043209E">
            <w:pPr>
              <w:keepNext/>
              <w:keepLines/>
              <w:rPr>
                <w:rFonts w:ascii="Arial Narrow" w:hAnsi="Arial Narrow"/>
                <w:b/>
                <w:color w:val="000000" w:themeColor="text1"/>
                <w:sz w:val="18"/>
                <w:szCs w:val="18"/>
              </w:rPr>
            </w:pPr>
            <w:r w:rsidRPr="004E025C">
              <w:rPr>
                <w:rFonts w:ascii="Arial Narrow" w:hAnsi="Arial Narrow"/>
                <w:b/>
                <w:color w:val="000000" w:themeColor="text1"/>
                <w:sz w:val="18"/>
                <w:szCs w:val="18"/>
              </w:rPr>
              <w:t>Proprietary Name and Manufacturer</w:t>
            </w:r>
          </w:p>
        </w:tc>
      </w:tr>
      <w:tr w:rsidR="000664C1" w:rsidRPr="004E025C" w:rsidTr="0043209E">
        <w:trPr>
          <w:cantSplit/>
          <w:trHeight w:val="346"/>
        </w:trPr>
        <w:tc>
          <w:tcPr>
            <w:tcW w:w="2063" w:type="pct"/>
          </w:tcPr>
          <w:p w:rsidR="000664C1" w:rsidRPr="004E025C" w:rsidRDefault="000664C1" w:rsidP="0043209E">
            <w:pPr>
              <w:keepNext/>
              <w:keepLines/>
              <w:ind w:left="-108"/>
              <w:rPr>
                <w:rFonts w:ascii="Arial Narrow" w:hAnsi="Arial Narrow"/>
                <w:sz w:val="18"/>
                <w:szCs w:val="18"/>
              </w:rPr>
            </w:pPr>
            <w:r w:rsidRPr="004E025C">
              <w:rPr>
                <w:rFonts w:ascii="Arial Narrow" w:hAnsi="Arial Narrow" w:cstheme="minorHAnsi"/>
                <w:sz w:val="18"/>
                <w:szCs w:val="18"/>
              </w:rPr>
              <w:t>VEDOLIZUMAB 108 mg/0.68 mL injection, 2 x 0.68 mL syringes</w:t>
            </w:r>
          </w:p>
          <w:p w:rsidR="000664C1" w:rsidRPr="004E025C" w:rsidRDefault="000664C1" w:rsidP="0043209E">
            <w:pPr>
              <w:keepNext/>
              <w:keepLines/>
              <w:ind w:left="-108"/>
              <w:rPr>
                <w:rFonts w:ascii="Arial Narrow" w:hAnsi="Arial Narrow"/>
                <w:color w:val="000000" w:themeColor="text1"/>
                <w:sz w:val="18"/>
                <w:szCs w:val="18"/>
              </w:rPr>
            </w:pPr>
          </w:p>
        </w:tc>
        <w:tc>
          <w:tcPr>
            <w:tcW w:w="476" w:type="pct"/>
          </w:tcPr>
          <w:p w:rsidR="000664C1" w:rsidRPr="004E025C" w:rsidRDefault="000664C1" w:rsidP="0043209E">
            <w:pPr>
              <w:keepNext/>
              <w:keepLines/>
              <w:ind w:left="-108"/>
              <w:jc w:val="center"/>
              <w:rPr>
                <w:rFonts w:ascii="Arial Narrow" w:hAnsi="Arial Narrow"/>
                <w:sz w:val="18"/>
                <w:szCs w:val="18"/>
              </w:rPr>
            </w:pPr>
            <w:r w:rsidRPr="004E025C">
              <w:rPr>
                <w:rFonts w:ascii="Arial Narrow" w:hAnsi="Arial Narrow"/>
                <w:sz w:val="18"/>
                <w:szCs w:val="18"/>
              </w:rPr>
              <w:t>NEW</w:t>
            </w:r>
          </w:p>
          <w:p w:rsidR="000664C1" w:rsidRPr="004E025C" w:rsidRDefault="000664C1" w:rsidP="0043209E">
            <w:pPr>
              <w:keepNext/>
              <w:keepLines/>
              <w:ind w:left="-108"/>
              <w:jc w:val="center"/>
              <w:rPr>
                <w:rFonts w:ascii="Arial Narrow" w:hAnsi="Arial Narrow"/>
                <w:color w:val="000000" w:themeColor="text1"/>
                <w:sz w:val="18"/>
                <w:szCs w:val="18"/>
              </w:rPr>
            </w:pPr>
            <w:r w:rsidRPr="004E025C">
              <w:rPr>
                <w:rFonts w:ascii="Arial Narrow" w:hAnsi="Arial Narrow"/>
                <w:sz w:val="18"/>
                <w:szCs w:val="18"/>
              </w:rPr>
              <w:t>NEW</w:t>
            </w:r>
          </w:p>
        </w:tc>
        <w:tc>
          <w:tcPr>
            <w:tcW w:w="397" w:type="pct"/>
          </w:tcPr>
          <w:p w:rsidR="000664C1" w:rsidRPr="004E025C" w:rsidRDefault="000664C1" w:rsidP="0043209E">
            <w:pPr>
              <w:keepNext/>
              <w:keepLines/>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0664C1" w:rsidRPr="004E025C" w:rsidRDefault="000664C1" w:rsidP="0043209E">
            <w:pPr>
              <w:keepNext/>
              <w:keepLines/>
              <w:ind w:left="-108"/>
              <w:jc w:val="center"/>
              <w:rPr>
                <w:rFonts w:ascii="Arial Narrow" w:hAnsi="Arial Narrow"/>
                <w:color w:val="000000" w:themeColor="text1"/>
                <w:sz w:val="18"/>
                <w:szCs w:val="18"/>
              </w:rPr>
            </w:pPr>
            <w:r w:rsidRPr="004E025C">
              <w:rPr>
                <w:rFonts w:ascii="Arial Narrow" w:hAnsi="Arial Narrow"/>
                <w:sz w:val="18"/>
                <w:szCs w:val="18"/>
              </w:rPr>
              <w:t>2</w:t>
            </w:r>
          </w:p>
        </w:tc>
        <w:tc>
          <w:tcPr>
            <w:tcW w:w="397" w:type="pct"/>
          </w:tcPr>
          <w:p w:rsidR="000664C1" w:rsidRPr="004E025C" w:rsidRDefault="000664C1" w:rsidP="0043209E">
            <w:pPr>
              <w:keepNext/>
              <w:keepLines/>
              <w:ind w:left="-108"/>
              <w:jc w:val="center"/>
              <w:rPr>
                <w:rFonts w:ascii="Arial Narrow" w:hAnsi="Arial Narrow"/>
                <w:sz w:val="18"/>
                <w:szCs w:val="18"/>
              </w:rPr>
            </w:pPr>
            <w:r w:rsidRPr="004E025C">
              <w:rPr>
                <w:rFonts w:ascii="Arial Narrow" w:hAnsi="Arial Narrow"/>
                <w:sz w:val="18"/>
                <w:szCs w:val="18"/>
              </w:rPr>
              <w:t>0</w:t>
            </w:r>
          </w:p>
          <w:p w:rsidR="000664C1" w:rsidRPr="004E025C" w:rsidRDefault="000664C1" w:rsidP="0043209E">
            <w:pPr>
              <w:keepNext/>
              <w:keepLines/>
              <w:rPr>
                <w:rFonts w:ascii="Arial Narrow" w:hAnsi="Arial Narrow"/>
                <w:color w:val="000000" w:themeColor="text1"/>
                <w:sz w:val="18"/>
                <w:szCs w:val="18"/>
              </w:rPr>
            </w:pPr>
          </w:p>
        </w:tc>
        <w:tc>
          <w:tcPr>
            <w:tcW w:w="476" w:type="pct"/>
          </w:tcPr>
          <w:p w:rsidR="000664C1" w:rsidRPr="004E025C" w:rsidRDefault="000664C1" w:rsidP="0043209E">
            <w:pPr>
              <w:keepNext/>
              <w:keepLines/>
              <w:rPr>
                <w:rFonts w:ascii="Arial Narrow" w:hAnsi="Arial Narrow"/>
                <w:color w:val="000000" w:themeColor="text1"/>
                <w:sz w:val="18"/>
                <w:szCs w:val="18"/>
              </w:rPr>
            </w:pPr>
            <w:r w:rsidRPr="004E025C">
              <w:rPr>
                <w:rFonts w:ascii="Arial Narrow" w:hAnsi="Arial Narrow"/>
                <w:sz w:val="18"/>
                <w:szCs w:val="18"/>
              </w:rPr>
              <w:t>Entyvio</w:t>
            </w:r>
            <w:r w:rsidRPr="004E025C">
              <w:rPr>
                <w:rFonts w:ascii="Arial Narrow" w:hAnsi="Arial Narrow"/>
                <w:sz w:val="18"/>
                <w:szCs w:val="18"/>
                <w:vertAlign w:val="superscript"/>
              </w:rPr>
              <w:t>®</w:t>
            </w:r>
          </w:p>
          <w:p w:rsidR="000664C1" w:rsidRPr="004E025C" w:rsidRDefault="000664C1" w:rsidP="0043209E">
            <w:pPr>
              <w:keepNext/>
              <w:keepLines/>
              <w:rPr>
                <w:rFonts w:ascii="Arial Narrow" w:hAnsi="Arial Narrow"/>
                <w:sz w:val="18"/>
                <w:szCs w:val="18"/>
              </w:rPr>
            </w:pPr>
          </w:p>
        </w:tc>
        <w:tc>
          <w:tcPr>
            <w:tcW w:w="794" w:type="pct"/>
          </w:tcPr>
          <w:p w:rsidR="000664C1" w:rsidRPr="004E025C" w:rsidRDefault="000664C1" w:rsidP="0043209E">
            <w:pPr>
              <w:keepNext/>
              <w:keepLines/>
              <w:rPr>
                <w:rFonts w:ascii="Arial Narrow" w:hAnsi="Arial Narrow"/>
                <w:color w:val="000000" w:themeColor="text1"/>
                <w:sz w:val="18"/>
                <w:szCs w:val="18"/>
              </w:rPr>
            </w:pPr>
            <w:r w:rsidRPr="004E025C">
              <w:rPr>
                <w:rFonts w:ascii="Arial Narrow" w:hAnsi="Arial Narrow"/>
                <w:sz w:val="18"/>
                <w:szCs w:val="18"/>
              </w:rPr>
              <w:t>Takeda Pharmaceuticals Australia Pty Ltd</w:t>
            </w:r>
          </w:p>
        </w:tc>
      </w:tr>
      <w:tr w:rsidR="000664C1" w:rsidRPr="004E025C" w:rsidTr="0043209E">
        <w:trPr>
          <w:cantSplit/>
          <w:trHeight w:val="346"/>
        </w:trPr>
        <w:tc>
          <w:tcPr>
            <w:tcW w:w="2063" w:type="pct"/>
          </w:tcPr>
          <w:p w:rsidR="000664C1" w:rsidRPr="004E025C" w:rsidRDefault="000664C1" w:rsidP="0043209E">
            <w:pPr>
              <w:keepNext/>
              <w:keepLines/>
              <w:ind w:left="-108"/>
              <w:rPr>
                <w:rFonts w:ascii="Arial Narrow" w:hAnsi="Arial Narrow" w:cstheme="minorHAnsi"/>
                <w:sz w:val="18"/>
                <w:szCs w:val="18"/>
              </w:rPr>
            </w:pPr>
            <w:r w:rsidRPr="004E025C">
              <w:rPr>
                <w:rFonts w:ascii="Arial Narrow" w:hAnsi="Arial Narrow" w:cstheme="minorHAnsi"/>
                <w:sz w:val="18"/>
                <w:szCs w:val="18"/>
              </w:rPr>
              <w:t>VEDOLIZUMAB 108 mg/0.68 mL injection, 2 x 0.68 mL pen devices</w:t>
            </w:r>
          </w:p>
        </w:tc>
        <w:tc>
          <w:tcPr>
            <w:tcW w:w="476" w:type="pct"/>
          </w:tcPr>
          <w:p w:rsidR="000664C1" w:rsidRPr="004E025C" w:rsidRDefault="000664C1" w:rsidP="0043209E">
            <w:pPr>
              <w:keepNext/>
              <w:keepLines/>
              <w:ind w:left="-108"/>
              <w:jc w:val="center"/>
              <w:rPr>
                <w:rFonts w:ascii="Arial Narrow" w:hAnsi="Arial Narrow"/>
                <w:sz w:val="18"/>
                <w:szCs w:val="18"/>
              </w:rPr>
            </w:pPr>
            <w:r w:rsidRPr="004E025C">
              <w:rPr>
                <w:rFonts w:ascii="Arial Narrow" w:hAnsi="Arial Narrow"/>
                <w:sz w:val="18"/>
                <w:szCs w:val="18"/>
              </w:rPr>
              <w:t>NEW</w:t>
            </w:r>
          </w:p>
          <w:p w:rsidR="000664C1" w:rsidRPr="004E025C" w:rsidRDefault="000664C1" w:rsidP="0043209E">
            <w:pPr>
              <w:keepNext/>
              <w:keepLines/>
              <w:ind w:left="-108"/>
              <w:jc w:val="center"/>
              <w:rPr>
                <w:rFonts w:ascii="Arial Narrow" w:hAnsi="Arial Narrow"/>
                <w:sz w:val="18"/>
                <w:szCs w:val="18"/>
              </w:rPr>
            </w:pPr>
            <w:r w:rsidRPr="004E025C">
              <w:rPr>
                <w:rFonts w:ascii="Arial Narrow" w:hAnsi="Arial Narrow"/>
                <w:sz w:val="18"/>
                <w:szCs w:val="18"/>
              </w:rPr>
              <w:t>NEW</w:t>
            </w:r>
          </w:p>
        </w:tc>
        <w:tc>
          <w:tcPr>
            <w:tcW w:w="397" w:type="pct"/>
          </w:tcPr>
          <w:p w:rsidR="000664C1" w:rsidRPr="004E025C" w:rsidRDefault="000664C1" w:rsidP="0043209E">
            <w:pPr>
              <w:keepNext/>
              <w:keepLines/>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0664C1" w:rsidRPr="004E025C" w:rsidRDefault="000664C1" w:rsidP="0043209E">
            <w:pPr>
              <w:keepNext/>
              <w:keepLines/>
              <w:ind w:left="-108"/>
              <w:jc w:val="center"/>
              <w:rPr>
                <w:rFonts w:ascii="Arial Narrow" w:hAnsi="Arial Narrow"/>
                <w:sz w:val="18"/>
                <w:szCs w:val="18"/>
              </w:rPr>
            </w:pPr>
            <w:r w:rsidRPr="004E025C">
              <w:rPr>
                <w:rFonts w:ascii="Arial Narrow" w:hAnsi="Arial Narrow"/>
                <w:sz w:val="18"/>
                <w:szCs w:val="18"/>
              </w:rPr>
              <w:t>2</w:t>
            </w:r>
          </w:p>
        </w:tc>
        <w:tc>
          <w:tcPr>
            <w:tcW w:w="397" w:type="pct"/>
          </w:tcPr>
          <w:p w:rsidR="000664C1" w:rsidRPr="004E025C" w:rsidRDefault="000664C1" w:rsidP="0043209E">
            <w:pPr>
              <w:keepNext/>
              <w:keepLines/>
              <w:ind w:left="-108"/>
              <w:jc w:val="center"/>
              <w:rPr>
                <w:rFonts w:ascii="Arial Narrow" w:hAnsi="Arial Narrow"/>
                <w:sz w:val="18"/>
                <w:szCs w:val="18"/>
              </w:rPr>
            </w:pPr>
            <w:r w:rsidRPr="004E025C">
              <w:rPr>
                <w:rFonts w:ascii="Arial Narrow" w:hAnsi="Arial Narrow"/>
                <w:sz w:val="18"/>
                <w:szCs w:val="18"/>
              </w:rPr>
              <w:t>0</w:t>
            </w:r>
          </w:p>
          <w:p w:rsidR="000664C1" w:rsidRPr="004E025C" w:rsidRDefault="000664C1" w:rsidP="0043209E">
            <w:pPr>
              <w:keepNext/>
              <w:keepLines/>
              <w:ind w:left="-108"/>
              <w:jc w:val="center"/>
              <w:rPr>
                <w:rFonts w:ascii="Arial Narrow" w:hAnsi="Arial Narrow"/>
                <w:sz w:val="18"/>
                <w:szCs w:val="18"/>
              </w:rPr>
            </w:pPr>
          </w:p>
        </w:tc>
        <w:tc>
          <w:tcPr>
            <w:tcW w:w="476" w:type="pct"/>
          </w:tcPr>
          <w:p w:rsidR="000664C1" w:rsidRPr="004E025C" w:rsidRDefault="000664C1" w:rsidP="0043209E">
            <w:pPr>
              <w:keepNext/>
              <w:keepLines/>
              <w:rPr>
                <w:rFonts w:ascii="Arial Narrow" w:hAnsi="Arial Narrow"/>
                <w:sz w:val="18"/>
                <w:szCs w:val="18"/>
              </w:rPr>
            </w:pPr>
            <w:r w:rsidRPr="004E025C">
              <w:rPr>
                <w:rFonts w:ascii="Arial Narrow" w:hAnsi="Arial Narrow"/>
                <w:sz w:val="18"/>
                <w:szCs w:val="18"/>
              </w:rPr>
              <w:t>Entyvio</w:t>
            </w:r>
            <w:r w:rsidRPr="004E025C">
              <w:rPr>
                <w:rFonts w:ascii="Arial Narrow" w:hAnsi="Arial Narrow"/>
                <w:sz w:val="18"/>
                <w:szCs w:val="18"/>
                <w:vertAlign w:val="superscript"/>
              </w:rPr>
              <w:t xml:space="preserve"> ®</w:t>
            </w:r>
          </w:p>
        </w:tc>
        <w:tc>
          <w:tcPr>
            <w:tcW w:w="794" w:type="pct"/>
          </w:tcPr>
          <w:p w:rsidR="000664C1" w:rsidRPr="004E025C" w:rsidRDefault="000664C1" w:rsidP="0043209E">
            <w:pPr>
              <w:keepNext/>
              <w:keepLines/>
              <w:rPr>
                <w:rFonts w:ascii="Arial Narrow" w:hAnsi="Arial Narrow"/>
                <w:sz w:val="18"/>
                <w:szCs w:val="18"/>
              </w:rPr>
            </w:pPr>
            <w:r w:rsidRPr="004E025C">
              <w:rPr>
                <w:rFonts w:ascii="Arial Narrow" w:hAnsi="Arial Narrow"/>
                <w:sz w:val="18"/>
                <w:szCs w:val="18"/>
              </w:rPr>
              <w:t>Takeda Pharmaceuticals Australia Pty Ltd</w:t>
            </w:r>
          </w:p>
        </w:tc>
      </w:tr>
    </w:tbl>
    <w:p w:rsidR="000664C1" w:rsidRDefault="000664C1" w:rsidP="0062746A">
      <w:pPr>
        <w:rPr>
          <w:b/>
          <w:sz w:val="20"/>
          <w:szCs w:val="20"/>
        </w:rPr>
      </w:pPr>
    </w:p>
    <w:tbl>
      <w:tblPr>
        <w:tblpPr w:leftFromText="180" w:rightFromText="180" w:vertAnchor="text" w:horzAnchor="margin" w:tblpY="4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D65CDD" w:rsidRPr="0062746A" w:rsidTr="00D65CDD">
        <w:tc>
          <w:tcPr>
            <w:tcW w:w="5000" w:type="pct"/>
            <w:tcBorders>
              <w:top w:val="single" w:sz="4" w:space="0" w:color="auto"/>
              <w:left w:val="single" w:sz="4" w:space="0" w:color="auto"/>
              <w:bottom w:val="single" w:sz="4" w:space="0" w:color="auto"/>
              <w:right w:val="single" w:sz="4" w:space="0" w:color="auto"/>
            </w:tcBorders>
          </w:tcPr>
          <w:p w:rsidR="00D65CDD" w:rsidRPr="000067C2" w:rsidRDefault="00D65CDD" w:rsidP="0043209E">
            <w:pPr>
              <w:rPr>
                <w:rFonts w:ascii="Arial Narrow" w:hAnsi="Arial Narrow"/>
                <w:sz w:val="18"/>
                <w:szCs w:val="18"/>
              </w:rPr>
            </w:pPr>
            <w:r w:rsidRPr="000067C2">
              <w:rPr>
                <w:rFonts w:ascii="Arial Narrow" w:hAnsi="Arial Narrow"/>
                <w:b/>
                <w:sz w:val="18"/>
                <w:szCs w:val="18"/>
              </w:rPr>
              <w:t xml:space="preserve">Category / Program:   </w:t>
            </w:r>
            <w:r w:rsidRPr="000067C2">
              <w:rPr>
                <w:rFonts w:ascii="Arial Narrow" w:hAnsi="Arial Narrow"/>
                <w:sz w:val="18"/>
                <w:szCs w:val="18"/>
              </w:rPr>
              <w:t xml:space="preserve">GENERAL – General Schedule (Code GE) </w:t>
            </w:r>
          </w:p>
        </w:tc>
      </w:tr>
      <w:tr w:rsidR="00D65CDD" w:rsidRPr="0062746A" w:rsidTr="00D65CDD">
        <w:trPr>
          <w:trHeight w:val="240"/>
        </w:trPr>
        <w:tc>
          <w:tcPr>
            <w:tcW w:w="5000" w:type="pct"/>
            <w:tcBorders>
              <w:top w:val="single" w:sz="4" w:space="0" w:color="auto"/>
              <w:left w:val="single" w:sz="4" w:space="0" w:color="auto"/>
              <w:bottom w:val="single" w:sz="4" w:space="0" w:color="auto"/>
              <w:right w:val="single" w:sz="4" w:space="0" w:color="auto"/>
            </w:tcBorders>
          </w:tcPr>
          <w:p w:rsidR="00D65CDD" w:rsidRPr="000067C2" w:rsidRDefault="00D65CDD" w:rsidP="0043209E">
            <w:pPr>
              <w:rPr>
                <w:rFonts w:ascii="Arial Narrow" w:hAnsi="Arial Narrow"/>
                <w:b/>
                <w:sz w:val="18"/>
                <w:szCs w:val="18"/>
              </w:rPr>
            </w:pPr>
            <w:r w:rsidRPr="000067C2">
              <w:rPr>
                <w:rFonts w:ascii="Arial Narrow" w:hAnsi="Arial Narrow"/>
                <w:b/>
                <w:sz w:val="18"/>
                <w:szCs w:val="18"/>
              </w:rPr>
              <w:t xml:space="preserve">Prescriber type:   </w:t>
            </w:r>
            <w:r w:rsidRPr="000067C2">
              <w:rPr>
                <w:rFonts w:ascii="Arial Narrow" w:hAnsi="Arial Narrow"/>
                <w:sz w:val="18"/>
                <w:szCs w:val="18"/>
              </w:rPr>
              <w:fldChar w:fldCharType="begin">
                <w:ffData>
                  <w:name w:val="Check1"/>
                  <w:enabled/>
                  <w:calcOnExit w:val="0"/>
                  <w:checkBox>
                    <w:sizeAuto/>
                    <w:default w:val="0"/>
                  </w:checkBox>
                </w:ffData>
              </w:fldChar>
            </w:r>
            <w:r w:rsidRPr="000067C2">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 xml:space="preserve">Dental    </w:t>
            </w:r>
            <w:r w:rsidRPr="000067C2">
              <w:rPr>
                <w:rFonts w:ascii="Arial Narrow" w:hAnsi="Arial Narrow"/>
                <w:sz w:val="18"/>
                <w:szCs w:val="18"/>
              </w:rPr>
              <w:fldChar w:fldCharType="begin">
                <w:ffData>
                  <w:name w:val=""/>
                  <w:enabled/>
                  <w:calcOnExit w:val="0"/>
                  <w:checkBox>
                    <w:sizeAuto/>
                    <w:default w:val="1"/>
                  </w:checkBox>
                </w:ffData>
              </w:fldChar>
            </w:r>
            <w:r w:rsidRPr="000067C2">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 xml:space="preserve">Medical Practitioners    </w:t>
            </w:r>
            <w:r w:rsidRPr="000067C2">
              <w:rPr>
                <w:rFonts w:ascii="Arial Narrow" w:hAnsi="Arial Narrow"/>
                <w:sz w:val="18"/>
                <w:szCs w:val="18"/>
              </w:rPr>
              <w:fldChar w:fldCharType="begin">
                <w:ffData>
                  <w:name w:val="Check3"/>
                  <w:enabled/>
                  <w:calcOnExit w:val="0"/>
                  <w:checkBox>
                    <w:sizeAuto/>
                    <w:default w:val="0"/>
                  </w:checkBox>
                </w:ffData>
              </w:fldChar>
            </w:r>
            <w:r w:rsidRPr="000067C2">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 xml:space="preserve">Nurse practitioners     </w:t>
            </w:r>
            <w:r w:rsidRPr="000067C2">
              <w:rPr>
                <w:rFonts w:ascii="Arial Narrow" w:hAnsi="Arial Narrow"/>
                <w:sz w:val="18"/>
                <w:szCs w:val="18"/>
              </w:rPr>
              <w:fldChar w:fldCharType="begin">
                <w:ffData>
                  <w:name w:val=""/>
                  <w:enabled/>
                  <w:calcOnExit w:val="0"/>
                  <w:checkBox>
                    <w:sizeAuto/>
                    <w:default w:val="0"/>
                  </w:checkBox>
                </w:ffData>
              </w:fldChar>
            </w:r>
            <w:r w:rsidRPr="000067C2">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 xml:space="preserve">Optometrists    </w:t>
            </w:r>
            <w:r w:rsidRPr="000067C2">
              <w:rPr>
                <w:rFonts w:ascii="Arial Narrow" w:hAnsi="Arial Narrow"/>
                <w:sz w:val="18"/>
                <w:szCs w:val="18"/>
              </w:rPr>
              <w:fldChar w:fldCharType="begin">
                <w:ffData>
                  <w:name w:val="Check5"/>
                  <w:enabled/>
                  <w:calcOnExit w:val="0"/>
                  <w:checkBox>
                    <w:sizeAuto/>
                    <w:default w:val="0"/>
                  </w:checkBox>
                </w:ffData>
              </w:fldChar>
            </w:r>
            <w:r w:rsidRPr="000067C2">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0067C2">
              <w:rPr>
                <w:rFonts w:ascii="Arial Narrow" w:hAnsi="Arial Narrow"/>
                <w:sz w:val="18"/>
                <w:szCs w:val="18"/>
              </w:rPr>
              <w:fldChar w:fldCharType="end"/>
            </w:r>
            <w:r w:rsidRPr="000067C2">
              <w:rPr>
                <w:rFonts w:ascii="Arial Narrow" w:hAnsi="Arial Narrow"/>
                <w:sz w:val="18"/>
                <w:szCs w:val="18"/>
              </w:rPr>
              <w:t>Midwives</w:t>
            </w:r>
          </w:p>
        </w:tc>
      </w:tr>
      <w:tr w:rsidR="00D65CDD" w:rsidRPr="0062746A" w:rsidTr="00D65CDD">
        <w:tc>
          <w:tcPr>
            <w:tcW w:w="5000" w:type="pct"/>
            <w:tcBorders>
              <w:top w:val="single" w:sz="4" w:space="0" w:color="auto"/>
              <w:left w:val="single" w:sz="4" w:space="0" w:color="auto"/>
              <w:bottom w:val="single" w:sz="4" w:space="0" w:color="auto"/>
              <w:right w:val="single" w:sz="4" w:space="0" w:color="auto"/>
            </w:tcBorders>
          </w:tcPr>
          <w:p w:rsidR="00D65CDD" w:rsidRPr="000067C2" w:rsidRDefault="00D65CDD" w:rsidP="0043209E">
            <w:pPr>
              <w:rPr>
                <w:rFonts w:ascii="Arial Narrow" w:eastAsia="Calibri" w:hAnsi="Arial Narrow"/>
                <w:sz w:val="18"/>
                <w:szCs w:val="18"/>
              </w:rPr>
            </w:pPr>
            <w:r w:rsidRPr="000067C2">
              <w:rPr>
                <w:rFonts w:ascii="Arial Narrow" w:hAnsi="Arial Narrow"/>
                <w:b/>
                <w:sz w:val="18"/>
                <w:szCs w:val="18"/>
              </w:rPr>
              <w:t xml:space="preserve">Restriction Type – </w:t>
            </w:r>
            <w:r w:rsidRPr="000067C2">
              <w:rPr>
                <w:rFonts w:ascii="Arial Narrow" w:eastAsia="Calibri" w:hAnsi="Arial Narrow"/>
                <w:sz w:val="18"/>
                <w:szCs w:val="18"/>
              </w:rPr>
              <w:fldChar w:fldCharType="begin">
                <w:ffData>
                  <w:name w:val=""/>
                  <w:enabled/>
                  <w:calcOnExit w:val="0"/>
                  <w:checkBox>
                    <w:sizeAuto/>
                    <w:default w:val="1"/>
                  </w:checkBox>
                </w:ffData>
              </w:fldChar>
            </w:r>
            <w:r w:rsidRPr="000067C2">
              <w:rPr>
                <w:rFonts w:ascii="Arial Narrow" w:eastAsia="Calibri" w:hAnsi="Arial Narrow"/>
                <w:sz w:val="18"/>
                <w:szCs w:val="18"/>
              </w:rPr>
              <w:instrText xml:space="preserve"> FORMCHECKBOX </w:instrText>
            </w:r>
            <w:r w:rsidR="00226F00">
              <w:rPr>
                <w:rFonts w:ascii="Arial Narrow" w:eastAsia="Calibri" w:hAnsi="Arial Narrow"/>
                <w:sz w:val="18"/>
                <w:szCs w:val="18"/>
              </w:rPr>
            </w:r>
            <w:r w:rsidR="00226F00">
              <w:rPr>
                <w:rFonts w:ascii="Arial Narrow" w:eastAsia="Calibri" w:hAnsi="Arial Narrow"/>
                <w:sz w:val="18"/>
                <w:szCs w:val="18"/>
              </w:rPr>
              <w:fldChar w:fldCharType="separate"/>
            </w:r>
            <w:r w:rsidRPr="000067C2">
              <w:rPr>
                <w:rFonts w:ascii="Arial Narrow" w:eastAsia="Calibri" w:hAnsi="Arial Narrow"/>
                <w:sz w:val="18"/>
                <w:szCs w:val="18"/>
              </w:rPr>
              <w:fldChar w:fldCharType="end"/>
            </w:r>
            <w:r w:rsidRPr="000067C2">
              <w:rPr>
                <w:rFonts w:ascii="Arial Narrow" w:eastAsia="Calibri" w:hAnsi="Arial Narrow"/>
                <w:sz w:val="18"/>
                <w:szCs w:val="18"/>
              </w:rPr>
              <w:t xml:space="preserve"> Authority Required – immediate/real time assessment by Medicare (telephone/online/emergency)</w:t>
            </w:r>
          </w:p>
          <w:p w:rsidR="00D65CDD" w:rsidRPr="000067C2" w:rsidRDefault="00D65CDD" w:rsidP="0043209E">
            <w:pPr>
              <w:rPr>
                <w:rFonts w:ascii="Arial Narrow" w:eastAsia="Calibri" w:hAnsi="Arial Narrow"/>
                <w:sz w:val="18"/>
                <w:szCs w:val="18"/>
              </w:rPr>
            </w:pPr>
          </w:p>
        </w:tc>
      </w:tr>
      <w:tr w:rsidR="00D65CDD" w:rsidRPr="0062746A" w:rsidTr="00D65CDD">
        <w:tc>
          <w:tcPr>
            <w:tcW w:w="5000" w:type="pct"/>
            <w:vAlign w:val="center"/>
          </w:tcPr>
          <w:p w:rsidR="00D65CDD" w:rsidRPr="000067C2" w:rsidRDefault="00D65CDD" w:rsidP="0043209E">
            <w:pPr>
              <w:rPr>
                <w:rFonts w:ascii="Arial Narrow" w:hAnsi="Arial Narrow"/>
                <w:b/>
                <w:bCs/>
                <w:sz w:val="18"/>
                <w:szCs w:val="18"/>
              </w:rPr>
            </w:pPr>
            <w:r w:rsidRPr="000067C2">
              <w:rPr>
                <w:rFonts w:ascii="Arial Narrow" w:hAnsi="Arial Narrow"/>
                <w:b/>
                <w:bCs/>
                <w:sz w:val="18"/>
                <w:szCs w:val="18"/>
              </w:rPr>
              <w:t xml:space="preserve">Severity: </w:t>
            </w:r>
            <w:r w:rsidRPr="000067C2">
              <w:rPr>
                <w:rFonts w:ascii="Arial Narrow" w:hAnsi="Arial Narrow"/>
                <w:bCs/>
                <w:sz w:val="18"/>
                <w:szCs w:val="18"/>
              </w:rPr>
              <w:t>Moderate to severe</w:t>
            </w:r>
          </w:p>
        </w:tc>
      </w:tr>
      <w:tr w:rsidR="00D65CDD" w:rsidRPr="0062746A" w:rsidTr="00D65CDD">
        <w:tc>
          <w:tcPr>
            <w:tcW w:w="5000" w:type="pct"/>
            <w:vAlign w:val="center"/>
          </w:tcPr>
          <w:p w:rsidR="00D65CDD" w:rsidRPr="000067C2" w:rsidRDefault="00D65CDD" w:rsidP="0043209E">
            <w:pPr>
              <w:rPr>
                <w:rFonts w:ascii="Arial Narrow" w:hAnsi="Arial Narrow"/>
                <w:b/>
                <w:bCs/>
                <w:sz w:val="18"/>
                <w:szCs w:val="18"/>
              </w:rPr>
            </w:pPr>
            <w:r w:rsidRPr="000067C2">
              <w:rPr>
                <w:rFonts w:ascii="Arial Narrow" w:hAnsi="Arial Narrow"/>
                <w:b/>
                <w:bCs/>
                <w:sz w:val="18"/>
                <w:szCs w:val="18"/>
              </w:rPr>
              <w:t xml:space="preserve">Condition: </w:t>
            </w:r>
            <w:r w:rsidRPr="000067C2">
              <w:rPr>
                <w:rFonts w:ascii="Arial Narrow" w:hAnsi="Arial Narrow"/>
                <w:bCs/>
                <w:sz w:val="18"/>
                <w:szCs w:val="18"/>
              </w:rPr>
              <w:t>Ulcerative colitis</w:t>
            </w:r>
          </w:p>
        </w:tc>
      </w:tr>
      <w:tr w:rsidR="00D65CDD" w:rsidRPr="0062746A" w:rsidTr="00D65CDD">
        <w:tc>
          <w:tcPr>
            <w:tcW w:w="5000" w:type="pct"/>
            <w:vAlign w:val="center"/>
            <w:hideMark/>
          </w:tcPr>
          <w:p w:rsidR="00D65CDD" w:rsidRPr="000067C2" w:rsidRDefault="00D65CDD" w:rsidP="0043209E">
            <w:pPr>
              <w:rPr>
                <w:rFonts w:ascii="Arial Narrow" w:hAnsi="Arial Narrow"/>
                <w:sz w:val="18"/>
                <w:szCs w:val="18"/>
              </w:rPr>
            </w:pPr>
            <w:r w:rsidRPr="000067C2">
              <w:rPr>
                <w:rFonts w:ascii="Arial Narrow" w:hAnsi="Arial Narrow"/>
                <w:b/>
                <w:bCs/>
                <w:sz w:val="18"/>
                <w:szCs w:val="18"/>
              </w:rPr>
              <w:t>Indication:</w:t>
            </w:r>
            <w:r w:rsidRPr="000067C2">
              <w:rPr>
                <w:rFonts w:ascii="Arial Narrow" w:hAnsi="Arial Narrow"/>
                <w:sz w:val="18"/>
                <w:szCs w:val="18"/>
              </w:rPr>
              <w:t xml:space="preserve"> Moderate to severe ulcerative colitis</w:t>
            </w:r>
          </w:p>
        </w:tc>
      </w:tr>
      <w:tr w:rsidR="00D65CDD" w:rsidRPr="0062746A" w:rsidTr="00D65CDD">
        <w:tc>
          <w:tcPr>
            <w:tcW w:w="5000" w:type="pct"/>
            <w:vAlign w:val="center"/>
            <w:hideMark/>
          </w:tcPr>
          <w:p w:rsidR="00D65CDD" w:rsidRPr="000067C2" w:rsidRDefault="00D65CDD" w:rsidP="0043209E">
            <w:pPr>
              <w:rPr>
                <w:rFonts w:ascii="Arial Narrow" w:hAnsi="Arial Narrow"/>
                <w:sz w:val="18"/>
                <w:szCs w:val="18"/>
              </w:rPr>
            </w:pPr>
            <w:r w:rsidRPr="000067C2">
              <w:rPr>
                <w:rFonts w:ascii="Arial Narrow" w:hAnsi="Arial Narrow"/>
                <w:b/>
                <w:bCs/>
                <w:sz w:val="18"/>
                <w:szCs w:val="18"/>
              </w:rPr>
              <w:t>Treatment Phase:</w:t>
            </w:r>
            <w:r w:rsidRPr="000067C2">
              <w:rPr>
                <w:rFonts w:ascii="Arial Narrow" w:hAnsi="Arial Narrow"/>
                <w:sz w:val="18"/>
                <w:szCs w:val="18"/>
              </w:rPr>
              <w:t xml:space="preserve"> </w:t>
            </w:r>
            <w:r w:rsidRPr="000067C2">
              <w:rPr>
                <w:rFonts w:ascii="Arial Narrow" w:hAnsi="Arial Narrow"/>
                <w:b/>
                <w:i/>
                <w:sz w:val="18"/>
                <w:szCs w:val="18"/>
              </w:rPr>
              <w:t xml:space="preserve"> </w:t>
            </w:r>
            <w:r w:rsidRPr="000067C2">
              <w:rPr>
                <w:rFonts w:ascii="Arial Narrow" w:hAnsi="Arial Narrow"/>
                <w:b/>
                <w:sz w:val="18"/>
                <w:szCs w:val="18"/>
              </w:rPr>
              <w:t>Initial treatment or continuing treatment with subcutaneous form - Balance of supply</w:t>
            </w:r>
          </w:p>
        </w:tc>
      </w:tr>
      <w:tr w:rsidR="00D65CDD" w:rsidRPr="0062746A" w:rsidTr="00D65CDD">
        <w:tc>
          <w:tcPr>
            <w:tcW w:w="5000" w:type="pct"/>
            <w:vAlign w:val="center"/>
          </w:tcPr>
          <w:p w:rsidR="00D65CDD" w:rsidRPr="000067C2" w:rsidRDefault="00D65CDD" w:rsidP="0043209E">
            <w:pPr>
              <w:rPr>
                <w:rFonts w:ascii="Arial Narrow" w:hAnsi="Arial Narrow"/>
                <w:b/>
                <w:bCs/>
                <w:sz w:val="18"/>
                <w:szCs w:val="18"/>
              </w:rPr>
            </w:pPr>
            <w:r w:rsidRPr="000067C2">
              <w:rPr>
                <w:rFonts w:ascii="Arial Narrow" w:hAnsi="Arial Narrow"/>
                <w:b/>
                <w:bCs/>
                <w:sz w:val="18"/>
                <w:szCs w:val="18"/>
              </w:rPr>
              <w:t>Treatment criteria:</w:t>
            </w:r>
          </w:p>
        </w:tc>
      </w:tr>
      <w:tr w:rsidR="00D65CDD" w:rsidRPr="0062746A" w:rsidTr="00D65CDD">
        <w:tc>
          <w:tcPr>
            <w:tcW w:w="5000" w:type="pct"/>
            <w:vAlign w:val="center"/>
          </w:tcPr>
          <w:p w:rsidR="00D65CDD" w:rsidRPr="000067C2" w:rsidRDefault="00D65CDD" w:rsidP="0043209E">
            <w:pPr>
              <w:rPr>
                <w:rFonts w:ascii="Arial Narrow" w:hAnsi="Arial Narrow"/>
                <w:bCs/>
                <w:sz w:val="18"/>
                <w:szCs w:val="18"/>
              </w:rPr>
            </w:pPr>
            <w:r w:rsidRPr="000067C2">
              <w:rPr>
                <w:rFonts w:ascii="Arial Narrow" w:hAnsi="Arial Narrow"/>
                <w:bCs/>
                <w:sz w:val="18"/>
                <w:szCs w:val="18"/>
              </w:rPr>
              <w:t>Must be treated by a gastroenterologist; or</w:t>
            </w:r>
          </w:p>
        </w:tc>
      </w:tr>
      <w:tr w:rsidR="00D65CDD" w:rsidRPr="0062746A" w:rsidTr="00D65CDD">
        <w:tc>
          <w:tcPr>
            <w:tcW w:w="5000" w:type="pct"/>
            <w:vAlign w:val="center"/>
          </w:tcPr>
          <w:p w:rsidR="00D65CDD" w:rsidRPr="000067C2" w:rsidRDefault="00D65CDD" w:rsidP="0043209E">
            <w:pPr>
              <w:rPr>
                <w:rFonts w:ascii="Arial Narrow" w:hAnsi="Arial Narrow"/>
                <w:bCs/>
                <w:sz w:val="18"/>
                <w:szCs w:val="18"/>
              </w:rPr>
            </w:pPr>
            <w:r w:rsidRPr="000067C2">
              <w:rPr>
                <w:rFonts w:ascii="Arial Narrow" w:hAnsi="Arial Narrow"/>
                <w:bCs/>
                <w:sz w:val="18"/>
                <w:szCs w:val="18"/>
              </w:rPr>
              <w:t>Must be treated by a consultant physician [internal medicine specialising in gastroenterology]; or</w:t>
            </w:r>
          </w:p>
        </w:tc>
      </w:tr>
      <w:tr w:rsidR="00D65CDD" w:rsidRPr="0062746A" w:rsidTr="00D65CDD">
        <w:tc>
          <w:tcPr>
            <w:tcW w:w="5000" w:type="pct"/>
            <w:vAlign w:val="center"/>
          </w:tcPr>
          <w:p w:rsidR="00D65CDD" w:rsidRPr="000067C2" w:rsidRDefault="00D65CDD" w:rsidP="0043209E">
            <w:pPr>
              <w:rPr>
                <w:rFonts w:ascii="Arial Narrow" w:hAnsi="Arial Narrow"/>
                <w:bCs/>
                <w:sz w:val="18"/>
                <w:szCs w:val="18"/>
              </w:rPr>
            </w:pPr>
            <w:r w:rsidRPr="000067C2">
              <w:rPr>
                <w:rFonts w:ascii="Arial Narrow" w:hAnsi="Arial Narrow"/>
                <w:bCs/>
                <w:sz w:val="18"/>
                <w:szCs w:val="18"/>
              </w:rPr>
              <w:t>Must be treated by a consultant physician [general medicine specialising in gastroenterology]</w:t>
            </w:r>
          </w:p>
        </w:tc>
      </w:tr>
      <w:tr w:rsidR="00D65CDD" w:rsidRPr="0062746A" w:rsidTr="00D65CDD">
        <w:tc>
          <w:tcPr>
            <w:tcW w:w="5000" w:type="pct"/>
            <w:vAlign w:val="center"/>
          </w:tcPr>
          <w:p w:rsidR="00D65CDD" w:rsidRPr="000067C2" w:rsidRDefault="00D65CDD" w:rsidP="0043209E">
            <w:pPr>
              <w:rPr>
                <w:rFonts w:ascii="Arial Narrow" w:hAnsi="Arial Narrow"/>
                <w:b/>
                <w:bCs/>
                <w:sz w:val="18"/>
                <w:szCs w:val="18"/>
              </w:rPr>
            </w:pPr>
            <w:r w:rsidRPr="000067C2">
              <w:rPr>
                <w:rFonts w:ascii="Arial Narrow" w:hAnsi="Arial Narrow"/>
                <w:b/>
                <w:bCs/>
                <w:sz w:val="18"/>
                <w:szCs w:val="18"/>
              </w:rPr>
              <w:t>AND</w:t>
            </w:r>
          </w:p>
        </w:tc>
      </w:tr>
      <w:tr w:rsidR="00D65CDD" w:rsidRPr="0062746A" w:rsidTr="00D65CDD">
        <w:tc>
          <w:tcPr>
            <w:tcW w:w="5000" w:type="pct"/>
            <w:vAlign w:val="center"/>
            <w:hideMark/>
          </w:tcPr>
          <w:p w:rsidR="00D65CDD" w:rsidRPr="000067C2" w:rsidRDefault="00D65CDD" w:rsidP="0043209E">
            <w:pPr>
              <w:rPr>
                <w:rFonts w:ascii="Arial Narrow" w:hAnsi="Arial Narrow"/>
                <w:sz w:val="18"/>
                <w:szCs w:val="18"/>
              </w:rPr>
            </w:pPr>
            <w:r w:rsidRPr="000067C2">
              <w:rPr>
                <w:rFonts w:ascii="Arial Narrow" w:hAnsi="Arial Narrow"/>
                <w:b/>
                <w:bCs/>
                <w:sz w:val="18"/>
                <w:szCs w:val="18"/>
              </w:rPr>
              <w:t>Clinical criteria:</w:t>
            </w:r>
          </w:p>
        </w:tc>
      </w:tr>
      <w:tr w:rsidR="00D65CDD" w:rsidRPr="0062746A" w:rsidTr="00D65CDD">
        <w:tc>
          <w:tcPr>
            <w:tcW w:w="5000" w:type="pct"/>
            <w:hideMark/>
          </w:tcPr>
          <w:p w:rsidR="00D65CDD" w:rsidRPr="000067C2" w:rsidRDefault="00D65CDD" w:rsidP="0043209E">
            <w:pPr>
              <w:pStyle w:val="CommentText"/>
              <w:rPr>
                <w:rFonts w:ascii="Arial Narrow" w:hAnsi="Arial Narrow"/>
                <w:sz w:val="18"/>
                <w:szCs w:val="18"/>
              </w:rPr>
            </w:pPr>
            <w:r w:rsidRPr="000067C2">
              <w:rPr>
                <w:rFonts w:ascii="Arial Narrow" w:hAnsi="Arial Narrow"/>
                <w:sz w:val="18"/>
                <w:szCs w:val="18"/>
              </w:rPr>
              <w:t>Patient must have received insufficient therapy with this drug under the Initial treatment with subcutaneous form to complete 14 to 16 weeks treatment; OR</w:t>
            </w:r>
          </w:p>
        </w:tc>
      </w:tr>
      <w:tr w:rsidR="00D65CDD" w:rsidRPr="0062746A" w:rsidTr="00D65CDD">
        <w:tc>
          <w:tcPr>
            <w:tcW w:w="5000" w:type="pct"/>
          </w:tcPr>
          <w:p w:rsidR="00D65CDD" w:rsidRPr="000067C2" w:rsidRDefault="00D65CDD" w:rsidP="0043209E">
            <w:pPr>
              <w:pStyle w:val="CommentText"/>
              <w:rPr>
                <w:rFonts w:ascii="Arial Narrow" w:hAnsi="Arial Narrow"/>
                <w:sz w:val="18"/>
                <w:szCs w:val="18"/>
              </w:rPr>
            </w:pPr>
            <w:r w:rsidRPr="000067C2">
              <w:rPr>
                <w:rFonts w:ascii="Arial Narrow" w:hAnsi="Arial Narrow"/>
                <w:b/>
                <w:bCs/>
                <w:sz w:val="18"/>
                <w:szCs w:val="18"/>
              </w:rPr>
              <w:t>Clinical criteria:</w:t>
            </w:r>
          </w:p>
        </w:tc>
      </w:tr>
      <w:tr w:rsidR="00D65CDD" w:rsidRPr="0062746A" w:rsidTr="00D65CDD">
        <w:tc>
          <w:tcPr>
            <w:tcW w:w="5000" w:type="pct"/>
          </w:tcPr>
          <w:p w:rsidR="00D65CDD" w:rsidRPr="000067C2" w:rsidRDefault="00D65CDD" w:rsidP="0043209E">
            <w:pPr>
              <w:pStyle w:val="CommentText"/>
              <w:rPr>
                <w:rFonts w:ascii="Arial Narrow" w:hAnsi="Arial Narrow"/>
                <w:sz w:val="18"/>
                <w:szCs w:val="18"/>
              </w:rPr>
            </w:pPr>
            <w:r w:rsidRPr="000067C2">
              <w:rPr>
                <w:rFonts w:ascii="Arial Narrow" w:hAnsi="Arial Narrow"/>
                <w:sz w:val="18"/>
                <w:szCs w:val="18"/>
              </w:rPr>
              <w:t xml:space="preserve">Patient must have received insufficient therapy with this drug under the Continuing treatment to complete 24 weeks of treatment; </w:t>
            </w:r>
          </w:p>
        </w:tc>
      </w:tr>
      <w:tr w:rsidR="00D65CDD" w:rsidRPr="0062746A" w:rsidTr="00D65CDD">
        <w:tc>
          <w:tcPr>
            <w:tcW w:w="5000" w:type="pct"/>
          </w:tcPr>
          <w:p w:rsidR="00D65CDD" w:rsidRPr="000067C2" w:rsidRDefault="00D65CDD" w:rsidP="0043209E">
            <w:pPr>
              <w:pStyle w:val="CommentText"/>
              <w:rPr>
                <w:rFonts w:ascii="Arial Narrow" w:hAnsi="Arial Narrow"/>
                <w:b/>
                <w:sz w:val="18"/>
                <w:szCs w:val="18"/>
              </w:rPr>
            </w:pPr>
            <w:r w:rsidRPr="000067C2">
              <w:rPr>
                <w:rFonts w:ascii="Arial Narrow" w:hAnsi="Arial Narrow"/>
                <w:b/>
                <w:sz w:val="18"/>
                <w:szCs w:val="18"/>
              </w:rPr>
              <w:t>AND</w:t>
            </w:r>
          </w:p>
        </w:tc>
      </w:tr>
      <w:tr w:rsidR="00D65CDD" w:rsidRPr="0062746A" w:rsidTr="00D65CDD">
        <w:tc>
          <w:tcPr>
            <w:tcW w:w="5000" w:type="pct"/>
          </w:tcPr>
          <w:p w:rsidR="00D65CDD" w:rsidRPr="000067C2" w:rsidRDefault="00D65CDD" w:rsidP="0043209E">
            <w:pPr>
              <w:pStyle w:val="CommentText"/>
              <w:rPr>
                <w:rFonts w:ascii="Arial Narrow" w:hAnsi="Arial Narrow"/>
                <w:sz w:val="18"/>
                <w:szCs w:val="18"/>
              </w:rPr>
            </w:pPr>
            <w:r w:rsidRPr="000067C2">
              <w:rPr>
                <w:rFonts w:ascii="Arial Narrow" w:hAnsi="Arial Narrow"/>
                <w:b/>
                <w:bCs/>
                <w:sz w:val="18"/>
                <w:szCs w:val="18"/>
              </w:rPr>
              <w:t>Clinical criteria:</w:t>
            </w:r>
          </w:p>
        </w:tc>
      </w:tr>
      <w:tr w:rsidR="00D65CDD" w:rsidRPr="00C337E5" w:rsidTr="00D65CDD">
        <w:tc>
          <w:tcPr>
            <w:tcW w:w="5000" w:type="pct"/>
          </w:tcPr>
          <w:p w:rsidR="00D65CDD" w:rsidRPr="000067C2" w:rsidRDefault="00D65CDD" w:rsidP="0043209E">
            <w:pPr>
              <w:pStyle w:val="CommentText"/>
              <w:rPr>
                <w:rFonts w:ascii="Arial Narrow" w:hAnsi="Arial Narrow"/>
                <w:sz w:val="18"/>
                <w:szCs w:val="18"/>
              </w:rPr>
            </w:pPr>
            <w:r w:rsidRPr="000067C2">
              <w:rPr>
                <w:rFonts w:ascii="Arial Narrow" w:hAnsi="Arial Narrow"/>
                <w:sz w:val="18"/>
                <w:szCs w:val="18"/>
              </w:rPr>
              <w:t>The treatment must provide no more than the balance of doses up to 14 to 16 weeks therapy available under Initial treatment – subcutaneous form; OR</w:t>
            </w:r>
          </w:p>
        </w:tc>
      </w:tr>
      <w:tr w:rsidR="00D65CDD" w:rsidRPr="0062746A" w:rsidTr="00D65CDD">
        <w:tc>
          <w:tcPr>
            <w:tcW w:w="5000" w:type="pct"/>
          </w:tcPr>
          <w:p w:rsidR="00D65CDD" w:rsidRPr="000067C2" w:rsidRDefault="00D65CDD" w:rsidP="0043209E">
            <w:pPr>
              <w:pStyle w:val="CommentText"/>
              <w:rPr>
                <w:rFonts w:ascii="Arial Narrow" w:hAnsi="Arial Narrow"/>
                <w:b/>
                <w:sz w:val="18"/>
                <w:szCs w:val="18"/>
              </w:rPr>
            </w:pPr>
            <w:r w:rsidRPr="000067C2">
              <w:rPr>
                <w:rFonts w:ascii="Arial Narrow" w:hAnsi="Arial Narrow"/>
                <w:b/>
                <w:sz w:val="18"/>
                <w:szCs w:val="18"/>
              </w:rPr>
              <w:t>Clinical criteria:</w:t>
            </w:r>
          </w:p>
        </w:tc>
      </w:tr>
      <w:tr w:rsidR="00D65CDD" w:rsidRPr="00C337E5" w:rsidTr="00D65CDD">
        <w:tc>
          <w:tcPr>
            <w:tcW w:w="5000" w:type="pct"/>
          </w:tcPr>
          <w:p w:rsidR="00D65CDD" w:rsidRPr="000067C2" w:rsidRDefault="00D65CDD" w:rsidP="0043209E">
            <w:pPr>
              <w:pStyle w:val="CommentText"/>
              <w:rPr>
                <w:rFonts w:ascii="Arial Narrow" w:hAnsi="Arial Narrow"/>
                <w:sz w:val="18"/>
                <w:szCs w:val="18"/>
              </w:rPr>
            </w:pPr>
            <w:r w:rsidRPr="000067C2">
              <w:rPr>
                <w:rFonts w:ascii="Arial Narrow" w:hAnsi="Arial Narrow"/>
                <w:sz w:val="18"/>
                <w:szCs w:val="18"/>
              </w:rPr>
              <w:t>The treatment must provide no more than the balance of up to 24 weeks therapy available under Continuing treatment – subcutaneous form</w:t>
            </w:r>
          </w:p>
        </w:tc>
      </w:tr>
      <w:tr w:rsidR="00D65CDD" w:rsidRPr="0062746A" w:rsidTr="00D65CDD">
        <w:tc>
          <w:tcPr>
            <w:tcW w:w="5000" w:type="pct"/>
            <w:vAlign w:val="center"/>
            <w:hideMark/>
          </w:tcPr>
          <w:p w:rsidR="00D65CDD" w:rsidRPr="000067C2" w:rsidRDefault="00D65CDD" w:rsidP="0043209E">
            <w:pPr>
              <w:rPr>
                <w:rFonts w:ascii="Arial Narrow" w:hAnsi="Arial Narrow"/>
                <w:sz w:val="18"/>
                <w:szCs w:val="18"/>
              </w:rPr>
            </w:pPr>
            <w:r w:rsidRPr="000067C2">
              <w:rPr>
                <w:rFonts w:ascii="Arial Narrow" w:hAnsi="Arial Narrow"/>
                <w:b/>
                <w:bCs/>
                <w:sz w:val="18"/>
                <w:szCs w:val="18"/>
              </w:rPr>
              <w:t>AND</w:t>
            </w:r>
          </w:p>
        </w:tc>
      </w:tr>
      <w:tr w:rsidR="00D65CDD" w:rsidRPr="0062746A" w:rsidTr="00D65CDD">
        <w:tc>
          <w:tcPr>
            <w:tcW w:w="5000" w:type="pct"/>
            <w:vAlign w:val="center"/>
            <w:hideMark/>
          </w:tcPr>
          <w:p w:rsidR="00D65CDD" w:rsidRPr="000067C2" w:rsidRDefault="00D65CDD" w:rsidP="0043209E">
            <w:pPr>
              <w:rPr>
                <w:rFonts w:ascii="Arial Narrow" w:hAnsi="Arial Narrow"/>
                <w:sz w:val="18"/>
                <w:szCs w:val="18"/>
              </w:rPr>
            </w:pPr>
            <w:r w:rsidRPr="000067C2">
              <w:rPr>
                <w:rFonts w:ascii="Arial Narrow" w:hAnsi="Arial Narrow"/>
                <w:b/>
                <w:bCs/>
                <w:sz w:val="18"/>
                <w:szCs w:val="18"/>
              </w:rPr>
              <w:t>Population criteria:</w:t>
            </w:r>
          </w:p>
        </w:tc>
      </w:tr>
      <w:tr w:rsidR="00D65CDD" w:rsidRPr="0062746A" w:rsidTr="00D65CDD">
        <w:tc>
          <w:tcPr>
            <w:tcW w:w="5000" w:type="pct"/>
            <w:vAlign w:val="center"/>
            <w:hideMark/>
          </w:tcPr>
          <w:p w:rsidR="00D65CDD" w:rsidRPr="000067C2" w:rsidRDefault="00D65CDD" w:rsidP="0043209E">
            <w:pPr>
              <w:rPr>
                <w:rFonts w:ascii="Arial Narrow" w:hAnsi="Arial Narrow"/>
                <w:sz w:val="18"/>
                <w:szCs w:val="18"/>
              </w:rPr>
            </w:pPr>
            <w:r w:rsidRPr="000067C2">
              <w:rPr>
                <w:rFonts w:ascii="Arial Narrow" w:hAnsi="Arial Narrow"/>
                <w:sz w:val="18"/>
                <w:szCs w:val="18"/>
              </w:rPr>
              <w:t>Patient must be aged 18 years or older.</w:t>
            </w:r>
          </w:p>
        </w:tc>
      </w:tr>
      <w:tr w:rsidR="00D65CDD" w:rsidRPr="0062746A" w:rsidTr="00D65CDD">
        <w:tc>
          <w:tcPr>
            <w:tcW w:w="5000" w:type="pct"/>
            <w:tcBorders>
              <w:bottom w:val="single" w:sz="4" w:space="0" w:color="auto"/>
            </w:tcBorders>
            <w:vAlign w:val="center"/>
          </w:tcPr>
          <w:p w:rsidR="00D65CDD" w:rsidRPr="000067C2" w:rsidRDefault="00D65CDD" w:rsidP="0043209E">
            <w:pPr>
              <w:rPr>
                <w:rFonts w:ascii="Arial Narrow" w:hAnsi="Arial Narrow"/>
                <w:sz w:val="18"/>
                <w:szCs w:val="18"/>
              </w:rPr>
            </w:pPr>
            <w:r w:rsidRPr="000067C2">
              <w:rPr>
                <w:rFonts w:ascii="Arial Narrow" w:hAnsi="Arial Narrow"/>
                <w:b/>
                <w:bCs/>
                <w:sz w:val="18"/>
                <w:szCs w:val="18"/>
              </w:rPr>
              <w:t>Prescribing Instructions:</w:t>
            </w:r>
          </w:p>
        </w:tc>
      </w:tr>
      <w:tr w:rsidR="00D65CDD" w:rsidRPr="0062746A" w:rsidTr="00D65CD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c>
          <w:tcPr>
            <w:tcW w:w="5000" w:type="pct"/>
            <w:tcBorders>
              <w:top w:val="single" w:sz="4" w:space="0" w:color="auto"/>
              <w:left w:val="single" w:sz="4" w:space="0" w:color="auto"/>
              <w:bottom w:val="single" w:sz="4" w:space="0" w:color="auto"/>
              <w:right w:val="single" w:sz="4" w:space="0" w:color="auto"/>
            </w:tcBorders>
            <w:vAlign w:val="center"/>
          </w:tcPr>
          <w:p w:rsidR="00D65CDD" w:rsidRPr="000067C2" w:rsidRDefault="00D65CDD" w:rsidP="0043209E">
            <w:pPr>
              <w:ind w:hanging="103"/>
              <w:rPr>
                <w:rFonts w:ascii="Arial Narrow" w:hAnsi="Arial Narrow"/>
                <w:b/>
                <w:sz w:val="18"/>
                <w:szCs w:val="18"/>
              </w:rPr>
            </w:pPr>
            <w:r w:rsidRPr="000067C2">
              <w:rPr>
                <w:rFonts w:ascii="Arial Narrow" w:hAnsi="Arial Narrow"/>
                <w:b/>
                <w:bCs/>
                <w:sz w:val="18"/>
                <w:szCs w:val="18"/>
              </w:rPr>
              <w:t>Administrative Advice:</w:t>
            </w:r>
            <w:r w:rsidRPr="000067C2">
              <w:rPr>
                <w:rFonts w:ascii="Arial Narrow" w:hAnsi="Arial Narrow"/>
                <w:sz w:val="18"/>
                <w:szCs w:val="18"/>
              </w:rPr>
              <w:t xml:space="preserve"> No increase in the maximum quantity or number of units may be authorised.</w:t>
            </w:r>
          </w:p>
        </w:tc>
      </w:tr>
      <w:tr w:rsidR="00D65CDD" w:rsidRPr="00F84F11" w:rsidTr="00D65CDD">
        <w:trPr>
          <w:trHeight w:val="723"/>
        </w:trPr>
        <w:tc>
          <w:tcPr>
            <w:tcW w:w="5000" w:type="pct"/>
            <w:tcBorders>
              <w:top w:val="single" w:sz="4" w:space="0" w:color="auto"/>
            </w:tcBorders>
            <w:vAlign w:val="center"/>
            <w:hideMark/>
          </w:tcPr>
          <w:p w:rsidR="00D65CDD" w:rsidRPr="000067C2" w:rsidRDefault="00D65CDD" w:rsidP="0043209E">
            <w:pPr>
              <w:jc w:val="left"/>
              <w:rPr>
                <w:rFonts w:ascii="Arial Narrow" w:hAnsi="Arial Narrow"/>
                <w:b/>
                <w:sz w:val="18"/>
                <w:szCs w:val="18"/>
              </w:rPr>
            </w:pPr>
            <w:r w:rsidRPr="000067C2">
              <w:rPr>
                <w:rFonts w:ascii="Arial Narrow" w:hAnsi="Arial Narrow"/>
                <w:b/>
                <w:sz w:val="18"/>
                <w:szCs w:val="18"/>
              </w:rPr>
              <w:t>Administrative Advice:</w:t>
            </w:r>
          </w:p>
          <w:p w:rsidR="00D65CDD" w:rsidRPr="000067C2" w:rsidRDefault="00D65CDD" w:rsidP="0043209E">
            <w:pPr>
              <w:jc w:val="left"/>
              <w:rPr>
                <w:rFonts w:ascii="Arial Narrow" w:hAnsi="Arial Narrow"/>
                <w:sz w:val="18"/>
                <w:szCs w:val="18"/>
              </w:rPr>
            </w:pPr>
            <w:r w:rsidRPr="000067C2">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0664C1" w:rsidRPr="002C04F8" w:rsidRDefault="000664C1" w:rsidP="0062746A">
      <w:pPr>
        <w:rPr>
          <w:b/>
          <w:sz w:val="20"/>
          <w:szCs w:val="20"/>
        </w:rPr>
      </w:pPr>
    </w:p>
    <w:p w:rsidR="00D65CDD" w:rsidRDefault="00D65CDD" w:rsidP="0062746A">
      <w:pPr>
        <w:rPr>
          <w:rFonts w:ascii="Arial Narrow" w:hAnsi="Arial Narrow"/>
          <w:b/>
          <w:sz w:val="18"/>
          <w:szCs w:val="18"/>
        </w:rPr>
      </w:pPr>
    </w:p>
    <w:p w:rsidR="00B663D0" w:rsidRDefault="00B663D0">
      <w:pPr>
        <w:jc w:val="left"/>
        <w:rPr>
          <w:rFonts w:ascii="Arial Narrow" w:hAnsi="Arial Narrow"/>
          <w:b/>
          <w:sz w:val="18"/>
          <w:szCs w:val="18"/>
        </w:rPr>
      </w:pPr>
      <w:r>
        <w:rPr>
          <w:rFonts w:ascii="Arial Narrow" w:hAnsi="Arial Narrow"/>
          <w:b/>
          <w:sz w:val="18"/>
          <w:szCs w:val="18"/>
        </w:rPr>
        <w:br w:type="page"/>
      </w:r>
    </w:p>
    <w:p w:rsidR="0062746A" w:rsidRPr="004E025C" w:rsidRDefault="0062746A" w:rsidP="0062746A">
      <w:pPr>
        <w:rPr>
          <w:rFonts w:ascii="Arial Narrow" w:hAnsi="Arial Narrow"/>
          <w:b/>
          <w:sz w:val="18"/>
          <w:szCs w:val="18"/>
        </w:rPr>
      </w:pPr>
      <w:bookmarkStart w:id="39" w:name="_GoBack"/>
      <w:bookmarkEnd w:id="39"/>
      <w:r w:rsidRPr="004E025C">
        <w:rPr>
          <w:rFonts w:ascii="Arial Narrow" w:hAnsi="Arial Narrow"/>
          <w:b/>
          <w:sz w:val="18"/>
          <w:szCs w:val="18"/>
        </w:rPr>
        <w:t>Severe Crohn’s disease</w:t>
      </w:r>
    </w:p>
    <w:p w:rsidR="0062746A" w:rsidRPr="00477E70" w:rsidRDefault="0062746A" w:rsidP="0062746A">
      <w:pPr>
        <w:rPr>
          <w:rFonts w:ascii="Arial Narrow" w:hAnsi="Arial Narrow"/>
          <w:b/>
          <w:sz w:val="18"/>
          <w:szCs w:val="18"/>
        </w:rPr>
      </w:pPr>
      <w:r w:rsidRPr="00477E70">
        <w:rPr>
          <w:rFonts w:ascii="Arial Narrow" w:hAnsi="Arial Narrow"/>
          <w:b/>
          <w:sz w:val="18"/>
          <w:szCs w:val="18"/>
        </w:rPr>
        <w:t>NEW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859"/>
        <w:gridCol w:w="716"/>
        <w:gridCol w:w="716"/>
        <w:gridCol w:w="716"/>
        <w:gridCol w:w="858"/>
        <w:gridCol w:w="1432"/>
      </w:tblGrid>
      <w:tr w:rsidR="0062746A" w:rsidRPr="004E025C" w:rsidTr="00D02B13">
        <w:trPr>
          <w:cantSplit/>
          <w:trHeight w:val="471"/>
        </w:trPr>
        <w:tc>
          <w:tcPr>
            <w:tcW w:w="2062" w:type="pct"/>
          </w:tcPr>
          <w:p w:rsidR="0062746A" w:rsidRPr="004E025C" w:rsidRDefault="0062746A" w:rsidP="00D02B13">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Name, Restriction,</w:t>
            </w:r>
          </w:p>
          <w:p w:rsidR="0062746A" w:rsidRPr="004E025C" w:rsidRDefault="0062746A" w:rsidP="00D02B13">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Manner of administration and form</w:t>
            </w:r>
          </w:p>
        </w:tc>
        <w:tc>
          <w:tcPr>
            <w:tcW w:w="476"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PBS item code</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packs</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units</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№.of</w:t>
            </w:r>
          </w:p>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Rpts</w:t>
            </w:r>
          </w:p>
        </w:tc>
        <w:tc>
          <w:tcPr>
            <w:tcW w:w="1270" w:type="pct"/>
            <w:gridSpan w:val="2"/>
          </w:tcPr>
          <w:p w:rsidR="0062746A" w:rsidRPr="004E025C" w:rsidRDefault="0062746A" w:rsidP="00D02B13">
            <w:pPr>
              <w:keepNext/>
              <w:rPr>
                <w:rFonts w:ascii="Arial Narrow" w:hAnsi="Arial Narrow"/>
                <w:b/>
                <w:color w:val="000000" w:themeColor="text1"/>
                <w:sz w:val="18"/>
                <w:szCs w:val="18"/>
              </w:rPr>
            </w:pPr>
            <w:r w:rsidRPr="004E025C">
              <w:rPr>
                <w:rFonts w:ascii="Arial Narrow" w:hAnsi="Arial Narrow"/>
                <w:b/>
                <w:color w:val="000000" w:themeColor="text1"/>
                <w:sz w:val="18"/>
                <w:szCs w:val="18"/>
              </w:rPr>
              <w:t>Proprietary Name and Manufacturer</w:t>
            </w:r>
          </w:p>
        </w:tc>
      </w:tr>
      <w:tr w:rsidR="0062746A" w:rsidRPr="00C8305F" w:rsidTr="00D02B13">
        <w:trPr>
          <w:cantSplit/>
          <w:trHeight w:val="346"/>
        </w:trPr>
        <w:tc>
          <w:tcPr>
            <w:tcW w:w="2062" w:type="pct"/>
          </w:tcPr>
          <w:p w:rsidR="0062746A" w:rsidRPr="00C8305F" w:rsidRDefault="0062746A" w:rsidP="00D02B13">
            <w:pPr>
              <w:keepNext/>
              <w:ind w:left="-108"/>
              <w:rPr>
                <w:rFonts w:ascii="Arial Narrow" w:hAnsi="Arial Narrow"/>
                <w:sz w:val="18"/>
                <w:szCs w:val="18"/>
              </w:rPr>
            </w:pPr>
            <w:r w:rsidRPr="00C8305F">
              <w:rPr>
                <w:rFonts w:ascii="Arial Narrow" w:hAnsi="Arial Narrow" w:cstheme="minorHAnsi"/>
                <w:sz w:val="18"/>
                <w:szCs w:val="18"/>
              </w:rPr>
              <w:t>VEDOLIZUMAB 108 mg/0.68 mL injection, 2 x 0.68 mL syringes</w:t>
            </w:r>
          </w:p>
          <w:p w:rsidR="0062746A" w:rsidRPr="00C8305F" w:rsidRDefault="0062746A" w:rsidP="00D02B13">
            <w:pPr>
              <w:keepNext/>
              <w:ind w:left="-108"/>
              <w:rPr>
                <w:rFonts w:ascii="Arial Narrow" w:hAnsi="Arial Narrow"/>
                <w:color w:val="000000" w:themeColor="text1"/>
                <w:sz w:val="18"/>
                <w:szCs w:val="18"/>
              </w:rPr>
            </w:pPr>
          </w:p>
        </w:tc>
        <w:tc>
          <w:tcPr>
            <w:tcW w:w="476" w:type="pct"/>
          </w:tcPr>
          <w:p w:rsidR="0062746A" w:rsidRPr="00C8305F" w:rsidRDefault="0062746A" w:rsidP="00D02B13">
            <w:pPr>
              <w:keepNext/>
              <w:ind w:left="-108"/>
              <w:jc w:val="center"/>
              <w:rPr>
                <w:rFonts w:ascii="Arial Narrow" w:hAnsi="Arial Narrow"/>
                <w:sz w:val="18"/>
                <w:szCs w:val="18"/>
              </w:rPr>
            </w:pPr>
            <w:r w:rsidRPr="00C8305F">
              <w:rPr>
                <w:rFonts w:ascii="Arial Narrow" w:hAnsi="Arial Narrow"/>
                <w:sz w:val="18"/>
                <w:szCs w:val="18"/>
              </w:rPr>
              <w:t>NEW</w:t>
            </w:r>
          </w:p>
          <w:p w:rsidR="0062746A" w:rsidRPr="00C8305F" w:rsidRDefault="0062746A" w:rsidP="00D02B13">
            <w:pPr>
              <w:keepNext/>
              <w:ind w:left="-108"/>
              <w:jc w:val="center"/>
              <w:rPr>
                <w:rFonts w:ascii="Arial Narrow" w:hAnsi="Arial Narrow"/>
                <w:color w:val="000000" w:themeColor="text1"/>
                <w:sz w:val="18"/>
                <w:szCs w:val="18"/>
              </w:rPr>
            </w:pPr>
            <w:r w:rsidRPr="00C8305F">
              <w:rPr>
                <w:rFonts w:ascii="Arial Narrow" w:hAnsi="Arial Narrow"/>
                <w:sz w:val="18"/>
                <w:szCs w:val="18"/>
              </w:rPr>
              <w:t>NEW</w:t>
            </w:r>
          </w:p>
        </w:tc>
        <w:tc>
          <w:tcPr>
            <w:tcW w:w="397" w:type="pct"/>
          </w:tcPr>
          <w:p w:rsidR="0062746A" w:rsidRPr="00C8305F" w:rsidRDefault="0062746A" w:rsidP="00D02B13">
            <w:pPr>
              <w:keepNext/>
              <w:jc w:val="center"/>
              <w:rPr>
                <w:rFonts w:ascii="Arial Narrow" w:hAnsi="Arial Narrow"/>
                <w:color w:val="000000" w:themeColor="text1"/>
                <w:sz w:val="18"/>
                <w:szCs w:val="18"/>
              </w:rPr>
            </w:pPr>
            <w:r w:rsidRPr="00C8305F">
              <w:rPr>
                <w:rFonts w:ascii="Arial Narrow" w:hAnsi="Arial Narrow"/>
                <w:color w:val="000000" w:themeColor="text1"/>
                <w:sz w:val="18"/>
                <w:szCs w:val="18"/>
              </w:rPr>
              <w:t>1</w:t>
            </w:r>
          </w:p>
        </w:tc>
        <w:tc>
          <w:tcPr>
            <w:tcW w:w="397" w:type="pct"/>
          </w:tcPr>
          <w:p w:rsidR="0062746A" w:rsidRPr="00C8305F" w:rsidRDefault="0062746A" w:rsidP="00D02B13">
            <w:pPr>
              <w:keepNext/>
              <w:ind w:left="-108"/>
              <w:jc w:val="center"/>
              <w:rPr>
                <w:rFonts w:ascii="Arial Narrow" w:hAnsi="Arial Narrow"/>
                <w:color w:val="000000" w:themeColor="text1"/>
                <w:sz w:val="18"/>
                <w:szCs w:val="18"/>
              </w:rPr>
            </w:pPr>
            <w:r w:rsidRPr="00C8305F">
              <w:rPr>
                <w:rFonts w:ascii="Arial Narrow" w:hAnsi="Arial Narrow"/>
                <w:sz w:val="18"/>
                <w:szCs w:val="18"/>
              </w:rPr>
              <w:t>2</w:t>
            </w:r>
          </w:p>
        </w:tc>
        <w:tc>
          <w:tcPr>
            <w:tcW w:w="397" w:type="pct"/>
          </w:tcPr>
          <w:p w:rsidR="008737BC" w:rsidRPr="00C8305F" w:rsidRDefault="008737BC" w:rsidP="008737BC">
            <w:pPr>
              <w:keepNext/>
              <w:ind w:left="-108"/>
              <w:jc w:val="center"/>
              <w:rPr>
                <w:rFonts w:ascii="Arial Narrow" w:hAnsi="Arial Narrow"/>
                <w:sz w:val="18"/>
                <w:szCs w:val="18"/>
              </w:rPr>
            </w:pPr>
            <w:r w:rsidRPr="00C8305F">
              <w:rPr>
                <w:rFonts w:ascii="Arial Narrow" w:hAnsi="Arial Narrow"/>
                <w:sz w:val="18"/>
                <w:szCs w:val="18"/>
              </w:rPr>
              <w:t>0</w:t>
            </w:r>
          </w:p>
          <w:p w:rsidR="0062746A" w:rsidRPr="00C8305F" w:rsidRDefault="0062746A" w:rsidP="00D02B13">
            <w:pPr>
              <w:keepNext/>
              <w:rPr>
                <w:rFonts w:ascii="Arial Narrow" w:hAnsi="Arial Narrow"/>
                <w:color w:val="000000" w:themeColor="text1"/>
                <w:sz w:val="18"/>
                <w:szCs w:val="18"/>
              </w:rPr>
            </w:pPr>
          </w:p>
        </w:tc>
        <w:tc>
          <w:tcPr>
            <w:tcW w:w="476" w:type="pct"/>
          </w:tcPr>
          <w:p w:rsidR="0062746A" w:rsidRPr="00C8305F" w:rsidRDefault="0062746A" w:rsidP="00D02B13">
            <w:pPr>
              <w:keepNext/>
              <w:rPr>
                <w:rFonts w:ascii="Arial Narrow" w:hAnsi="Arial Narrow"/>
                <w:color w:val="000000" w:themeColor="text1"/>
                <w:sz w:val="18"/>
                <w:szCs w:val="18"/>
              </w:rPr>
            </w:pPr>
            <w:r w:rsidRPr="00C8305F">
              <w:rPr>
                <w:rFonts w:ascii="Arial Narrow" w:hAnsi="Arial Narrow"/>
                <w:sz w:val="18"/>
                <w:szCs w:val="18"/>
              </w:rPr>
              <w:t>Entyvio</w:t>
            </w:r>
            <w:r w:rsidRPr="00C8305F">
              <w:rPr>
                <w:rFonts w:ascii="Arial Narrow" w:hAnsi="Arial Narrow"/>
                <w:sz w:val="18"/>
                <w:szCs w:val="18"/>
                <w:vertAlign w:val="superscript"/>
              </w:rPr>
              <w:t>®</w:t>
            </w:r>
          </w:p>
          <w:p w:rsidR="0062746A" w:rsidRPr="00C8305F" w:rsidRDefault="0062746A" w:rsidP="00D02B13">
            <w:pPr>
              <w:rPr>
                <w:rFonts w:ascii="Arial Narrow" w:hAnsi="Arial Narrow"/>
                <w:sz w:val="18"/>
                <w:szCs w:val="18"/>
              </w:rPr>
            </w:pPr>
          </w:p>
        </w:tc>
        <w:tc>
          <w:tcPr>
            <w:tcW w:w="794" w:type="pct"/>
          </w:tcPr>
          <w:p w:rsidR="0062746A" w:rsidRPr="00C8305F" w:rsidRDefault="0062746A" w:rsidP="00D02B13">
            <w:pPr>
              <w:keepNext/>
              <w:rPr>
                <w:rFonts w:ascii="Arial Narrow" w:hAnsi="Arial Narrow"/>
                <w:color w:val="000000" w:themeColor="text1"/>
                <w:sz w:val="18"/>
                <w:szCs w:val="18"/>
              </w:rPr>
            </w:pPr>
            <w:r w:rsidRPr="00C8305F">
              <w:rPr>
                <w:rFonts w:ascii="Arial Narrow" w:hAnsi="Arial Narrow"/>
                <w:sz w:val="18"/>
                <w:szCs w:val="18"/>
              </w:rPr>
              <w:t>Takeda Pharmaceuticals Australia Pty Ltd</w:t>
            </w:r>
          </w:p>
        </w:tc>
      </w:tr>
      <w:tr w:rsidR="0062746A" w:rsidRPr="00C8305F" w:rsidTr="00D02B13">
        <w:trPr>
          <w:cantSplit/>
          <w:trHeight w:val="346"/>
        </w:trPr>
        <w:tc>
          <w:tcPr>
            <w:tcW w:w="2062" w:type="pct"/>
          </w:tcPr>
          <w:p w:rsidR="0062746A" w:rsidRPr="00C8305F" w:rsidRDefault="0062746A" w:rsidP="00D02B13">
            <w:pPr>
              <w:keepNext/>
              <w:ind w:left="-108"/>
              <w:rPr>
                <w:rFonts w:ascii="Arial Narrow" w:hAnsi="Arial Narrow" w:cstheme="minorHAnsi"/>
                <w:sz w:val="18"/>
                <w:szCs w:val="18"/>
              </w:rPr>
            </w:pPr>
            <w:r w:rsidRPr="00C8305F">
              <w:rPr>
                <w:rFonts w:ascii="Arial Narrow" w:hAnsi="Arial Narrow" w:cstheme="minorHAnsi"/>
                <w:sz w:val="18"/>
                <w:szCs w:val="18"/>
              </w:rPr>
              <w:t>VEDOLIZUMAB 108 mg/0.68 mL injection, 2 x 0.68 mL pen devices</w:t>
            </w:r>
          </w:p>
        </w:tc>
        <w:tc>
          <w:tcPr>
            <w:tcW w:w="476" w:type="pct"/>
          </w:tcPr>
          <w:p w:rsidR="0062746A" w:rsidRPr="00C8305F" w:rsidRDefault="0062746A" w:rsidP="00D02B13">
            <w:pPr>
              <w:keepNext/>
              <w:ind w:left="-108"/>
              <w:jc w:val="center"/>
              <w:rPr>
                <w:rFonts w:ascii="Arial Narrow" w:hAnsi="Arial Narrow"/>
                <w:sz w:val="18"/>
                <w:szCs w:val="18"/>
              </w:rPr>
            </w:pPr>
            <w:r w:rsidRPr="00C8305F">
              <w:rPr>
                <w:rFonts w:ascii="Arial Narrow" w:hAnsi="Arial Narrow"/>
                <w:sz w:val="18"/>
                <w:szCs w:val="18"/>
              </w:rPr>
              <w:t>NEW</w:t>
            </w:r>
          </w:p>
          <w:p w:rsidR="0062746A" w:rsidRPr="00C8305F" w:rsidRDefault="0062746A" w:rsidP="00D02B13">
            <w:pPr>
              <w:keepNext/>
              <w:ind w:left="-108"/>
              <w:jc w:val="center"/>
              <w:rPr>
                <w:rFonts w:ascii="Arial Narrow" w:hAnsi="Arial Narrow"/>
                <w:sz w:val="18"/>
                <w:szCs w:val="18"/>
              </w:rPr>
            </w:pPr>
            <w:r w:rsidRPr="00C8305F">
              <w:rPr>
                <w:rFonts w:ascii="Arial Narrow" w:hAnsi="Arial Narrow"/>
                <w:sz w:val="18"/>
                <w:szCs w:val="18"/>
              </w:rPr>
              <w:t>NEW</w:t>
            </w:r>
          </w:p>
        </w:tc>
        <w:tc>
          <w:tcPr>
            <w:tcW w:w="397" w:type="pct"/>
          </w:tcPr>
          <w:p w:rsidR="0062746A" w:rsidRPr="00C8305F" w:rsidRDefault="0062746A" w:rsidP="00D02B13">
            <w:pPr>
              <w:keepNext/>
              <w:jc w:val="center"/>
              <w:rPr>
                <w:rFonts w:ascii="Arial Narrow" w:hAnsi="Arial Narrow"/>
                <w:color w:val="000000" w:themeColor="text1"/>
                <w:sz w:val="18"/>
                <w:szCs w:val="18"/>
              </w:rPr>
            </w:pPr>
            <w:r w:rsidRPr="00C8305F">
              <w:rPr>
                <w:rFonts w:ascii="Arial Narrow" w:hAnsi="Arial Narrow"/>
                <w:color w:val="000000" w:themeColor="text1"/>
                <w:sz w:val="18"/>
                <w:szCs w:val="18"/>
              </w:rPr>
              <w:t>1</w:t>
            </w:r>
          </w:p>
        </w:tc>
        <w:tc>
          <w:tcPr>
            <w:tcW w:w="397" w:type="pct"/>
          </w:tcPr>
          <w:p w:rsidR="0062746A" w:rsidRPr="00C8305F" w:rsidRDefault="0062746A" w:rsidP="00D02B13">
            <w:pPr>
              <w:keepNext/>
              <w:ind w:left="-108"/>
              <w:jc w:val="center"/>
              <w:rPr>
                <w:rFonts w:ascii="Arial Narrow" w:hAnsi="Arial Narrow"/>
                <w:sz w:val="18"/>
                <w:szCs w:val="18"/>
              </w:rPr>
            </w:pPr>
            <w:r w:rsidRPr="00C8305F">
              <w:rPr>
                <w:rFonts w:ascii="Arial Narrow" w:hAnsi="Arial Narrow"/>
                <w:sz w:val="18"/>
                <w:szCs w:val="18"/>
              </w:rPr>
              <w:t>2</w:t>
            </w:r>
          </w:p>
        </w:tc>
        <w:tc>
          <w:tcPr>
            <w:tcW w:w="397" w:type="pct"/>
          </w:tcPr>
          <w:p w:rsidR="008737BC" w:rsidRPr="00C8305F" w:rsidRDefault="008737BC" w:rsidP="008737BC">
            <w:pPr>
              <w:keepNext/>
              <w:ind w:left="-108"/>
              <w:jc w:val="center"/>
              <w:rPr>
                <w:rFonts w:ascii="Arial Narrow" w:hAnsi="Arial Narrow"/>
                <w:sz w:val="18"/>
                <w:szCs w:val="18"/>
              </w:rPr>
            </w:pPr>
            <w:r w:rsidRPr="00C8305F">
              <w:rPr>
                <w:rFonts w:ascii="Arial Narrow" w:hAnsi="Arial Narrow"/>
                <w:sz w:val="18"/>
                <w:szCs w:val="18"/>
              </w:rPr>
              <w:t>0</w:t>
            </w:r>
          </w:p>
          <w:p w:rsidR="0062746A" w:rsidRPr="00C8305F" w:rsidRDefault="0062746A" w:rsidP="00D02B13">
            <w:pPr>
              <w:keepNext/>
              <w:ind w:left="-108"/>
              <w:jc w:val="center"/>
              <w:rPr>
                <w:rFonts w:ascii="Arial Narrow" w:hAnsi="Arial Narrow"/>
                <w:sz w:val="18"/>
                <w:szCs w:val="18"/>
              </w:rPr>
            </w:pPr>
          </w:p>
        </w:tc>
        <w:tc>
          <w:tcPr>
            <w:tcW w:w="476" w:type="pct"/>
          </w:tcPr>
          <w:p w:rsidR="0062746A" w:rsidRPr="00C8305F" w:rsidRDefault="0062746A" w:rsidP="00D02B13">
            <w:pPr>
              <w:keepNext/>
              <w:rPr>
                <w:rFonts w:ascii="Arial Narrow" w:hAnsi="Arial Narrow"/>
                <w:sz w:val="18"/>
                <w:szCs w:val="18"/>
              </w:rPr>
            </w:pPr>
            <w:r w:rsidRPr="00C8305F">
              <w:rPr>
                <w:rFonts w:ascii="Arial Narrow" w:hAnsi="Arial Narrow"/>
                <w:sz w:val="18"/>
                <w:szCs w:val="18"/>
              </w:rPr>
              <w:t>Entyvio</w:t>
            </w:r>
            <w:r w:rsidRPr="00C8305F">
              <w:rPr>
                <w:rFonts w:ascii="Arial Narrow" w:hAnsi="Arial Narrow"/>
                <w:sz w:val="18"/>
                <w:szCs w:val="18"/>
                <w:vertAlign w:val="superscript"/>
              </w:rPr>
              <w:t xml:space="preserve"> ®</w:t>
            </w:r>
          </w:p>
        </w:tc>
        <w:tc>
          <w:tcPr>
            <w:tcW w:w="794" w:type="pct"/>
          </w:tcPr>
          <w:p w:rsidR="0062746A" w:rsidRPr="00C8305F" w:rsidRDefault="0062746A" w:rsidP="00D02B13">
            <w:pPr>
              <w:keepNext/>
              <w:rPr>
                <w:rFonts w:ascii="Arial Narrow" w:hAnsi="Arial Narrow"/>
                <w:sz w:val="18"/>
                <w:szCs w:val="18"/>
              </w:rPr>
            </w:pPr>
            <w:r w:rsidRPr="00C8305F">
              <w:rPr>
                <w:rFonts w:ascii="Arial Narrow" w:hAnsi="Arial Narrow"/>
                <w:sz w:val="18"/>
                <w:szCs w:val="18"/>
              </w:rPr>
              <w:t>Takeda Pharmaceuticals Australia Pty Ltd</w:t>
            </w:r>
          </w:p>
        </w:tc>
      </w:tr>
    </w:tbl>
    <w:p w:rsidR="0062746A" w:rsidRPr="004E025C" w:rsidRDefault="0062746A" w:rsidP="0062746A">
      <w:pPr>
        <w:rPr>
          <w:rFonts w:ascii="Arial Narrow" w:hAnsi="Arial Narrow"/>
          <w:sz w:val="18"/>
          <w:szCs w:val="18"/>
        </w:rPr>
      </w:pPr>
    </w:p>
    <w:tbl>
      <w:tblPr>
        <w:tblW w:w="5000" w:type="pct"/>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17"/>
      </w:tblGrid>
      <w:tr w:rsidR="00D65CDD" w:rsidRPr="00770199" w:rsidTr="00D65CDD">
        <w:tc>
          <w:tcPr>
            <w:tcW w:w="5000" w:type="pct"/>
            <w:tcBorders>
              <w:top w:val="single" w:sz="4" w:space="0" w:color="000000"/>
              <w:bottom w:val="single" w:sz="4" w:space="0" w:color="000000"/>
            </w:tcBorders>
          </w:tcPr>
          <w:p w:rsidR="00D65CDD" w:rsidRPr="00770199" w:rsidRDefault="00D65CDD" w:rsidP="00D02B13">
            <w:pPr>
              <w:rPr>
                <w:rFonts w:ascii="Arial Narrow" w:hAnsi="Arial Narrow"/>
                <w:sz w:val="18"/>
                <w:szCs w:val="18"/>
              </w:rPr>
            </w:pPr>
            <w:r w:rsidRPr="00770199">
              <w:rPr>
                <w:rFonts w:ascii="Arial Narrow" w:hAnsi="Arial Narrow"/>
                <w:sz w:val="18"/>
                <w:szCs w:val="18"/>
              </w:rPr>
              <w:t>Category / Program: GENERAL – General Schedule (Code GE)</w:t>
            </w:r>
          </w:p>
        </w:tc>
      </w:tr>
      <w:tr w:rsidR="00D65CDD" w:rsidRPr="00770199" w:rsidTr="00D65CDD">
        <w:tc>
          <w:tcPr>
            <w:tcW w:w="5000" w:type="pct"/>
            <w:tcBorders>
              <w:top w:val="single" w:sz="4" w:space="0" w:color="000000"/>
            </w:tcBorders>
          </w:tcPr>
          <w:p w:rsidR="00D65CDD" w:rsidRPr="00770199" w:rsidRDefault="00D65CDD" w:rsidP="00D02B13">
            <w:pPr>
              <w:rPr>
                <w:rFonts w:ascii="Arial Narrow" w:hAnsi="Arial Narrow"/>
                <w:sz w:val="18"/>
                <w:szCs w:val="18"/>
              </w:rPr>
            </w:pPr>
            <w:r w:rsidRPr="00770199">
              <w:rPr>
                <w:rFonts w:ascii="Arial Narrow" w:hAnsi="Arial Narrow"/>
                <w:sz w:val="18"/>
                <w:szCs w:val="18"/>
              </w:rPr>
              <w:t>Prescriber Type(s): Medical Practitioners</w:t>
            </w:r>
          </w:p>
        </w:tc>
      </w:tr>
      <w:tr w:rsidR="00D65CDD" w:rsidRPr="00770199" w:rsidTr="00D65CDD">
        <w:tc>
          <w:tcPr>
            <w:tcW w:w="5000" w:type="pct"/>
          </w:tcPr>
          <w:p w:rsidR="00D65CDD" w:rsidRPr="00770199" w:rsidRDefault="00D65CDD" w:rsidP="00D02B13">
            <w:pPr>
              <w:rPr>
                <w:rFonts w:ascii="Arial Narrow" w:hAnsi="Arial Narrow"/>
                <w:sz w:val="18"/>
                <w:szCs w:val="18"/>
              </w:rPr>
            </w:pPr>
            <w:r w:rsidRPr="00770199">
              <w:rPr>
                <w:rFonts w:ascii="Arial Narrow" w:hAnsi="Arial Narrow"/>
                <w:sz w:val="18"/>
                <w:szCs w:val="18"/>
              </w:rPr>
              <w:t xml:space="preserve">PBS Indication: Severe Crohn disease </w:t>
            </w:r>
          </w:p>
        </w:tc>
      </w:tr>
      <w:tr w:rsidR="00D65CDD" w:rsidRPr="00770199" w:rsidTr="00D65CDD">
        <w:tc>
          <w:tcPr>
            <w:tcW w:w="5000" w:type="pct"/>
          </w:tcPr>
          <w:p w:rsidR="00D65CDD" w:rsidRPr="00770199" w:rsidRDefault="00D65CDD" w:rsidP="00D02B13">
            <w:pPr>
              <w:rPr>
                <w:rFonts w:ascii="Arial Narrow" w:hAnsi="Arial Narrow"/>
                <w:sz w:val="18"/>
                <w:szCs w:val="18"/>
              </w:rPr>
            </w:pPr>
            <w:r w:rsidRPr="00770199">
              <w:rPr>
                <w:rFonts w:ascii="Arial Narrow" w:hAnsi="Arial Narrow"/>
                <w:sz w:val="18"/>
                <w:szCs w:val="18"/>
              </w:rPr>
              <w:t xml:space="preserve">Treatment phase : </w:t>
            </w:r>
            <w:r w:rsidRPr="00770199">
              <w:rPr>
                <w:rFonts w:ascii="Arial Narrow" w:hAnsi="Arial Narrow"/>
                <w:b/>
                <w:sz w:val="18"/>
                <w:szCs w:val="18"/>
              </w:rPr>
              <w:t>Initial treatment with subcutaneous form</w:t>
            </w:r>
          </w:p>
        </w:tc>
      </w:tr>
      <w:tr w:rsidR="00D65CDD" w:rsidRPr="00770199" w:rsidTr="00D65CDD">
        <w:tc>
          <w:tcPr>
            <w:tcW w:w="5000" w:type="pct"/>
          </w:tcPr>
          <w:p w:rsidR="00D65CDD" w:rsidRPr="00770199" w:rsidRDefault="00D65CDD" w:rsidP="00D02B13">
            <w:pPr>
              <w:rPr>
                <w:rFonts w:ascii="Arial Narrow" w:hAnsi="Arial Narrow"/>
                <w:sz w:val="18"/>
                <w:szCs w:val="18"/>
              </w:rPr>
            </w:pPr>
            <w:r w:rsidRPr="00770199">
              <w:rPr>
                <w:rFonts w:ascii="Arial Narrow" w:hAnsi="Arial Narrow"/>
                <w:sz w:val="18"/>
                <w:szCs w:val="18"/>
              </w:rPr>
              <w:t>Restriction Type: Authority required -</w:t>
            </w:r>
            <w:r w:rsidRPr="00770199">
              <w:rPr>
                <w:sz w:val="18"/>
                <w:szCs w:val="18"/>
              </w:rPr>
              <w:t xml:space="preserve"> </w:t>
            </w:r>
            <w:r w:rsidRPr="00770199">
              <w:rPr>
                <w:rFonts w:ascii="Arial Narrow" w:hAnsi="Arial Narrow"/>
                <w:bCs/>
                <w:sz w:val="18"/>
                <w:szCs w:val="18"/>
              </w:rPr>
              <w:t>non-immediate/delayed assessment by Services Australia (in-writing only via mail/postal service or electronic upload to Hobart)</w:t>
            </w:r>
          </w:p>
        </w:tc>
      </w:tr>
      <w:tr w:rsidR="00D65CDD" w:rsidRPr="00770199" w:rsidTr="00D65CDD">
        <w:tc>
          <w:tcPr>
            <w:tcW w:w="5000" w:type="pct"/>
          </w:tcPr>
          <w:p w:rsidR="00D65CDD" w:rsidRPr="00770199" w:rsidRDefault="00D65CDD" w:rsidP="00D02B13">
            <w:pPr>
              <w:rPr>
                <w:rFonts w:ascii="Arial Narrow" w:hAnsi="Arial Narrow"/>
                <w:sz w:val="18"/>
                <w:szCs w:val="18"/>
              </w:rPr>
            </w:pPr>
            <w:r w:rsidRPr="00770199">
              <w:rPr>
                <w:rFonts w:ascii="Arial Narrow" w:hAnsi="Arial Narrow"/>
                <w:b/>
                <w:sz w:val="18"/>
                <w:szCs w:val="18"/>
              </w:rPr>
              <w:t>Treatment criteria</w:t>
            </w:r>
          </w:p>
          <w:p w:rsidR="00D65CDD" w:rsidRPr="00770199" w:rsidRDefault="00D65CDD" w:rsidP="00D02B13">
            <w:pPr>
              <w:rPr>
                <w:rFonts w:ascii="Arial Narrow" w:hAnsi="Arial Narrow"/>
                <w:sz w:val="18"/>
                <w:szCs w:val="18"/>
              </w:rPr>
            </w:pPr>
            <w:r w:rsidRPr="00770199">
              <w:rPr>
                <w:rFonts w:ascii="Arial Narrow" w:hAnsi="Arial Narrow"/>
                <w:sz w:val="18"/>
                <w:szCs w:val="18"/>
              </w:rPr>
              <w:t>Must be treated by a gastroenterologist (code 87); or</w:t>
            </w:r>
          </w:p>
          <w:p w:rsidR="00D65CDD" w:rsidRPr="00770199" w:rsidRDefault="00D65CDD" w:rsidP="00D02B13">
            <w:pPr>
              <w:rPr>
                <w:rFonts w:ascii="Arial Narrow" w:hAnsi="Arial Narrow"/>
                <w:sz w:val="18"/>
                <w:szCs w:val="18"/>
              </w:rPr>
            </w:pPr>
            <w:r w:rsidRPr="00770199">
              <w:rPr>
                <w:rFonts w:ascii="Arial Narrow" w:hAnsi="Arial Narrow"/>
                <w:sz w:val="18"/>
                <w:szCs w:val="18"/>
              </w:rPr>
              <w:t>Must be treated by a consultant physician [internal medicine specialising in gastroenterology (code 81)]; or</w:t>
            </w:r>
          </w:p>
          <w:p w:rsidR="00D65CDD" w:rsidRPr="00770199" w:rsidRDefault="00D65CDD" w:rsidP="00D02B13">
            <w:pPr>
              <w:rPr>
                <w:rFonts w:ascii="Arial Narrow" w:hAnsi="Arial Narrow"/>
                <w:sz w:val="18"/>
                <w:szCs w:val="18"/>
              </w:rPr>
            </w:pPr>
            <w:r w:rsidRPr="00770199">
              <w:rPr>
                <w:rFonts w:ascii="Arial Narrow" w:hAnsi="Arial Narrow"/>
                <w:sz w:val="18"/>
                <w:szCs w:val="18"/>
              </w:rPr>
              <w:t>Must be treated by a consultant physician [general medicine specialising in gastroenterology (code 82)]</w:t>
            </w:r>
          </w:p>
          <w:p w:rsidR="00D65CDD" w:rsidRPr="00770199" w:rsidRDefault="00D65CDD" w:rsidP="00D02B13">
            <w:pPr>
              <w:rPr>
                <w:rFonts w:ascii="Arial Narrow" w:hAnsi="Arial Narrow"/>
                <w:sz w:val="18"/>
                <w:szCs w:val="18"/>
              </w:rPr>
            </w:pPr>
          </w:p>
        </w:tc>
      </w:tr>
      <w:tr w:rsidR="00D65CDD" w:rsidRPr="00770199" w:rsidTr="00D65CDD">
        <w:tc>
          <w:tcPr>
            <w:tcW w:w="5000" w:type="pct"/>
          </w:tcPr>
          <w:p w:rsidR="00D65CDD" w:rsidRPr="00770199" w:rsidRDefault="00D65CDD" w:rsidP="008737BC">
            <w:pPr>
              <w:rPr>
                <w:rFonts w:ascii="Arial Narrow" w:hAnsi="Arial Narrow"/>
                <w:b/>
                <w:sz w:val="18"/>
                <w:szCs w:val="18"/>
              </w:rPr>
            </w:pPr>
            <w:r w:rsidRPr="00770199">
              <w:rPr>
                <w:rFonts w:ascii="Arial Narrow" w:hAnsi="Arial Narrow"/>
                <w:b/>
                <w:sz w:val="18"/>
                <w:szCs w:val="18"/>
              </w:rPr>
              <w:t>Clinical criteria:</w:t>
            </w:r>
          </w:p>
        </w:tc>
      </w:tr>
      <w:tr w:rsidR="00D65CDD" w:rsidRPr="00770199" w:rsidTr="00D65CDD">
        <w:tc>
          <w:tcPr>
            <w:tcW w:w="5000" w:type="pct"/>
          </w:tcPr>
          <w:p w:rsidR="00D65CDD" w:rsidRPr="00770199" w:rsidRDefault="00D65CDD" w:rsidP="008737BC">
            <w:pPr>
              <w:rPr>
                <w:rFonts w:ascii="Arial Narrow" w:hAnsi="Arial Narrow"/>
                <w:sz w:val="18"/>
                <w:szCs w:val="18"/>
              </w:rPr>
            </w:pPr>
            <w:r w:rsidRPr="00770199">
              <w:rPr>
                <w:rFonts w:ascii="Arial Narrow" w:hAnsi="Arial Narrow"/>
                <w:sz w:val="18"/>
                <w:szCs w:val="18"/>
              </w:rPr>
              <w:t>Patient must have received at least 2 of the 3 initial intravenous infusions with this drug for this condition at weeks 0, 2 and 3 under Initial 1 (new patient); OR</w:t>
            </w:r>
          </w:p>
        </w:tc>
      </w:tr>
      <w:tr w:rsidR="00D65CDD" w:rsidRPr="00770199" w:rsidTr="00D65CDD">
        <w:tc>
          <w:tcPr>
            <w:tcW w:w="5000" w:type="pct"/>
          </w:tcPr>
          <w:p w:rsidR="00D65CDD" w:rsidRPr="00770199" w:rsidRDefault="00D65CDD" w:rsidP="008737BC">
            <w:pPr>
              <w:rPr>
                <w:rFonts w:ascii="Arial Narrow" w:hAnsi="Arial Narrow"/>
                <w:b/>
                <w:sz w:val="18"/>
                <w:szCs w:val="18"/>
              </w:rPr>
            </w:pPr>
            <w:r w:rsidRPr="00770199">
              <w:rPr>
                <w:rFonts w:ascii="Arial Narrow" w:hAnsi="Arial Narrow"/>
                <w:b/>
                <w:sz w:val="18"/>
                <w:szCs w:val="18"/>
              </w:rPr>
              <w:t>Clinical criteria:</w:t>
            </w:r>
          </w:p>
        </w:tc>
      </w:tr>
      <w:tr w:rsidR="00D65CDD" w:rsidRPr="00770199" w:rsidTr="00D65CDD">
        <w:tc>
          <w:tcPr>
            <w:tcW w:w="5000" w:type="pct"/>
          </w:tcPr>
          <w:p w:rsidR="00D65CDD" w:rsidRPr="00770199" w:rsidRDefault="00D65CDD" w:rsidP="008737BC">
            <w:pPr>
              <w:rPr>
                <w:rFonts w:ascii="Arial Narrow" w:hAnsi="Arial Narrow"/>
                <w:sz w:val="18"/>
                <w:szCs w:val="18"/>
              </w:rPr>
            </w:pPr>
            <w:r w:rsidRPr="00770199">
              <w:rPr>
                <w:rFonts w:ascii="Arial Narrow" w:hAnsi="Arial Narrow"/>
                <w:sz w:val="18"/>
                <w:szCs w:val="18"/>
              </w:rPr>
              <w:t>Patient must have received at least 2 of the 3 initial intravenous infusions with this drug for this condition at weeks 0, 2 and 3 under Initial 2 (change or re-commencement of treatment after a break in biological medicine of less than 24 months); OR</w:t>
            </w:r>
          </w:p>
        </w:tc>
      </w:tr>
      <w:tr w:rsidR="00D65CDD" w:rsidRPr="00770199" w:rsidTr="00D65CDD">
        <w:tc>
          <w:tcPr>
            <w:tcW w:w="5000" w:type="pct"/>
            <w:tcBorders>
              <w:bottom w:val="single" w:sz="4" w:space="0" w:color="000000"/>
            </w:tcBorders>
          </w:tcPr>
          <w:p w:rsidR="00D65CDD" w:rsidRPr="00716F76" w:rsidRDefault="00D65CDD" w:rsidP="008737BC">
            <w:pPr>
              <w:rPr>
                <w:rFonts w:ascii="Arial Narrow" w:hAnsi="Arial Narrow"/>
                <w:b/>
                <w:sz w:val="18"/>
                <w:szCs w:val="18"/>
              </w:rPr>
            </w:pPr>
            <w:r w:rsidRPr="00716F76">
              <w:rPr>
                <w:rFonts w:ascii="Arial Narrow" w:hAnsi="Arial Narrow"/>
                <w:b/>
                <w:sz w:val="18"/>
                <w:szCs w:val="18"/>
              </w:rPr>
              <w:t>Clinical criteria:</w:t>
            </w:r>
          </w:p>
        </w:tc>
      </w:tr>
      <w:tr w:rsidR="00D65CDD" w:rsidRPr="00770199" w:rsidTr="00D65CDD">
        <w:tc>
          <w:tcPr>
            <w:tcW w:w="5000" w:type="pct"/>
            <w:tcBorders>
              <w:top w:val="single" w:sz="4" w:space="0" w:color="000000"/>
              <w:bottom w:val="single" w:sz="4" w:space="0" w:color="000000"/>
            </w:tcBorders>
          </w:tcPr>
          <w:p w:rsidR="00D65CDD" w:rsidRPr="00770199" w:rsidRDefault="00D65CDD" w:rsidP="008737BC">
            <w:pPr>
              <w:rPr>
                <w:rFonts w:ascii="Arial Narrow" w:hAnsi="Arial Narrow"/>
                <w:sz w:val="18"/>
                <w:szCs w:val="18"/>
              </w:rPr>
            </w:pPr>
            <w:r w:rsidRPr="00770199">
              <w:rPr>
                <w:rFonts w:ascii="Arial Narrow" w:hAnsi="Arial Narrow"/>
                <w:sz w:val="18"/>
                <w:szCs w:val="18"/>
              </w:rPr>
              <w:t xml:space="preserve">Patient must have received at least 2 of the 3 initial intravenous infusions with this drug for this condition at weeks 0, 2 and 3 under Initial 3 (recommencement of treatment after a break in biological medicine of more than 5 years); </w:t>
            </w:r>
          </w:p>
        </w:tc>
      </w:tr>
      <w:tr w:rsidR="00D65CDD" w:rsidRPr="00770199" w:rsidTr="00D65CDD">
        <w:tc>
          <w:tcPr>
            <w:tcW w:w="5000" w:type="pct"/>
            <w:tcBorders>
              <w:top w:val="single" w:sz="4" w:space="0" w:color="000000"/>
            </w:tcBorders>
          </w:tcPr>
          <w:p w:rsidR="00D65CDD" w:rsidRPr="00770199" w:rsidRDefault="00D65CDD" w:rsidP="008737BC">
            <w:pPr>
              <w:rPr>
                <w:rFonts w:ascii="Arial Narrow" w:hAnsi="Arial Narrow"/>
                <w:sz w:val="18"/>
                <w:szCs w:val="18"/>
              </w:rPr>
            </w:pPr>
            <w:r w:rsidRPr="00770199">
              <w:rPr>
                <w:rFonts w:ascii="Arial Narrow" w:hAnsi="Arial Narrow"/>
                <w:sz w:val="18"/>
                <w:szCs w:val="18"/>
              </w:rPr>
              <w:t>AND</w:t>
            </w:r>
          </w:p>
        </w:tc>
      </w:tr>
      <w:tr w:rsidR="00D65CDD" w:rsidRPr="00770199" w:rsidTr="00D65CDD">
        <w:tc>
          <w:tcPr>
            <w:tcW w:w="5000" w:type="pct"/>
          </w:tcPr>
          <w:p w:rsidR="00D65CDD" w:rsidRPr="00770199" w:rsidRDefault="00D65CDD" w:rsidP="008737BC">
            <w:pPr>
              <w:rPr>
                <w:rFonts w:ascii="Arial Narrow" w:hAnsi="Arial Narrow"/>
                <w:b/>
                <w:sz w:val="18"/>
                <w:szCs w:val="18"/>
              </w:rPr>
            </w:pPr>
            <w:r w:rsidRPr="00770199">
              <w:rPr>
                <w:rFonts w:ascii="Arial Narrow" w:hAnsi="Arial Narrow"/>
                <w:b/>
                <w:sz w:val="18"/>
                <w:szCs w:val="18"/>
              </w:rPr>
              <w:t>Population criteria:</w:t>
            </w:r>
          </w:p>
        </w:tc>
      </w:tr>
      <w:tr w:rsidR="00D65CDD" w:rsidRPr="00770199" w:rsidTr="00D65CDD">
        <w:tc>
          <w:tcPr>
            <w:tcW w:w="5000" w:type="pct"/>
          </w:tcPr>
          <w:p w:rsidR="00D65CDD" w:rsidRPr="00770199" w:rsidRDefault="00D65CDD" w:rsidP="008737BC">
            <w:pPr>
              <w:rPr>
                <w:rFonts w:ascii="Arial Narrow" w:hAnsi="Arial Narrow"/>
                <w:sz w:val="18"/>
                <w:szCs w:val="18"/>
              </w:rPr>
            </w:pPr>
            <w:r w:rsidRPr="00770199">
              <w:rPr>
                <w:rFonts w:ascii="Arial Narrow" w:hAnsi="Arial Narrow"/>
                <w:sz w:val="18"/>
                <w:szCs w:val="18"/>
              </w:rPr>
              <w:t>Patient must be aged 18 years or older</w:t>
            </w:r>
          </w:p>
        </w:tc>
      </w:tr>
      <w:tr w:rsidR="00D65CDD" w:rsidRPr="00770199" w:rsidTr="00D65CDD">
        <w:tc>
          <w:tcPr>
            <w:tcW w:w="5000" w:type="pct"/>
          </w:tcPr>
          <w:p w:rsidR="00D65CDD" w:rsidRPr="00770199" w:rsidRDefault="00D65CDD" w:rsidP="008737BC">
            <w:pPr>
              <w:rPr>
                <w:rFonts w:ascii="Arial Narrow" w:hAnsi="Arial Narrow"/>
                <w:sz w:val="18"/>
                <w:szCs w:val="18"/>
              </w:rPr>
            </w:pPr>
            <w:r w:rsidRPr="00770199">
              <w:rPr>
                <w:rFonts w:ascii="Arial Narrow" w:hAnsi="Arial Narrow"/>
                <w:sz w:val="18"/>
                <w:szCs w:val="18"/>
              </w:rPr>
              <w:t>AND</w:t>
            </w:r>
          </w:p>
        </w:tc>
      </w:tr>
      <w:tr w:rsidR="00D65CDD" w:rsidRPr="00770199" w:rsidTr="00D65CDD">
        <w:tc>
          <w:tcPr>
            <w:tcW w:w="5000" w:type="pct"/>
          </w:tcPr>
          <w:p w:rsidR="00D65CDD" w:rsidRPr="00770199" w:rsidRDefault="00D65CDD" w:rsidP="008737BC">
            <w:pPr>
              <w:rPr>
                <w:rFonts w:ascii="Arial Narrow" w:hAnsi="Arial Narrow"/>
                <w:b/>
                <w:sz w:val="18"/>
                <w:szCs w:val="18"/>
              </w:rPr>
            </w:pPr>
            <w:r w:rsidRPr="00770199">
              <w:rPr>
                <w:rFonts w:ascii="Arial Narrow" w:hAnsi="Arial Narrow"/>
                <w:b/>
                <w:sz w:val="18"/>
                <w:szCs w:val="18"/>
              </w:rPr>
              <w:t>Clinical criteria:</w:t>
            </w:r>
          </w:p>
        </w:tc>
      </w:tr>
      <w:tr w:rsidR="00D65CDD" w:rsidRPr="00770199" w:rsidTr="00D65CDD">
        <w:tc>
          <w:tcPr>
            <w:tcW w:w="5000" w:type="pct"/>
          </w:tcPr>
          <w:p w:rsidR="00D65CDD" w:rsidRPr="00770199" w:rsidRDefault="00D65CDD" w:rsidP="008737BC">
            <w:pPr>
              <w:rPr>
                <w:rFonts w:ascii="Arial Narrow" w:hAnsi="Arial Narrow"/>
                <w:sz w:val="18"/>
                <w:szCs w:val="18"/>
              </w:rPr>
            </w:pPr>
            <w:r w:rsidRPr="00770199">
              <w:rPr>
                <w:rFonts w:ascii="Arial Narrow" w:hAnsi="Arial Narrow"/>
                <w:sz w:val="18"/>
                <w:szCs w:val="18"/>
              </w:rPr>
              <w:t>Patient must be appropriately assessed for the risk of developing progressive multifocal leukoencephalopathy whilst on this treatment</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b/>
                <w:sz w:val="18"/>
                <w:szCs w:val="18"/>
              </w:rPr>
            </w:pPr>
            <w:r w:rsidRPr="00770199">
              <w:rPr>
                <w:rFonts w:ascii="Arial Narrow" w:hAnsi="Arial Narrow"/>
                <w:b/>
                <w:sz w:val="18"/>
                <w:szCs w:val="18"/>
              </w:rPr>
              <w:t>Prescribing Instructions:</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sz w:val="18"/>
                <w:szCs w:val="18"/>
              </w:rPr>
            </w:pPr>
            <w:r w:rsidRPr="00770199">
              <w:rPr>
                <w:rFonts w:ascii="Arial Narrow" w:hAnsi="Arial Narrow"/>
                <w:sz w:val="18"/>
                <w:szCs w:val="18"/>
              </w:rPr>
              <w:t>Applications for authorisation must be made in writing and must include:</w:t>
            </w:r>
          </w:p>
          <w:p w:rsidR="00D65CDD" w:rsidRPr="00770199" w:rsidRDefault="00D65CDD" w:rsidP="00410378">
            <w:pPr>
              <w:rPr>
                <w:rFonts w:ascii="Arial Narrow" w:hAnsi="Arial Narrow"/>
                <w:sz w:val="18"/>
                <w:szCs w:val="18"/>
              </w:rPr>
            </w:pPr>
            <w:r w:rsidRPr="00770199">
              <w:rPr>
                <w:rFonts w:ascii="Arial Narrow" w:hAnsi="Arial Narrow"/>
                <w:sz w:val="18"/>
                <w:szCs w:val="18"/>
              </w:rPr>
              <w:t>(a) a completed authority prescription form; and</w:t>
            </w:r>
          </w:p>
          <w:p w:rsidR="00D65CDD" w:rsidRPr="00770199" w:rsidRDefault="00D65CDD" w:rsidP="00410378">
            <w:pPr>
              <w:rPr>
                <w:rFonts w:ascii="Arial Narrow" w:hAnsi="Arial Narrow"/>
                <w:b/>
                <w:sz w:val="18"/>
                <w:szCs w:val="18"/>
              </w:rPr>
            </w:pPr>
            <w:r w:rsidRPr="00770199">
              <w:rPr>
                <w:rFonts w:ascii="Arial Narrow" w:hAnsi="Arial Narrow"/>
                <w:sz w:val="18"/>
                <w:szCs w:val="18"/>
              </w:rPr>
              <w:t>(b) a completed Crohn Di</w:t>
            </w:r>
            <w:r>
              <w:rPr>
                <w:rFonts w:ascii="Arial Narrow" w:hAnsi="Arial Narrow"/>
                <w:sz w:val="18"/>
                <w:szCs w:val="18"/>
              </w:rPr>
              <w:t>sease PBS Authority Application</w:t>
            </w:r>
            <w:r w:rsidRPr="00770199">
              <w:rPr>
                <w:rFonts w:ascii="Arial Narrow" w:hAnsi="Arial Narrow"/>
                <w:sz w:val="18"/>
                <w:szCs w:val="18"/>
              </w:rPr>
              <w:t xml:space="preserve"> Form </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sz w:val="18"/>
                <w:szCs w:val="18"/>
              </w:rPr>
            </w:pPr>
            <w:r w:rsidRPr="00770199">
              <w:rPr>
                <w:rFonts w:ascii="Arial Narrow" w:hAnsi="Arial Narrow"/>
                <w:b/>
                <w:sz w:val="18"/>
                <w:szCs w:val="18"/>
              </w:rPr>
              <w:t>Prescribing Instructions:</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sz w:val="18"/>
                <w:szCs w:val="18"/>
              </w:rPr>
            </w:pPr>
            <w:r w:rsidRPr="00770199">
              <w:rPr>
                <w:rFonts w:ascii="Arial Narrow" w:hAnsi="Arial Narrow"/>
                <w:sz w:val="18"/>
                <w:szCs w:val="18"/>
              </w:rPr>
              <w:t>Where two initial doses of vedolizumab (at weeks 0 and 2) is administered via intravenous infusion, initial treatment with subcutaneous form will commence at week 6. A maximum quantity and number of repeats to provide for weeks 6, 8, 10, 12, 14 and 16 will be authorised.</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b/>
                <w:sz w:val="18"/>
                <w:szCs w:val="18"/>
              </w:rPr>
            </w:pPr>
            <w:r w:rsidRPr="00770199">
              <w:rPr>
                <w:rFonts w:ascii="Arial Narrow" w:hAnsi="Arial Narrow"/>
                <w:b/>
                <w:sz w:val="18"/>
                <w:szCs w:val="18"/>
              </w:rPr>
              <w:t>Prescribing Instructions:</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sz w:val="18"/>
                <w:szCs w:val="18"/>
              </w:rPr>
            </w:pPr>
            <w:r w:rsidRPr="00770199">
              <w:rPr>
                <w:rFonts w:ascii="Arial Narrow" w:hAnsi="Arial Narrow"/>
                <w:sz w:val="18"/>
                <w:szCs w:val="18"/>
              </w:rPr>
              <w:t>Where three initial doses of vedolizumab (at weeks 0, 2 and 6) is administered via intravenous infusion, initial treatment with subcutaneous form will commence at week 14 (8 weeks after the third dose). A maximum quantity to provide for weeks 14 and 16 will be authorised.</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i/>
                <w:sz w:val="18"/>
                <w:szCs w:val="18"/>
              </w:rPr>
            </w:pPr>
            <w:r w:rsidRPr="00770199">
              <w:rPr>
                <w:rFonts w:ascii="Arial Narrow" w:hAnsi="Arial Narrow"/>
                <w:b/>
                <w:sz w:val="18"/>
                <w:szCs w:val="18"/>
              </w:rPr>
              <w:t>Prescribing Instructions:</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sz w:val="18"/>
                <w:szCs w:val="18"/>
              </w:rPr>
            </w:pPr>
            <w:r w:rsidRPr="00770199">
              <w:rPr>
                <w:rFonts w:ascii="Arial Narrow" w:hAnsi="Arial Narrow"/>
                <w:bCs/>
                <w:sz w:val="18"/>
                <w:szCs w:val="18"/>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bCs/>
                <w:sz w:val="18"/>
                <w:szCs w:val="18"/>
              </w:rPr>
            </w:pPr>
            <w:r w:rsidRPr="00770199">
              <w:rPr>
                <w:rFonts w:ascii="Arial Narrow" w:hAnsi="Arial Narrow"/>
                <w:b/>
                <w:sz w:val="18"/>
                <w:szCs w:val="18"/>
              </w:rPr>
              <w:t>Prescribing Instructions:</w:t>
            </w:r>
          </w:p>
        </w:tc>
      </w:tr>
      <w:tr w:rsidR="00D65CDD" w:rsidRPr="00770199" w:rsidTr="00D65CDD">
        <w:tblPrEx>
          <w:tblLook w:val="04A0" w:firstRow="1" w:lastRow="0" w:firstColumn="1" w:lastColumn="0" w:noHBand="0" w:noVBand="1"/>
        </w:tblPrEx>
        <w:tc>
          <w:tcPr>
            <w:tcW w:w="5000" w:type="pct"/>
          </w:tcPr>
          <w:p w:rsidR="00D65CDD" w:rsidRPr="00770199" w:rsidRDefault="00D65CDD" w:rsidP="00BF6100">
            <w:pPr>
              <w:rPr>
                <w:rFonts w:ascii="Arial Narrow" w:hAnsi="Arial Narrow"/>
                <w:bCs/>
                <w:sz w:val="18"/>
                <w:szCs w:val="18"/>
              </w:rPr>
            </w:pPr>
            <w:r w:rsidRPr="00770199">
              <w:rPr>
                <w:rFonts w:ascii="Arial Narrow" w:hAnsi="Arial Narrow" w:cs="Arial Narrow"/>
                <w:iCs/>
                <w:sz w:val="18"/>
                <w:szCs w:val="18"/>
              </w:rPr>
              <w:t xml:space="preserve">Where a response assessment is not conducted </w:t>
            </w:r>
            <w:r w:rsidRPr="00BF6100">
              <w:rPr>
                <w:rFonts w:ascii="Arial Narrow" w:hAnsi="Arial Narrow" w:cs="Arial Narrow"/>
                <w:iCs/>
                <w:sz w:val="18"/>
                <w:szCs w:val="18"/>
              </w:rPr>
              <w:t>within the required</w:t>
            </w:r>
            <w:r w:rsidRPr="00770199">
              <w:rPr>
                <w:rFonts w:ascii="Arial Narrow" w:hAnsi="Arial Narrow" w:cs="Arial Narrow"/>
                <w:iCs/>
                <w:sz w:val="18"/>
                <w:szCs w:val="18"/>
              </w:rPr>
              <w:t xml:space="preserve"> timeframe, the patient will be deemed to have failed to respond to treatment with this drug, unless the patient has experienced a serious adverse reaction of a severity resulting in the necessity for permanent withdrawal of treatment.</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cs="Arial Narrow"/>
                <w:iCs/>
                <w:sz w:val="18"/>
                <w:szCs w:val="18"/>
              </w:rPr>
            </w:pPr>
            <w:r w:rsidRPr="00770199">
              <w:rPr>
                <w:rFonts w:ascii="Arial Narrow" w:hAnsi="Arial Narrow"/>
                <w:b/>
                <w:sz w:val="18"/>
                <w:szCs w:val="18"/>
              </w:rPr>
              <w:t>Prescribing Instructions:</w:t>
            </w:r>
          </w:p>
        </w:tc>
      </w:tr>
      <w:tr w:rsidR="00D65CDD" w:rsidRPr="00770199" w:rsidTr="00D65CDD">
        <w:tblPrEx>
          <w:tblLook w:val="04A0" w:firstRow="1" w:lastRow="0" w:firstColumn="1" w:lastColumn="0" w:noHBand="0" w:noVBand="1"/>
        </w:tblPrEx>
        <w:tc>
          <w:tcPr>
            <w:tcW w:w="5000" w:type="pct"/>
          </w:tcPr>
          <w:p w:rsidR="00D65CDD" w:rsidRPr="00770199" w:rsidRDefault="00D65CDD" w:rsidP="00410378">
            <w:pPr>
              <w:rPr>
                <w:rFonts w:ascii="Arial Narrow" w:hAnsi="Arial Narrow" w:cs="Arial Narrow"/>
                <w:iCs/>
                <w:sz w:val="18"/>
                <w:szCs w:val="18"/>
              </w:rPr>
            </w:pPr>
            <w:r w:rsidRPr="00770199">
              <w:rPr>
                <w:rFonts w:ascii="Arial Narrow" w:hAnsi="Arial Narrow" w:cs="Arial Narrow"/>
                <w:iCs/>
                <w:sz w:val="18"/>
                <w:szCs w:val="18"/>
              </w:rPr>
              <w:t xml:space="preserve">If a patient fails to demonstrate a response to treatment with this drug they will not be eligible to receive further PBS-subsidised treatment with this drug for this </w:t>
            </w:r>
            <w:r w:rsidRPr="00BF6100">
              <w:rPr>
                <w:rFonts w:ascii="Arial Narrow" w:hAnsi="Arial Narrow" w:cs="Arial Narrow"/>
                <w:iCs/>
                <w:sz w:val="18"/>
                <w:szCs w:val="18"/>
              </w:rPr>
              <w:t>condition in this treatment cycle.</w:t>
            </w:r>
            <w:r w:rsidRPr="00770199">
              <w:rPr>
                <w:rFonts w:ascii="Arial Narrow" w:hAnsi="Arial Narrow" w:cs="Arial Narrow"/>
                <w:iCs/>
                <w:sz w:val="18"/>
                <w:szCs w:val="18"/>
              </w:rPr>
              <w:t xml:space="preserve"> Serious adverse reaction of a severity resulting in the necessity for permanent withdrawal of treatment is not considered as a treatment failure.</w:t>
            </w:r>
          </w:p>
        </w:tc>
      </w:tr>
      <w:tr w:rsidR="00D65CDD" w:rsidRPr="00770199" w:rsidTr="00D65CDD">
        <w:tblPrEx>
          <w:tblLook w:val="04A0" w:firstRow="1" w:lastRow="0" w:firstColumn="1" w:lastColumn="0" w:noHBand="0" w:noVBand="1"/>
        </w:tblPrEx>
        <w:tc>
          <w:tcPr>
            <w:tcW w:w="5000" w:type="pct"/>
            <w:vAlign w:val="center"/>
          </w:tcPr>
          <w:p w:rsidR="00D65CDD" w:rsidRPr="00770199" w:rsidRDefault="00D65CDD" w:rsidP="00410378">
            <w:pPr>
              <w:rPr>
                <w:rFonts w:ascii="Arial Narrow" w:hAnsi="Arial Narrow"/>
                <w:b/>
                <w:sz w:val="18"/>
                <w:szCs w:val="18"/>
              </w:rPr>
            </w:pPr>
            <w:r w:rsidRPr="00770199">
              <w:rPr>
                <w:rFonts w:ascii="Arial Narrow" w:hAnsi="Arial Narrow"/>
                <w:b/>
                <w:bCs/>
                <w:sz w:val="18"/>
                <w:szCs w:val="18"/>
              </w:rPr>
              <w:t>Administrative Advice:</w:t>
            </w:r>
            <w:r w:rsidRPr="00770199">
              <w:rPr>
                <w:rFonts w:ascii="Arial Narrow" w:hAnsi="Arial Narrow"/>
                <w:sz w:val="18"/>
                <w:szCs w:val="18"/>
              </w:rPr>
              <w:t xml:space="preserve"> No increase in the maximum quantity or number of units may be authorised.</w:t>
            </w:r>
          </w:p>
        </w:tc>
      </w:tr>
      <w:tr w:rsidR="00D65CDD" w:rsidRPr="00770199" w:rsidTr="00D65CDD">
        <w:tc>
          <w:tcPr>
            <w:tcW w:w="5000" w:type="pct"/>
            <w:tcBorders>
              <w:bottom w:val="single" w:sz="4" w:space="0" w:color="000000"/>
            </w:tcBorders>
          </w:tcPr>
          <w:p w:rsidR="00D65CDD" w:rsidRPr="00770199" w:rsidRDefault="00D65CDD" w:rsidP="00D02B13">
            <w:pPr>
              <w:rPr>
                <w:rFonts w:ascii="Arial Narrow" w:hAnsi="Arial Narrow"/>
                <w:b/>
                <w:sz w:val="18"/>
                <w:szCs w:val="18"/>
              </w:rPr>
            </w:pPr>
            <w:r w:rsidRPr="00770199">
              <w:rPr>
                <w:rFonts w:ascii="Arial Narrow" w:hAnsi="Arial Narrow"/>
                <w:b/>
                <w:sz w:val="18"/>
                <w:szCs w:val="18"/>
              </w:rPr>
              <w:t>Administrative Advice:</w:t>
            </w:r>
          </w:p>
        </w:tc>
      </w:tr>
      <w:tr w:rsidR="00D65CDD" w:rsidRPr="00770199" w:rsidTr="00D65CDD">
        <w:tc>
          <w:tcPr>
            <w:tcW w:w="5000" w:type="pct"/>
            <w:tcBorders>
              <w:top w:val="single" w:sz="4" w:space="0" w:color="000000"/>
              <w:bottom w:val="single" w:sz="4" w:space="0" w:color="000000"/>
            </w:tcBorders>
          </w:tcPr>
          <w:p w:rsidR="00D65CDD" w:rsidRPr="00770199" w:rsidRDefault="00D65CDD" w:rsidP="00410378">
            <w:pPr>
              <w:rPr>
                <w:rFonts w:ascii="Arial Narrow" w:hAnsi="Arial Narrow"/>
                <w:sz w:val="18"/>
                <w:szCs w:val="18"/>
              </w:rPr>
            </w:pPr>
            <w:r w:rsidRPr="00770199">
              <w:rPr>
                <w:rFonts w:ascii="Arial Narrow" w:hAnsi="Arial Narrow"/>
                <w:sz w:val="18"/>
                <w:szCs w:val="18"/>
              </w:rPr>
              <w:t>Any queries concerning the arrangements to prescribe may be directed to Services Australia on 1800 700 270 (hours of operation 8 a.m. to 5 p.m. EST Monday to Friday).</w:t>
            </w:r>
          </w:p>
          <w:p w:rsidR="00D65CDD" w:rsidRPr="00770199" w:rsidRDefault="00D65CDD" w:rsidP="00410378">
            <w:pPr>
              <w:rPr>
                <w:rFonts w:ascii="Arial Narrow" w:hAnsi="Arial Narrow"/>
                <w:sz w:val="18"/>
                <w:szCs w:val="18"/>
              </w:rPr>
            </w:pPr>
            <w:r w:rsidRPr="00770199">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rsidR="00D65CDD" w:rsidRPr="00770199" w:rsidRDefault="00D65CDD" w:rsidP="00410378">
            <w:pPr>
              <w:rPr>
                <w:rFonts w:ascii="Arial Narrow" w:hAnsi="Arial Narrow"/>
                <w:sz w:val="18"/>
                <w:szCs w:val="18"/>
              </w:rPr>
            </w:pPr>
            <w:r w:rsidRPr="00770199">
              <w:rPr>
                <w:rFonts w:ascii="Arial Narrow" w:hAnsi="Arial Narrow"/>
                <w:sz w:val="18"/>
                <w:szCs w:val="18"/>
              </w:rPr>
              <w:t>Applications for authority to prescribe should be submitted online using the form upload facility in Health Professional Online Services (HPOS) at www.servicesaustralia.gov.au/hpos</w:t>
            </w:r>
          </w:p>
          <w:p w:rsidR="00D65CDD" w:rsidRPr="00770199" w:rsidRDefault="00D65CDD" w:rsidP="00410378">
            <w:pPr>
              <w:rPr>
                <w:rFonts w:ascii="Arial Narrow" w:hAnsi="Arial Narrow"/>
                <w:sz w:val="18"/>
                <w:szCs w:val="18"/>
              </w:rPr>
            </w:pPr>
            <w:r w:rsidRPr="00770199">
              <w:rPr>
                <w:rFonts w:ascii="Arial Narrow" w:hAnsi="Arial Narrow"/>
                <w:sz w:val="18"/>
                <w:szCs w:val="18"/>
              </w:rPr>
              <w:t>Or mailed to:</w:t>
            </w:r>
          </w:p>
          <w:p w:rsidR="00D65CDD" w:rsidRPr="00770199" w:rsidRDefault="00D65CDD" w:rsidP="00410378">
            <w:pPr>
              <w:rPr>
                <w:rFonts w:ascii="Arial Narrow" w:hAnsi="Arial Narrow"/>
                <w:sz w:val="18"/>
                <w:szCs w:val="18"/>
              </w:rPr>
            </w:pPr>
            <w:r w:rsidRPr="00770199">
              <w:rPr>
                <w:rFonts w:ascii="Arial Narrow" w:hAnsi="Arial Narrow"/>
                <w:sz w:val="18"/>
                <w:szCs w:val="18"/>
              </w:rPr>
              <w:t>Services Australia</w:t>
            </w:r>
          </w:p>
          <w:p w:rsidR="00D65CDD" w:rsidRPr="00770199" w:rsidRDefault="00D65CDD" w:rsidP="00410378">
            <w:pPr>
              <w:rPr>
                <w:rFonts w:ascii="Arial Narrow" w:hAnsi="Arial Narrow"/>
                <w:sz w:val="18"/>
                <w:szCs w:val="18"/>
              </w:rPr>
            </w:pPr>
            <w:r w:rsidRPr="00770199">
              <w:rPr>
                <w:rFonts w:ascii="Arial Narrow" w:hAnsi="Arial Narrow"/>
                <w:sz w:val="18"/>
                <w:szCs w:val="18"/>
              </w:rPr>
              <w:t>Complex Drugs</w:t>
            </w:r>
          </w:p>
          <w:p w:rsidR="00D65CDD" w:rsidRPr="00770199" w:rsidRDefault="00D65CDD" w:rsidP="00410378">
            <w:pPr>
              <w:rPr>
                <w:rFonts w:ascii="Arial Narrow" w:hAnsi="Arial Narrow"/>
                <w:sz w:val="18"/>
                <w:szCs w:val="18"/>
              </w:rPr>
            </w:pPr>
            <w:r w:rsidRPr="00770199">
              <w:rPr>
                <w:rFonts w:ascii="Arial Narrow" w:hAnsi="Arial Narrow"/>
                <w:sz w:val="18"/>
                <w:szCs w:val="18"/>
              </w:rPr>
              <w:t>Reply Paid 9826</w:t>
            </w:r>
          </w:p>
          <w:p w:rsidR="00D65CDD" w:rsidRPr="00770199" w:rsidRDefault="00D65CDD" w:rsidP="00410378">
            <w:pPr>
              <w:rPr>
                <w:rFonts w:ascii="Arial Narrow" w:hAnsi="Arial Narrow"/>
                <w:sz w:val="18"/>
                <w:szCs w:val="18"/>
              </w:rPr>
            </w:pPr>
            <w:r w:rsidRPr="00770199">
              <w:rPr>
                <w:rFonts w:ascii="Arial Narrow" w:hAnsi="Arial Narrow"/>
                <w:sz w:val="18"/>
                <w:szCs w:val="18"/>
              </w:rPr>
              <w:t>HOBART TAS 7001</w:t>
            </w:r>
          </w:p>
          <w:p w:rsidR="00D65CDD" w:rsidRPr="00770199" w:rsidRDefault="00D65CDD" w:rsidP="00410378">
            <w:pPr>
              <w:rPr>
                <w:rFonts w:ascii="Arial Narrow" w:hAnsi="Arial Narrow"/>
                <w:sz w:val="18"/>
                <w:szCs w:val="18"/>
              </w:rPr>
            </w:pPr>
          </w:p>
        </w:tc>
      </w:tr>
    </w:tbl>
    <w:p w:rsidR="0062746A" w:rsidRPr="004E025C" w:rsidRDefault="0062746A" w:rsidP="006274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858"/>
        <w:gridCol w:w="716"/>
        <w:gridCol w:w="716"/>
        <w:gridCol w:w="716"/>
        <w:gridCol w:w="858"/>
        <w:gridCol w:w="1432"/>
      </w:tblGrid>
      <w:tr w:rsidR="0062746A" w:rsidRPr="004E025C" w:rsidTr="00DB5931">
        <w:trPr>
          <w:cantSplit/>
          <w:trHeight w:val="471"/>
        </w:trPr>
        <w:tc>
          <w:tcPr>
            <w:tcW w:w="2063" w:type="pct"/>
          </w:tcPr>
          <w:p w:rsidR="0062746A" w:rsidRPr="004E025C" w:rsidRDefault="0062746A" w:rsidP="00D02B13">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Name, Restriction,</w:t>
            </w:r>
          </w:p>
          <w:p w:rsidR="0062746A" w:rsidRPr="004E025C" w:rsidRDefault="0062746A" w:rsidP="00D02B13">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Manner of administration and form</w:t>
            </w:r>
          </w:p>
        </w:tc>
        <w:tc>
          <w:tcPr>
            <w:tcW w:w="476"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PBS item code</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packs</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units</w:t>
            </w:r>
          </w:p>
        </w:tc>
        <w:tc>
          <w:tcPr>
            <w:tcW w:w="397" w:type="pct"/>
          </w:tcPr>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№.of</w:t>
            </w:r>
          </w:p>
          <w:p w:rsidR="0062746A" w:rsidRPr="004E025C" w:rsidRDefault="0062746A" w:rsidP="00D02B13">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Rpts</w:t>
            </w:r>
          </w:p>
        </w:tc>
        <w:tc>
          <w:tcPr>
            <w:tcW w:w="1270" w:type="pct"/>
            <w:gridSpan w:val="2"/>
          </w:tcPr>
          <w:p w:rsidR="0062746A" w:rsidRPr="004E025C" w:rsidRDefault="0062746A" w:rsidP="00D02B13">
            <w:pPr>
              <w:keepNext/>
              <w:rPr>
                <w:rFonts w:ascii="Arial Narrow" w:hAnsi="Arial Narrow"/>
                <w:b/>
                <w:color w:val="000000" w:themeColor="text1"/>
                <w:sz w:val="18"/>
                <w:szCs w:val="18"/>
              </w:rPr>
            </w:pPr>
            <w:r w:rsidRPr="004E025C">
              <w:rPr>
                <w:rFonts w:ascii="Arial Narrow" w:hAnsi="Arial Narrow"/>
                <w:b/>
                <w:color w:val="000000" w:themeColor="text1"/>
                <w:sz w:val="18"/>
                <w:szCs w:val="18"/>
              </w:rPr>
              <w:t>Proprietary Name and Manufacturer</w:t>
            </w:r>
          </w:p>
        </w:tc>
      </w:tr>
      <w:tr w:rsidR="0062746A" w:rsidRPr="004E025C" w:rsidTr="00DB5931">
        <w:trPr>
          <w:cantSplit/>
          <w:trHeight w:val="346"/>
        </w:trPr>
        <w:tc>
          <w:tcPr>
            <w:tcW w:w="2063" w:type="pct"/>
          </w:tcPr>
          <w:p w:rsidR="0062746A" w:rsidRPr="004E025C" w:rsidRDefault="0062746A" w:rsidP="00D02B13">
            <w:pPr>
              <w:keepNext/>
              <w:ind w:left="-108"/>
              <w:rPr>
                <w:rFonts w:ascii="Arial Narrow" w:hAnsi="Arial Narrow"/>
                <w:sz w:val="18"/>
                <w:szCs w:val="18"/>
              </w:rPr>
            </w:pPr>
            <w:r w:rsidRPr="004E025C">
              <w:rPr>
                <w:rFonts w:ascii="Arial Narrow" w:hAnsi="Arial Narrow" w:cstheme="minorHAnsi"/>
                <w:sz w:val="18"/>
                <w:szCs w:val="18"/>
              </w:rPr>
              <w:t>VEDOLIZUMAB 108 mg/0.68 mL injection, 2 x 0.68 mL syringes</w:t>
            </w:r>
          </w:p>
          <w:p w:rsidR="0062746A" w:rsidRPr="004E025C" w:rsidRDefault="0062746A" w:rsidP="00D02B13">
            <w:pPr>
              <w:keepNext/>
              <w:ind w:left="-108"/>
              <w:rPr>
                <w:rFonts w:ascii="Arial Narrow" w:hAnsi="Arial Narrow"/>
                <w:color w:val="000000" w:themeColor="text1"/>
                <w:sz w:val="18"/>
                <w:szCs w:val="18"/>
              </w:rPr>
            </w:pPr>
          </w:p>
        </w:tc>
        <w:tc>
          <w:tcPr>
            <w:tcW w:w="476"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NEW</w:t>
            </w:r>
          </w:p>
          <w:p w:rsidR="0062746A" w:rsidRPr="004E025C" w:rsidRDefault="0062746A" w:rsidP="00D02B13">
            <w:pPr>
              <w:keepNext/>
              <w:ind w:left="-108"/>
              <w:jc w:val="center"/>
              <w:rPr>
                <w:rFonts w:ascii="Arial Narrow" w:hAnsi="Arial Narrow"/>
                <w:color w:val="000000" w:themeColor="text1"/>
                <w:sz w:val="18"/>
                <w:szCs w:val="18"/>
              </w:rPr>
            </w:pPr>
            <w:r w:rsidRPr="004E025C">
              <w:rPr>
                <w:rFonts w:ascii="Arial Narrow" w:hAnsi="Arial Narrow"/>
                <w:sz w:val="18"/>
                <w:szCs w:val="18"/>
              </w:rPr>
              <w:t>NEW</w:t>
            </w:r>
          </w:p>
        </w:tc>
        <w:tc>
          <w:tcPr>
            <w:tcW w:w="397" w:type="pct"/>
          </w:tcPr>
          <w:p w:rsidR="0062746A" w:rsidRPr="004E025C" w:rsidRDefault="0062746A" w:rsidP="00D02B13">
            <w:pPr>
              <w:keepNext/>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62746A" w:rsidRPr="004E025C" w:rsidRDefault="0062746A" w:rsidP="00D02B13">
            <w:pPr>
              <w:keepNext/>
              <w:ind w:left="-108"/>
              <w:jc w:val="center"/>
              <w:rPr>
                <w:rFonts w:ascii="Arial Narrow" w:hAnsi="Arial Narrow"/>
                <w:color w:val="000000" w:themeColor="text1"/>
                <w:sz w:val="18"/>
                <w:szCs w:val="18"/>
              </w:rPr>
            </w:pPr>
            <w:r w:rsidRPr="004E025C">
              <w:rPr>
                <w:rFonts w:ascii="Arial Narrow" w:hAnsi="Arial Narrow"/>
                <w:sz w:val="18"/>
                <w:szCs w:val="18"/>
              </w:rPr>
              <w:t>2</w:t>
            </w:r>
          </w:p>
        </w:tc>
        <w:tc>
          <w:tcPr>
            <w:tcW w:w="397"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5</w:t>
            </w:r>
          </w:p>
          <w:p w:rsidR="0062746A" w:rsidRPr="004E025C" w:rsidRDefault="0062746A" w:rsidP="00D02B13">
            <w:pPr>
              <w:keepNext/>
              <w:rPr>
                <w:rFonts w:ascii="Arial Narrow" w:hAnsi="Arial Narrow"/>
                <w:color w:val="000000" w:themeColor="text1"/>
                <w:sz w:val="18"/>
                <w:szCs w:val="18"/>
              </w:rPr>
            </w:pPr>
          </w:p>
        </w:tc>
        <w:tc>
          <w:tcPr>
            <w:tcW w:w="476" w:type="pct"/>
          </w:tcPr>
          <w:p w:rsidR="0062746A" w:rsidRPr="004E025C" w:rsidRDefault="0062746A" w:rsidP="00D02B13">
            <w:pPr>
              <w:keepNext/>
              <w:rPr>
                <w:rFonts w:ascii="Arial Narrow" w:hAnsi="Arial Narrow"/>
                <w:color w:val="000000" w:themeColor="text1"/>
                <w:sz w:val="18"/>
                <w:szCs w:val="18"/>
              </w:rPr>
            </w:pPr>
            <w:r w:rsidRPr="004E025C">
              <w:rPr>
                <w:rFonts w:ascii="Arial Narrow" w:hAnsi="Arial Narrow"/>
                <w:sz w:val="18"/>
                <w:szCs w:val="18"/>
              </w:rPr>
              <w:t>Entyvio</w:t>
            </w:r>
            <w:r w:rsidRPr="004E025C">
              <w:rPr>
                <w:rFonts w:ascii="Arial Narrow" w:hAnsi="Arial Narrow"/>
                <w:sz w:val="18"/>
                <w:szCs w:val="18"/>
                <w:vertAlign w:val="superscript"/>
              </w:rPr>
              <w:t>®</w:t>
            </w:r>
          </w:p>
          <w:p w:rsidR="0062746A" w:rsidRPr="004E025C" w:rsidRDefault="0062746A" w:rsidP="00D02B13">
            <w:pPr>
              <w:rPr>
                <w:rFonts w:ascii="Arial Narrow" w:hAnsi="Arial Narrow"/>
                <w:sz w:val="18"/>
                <w:szCs w:val="18"/>
              </w:rPr>
            </w:pPr>
          </w:p>
        </w:tc>
        <w:tc>
          <w:tcPr>
            <w:tcW w:w="794" w:type="pct"/>
          </w:tcPr>
          <w:p w:rsidR="0062746A" w:rsidRPr="004E025C" w:rsidRDefault="0062746A" w:rsidP="00D02B13">
            <w:pPr>
              <w:keepNext/>
              <w:rPr>
                <w:rFonts w:ascii="Arial Narrow" w:hAnsi="Arial Narrow"/>
                <w:color w:val="000000" w:themeColor="text1"/>
                <w:sz w:val="18"/>
                <w:szCs w:val="18"/>
              </w:rPr>
            </w:pPr>
            <w:r w:rsidRPr="004E025C">
              <w:rPr>
                <w:rFonts w:ascii="Arial Narrow" w:hAnsi="Arial Narrow"/>
                <w:sz w:val="18"/>
                <w:szCs w:val="18"/>
              </w:rPr>
              <w:t>Takeda Pharmaceuticals Australia Pty Ltd</w:t>
            </w:r>
          </w:p>
        </w:tc>
      </w:tr>
      <w:tr w:rsidR="0062746A" w:rsidRPr="004E025C" w:rsidTr="00DB5931">
        <w:trPr>
          <w:cantSplit/>
          <w:trHeight w:val="346"/>
        </w:trPr>
        <w:tc>
          <w:tcPr>
            <w:tcW w:w="2063" w:type="pct"/>
          </w:tcPr>
          <w:p w:rsidR="0062746A" w:rsidRPr="004E025C" w:rsidRDefault="0062746A" w:rsidP="00D02B13">
            <w:pPr>
              <w:keepNext/>
              <w:ind w:left="-108"/>
              <w:rPr>
                <w:rFonts w:ascii="Arial Narrow" w:hAnsi="Arial Narrow" w:cstheme="minorHAnsi"/>
                <w:sz w:val="18"/>
                <w:szCs w:val="18"/>
              </w:rPr>
            </w:pPr>
            <w:r w:rsidRPr="004E025C">
              <w:rPr>
                <w:rFonts w:ascii="Arial Narrow" w:hAnsi="Arial Narrow" w:cstheme="minorHAnsi"/>
                <w:sz w:val="18"/>
                <w:szCs w:val="18"/>
              </w:rPr>
              <w:t>VEDOLIZUMAB 108 mg/0.68 mL injection, 2 x 0.68 mL pen devices</w:t>
            </w:r>
          </w:p>
        </w:tc>
        <w:tc>
          <w:tcPr>
            <w:tcW w:w="476"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NEW</w:t>
            </w:r>
          </w:p>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NEW</w:t>
            </w:r>
          </w:p>
        </w:tc>
        <w:tc>
          <w:tcPr>
            <w:tcW w:w="397" w:type="pct"/>
          </w:tcPr>
          <w:p w:rsidR="0062746A" w:rsidRPr="004E025C" w:rsidRDefault="0062746A" w:rsidP="00D02B13">
            <w:pPr>
              <w:keepNext/>
              <w:jc w:val="center"/>
              <w:rPr>
                <w:rFonts w:ascii="Arial Narrow" w:hAnsi="Arial Narrow"/>
                <w:color w:val="000000" w:themeColor="text1"/>
                <w:sz w:val="18"/>
                <w:szCs w:val="18"/>
              </w:rPr>
            </w:pPr>
            <w:r w:rsidRPr="004E025C">
              <w:rPr>
                <w:rFonts w:ascii="Arial Narrow" w:hAnsi="Arial Narrow"/>
                <w:color w:val="000000" w:themeColor="text1"/>
                <w:sz w:val="18"/>
                <w:szCs w:val="18"/>
              </w:rPr>
              <w:t>1</w:t>
            </w:r>
          </w:p>
        </w:tc>
        <w:tc>
          <w:tcPr>
            <w:tcW w:w="397"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2</w:t>
            </w:r>
          </w:p>
        </w:tc>
        <w:tc>
          <w:tcPr>
            <w:tcW w:w="397" w:type="pct"/>
          </w:tcPr>
          <w:p w:rsidR="0062746A" w:rsidRPr="004E025C" w:rsidRDefault="0062746A" w:rsidP="00D02B13">
            <w:pPr>
              <w:keepNext/>
              <w:ind w:left="-108"/>
              <w:jc w:val="center"/>
              <w:rPr>
                <w:rFonts w:ascii="Arial Narrow" w:hAnsi="Arial Narrow"/>
                <w:sz w:val="18"/>
                <w:szCs w:val="18"/>
              </w:rPr>
            </w:pPr>
            <w:r w:rsidRPr="004E025C">
              <w:rPr>
                <w:rFonts w:ascii="Arial Narrow" w:hAnsi="Arial Narrow"/>
                <w:sz w:val="18"/>
                <w:szCs w:val="18"/>
              </w:rPr>
              <w:t>5</w:t>
            </w:r>
          </w:p>
          <w:p w:rsidR="0062746A" w:rsidRPr="004E025C" w:rsidRDefault="0062746A" w:rsidP="00D02B13">
            <w:pPr>
              <w:keepNext/>
              <w:ind w:left="-108"/>
              <w:jc w:val="center"/>
              <w:rPr>
                <w:rFonts w:ascii="Arial Narrow" w:hAnsi="Arial Narrow"/>
                <w:sz w:val="18"/>
                <w:szCs w:val="18"/>
              </w:rPr>
            </w:pPr>
          </w:p>
        </w:tc>
        <w:tc>
          <w:tcPr>
            <w:tcW w:w="476" w:type="pct"/>
          </w:tcPr>
          <w:p w:rsidR="0062746A" w:rsidRPr="004E025C" w:rsidRDefault="0062746A" w:rsidP="00D02B13">
            <w:pPr>
              <w:keepNext/>
              <w:rPr>
                <w:rFonts w:ascii="Arial Narrow" w:hAnsi="Arial Narrow"/>
                <w:sz w:val="18"/>
                <w:szCs w:val="18"/>
              </w:rPr>
            </w:pPr>
            <w:r w:rsidRPr="004E025C">
              <w:rPr>
                <w:rFonts w:ascii="Arial Narrow" w:hAnsi="Arial Narrow"/>
                <w:sz w:val="18"/>
                <w:szCs w:val="18"/>
              </w:rPr>
              <w:t>Entyvio</w:t>
            </w:r>
            <w:r w:rsidRPr="004E025C">
              <w:rPr>
                <w:rFonts w:ascii="Arial Narrow" w:hAnsi="Arial Narrow"/>
                <w:sz w:val="18"/>
                <w:szCs w:val="18"/>
                <w:vertAlign w:val="superscript"/>
              </w:rPr>
              <w:t xml:space="preserve"> ®</w:t>
            </w:r>
          </w:p>
        </w:tc>
        <w:tc>
          <w:tcPr>
            <w:tcW w:w="794" w:type="pct"/>
          </w:tcPr>
          <w:p w:rsidR="0062746A" w:rsidRPr="004E025C" w:rsidRDefault="0062746A" w:rsidP="00D02B13">
            <w:pPr>
              <w:keepNext/>
              <w:rPr>
                <w:rFonts w:ascii="Arial Narrow" w:hAnsi="Arial Narrow"/>
                <w:sz w:val="18"/>
                <w:szCs w:val="18"/>
              </w:rPr>
            </w:pPr>
            <w:r w:rsidRPr="004E025C">
              <w:rPr>
                <w:rFonts w:ascii="Arial Narrow" w:hAnsi="Arial Narrow"/>
                <w:sz w:val="18"/>
                <w:szCs w:val="18"/>
              </w:rPr>
              <w:t>Takeda Pharmaceuticals Australia Pty Ltd</w:t>
            </w:r>
          </w:p>
        </w:tc>
      </w:tr>
    </w:tbl>
    <w:p w:rsidR="0062746A" w:rsidRPr="004E025C" w:rsidRDefault="0062746A" w:rsidP="006274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D65CDD" w:rsidRPr="006F4C57" w:rsidTr="00D65CDD">
        <w:trPr>
          <w:trHeight w:val="57"/>
        </w:trPr>
        <w:tc>
          <w:tcPr>
            <w:tcW w:w="5000" w:type="pct"/>
            <w:tcBorders>
              <w:top w:val="single" w:sz="4" w:space="0" w:color="auto"/>
              <w:left w:val="single" w:sz="4" w:space="0" w:color="auto"/>
              <w:bottom w:val="single" w:sz="4" w:space="0" w:color="auto"/>
              <w:right w:val="single" w:sz="4" w:space="0" w:color="auto"/>
            </w:tcBorders>
          </w:tcPr>
          <w:p w:rsidR="00D65CDD" w:rsidRPr="006F4C57" w:rsidRDefault="00D65CDD" w:rsidP="00D02B13">
            <w:pPr>
              <w:rPr>
                <w:rFonts w:ascii="Arial Narrow" w:hAnsi="Arial Narrow"/>
                <w:sz w:val="18"/>
                <w:szCs w:val="18"/>
              </w:rPr>
            </w:pPr>
            <w:r w:rsidRPr="006F4C57">
              <w:rPr>
                <w:rFonts w:ascii="Arial Narrow" w:hAnsi="Arial Narrow"/>
                <w:b/>
                <w:sz w:val="18"/>
                <w:szCs w:val="18"/>
              </w:rPr>
              <w:t xml:space="preserve">Category / Program:   </w:t>
            </w:r>
            <w:r w:rsidRPr="006F4C57">
              <w:rPr>
                <w:rFonts w:ascii="Arial Narrow" w:hAnsi="Arial Narrow"/>
                <w:sz w:val="18"/>
                <w:szCs w:val="18"/>
              </w:rPr>
              <w:t xml:space="preserve">GENERAL – General Schedule (Code GE) </w:t>
            </w:r>
          </w:p>
        </w:tc>
      </w:tr>
      <w:tr w:rsidR="00D65CDD" w:rsidRPr="006F4C57" w:rsidTr="00D65CDD">
        <w:trPr>
          <w:trHeight w:val="240"/>
        </w:trPr>
        <w:tc>
          <w:tcPr>
            <w:tcW w:w="5000" w:type="pct"/>
            <w:tcBorders>
              <w:top w:val="single" w:sz="4" w:space="0" w:color="auto"/>
              <w:left w:val="single" w:sz="4" w:space="0" w:color="auto"/>
              <w:bottom w:val="single" w:sz="4" w:space="0" w:color="auto"/>
              <w:right w:val="single" w:sz="4" w:space="0" w:color="auto"/>
            </w:tcBorders>
          </w:tcPr>
          <w:p w:rsidR="00D65CDD" w:rsidRPr="006F4C57" w:rsidRDefault="00D65CDD" w:rsidP="00D02B13">
            <w:pPr>
              <w:rPr>
                <w:rFonts w:ascii="Arial Narrow" w:hAnsi="Arial Narrow"/>
                <w:b/>
                <w:sz w:val="18"/>
                <w:szCs w:val="18"/>
              </w:rPr>
            </w:pPr>
            <w:r w:rsidRPr="006F4C57">
              <w:rPr>
                <w:rFonts w:ascii="Arial Narrow" w:hAnsi="Arial Narrow"/>
                <w:b/>
                <w:sz w:val="18"/>
                <w:szCs w:val="18"/>
              </w:rPr>
              <w:t xml:space="preserve">Prescriber type:   </w:t>
            </w:r>
            <w:r w:rsidRPr="006F4C57">
              <w:rPr>
                <w:rFonts w:ascii="Arial Narrow" w:hAnsi="Arial Narrow"/>
                <w:sz w:val="18"/>
                <w:szCs w:val="18"/>
              </w:rPr>
              <w:fldChar w:fldCharType="begin">
                <w:ffData>
                  <w:name w:val="Check1"/>
                  <w:enabled/>
                  <w:calcOnExit w:val="0"/>
                  <w:checkBox>
                    <w:sizeAuto/>
                    <w:default w:val="0"/>
                  </w:checkBox>
                </w:ffData>
              </w:fldChar>
            </w:r>
            <w:r w:rsidRPr="006F4C57">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6F4C57">
              <w:rPr>
                <w:rFonts w:ascii="Arial Narrow" w:hAnsi="Arial Narrow"/>
                <w:sz w:val="18"/>
                <w:szCs w:val="18"/>
              </w:rPr>
              <w:fldChar w:fldCharType="end"/>
            </w:r>
            <w:r w:rsidRPr="006F4C57">
              <w:rPr>
                <w:rFonts w:ascii="Arial Narrow" w:hAnsi="Arial Narrow"/>
                <w:sz w:val="18"/>
                <w:szCs w:val="18"/>
              </w:rPr>
              <w:t xml:space="preserve">Dental    </w:t>
            </w:r>
            <w:r w:rsidRPr="006F4C57">
              <w:rPr>
                <w:rFonts w:ascii="Arial Narrow" w:hAnsi="Arial Narrow"/>
                <w:sz w:val="18"/>
                <w:szCs w:val="18"/>
              </w:rPr>
              <w:fldChar w:fldCharType="begin">
                <w:ffData>
                  <w:name w:val=""/>
                  <w:enabled/>
                  <w:calcOnExit w:val="0"/>
                  <w:checkBox>
                    <w:sizeAuto/>
                    <w:default w:val="1"/>
                  </w:checkBox>
                </w:ffData>
              </w:fldChar>
            </w:r>
            <w:r w:rsidRPr="006F4C57">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6F4C57">
              <w:rPr>
                <w:rFonts w:ascii="Arial Narrow" w:hAnsi="Arial Narrow"/>
                <w:sz w:val="18"/>
                <w:szCs w:val="18"/>
              </w:rPr>
              <w:fldChar w:fldCharType="end"/>
            </w:r>
            <w:r w:rsidRPr="006F4C57">
              <w:rPr>
                <w:rFonts w:ascii="Arial Narrow" w:hAnsi="Arial Narrow"/>
                <w:sz w:val="18"/>
                <w:szCs w:val="18"/>
              </w:rPr>
              <w:t xml:space="preserve">Medical Practitioners    </w:t>
            </w:r>
            <w:r w:rsidRPr="006F4C57">
              <w:rPr>
                <w:rFonts w:ascii="Arial Narrow" w:hAnsi="Arial Narrow"/>
                <w:sz w:val="18"/>
                <w:szCs w:val="18"/>
              </w:rPr>
              <w:fldChar w:fldCharType="begin">
                <w:ffData>
                  <w:name w:val="Check3"/>
                  <w:enabled/>
                  <w:calcOnExit w:val="0"/>
                  <w:checkBox>
                    <w:sizeAuto/>
                    <w:default w:val="0"/>
                  </w:checkBox>
                </w:ffData>
              </w:fldChar>
            </w:r>
            <w:r w:rsidRPr="006F4C57">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6F4C57">
              <w:rPr>
                <w:rFonts w:ascii="Arial Narrow" w:hAnsi="Arial Narrow"/>
                <w:sz w:val="18"/>
                <w:szCs w:val="18"/>
              </w:rPr>
              <w:fldChar w:fldCharType="end"/>
            </w:r>
            <w:r w:rsidRPr="006F4C57">
              <w:rPr>
                <w:rFonts w:ascii="Arial Narrow" w:hAnsi="Arial Narrow"/>
                <w:sz w:val="18"/>
                <w:szCs w:val="18"/>
              </w:rPr>
              <w:t xml:space="preserve">Nurse practitioners     </w:t>
            </w:r>
            <w:r w:rsidRPr="006F4C57">
              <w:rPr>
                <w:rFonts w:ascii="Arial Narrow" w:hAnsi="Arial Narrow"/>
                <w:sz w:val="18"/>
                <w:szCs w:val="18"/>
              </w:rPr>
              <w:fldChar w:fldCharType="begin">
                <w:ffData>
                  <w:name w:val=""/>
                  <w:enabled/>
                  <w:calcOnExit w:val="0"/>
                  <w:checkBox>
                    <w:sizeAuto/>
                    <w:default w:val="0"/>
                  </w:checkBox>
                </w:ffData>
              </w:fldChar>
            </w:r>
            <w:r w:rsidRPr="006F4C57">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6F4C57">
              <w:rPr>
                <w:rFonts w:ascii="Arial Narrow" w:hAnsi="Arial Narrow"/>
                <w:sz w:val="18"/>
                <w:szCs w:val="18"/>
              </w:rPr>
              <w:fldChar w:fldCharType="end"/>
            </w:r>
            <w:r w:rsidRPr="006F4C57">
              <w:rPr>
                <w:rFonts w:ascii="Arial Narrow" w:hAnsi="Arial Narrow"/>
                <w:sz w:val="18"/>
                <w:szCs w:val="18"/>
              </w:rPr>
              <w:t xml:space="preserve">Optometrists    </w:t>
            </w:r>
            <w:r w:rsidRPr="006F4C57">
              <w:rPr>
                <w:rFonts w:ascii="Arial Narrow" w:hAnsi="Arial Narrow"/>
                <w:sz w:val="18"/>
                <w:szCs w:val="18"/>
              </w:rPr>
              <w:fldChar w:fldCharType="begin">
                <w:ffData>
                  <w:name w:val="Check5"/>
                  <w:enabled/>
                  <w:calcOnExit w:val="0"/>
                  <w:checkBox>
                    <w:sizeAuto/>
                    <w:default w:val="0"/>
                  </w:checkBox>
                </w:ffData>
              </w:fldChar>
            </w:r>
            <w:r w:rsidRPr="006F4C57">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6F4C57">
              <w:rPr>
                <w:rFonts w:ascii="Arial Narrow" w:hAnsi="Arial Narrow"/>
                <w:sz w:val="18"/>
                <w:szCs w:val="18"/>
              </w:rPr>
              <w:fldChar w:fldCharType="end"/>
            </w:r>
            <w:r w:rsidRPr="006F4C57">
              <w:rPr>
                <w:rFonts w:ascii="Arial Narrow" w:hAnsi="Arial Narrow"/>
                <w:sz w:val="18"/>
                <w:szCs w:val="18"/>
              </w:rPr>
              <w:t>Midwives</w:t>
            </w:r>
          </w:p>
        </w:tc>
      </w:tr>
      <w:tr w:rsidR="00D65CDD" w:rsidRPr="006F4C57" w:rsidTr="00D65CDD">
        <w:trPr>
          <w:trHeight w:val="170"/>
        </w:trPr>
        <w:tc>
          <w:tcPr>
            <w:tcW w:w="5000" w:type="pct"/>
            <w:tcBorders>
              <w:top w:val="single" w:sz="4" w:space="0" w:color="auto"/>
              <w:left w:val="single" w:sz="4" w:space="0" w:color="auto"/>
              <w:bottom w:val="single" w:sz="4" w:space="0" w:color="auto"/>
              <w:right w:val="single" w:sz="4" w:space="0" w:color="auto"/>
            </w:tcBorders>
          </w:tcPr>
          <w:p w:rsidR="00D65CDD" w:rsidRPr="006F4C57" w:rsidRDefault="00D65CDD" w:rsidP="00D02B13">
            <w:pPr>
              <w:rPr>
                <w:rFonts w:ascii="Arial Narrow" w:eastAsia="Calibri" w:hAnsi="Arial Narrow"/>
                <w:sz w:val="18"/>
                <w:szCs w:val="18"/>
              </w:rPr>
            </w:pPr>
            <w:r w:rsidRPr="006F4C57">
              <w:rPr>
                <w:rFonts w:ascii="Arial Narrow" w:hAnsi="Arial Narrow"/>
                <w:b/>
                <w:sz w:val="18"/>
                <w:szCs w:val="18"/>
              </w:rPr>
              <w:t xml:space="preserve">Restriction Type – </w:t>
            </w:r>
            <w:r w:rsidRPr="006F4C57">
              <w:rPr>
                <w:rFonts w:ascii="Arial Narrow" w:eastAsia="Calibri" w:hAnsi="Arial Narrow"/>
                <w:sz w:val="18"/>
                <w:szCs w:val="18"/>
              </w:rPr>
              <w:fldChar w:fldCharType="begin">
                <w:ffData>
                  <w:name w:val=""/>
                  <w:enabled/>
                  <w:calcOnExit w:val="0"/>
                  <w:checkBox>
                    <w:sizeAuto/>
                    <w:default w:val="1"/>
                  </w:checkBox>
                </w:ffData>
              </w:fldChar>
            </w:r>
            <w:r w:rsidRPr="006F4C57">
              <w:rPr>
                <w:rFonts w:ascii="Arial Narrow" w:eastAsia="Calibri" w:hAnsi="Arial Narrow"/>
                <w:sz w:val="18"/>
                <w:szCs w:val="18"/>
              </w:rPr>
              <w:instrText xml:space="preserve"> FORMCHECKBOX </w:instrText>
            </w:r>
            <w:r w:rsidR="00226F00">
              <w:rPr>
                <w:rFonts w:ascii="Arial Narrow" w:eastAsia="Calibri" w:hAnsi="Arial Narrow"/>
                <w:sz w:val="18"/>
                <w:szCs w:val="18"/>
              </w:rPr>
            </w:r>
            <w:r w:rsidR="00226F00">
              <w:rPr>
                <w:rFonts w:ascii="Arial Narrow" w:eastAsia="Calibri" w:hAnsi="Arial Narrow"/>
                <w:sz w:val="18"/>
                <w:szCs w:val="18"/>
              </w:rPr>
              <w:fldChar w:fldCharType="separate"/>
            </w:r>
            <w:r w:rsidRPr="006F4C57">
              <w:rPr>
                <w:rFonts w:ascii="Arial Narrow" w:eastAsia="Calibri" w:hAnsi="Arial Narrow"/>
                <w:sz w:val="18"/>
                <w:szCs w:val="18"/>
              </w:rPr>
              <w:fldChar w:fldCharType="end"/>
            </w:r>
            <w:r w:rsidRPr="006F4C57">
              <w:rPr>
                <w:rFonts w:ascii="Arial Narrow" w:eastAsia="Calibri" w:hAnsi="Arial Narrow"/>
                <w:sz w:val="18"/>
                <w:szCs w:val="18"/>
              </w:rPr>
              <w:t xml:space="preserve"> Authority Required – </w:t>
            </w:r>
            <w:r w:rsidRPr="006F4C57">
              <w:rPr>
                <w:rFonts w:ascii="Arial Narrow" w:hAnsi="Arial Narrow"/>
                <w:bCs/>
                <w:sz w:val="18"/>
                <w:szCs w:val="18"/>
              </w:rPr>
              <w:t>non-immediate/delayed assessment by Services Australia (in-writing only via mail/postal service or electronic upload to Hobart)</w:t>
            </w:r>
          </w:p>
        </w:tc>
      </w:tr>
      <w:tr w:rsidR="00D65CDD" w:rsidRPr="006F4C57" w:rsidTr="00D65CDD">
        <w:tc>
          <w:tcPr>
            <w:tcW w:w="5000" w:type="pct"/>
            <w:vAlign w:val="center"/>
          </w:tcPr>
          <w:p w:rsidR="00D65CDD" w:rsidRPr="006F4C57" w:rsidRDefault="00D65CDD" w:rsidP="00D02B13">
            <w:pPr>
              <w:rPr>
                <w:rFonts w:ascii="Arial Narrow" w:hAnsi="Arial Narrow"/>
                <w:b/>
                <w:bCs/>
                <w:sz w:val="18"/>
                <w:szCs w:val="18"/>
              </w:rPr>
            </w:pPr>
            <w:r w:rsidRPr="006F4C57">
              <w:rPr>
                <w:rFonts w:ascii="Arial Narrow" w:hAnsi="Arial Narrow"/>
                <w:b/>
                <w:bCs/>
                <w:sz w:val="18"/>
                <w:szCs w:val="18"/>
              </w:rPr>
              <w:t xml:space="preserve">Severity: </w:t>
            </w:r>
            <w:r w:rsidRPr="006F4C57">
              <w:rPr>
                <w:rFonts w:ascii="Arial Narrow" w:hAnsi="Arial Narrow"/>
                <w:sz w:val="18"/>
                <w:szCs w:val="18"/>
              </w:rPr>
              <w:t>Severe</w:t>
            </w:r>
          </w:p>
        </w:tc>
      </w:tr>
      <w:tr w:rsidR="00D65CDD" w:rsidRPr="006F4C57" w:rsidTr="00D65CDD">
        <w:tc>
          <w:tcPr>
            <w:tcW w:w="5000" w:type="pct"/>
            <w:vAlign w:val="center"/>
          </w:tcPr>
          <w:p w:rsidR="00D65CDD" w:rsidRPr="006F4C57" w:rsidRDefault="00D65CDD" w:rsidP="00D02B13">
            <w:pPr>
              <w:rPr>
                <w:rFonts w:ascii="Arial Narrow" w:hAnsi="Arial Narrow"/>
                <w:b/>
                <w:bCs/>
                <w:sz w:val="18"/>
                <w:szCs w:val="18"/>
              </w:rPr>
            </w:pPr>
            <w:r w:rsidRPr="006F4C57">
              <w:rPr>
                <w:rFonts w:ascii="Arial Narrow" w:hAnsi="Arial Narrow"/>
                <w:b/>
                <w:bCs/>
                <w:sz w:val="18"/>
                <w:szCs w:val="18"/>
              </w:rPr>
              <w:t xml:space="preserve">Condition: </w:t>
            </w:r>
            <w:r w:rsidRPr="006F4C57">
              <w:rPr>
                <w:rFonts w:ascii="Arial Narrow" w:hAnsi="Arial Narrow"/>
                <w:sz w:val="18"/>
                <w:szCs w:val="18"/>
              </w:rPr>
              <w:t>Crohn’s disease</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b/>
                <w:bCs/>
                <w:sz w:val="18"/>
                <w:szCs w:val="18"/>
              </w:rPr>
              <w:t>Indication:</w:t>
            </w:r>
            <w:r w:rsidRPr="006F4C57">
              <w:rPr>
                <w:rFonts w:ascii="Arial Narrow" w:hAnsi="Arial Narrow"/>
                <w:sz w:val="18"/>
                <w:szCs w:val="18"/>
              </w:rPr>
              <w:t xml:space="preserve"> Severe Crohn’s disease</w:t>
            </w:r>
          </w:p>
        </w:tc>
      </w:tr>
      <w:tr w:rsidR="00D65CDD" w:rsidRPr="006F4C57" w:rsidTr="00D65CDD">
        <w:tc>
          <w:tcPr>
            <w:tcW w:w="5000" w:type="pct"/>
            <w:vAlign w:val="center"/>
            <w:hideMark/>
          </w:tcPr>
          <w:p w:rsidR="00D65CDD" w:rsidRPr="006F4C57" w:rsidRDefault="00D65CDD" w:rsidP="00D02B13">
            <w:pPr>
              <w:rPr>
                <w:rFonts w:ascii="Arial Narrow" w:hAnsi="Arial Narrow"/>
                <w:i/>
                <w:sz w:val="18"/>
                <w:szCs w:val="18"/>
              </w:rPr>
            </w:pPr>
            <w:r w:rsidRPr="006F4C57">
              <w:rPr>
                <w:rFonts w:ascii="Arial Narrow" w:hAnsi="Arial Narrow"/>
                <w:b/>
                <w:bCs/>
                <w:sz w:val="18"/>
                <w:szCs w:val="18"/>
              </w:rPr>
              <w:t>Treatment Phase:</w:t>
            </w:r>
            <w:r w:rsidRPr="006F4C57">
              <w:rPr>
                <w:rFonts w:ascii="Arial Narrow" w:hAnsi="Arial Narrow"/>
                <w:sz w:val="18"/>
                <w:szCs w:val="18"/>
              </w:rPr>
              <w:t xml:space="preserve"> Continuing treatment with subcutaneous form or switching from intravenous form to subcutaneous form</w:t>
            </w:r>
          </w:p>
        </w:tc>
      </w:tr>
      <w:tr w:rsidR="00D65CDD" w:rsidRPr="006F4C57" w:rsidTr="00D65CDD">
        <w:tc>
          <w:tcPr>
            <w:tcW w:w="5000" w:type="pct"/>
            <w:vAlign w:val="center"/>
          </w:tcPr>
          <w:p w:rsidR="00D65CDD" w:rsidRPr="006F4C57" w:rsidRDefault="00D65CDD" w:rsidP="00D02B13">
            <w:pPr>
              <w:rPr>
                <w:rFonts w:ascii="Arial Narrow" w:hAnsi="Arial Narrow"/>
                <w:b/>
                <w:bCs/>
                <w:sz w:val="18"/>
                <w:szCs w:val="18"/>
              </w:rPr>
            </w:pPr>
            <w:r w:rsidRPr="006F4C57">
              <w:rPr>
                <w:rFonts w:ascii="Arial Narrow" w:hAnsi="Arial Narrow"/>
                <w:b/>
                <w:bCs/>
                <w:sz w:val="18"/>
                <w:szCs w:val="18"/>
              </w:rPr>
              <w:t>Treatment criteria:</w:t>
            </w:r>
          </w:p>
        </w:tc>
      </w:tr>
      <w:tr w:rsidR="00D65CDD" w:rsidRPr="006F4C57" w:rsidTr="00D65CDD">
        <w:tc>
          <w:tcPr>
            <w:tcW w:w="5000" w:type="pct"/>
            <w:vAlign w:val="center"/>
          </w:tcPr>
          <w:p w:rsidR="00D65CDD" w:rsidRPr="006F4C57" w:rsidRDefault="00D65CDD" w:rsidP="00D02B13">
            <w:pPr>
              <w:rPr>
                <w:rFonts w:ascii="Arial Narrow" w:hAnsi="Arial Narrow"/>
                <w:b/>
                <w:bCs/>
                <w:sz w:val="18"/>
                <w:szCs w:val="18"/>
              </w:rPr>
            </w:pPr>
            <w:r w:rsidRPr="006F4C57">
              <w:rPr>
                <w:rFonts w:ascii="Arial Narrow" w:hAnsi="Arial Narrow"/>
                <w:bCs/>
                <w:sz w:val="18"/>
                <w:szCs w:val="18"/>
              </w:rPr>
              <w:t>Must be treated by a gastroenterologist; or</w:t>
            </w:r>
          </w:p>
        </w:tc>
      </w:tr>
      <w:tr w:rsidR="00D65CDD" w:rsidRPr="006F4C57" w:rsidTr="00D65CDD">
        <w:tc>
          <w:tcPr>
            <w:tcW w:w="5000" w:type="pct"/>
            <w:vAlign w:val="center"/>
          </w:tcPr>
          <w:p w:rsidR="00D65CDD" w:rsidRPr="006F4C57" w:rsidRDefault="00D65CDD" w:rsidP="00D02B13">
            <w:pPr>
              <w:rPr>
                <w:rFonts w:ascii="Arial Narrow" w:hAnsi="Arial Narrow"/>
                <w:b/>
                <w:bCs/>
                <w:sz w:val="18"/>
                <w:szCs w:val="18"/>
              </w:rPr>
            </w:pPr>
            <w:r w:rsidRPr="006F4C57">
              <w:rPr>
                <w:rFonts w:ascii="Arial Narrow" w:hAnsi="Arial Narrow"/>
                <w:bCs/>
                <w:sz w:val="18"/>
                <w:szCs w:val="18"/>
              </w:rPr>
              <w:t>Must be treated by a consultant physician [internal medicine specialising in gastroenterology]; or</w:t>
            </w:r>
          </w:p>
        </w:tc>
      </w:tr>
      <w:tr w:rsidR="00D65CDD" w:rsidRPr="006F4C57" w:rsidTr="00D65CDD">
        <w:tc>
          <w:tcPr>
            <w:tcW w:w="5000" w:type="pct"/>
            <w:vAlign w:val="center"/>
          </w:tcPr>
          <w:p w:rsidR="00D65CDD" w:rsidRPr="006F4C57" w:rsidRDefault="00D65CDD" w:rsidP="00D02B13">
            <w:pPr>
              <w:rPr>
                <w:rFonts w:ascii="Arial Narrow" w:hAnsi="Arial Narrow"/>
                <w:b/>
                <w:bCs/>
                <w:sz w:val="18"/>
                <w:szCs w:val="18"/>
              </w:rPr>
            </w:pPr>
            <w:r w:rsidRPr="006F4C57">
              <w:rPr>
                <w:rFonts w:ascii="Arial Narrow" w:hAnsi="Arial Narrow"/>
                <w:bCs/>
                <w:sz w:val="18"/>
                <w:szCs w:val="18"/>
              </w:rPr>
              <w:t>Must be treated by a consultant physician [general medicine specialising in gastroenterology]</w:t>
            </w:r>
          </w:p>
        </w:tc>
      </w:tr>
      <w:tr w:rsidR="00D65CDD" w:rsidRPr="006F4C57" w:rsidTr="00D65CDD">
        <w:tc>
          <w:tcPr>
            <w:tcW w:w="5000" w:type="pct"/>
            <w:vAlign w:val="center"/>
          </w:tcPr>
          <w:p w:rsidR="00D65CDD" w:rsidRPr="006F4C57" w:rsidRDefault="00D65CDD" w:rsidP="00D02B13">
            <w:pPr>
              <w:rPr>
                <w:rFonts w:ascii="Arial Narrow" w:hAnsi="Arial Narrow"/>
                <w:b/>
                <w:bCs/>
                <w:sz w:val="18"/>
                <w:szCs w:val="18"/>
              </w:rPr>
            </w:pPr>
            <w:r w:rsidRPr="006F4C57">
              <w:rPr>
                <w:rFonts w:ascii="Arial Narrow" w:hAnsi="Arial Narrow"/>
                <w:b/>
                <w:bCs/>
                <w:sz w:val="18"/>
                <w:szCs w:val="18"/>
              </w:rPr>
              <w:t>AND</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b/>
                <w:bCs/>
                <w:sz w:val="18"/>
                <w:szCs w:val="18"/>
              </w:rPr>
              <w:t>Clinical criteria:</w:t>
            </w:r>
          </w:p>
        </w:tc>
      </w:tr>
      <w:tr w:rsidR="00D65CDD" w:rsidRPr="006F4C57" w:rsidTr="00D65CDD">
        <w:tc>
          <w:tcPr>
            <w:tcW w:w="5000" w:type="pct"/>
            <w:hideMark/>
          </w:tcPr>
          <w:p w:rsidR="00D65CDD" w:rsidRPr="006F4C57" w:rsidRDefault="00D65CDD" w:rsidP="00161900">
            <w:pPr>
              <w:rPr>
                <w:rFonts w:ascii="Arial Narrow" w:hAnsi="Arial Narrow"/>
                <w:sz w:val="18"/>
                <w:szCs w:val="18"/>
              </w:rPr>
            </w:pPr>
            <w:r w:rsidRPr="006F4C57">
              <w:rPr>
                <w:rFonts w:ascii="Arial Narrow" w:hAnsi="Arial Narrow"/>
                <w:sz w:val="18"/>
                <w:szCs w:val="18"/>
              </w:rPr>
              <w:t>Patient must have received this drug as their most recent course of PBS-subsidised biological medicine treatment for this condition; OR</w:t>
            </w:r>
          </w:p>
        </w:tc>
      </w:tr>
      <w:tr w:rsidR="00D65CDD" w:rsidRPr="006F4C57" w:rsidTr="00D65CDD">
        <w:tc>
          <w:tcPr>
            <w:tcW w:w="5000" w:type="pct"/>
            <w:vAlign w:val="center"/>
            <w:hideMark/>
          </w:tcPr>
          <w:p w:rsidR="00D65CDD" w:rsidRPr="006F4C57" w:rsidRDefault="00D65CDD" w:rsidP="00410378">
            <w:pPr>
              <w:rPr>
                <w:rFonts w:ascii="Arial Narrow" w:hAnsi="Arial Narrow"/>
                <w:sz w:val="18"/>
                <w:szCs w:val="18"/>
              </w:rPr>
            </w:pPr>
            <w:r w:rsidRPr="006F4C57">
              <w:rPr>
                <w:rFonts w:ascii="Arial Narrow" w:hAnsi="Arial Narrow"/>
                <w:b/>
                <w:bCs/>
                <w:sz w:val="18"/>
                <w:szCs w:val="18"/>
              </w:rPr>
              <w:t>Clinical criteria:</w:t>
            </w:r>
          </w:p>
        </w:tc>
      </w:tr>
      <w:tr w:rsidR="00D65CDD" w:rsidRPr="006F4C57" w:rsidTr="00D65CDD">
        <w:tc>
          <w:tcPr>
            <w:tcW w:w="5000" w:type="pct"/>
            <w:vAlign w:val="center"/>
          </w:tcPr>
          <w:p w:rsidR="00D65CDD" w:rsidRPr="006F4C57" w:rsidRDefault="00D65CDD" w:rsidP="00410378">
            <w:pPr>
              <w:rPr>
                <w:rFonts w:ascii="Arial Narrow" w:hAnsi="Arial Narrow"/>
                <w:bCs/>
                <w:sz w:val="18"/>
                <w:szCs w:val="18"/>
              </w:rPr>
            </w:pPr>
            <w:r w:rsidRPr="006F4C57">
              <w:rPr>
                <w:rFonts w:ascii="Arial Narrow" w:hAnsi="Arial Narrow"/>
                <w:bCs/>
                <w:sz w:val="18"/>
                <w:szCs w:val="18"/>
              </w:rPr>
              <w:t>Patient must have received this drug in the intravenous form as their most recent course of PBS-subsidised biological medicine for this condition under the vedolizumab intravenous form continuing restriction</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b/>
                <w:bCs/>
                <w:sz w:val="18"/>
                <w:szCs w:val="18"/>
              </w:rPr>
              <w:t>AND</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b/>
                <w:bCs/>
                <w:sz w:val="18"/>
                <w:szCs w:val="18"/>
              </w:rPr>
              <w:t>Clinical criteria:</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sz w:val="18"/>
                <w:szCs w:val="18"/>
              </w:rPr>
              <w:t>Patient must not receive more than 24 weeks of treatment under this restriction</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b/>
                <w:bCs/>
                <w:sz w:val="18"/>
                <w:szCs w:val="18"/>
              </w:rPr>
              <w:t>AND</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b/>
                <w:bCs/>
                <w:sz w:val="18"/>
                <w:szCs w:val="18"/>
              </w:rPr>
              <w:t>Clinical criteria:</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sz w:val="18"/>
                <w:szCs w:val="18"/>
              </w:rPr>
              <w:t>Patient must be appropriately assessed for the risk of developing progressive multifocal leukoencephalopathy whilst on this treatment,</w:t>
            </w:r>
          </w:p>
        </w:tc>
      </w:tr>
      <w:tr w:rsidR="00D65CDD" w:rsidRPr="006F4C57" w:rsidTr="00D65CDD">
        <w:tc>
          <w:tcPr>
            <w:tcW w:w="5000" w:type="pct"/>
            <w:vAlign w:val="center"/>
          </w:tcPr>
          <w:p w:rsidR="00D65CDD" w:rsidRPr="006F4C57" w:rsidRDefault="00D65CDD" w:rsidP="00D02B13">
            <w:pPr>
              <w:rPr>
                <w:rFonts w:ascii="Arial Narrow" w:hAnsi="Arial Narrow"/>
                <w:sz w:val="18"/>
                <w:szCs w:val="18"/>
              </w:rPr>
            </w:pPr>
            <w:r w:rsidRPr="006F4C57">
              <w:rPr>
                <w:rFonts w:ascii="Arial Narrow" w:hAnsi="Arial Narrow"/>
                <w:b/>
                <w:bCs/>
                <w:sz w:val="18"/>
                <w:szCs w:val="18"/>
              </w:rPr>
              <w:t>AND</w:t>
            </w:r>
          </w:p>
        </w:tc>
      </w:tr>
      <w:tr w:rsidR="00D65CDD" w:rsidRPr="006F4C57" w:rsidTr="00D65CDD">
        <w:tc>
          <w:tcPr>
            <w:tcW w:w="5000" w:type="pct"/>
            <w:vAlign w:val="center"/>
          </w:tcPr>
          <w:p w:rsidR="00D65CDD" w:rsidRPr="006F4C57" w:rsidRDefault="00D65CDD" w:rsidP="00D02B13">
            <w:pPr>
              <w:rPr>
                <w:rFonts w:ascii="Arial Narrow" w:hAnsi="Arial Narrow"/>
                <w:sz w:val="18"/>
                <w:szCs w:val="18"/>
              </w:rPr>
            </w:pPr>
            <w:r w:rsidRPr="006F4C57">
              <w:rPr>
                <w:rFonts w:ascii="Arial Narrow" w:hAnsi="Arial Narrow"/>
                <w:b/>
                <w:bCs/>
                <w:sz w:val="18"/>
                <w:szCs w:val="18"/>
              </w:rPr>
              <w:t>Clinical criteria:</w:t>
            </w:r>
          </w:p>
        </w:tc>
      </w:tr>
      <w:tr w:rsidR="00D65CDD" w:rsidRPr="006F4C57" w:rsidTr="00D65CDD">
        <w:trPr>
          <w:trHeight w:val="227"/>
        </w:trPr>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sz w:val="18"/>
                <w:szCs w:val="18"/>
              </w:rPr>
              <w:t xml:space="preserve">Patient must have an adequate response to this drug defined as a reduction in Crohn’s Disease Activity Index (CDAI) Score to a level no greater than 150 if assessed by CDAI or if affected by extensive small intestine disease; </w:t>
            </w:r>
          </w:p>
        </w:tc>
      </w:tr>
      <w:tr w:rsidR="00D65CDD" w:rsidRPr="006F4C57" w:rsidTr="00D65CDD">
        <w:trPr>
          <w:trHeight w:val="113"/>
        </w:trPr>
        <w:tc>
          <w:tcPr>
            <w:tcW w:w="5000" w:type="pct"/>
            <w:vAlign w:val="center"/>
          </w:tcPr>
          <w:p w:rsidR="00D65CDD" w:rsidRPr="006F4C57" w:rsidRDefault="00D65CDD" w:rsidP="00D02B13">
            <w:pPr>
              <w:rPr>
                <w:lang w:eastAsia="en-GB"/>
              </w:rPr>
            </w:pPr>
            <w:r w:rsidRPr="006F4C57">
              <w:rPr>
                <w:rFonts w:ascii="Arial Narrow" w:hAnsi="Arial Narrow"/>
                <w:b/>
                <w:bCs/>
                <w:sz w:val="18"/>
                <w:szCs w:val="18"/>
              </w:rPr>
              <w:t>OR</w:t>
            </w:r>
          </w:p>
        </w:tc>
      </w:tr>
      <w:tr w:rsidR="00D65CDD" w:rsidRPr="006F4C57" w:rsidTr="00D65CDD">
        <w:tc>
          <w:tcPr>
            <w:tcW w:w="5000" w:type="pct"/>
            <w:vAlign w:val="center"/>
          </w:tcPr>
          <w:p w:rsidR="00D65CDD" w:rsidRPr="006F4C57" w:rsidRDefault="00D65CDD" w:rsidP="00D02B13">
            <w:pPr>
              <w:rPr>
                <w:lang w:eastAsia="en-GB"/>
              </w:rPr>
            </w:pPr>
            <w:r w:rsidRPr="006F4C57">
              <w:rPr>
                <w:rFonts w:ascii="Arial Narrow" w:hAnsi="Arial Narrow"/>
                <w:b/>
                <w:bCs/>
                <w:sz w:val="18"/>
                <w:szCs w:val="18"/>
              </w:rPr>
              <w:t>Clinical criteria:</w:t>
            </w:r>
          </w:p>
        </w:tc>
      </w:tr>
      <w:tr w:rsidR="00D65CDD" w:rsidRPr="006F4C57" w:rsidTr="00D65CDD">
        <w:tc>
          <w:tcPr>
            <w:tcW w:w="5000" w:type="pct"/>
            <w:vAlign w:val="center"/>
          </w:tcPr>
          <w:p w:rsidR="00D65CDD" w:rsidRPr="006F4C57" w:rsidRDefault="00D65CDD" w:rsidP="00D02B13">
            <w:pPr>
              <w:rPr>
                <w:rFonts w:ascii="Arial Narrow" w:hAnsi="Arial Narrow"/>
                <w:sz w:val="18"/>
                <w:szCs w:val="18"/>
              </w:rPr>
            </w:pPr>
            <w:r w:rsidRPr="006F4C57">
              <w:rPr>
                <w:rFonts w:ascii="Arial Narrow" w:hAnsi="Arial Narrow"/>
                <w:sz w:val="18"/>
                <w:szCs w:val="18"/>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disease or is an ostomy patient.</w:t>
            </w:r>
          </w:p>
        </w:tc>
      </w:tr>
      <w:tr w:rsidR="00D65CDD" w:rsidRPr="006F4C57" w:rsidTr="00D65CDD">
        <w:tc>
          <w:tcPr>
            <w:tcW w:w="5000" w:type="pct"/>
            <w:vAlign w:val="center"/>
          </w:tcPr>
          <w:p w:rsidR="00D65CDD" w:rsidRPr="006F4C57" w:rsidRDefault="00D65CDD" w:rsidP="00D02B13">
            <w:pPr>
              <w:rPr>
                <w:rFonts w:ascii="Arial Narrow" w:hAnsi="Arial Narrow"/>
                <w:sz w:val="18"/>
                <w:szCs w:val="18"/>
              </w:rPr>
            </w:pPr>
            <w:r w:rsidRPr="006F4C57">
              <w:rPr>
                <w:rFonts w:ascii="Arial Narrow" w:hAnsi="Arial Narrow"/>
                <w:b/>
                <w:bCs/>
                <w:sz w:val="18"/>
                <w:szCs w:val="18"/>
              </w:rPr>
              <w:t xml:space="preserve">Population criteria: </w:t>
            </w:r>
          </w:p>
        </w:tc>
      </w:tr>
      <w:tr w:rsidR="00D65CDD" w:rsidRPr="006F4C57" w:rsidTr="00D65CDD">
        <w:tc>
          <w:tcPr>
            <w:tcW w:w="5000" w:type="pct"/>
            <w:vAlign w:val="center"/>
            <w:hideMark/>
          </w:tcPr>
          <w:p w:rsidR="00D65CDD" w:rsidRPr="006F4C57" w:rsidRDefault="00D65CDD" w:rsidP="00D02B13">
            <w:pPr>
              <w:rPr>
                <w:rFonts w:ascii="Arial Narrow" w:hAnsi="Arial Narrow"/>
                <w:sz w:val="18"/>
                <w:szCs w:val="18"/>
              </w:rPr>
            </w:pPr>
            <w:r w:rsidRPr="006F4C57">
              <w:rPr>
                <w:rFonts w:ascii="Arial Narrow" w:hAnsi="Arial Narrow"/>
                <w:sz w:val="18"/>
                <w:szCs w:val="18"/>
              </w:rPr>
              <w:t>Patient must be aged 18 years or older.</w:t>
            </w:r>
          </w:p>
        </w:tc>
      </w:tr>
      <w:tr w:rsidR="00D65CDD" w:rsidRPr="006F4C57" w:rsidTr="00D65CDD">
        <w:tc>
          <w:tcPr>
            <w:tcW w:w="5000" w:type="pct"/>
            <w:vAlign w:val="center"/>
            <w:hideMark/>
          </w:tcPr>
          <w:p w:rsidR="00D65CDD" w:rsidRPr="006F4C57" w:rsidRDefault="00D65CDD" w:rsidP="00410378">
            <w:pPr>
              <w:rPr>
                <w:rFonts w:ascii="Arial Narrow" w:hAnsi="Arial Narrow"/>
                <w:sz w:val="18"/>
                <w:szCs w:val="18"/>
              </w:rPr>
            </w:pPr>
            <w:r w:rsidRPr="006F4C57">
              <w:rPr>
                <w:rFonts w:ascii="Arial Narrow" w:hAnsi="Arial Narrow"/>
                <w:b/>
                <w:bCs/>
                <w:sz w:val="18"/>
                <w:szCs w:val="18"/>
              </w:rPr>
              <w:t>Prescribing Instructions:</w:t>
            </w:r>
          </w:p>
          <w:p w:rsidR="00D65CDD" w:rsidRPr="006F4C57" w:rsidRDefault="00D65CDD" w:rsidP="00410378">
            <w:pPr>
              <w:spacing w:after="150" w:line="300" w:lineRule="atLeast"/>
              <w:rPr>
                <w:rFonts w:ascii="Arial Narrow" w:hAnsi="Arial Narrow" w:cs="Arial Narrow"/>
                <w:iCs/>
                <w:sz w:val="18"/>
                <w:szCs w:val="18"/>
              </w:rPr>
            </w:pPr>
            <w:r w:rsidRPr="006F4C57">
              <w:rPr>
                <w:rFonts w:ascii="Arial Narrow" w:hAnsi="Arial Narrow" w:cs="Arial Narrow"/>
                <w:iCs/>
                <w:sz w:val="18"/>
                <w:szCs w:val="18"/>
              </w:rPr>
              <w:t>Applications for authorisation must be made in writing and must include:</w:t>
            </w:r>
          </w:p>
          <w:p w:rsidR="00D65CDD" w:rsidRPr="006F4C57" w:rsidRDefault="00D65CDD" w:rsidP="00410378">
            <w:pPr>
              <w:rPr>
                <w:rFonts w:ascii="Arial Narrow" w:hAnsi="Arial Narrow" w:cs="Arial Narrow"/>
                <w:iCs/>
                <w:sz w:val="18"/>
                <w:szCs w:val="18"/>
              </w:rPr>
            </w:pPr>
            <w:r w:rsidRPr="006F4C57">
              <w:rPr>
                <w:rFonts w:ascii="Arial Narrow" w:hAnsi="Arial Narrow" w:cs="Arial Narrow"/>
                <w:iCs/>
                <w:sz w:val="18"/>
                <w:szCs w:val="18"/>
              </w:rPr>
              <w:t>(a) a completed authority prescription form; and</w:t>
            </w:r>
          </w:p>
          <w:p w:rsidR="00D65CDD" w:rsidRPr="006F4C57" w:rsidRDefault="00D65CDD" w:rsidP="00410378">
            <w:pPr>
              <w:rPr>
                <w:rFonts w:ascii="Arial Narrow" w:hAnsi="Arial Narrow" w:cs="Arial Narrow"/>
                <w:iCs/>
                <w:sz w:val="18"/>
                <w:szCs w:val="18"/>
              </w:rPr>
            </w:pPr>
            <w:r w:rsidRPr="006F4C57">
              <w:rPr>
                <w:rFonts w:ascii="Arial Narrow" w:hAnsi="Arial Narrow" w:cs="Arial Narrow"/>
                <w:iCs/>
                <w:sz w:val="18"/>
                <w:szCs w:val="18"/>
              </w:rPr>
              <w:t>(b) a completed Crohn Di</w:t>
            </w:r>
            <w:r>
              <w:rPr>
                <w:rFonts w:ascii="Arial Narrow" w:hAnsi="Arial Narrow" w:cs="Arial Narrow"/>
                <w:iCs/>
                <w:sz w:val="18"/>
                <w:szCs w:val="18"/>
              </w:rPr>
              <w:t>sease PBS Authority Application</w:t>
            </w:r>
            <w:r w:rsidRPr="006F4C57">
              <w:rPr>
                <w:rFonts w:ascii="Arial Narrow" w:hAnsi="Arial Narrow" w:cs="Arial Narrow"/>
                <w:iCs/>
                <w:sz w:val="18"/>
                <w:szCs w:val="18"/>
              </w:rPr>
              <w:t xml:space="preserve"> Form which includes the following: </w:t>
            </w:r>
          </w:p>
          <w:p w:rsidR="00D65CDD" w:rsidRPr="006F4C57" w:rsidRDefault="00D65CDD" w:rsidP="00410378">
            <w:pPr>
              <w:rPr>
                <w:rFonts w:ascii="Arial Narrow" w:hAnsi="Arial Narrow" w:cs="Arial Narrow"/>
                <w:iCs/>
                <w:sz w:val="18"/>
                <w:szCs w:val="18"/>
              </w:rPr>
            </w:pPr>
            <w:r w:rsidRPr="006F4C57">
              <w:rPr>
                <w:rFonts w:ascii="Arial Narrow" w:hAnsi="Arial Narrow" w:cs="Arial Narrow"/>
                <w:iCs/>
                <w:sz w:val="18"/>
                <w:szCs w:val="18"/>
              </w:rPr>
              <w:t xml:space="preserve">(i) the completed Crohn Disease Activity Index (CDAI) Score calculation sheet including the date of the assessment of the patient's condition, if relevant; or </w:t>
            </w:r>
          </w:p>
          <w:p w:rsidR="00D65CDD" w:rsidRPr="006F4C57" w:rsidRDefault="00D65CDD" w:rsidP="00410378">
            <w:pPr>
              <w:rPr>
                <w:rFonts w:ascii="Arial Narrow" w:hAnsi="Arial Narrow" w:cs="Arial Narrow"/>
                <w:iCs/>
                <w:sz w:val="18"/>
                <w:szCs w:val="18"/>
              </w:rPr>
            </w:pPr>
            <w:r w:rsidRPr="006F4C57">
              <w:rPr>
                <w:rFonts w:ascii="Arial Narrow" w:hAnsi="Arial Narrow" w:cs="Arial Narrow"/>
                <w:iCs/>
                <w:sz w:val="18"/>
                <w:szCs w:val="18"/>
              </w:rPr>
              <w:t xml:space="preserve">(ii) the reports and dates of the pathology test or diagnostic imaging test(s) used to assess response to therapy for patients with short gut syndrome, extensive small intestine disease or an ostomy, if relevant; and </w:t>
            </w:r>
          </w:p>
          <w:p w:rsidR="00D65CDD" w:rsidRPr="006F4C57" w:rsidRDefault="00D65CDD" w:rsidP="00410378">
            <w:pPr>
              <w:rPr>
                <w:rFonts w:ascii="Arial Narrow" w:hAnsi="Arial Narrow" w:cs="Arial Narrow"/>
                <w:iCs/>
                <w:sz w:val="18"/>
                <w:szCs w:val="18"/>
              </w:rPr>
            </w:pPr>
            <w:r w:rsidRPr="006F4C57">
              <w:rPr>
                <w:rFonts w:ascii="Arial Narrow" w:hAnsi="Arial Narrow" w:cs="Arial Narrow"/>
                <w:iCs/>
                <w:sz w:val="18"/>
                <w:szCs w:val="18"/>
              </w:rPr>
              <w:t>(iii) the date of clinical assessment.</w:t>
            </w:r>
          </w:p>
          <w:p w:rsidR="00D65CDD" w:rsidRPr="006F4C57" w:rsidRDefault="00D65CDD" w:rsidP="00410378">
            <w:pPr>
              <w:rPr>
                <w:rFonts w:ascii="Arial Narrow" w:hAnsi="Arial Narrow"/>
                <w:sz w:val="18"/>
                <w:szCs w:val="18"/>
              </w:rPr>
            </w:pPr>
          </w:p>
        </w:tc>
      </w:tr>
      <w:tr w:rsidR="00D65CDD" w:rsidRPr="006F4C57" w:rsidTr="00D65CDD">
        <w:tc>
          <w:tcPr>
            <w:tcW w:w="5000" w:type="pct"/>
            <w:vAlign w:val="center"/>
          </w:tcPr>
          <w:p w:rsidR="00D65CDD" w:rsidRPr="006F4C57" w:rsidRDefault="00D65CDD" w:rsidP="00410378">
            <w:pPr>
              <w:rPr>
                <w:rFonts w:ascii="Arial Narrow" w:hAnsi="Arial Narrow"/>
                <w:sz w:val="18"/>
                <w:szCs w:val="18"/>
              </w:rPr>
            </w:pPr>
            <w:r w:rsidRPr="006F4C57">
              <w:rPr>
                <w:rFonts w:ascii="Arial Narrow" w:hAnsi="Arial Narrow"/>
                <w:b/>
                <w:bCs/>
                <w:sz w:val="18"/>
                <w:szCs w:val="18"/>
              </w:rPr>
              <w:t>Prescribing Instructions:</w:t>
            </w:r>
          </w:p>
        </w:tc>
      </w:tr>
      <w:tr w:rsidR="00D65CDD" w:rsidRPr="006F4C57" w:rsidTr="00D65CDD">
        <w:tc>
          <w:tcPr>
            <w:tcW w:w="5000" w:type="pct"/>
            <w:vAlign w:val="center"/>
          </w:tcPr>
          <w:p w:rsidR="00D65CDD" w:rsidRPr="006F4C57" w:rsidRDefault="00D65CDD" w:rsidP="00410378">
            <w:pPr>
              <w:rPr>
                <w:rFonts w:ascii="Arial Narrow" w:hAnsi="Arial Narrow" w:cs="Open Sans"/>
                <w:bCs/>
                <w:sz w:val="18"/>
                <w:szCs w:val="18"/>
                <w:bdr w:val="none" w:sz="0" w:space="0" w:color="auto" w:frame="1"/>
              </w:rPr>
            </w:pPr>
            <w:r w:rsidRPr="006F4C57">
              <w:rPr>
                <w:rFonts w:ascii="Arial Narrow" w:hAnsi="Arial Narrow" w:cs="Open Sans"/>
                <w:bCs/>
                <w:sz w:val="18"/>
                <w:szCs w:val="18"/>
                <w:bdr w:val="none" w:sz="0" w:space="0" w:color="auto" w:frame="1"/>
              </w:rPr>
              <w:t>An application for the continuing treatment must be accompanied with the assessment of response conducted following a minimum of 12 weeks of therapy</w:t>
            </w:r>
            <w:r>
              <w:rPr>
                <w:rFonts w:ascii="Arial Narrow" w:hAnsi="Arial Narrow" w:cs="Open Sans"/>
                <w:bCs/>
                <w:sz w:val="18"/>
                <w:szCs w:val="18"/>
                <w:bdr w:val="none" w:sz="0" w:space="0" w:color="auto" w:frame="1"/>
              </w:rPr>
              <w:t xml:space="preserve"> and no later than 4 weeks </w:t>
            </w:r>
            <w:r w:rsidRPr="00BF6100">
              <w:rPr>
                <w:rFonts w:ascii="Arial Narrow" w:hAnsi="Arial Narrow" w:cs="Open Sans"/>
                <w:bCs/>
                <w:sz w:val="18"/>
                <w:szCs w:val="18"/>
                <w:bdr w:val="none" w:sz="0" w:space="0" w:color="auto" w:frame="1"/>
              </w:rPr>
              <w:t>from</w:t>
            </w:r>
            <w:r w:rsidRPr="00BF6100">
              <w:rPr>
                <w:rFonts w:ascii="Arial Narrow" w:hAnsi="Arial Narrow" w:cs="Arial Narrow"/>
                <w:iCs/>
                <w:sz w:val="18"/>
                <w:szCs w:val="18"/>
              </w:rPr>
              <w:t xml:space="preserve"> the date of completion of</w:t>
            </w:r>
            <w:r w:rsidRPr="006F4C57">
              <w:rPr>
                <w:rFonts w:ascii="Arial Narrow" w:hAnsi="Arial Narrow" w:cs="Open Sans"/>
                <w:bCs/>
                <w:sz w:val="18"/>
                <w:szCs w:val="18"/>
                <w:bdr w:val="none" w:sz="0" w:space="0" w:color="auto" w:frame="1"/>
              </w:rPr>
              <w:t xml:space="preserve"> treatment. This will enable ongoing treatment for those who meet the continuing restriction for PBS-subsidised treatment.</w:t>
            </w:r>
          </w:p>
        </w:tc>
      </w:tr>
      <w:tr w:rsidR="00D65CDD" w:rsidRPr="006F4C57" w:rsidTr="00D65CDD">
        <w:tc>
          <w:tcPr>
            <w:tcW w:w="5000" w:type="pct"/>
            <w:vAlign w:val="center"/>
          </w:tcPr>
          <w:p w:rsidR="00D65CDD" w:rsidRPr="006F4C57" w:rsidRDefault="00D65CDD" w:rsidP="00410378">
            <w:pPr>
              <w:jc w:val="left"/>
              <w:rPr>
                <w:rFonts w:ascii="Arial Narrow" w:hAnsi="Arial Narrow"/>
                <w:b/>
                <w:sz w:val="18"/>
                <w:szCs w:val="18"/>
              </w:rPr>
            </w:pPr>
            <w:r w:rsidRPr="006F4C57">
              <w:rPr>
                <w:rFonts w:ascii="Arial Narrow" w:hAnsi="Arial Narrow"/>
                <w:b/>
                <w:sz w:val="18"/>
                <w:szCs w:val="18"/>
              </w:rPr>
              <w:t>Prescribing Instructions:</w:t>
            </w:r>
          </w:p>
        </w:tc>
      </w:tr>
      <w:tr w:rsidR="00D65CDD" w:rsidRPr="006F4C57" w:rsidTr="00D65CDD">
        <w:tc>
          <w:tcPr>
            <w:tcW w:w="5000" w:type="pct"/>
            <w:vAlign w:val="center"/>
          </w:tcPr>
          <w:p w:rsidR="00D65CDD" w:rsidRPr="006F4C57" w:rsidRDefault="00D65CDD" w:rsidP="00410378">
            <w:pPr>
              <w:jc w:val="left"/>
              <w:rPr>
                <w:rFonts w:ascii="Arial Narrow" w:hAnsi="Arial Narrow"/>
                <w:sz w:val="18"/>
                <w:szCs w:val="18"/>
              </w:rPr>
            </w:pPr>
            <w:r w:rsidRPr="006F4C57">
              <w:rPr>
                <w:rFonts w:ascii="Arial Narrow" w:hAnsi="Arial Narrow"/>
                <w:sz w:val="18"/>
                <w:szCs w:val="18"/>
              </w:rPr>
              <w:t>Where a response ass</w:t>
            </w:r>
            <w:r>
              <w:rPr>
                <w:rFonts w:ascii="Arial Narrow" w:hAnsi="Arial Narrow"/>
                <w:sz w:val="18"/>
                <w:szCs w:val="18"/>
              </w:rPr>
              <w:t xml:space="preserve">essment is not conducted </w:t>
            </w:r>
            <w:r w:rsidRPr="00BF6100">
              <w:rPr>
                <w:rFonts w:ascii="Arial Narrow" w:hAnsi="Arial Narrow"/>
                <w:sz w:val="18"/>
                <w:szCs w:val="18"/>
              </w:rPr>
              <w:t>within</w:t>
            </w:r>
            <w:r w:rsidRPr="00BF6100">
              <w:rPr>
                <w:rFonts w:ascii="Arial Narrow" w:hAnsi="Arial Narrow" w:cs="Arial Narrow"/>
                <w:iCs/>
                <w:sz w:val="18"/>
                <w:szCs w:val="18"/>
              </w:rPr>
              <w:t xml:space="preserve"> the required</w:t>
            </w:r>
            <w:r w:rsidRPr="006F4C57">
              <w:rPr>
                <w:rFonts w:ascii="Arial Narrow" w:hAnsi="Arial Narrow" w:cs="Arial Narrow"/>
                <w:iCs/>
                <w:sz w:val="18"/>
                <w:szCs w:val="18"/>
              </w:rPr>
              <w:t xml:space="preserve"> </w:t>
            </w:r>
            <w:r w:rsidRPr="006F4C57">
              <w:rPr>
                <w:rFonts w:ascii="Arial Narrow" w:hAnsi="Arial Narrow"/>
                <w:sz w:val="18"/>
                <w:szCs w:val="18"/>
              </w:rPr>
              <w:t>timeframe, the patient will be deemed to have failed to respond to treatment with this drug, unless the patient has experienced a serious adverse reaction of a severity resulting in the necessity for permanent withdrawal of treatment.</w:t>
            </w:r>
          </w:p>
        </w:tc>
      </w:tr>
      <w:tr w:rsidR="00D65CDD" w:rsidRPr="006F4C57" w:rsidTr="00D65CDD">
        <w:tc>
          <w:tcPr>
            <w:tcW w:w="5000" w:type="pct"/>
            <w:vAlign w:val="center"/>
          </w:tcPr>
          <w:p w:rsidR="00D65CDD" w:rsidRPr="006F4C57" w:rsidRDefault="00D65CDD" w:rsidP="00410378">
            <w:pPr>
              <w:rPr>
                <w:rFonts w:ascii="Arial Narrow" w:hAnsi="Arial Narrow"/>
                <w:sz w:val="18"/>
                <w:szCs w:val="18"/>
              </w:rPr>
            </w:pPr>
            <w:r w:rsidRPr="006F4C57">
              <w:rPr>
                <w:rFonts w:ascii="Arial Narrow" w:hAnsi="Arial Narrow"/>
                <w:b/>
                <w:bCs/>
                <w:sz w:val="18"/>
                <w:szCs w:val="18"/>
              </w:rPr>
              <w:t>Prescribing Instructions:</w:t>
            </w:r>
          </w:p>
        </w:tc>
      </w:tr>
      <w:tr w:rsidR="00D65CDD" w:rsidRPr="006F4C57" w:rsidTr="00D65CDD">
        <w:tc>
          <w:tcPr>
            <w:tcW w:w="5000" w:type="pct"/>
            <w:vAlign w:val="center"/>
          </w:tcPr>
          <w:p w:rsidR="00D65CDD" w:rsidRPr="006F4C57" w:rsidRDefault="00D65CDD" w:rsidP="00410378">
            <w:pPr>
              <w:jc w:val="left"/>
              <w:rPr>
                <w:rFonts w:ascii="Arial Narrow" w:hAnsi="Arial Narrow"/>
                <w:sz w:val="18"/>
                <w:szCs w:val="18"/>
              </w:rPr>
            </w:pPr>
            <w:r w:rsidRPr="006F4C57">
              <w:rPr>
                <w:rFonts w:ascii="Arial Narrow" w:hAnsi="Arial Narrow"/>
                <w:sz w:val="18"/>
                <w:szCs w:val="18"/>
              </w:rPr>
              <w:t xml:space="preserve">If a patient fails to demonstrate a response to treatment with this drug they will not be eligible to receive further PBS-subsidised treatment with this drug for this </w:t>
            </w:r>
            <w:r w:rsidRPr="00BF6100">
              <w:rPr>
                <w:rFonts w:ascii="Arial Narrow" w:hAnsi="Arial Narrow"/>
                <w:sz w:val="18"/>
                <w:szCs w:val="18"/>
              </w:rPr>
              <w:t>condition in this treatment cycle.</w:t>
            </w:r>
            <w:r w:rsidRPr="006F4C57">
              <w:rPr>
                <w:rFonts w:ascii="Arial Narrow" w:hAnsi="Arial Narrow"/>
                <w:sz w:val="18"/>
                <w:szCs w:val="18"/>
              </w:rPr>
              <w:t xml:space="preserve"> Serious adverse reaction of a severity resulting in the necessity for permanent withdrawal of treatment is not considered as a treatment failure. </w:t>
            </w:r>
          </w:p>
        </w:tc>
      </w:tr>
      <w:tr w:rsidR="00D65CDD" w:rsidRPr="006F4C57" w:rsidTr="00D65CDD">
        <w:tc>
          <w:tcPr>
            <w:tcW w:w="5000" w:type="pct"/>
            <w:vAlign w:val="center"/>
          </w:tcPr>
          <w:p w:rsidR="00D65CDD" w:rsidRPr="006F4C57" w:rsidRDefault="00D65CDD" w:rsidP="00410378">
            <w:pPr>
              <w:rPr>
                <w:rFonts w:ascii="Arial Narrow" w:hAnsi="Arial Narrow"/>
                <w:sz w:val="18"/>
                <w:szCs w:val="18"/>
              </w:rPr>
            </w:pPr>
            <w:r w:rsidRPr="006F4C57">
              <w:rPr>
                <w:rFonts w:ascii="Arial Narrow" w:hAnsi="Arial Narrow"/>
                <w:b/>
                <w:bCs/>
                <w:sz w:val="18"/>
                <w:szCs w:val="18"/>
              </w:rPr>
              <w:t>Prescribing Instructions:</w:t>
            </w:r>
          </w:p>
        </w:tc>
      </w:tr>
      <w:tr w:rsidR="00D65CDD" w:rsidRPr="006F4C57" w:rsidTr="00D65CDD">
        <w:tc>
          <w:tcPr>
            <w:tcW w:w="5000" w:type="pct"/>
            <w:vAlign w:val="center"/>
          </w:tcPr>
          <w:p w:rsidR="00D65CDD" w:rsidRPr="006F4C57" w:rsidRDefault="00D65CDD" w:rsidP="00410378">
            <w:pPr>
              <w:jc w:val="left"/>
              <w:rPr>
                <w:rFonts w:ascii="Arial Narrow" w:hAnsi="Arial Narrow"/>
                <w:sz w:val="18"/>
                <w:szCs w:val="18"/>
              </w:rPr>
            </w:pPr>
            <w:r w:rsidRPr="006F4C57">
              <w:rPr>
                <w:rFonts w:ascii="Arial Narrow" w:hAnsi="Arial Narrow"/>
                <w:sz w:val="18"/>
                <w:szCs w:val="18"/>
              </w:rPr>
              <w:t xml:space="preserve">Patients are eligible to receive continuing treatment with this drug in courses of up to 24 weeks providing they continue to sustain the response. </w:t>
            </w:r>
          </w:p>
        </w:tc>
      </w:tr>
      <w:tr w:rsidR="00D65CDD" w:rsidRPr="006F4C57" w:rsidTr="00D65CDD">
        <w:tc>
          <w:tcPr>
            <w:tcW w:w="5000" w:type="pct"/>
            <w:vAlign w:val="center"/>
          </w:tcPr>
          <w:p w:rsidR="00D65CDD" w:rsidRPr="006F4C57" w:rsidRDefault="00D65CDD" w:rsidP="00410378">
            <w:pPr>
              <w:rPr>
                <w:rFonts w:ascii="Arial Narrow" w:hAnsi="Arial Narrow"/>
                <w:sz w:val="18"/>
                <w:szCs w:val="18"/>
              </w:rPr>
            </w:pPr>
            <w:r w:rsidRPr="006F4C57">
              <w:rPr>
                <w:rFonts w:ascii="Arial Narrow" w:hAnsi="Arial Narrow"/>
                <w:b/>
                <w:bCs/>
                <w:sz w:val="18"/>
                <w:szCs w:val="18"/>
              </w:rPr>
              <w:t>Prescribing Instructions:</w:t>
            </w:r>
          </w:p>
        </w:tc>
      </w:tr>
      <w:tr w:rsidR="00D65CDD" w:rsidRPr="006F4C57" w:rsidTr="00D65CDD">
        <w:tc>
          <w:tcPr>
            <w:tcW w:w="5000" w:type="pct"/>
            <w:vAlign w:val="center"/>
          </w:tcPr>
          <w:p w:rsidR="00D65CDD" w:rsidRPr="006F4C57" w:rsidRDefault="00D65CDD" w:rsidP="00410378">
            <w:pPr>
              <w:jc w:val="left"/>
              <w:rPr>
                <w:rFonts w:ascii="Arial Narrow" w:hAnsi="Arial Narrow"/>
                <w:sz w:val="18"/>
                <w:szCs w:val="18"/>
              </w:rPr>
            </w:pPr>
            <w:r w:rsidRPr="006F4C57">
              <w:rPr>
                <w:rFonts w:ascii="Arial Narrow" w:hAnsi="Arial Narrow"/>
                <w:sz w:val="18"/>
                <w:szCs w:val="18"/>
              </w:rP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tc>
      </w:tr>
      <w:tr w:rsidR="00D65CDD" w:rsidRPr="006F4C57" w:rsidTr="00D65CDD">
        <w:tc>
          <w:tcPr>
            <w:tcW w:w="5000" w:type="pct"/>
            <w:vAlign w:val="center"/>
          </w:tcPr>
          <w:p w:rsidR="00D65CDD" w:rsidRPr="006F4C57" w:rsidRDefault="00D65CDD" w:rsidP="00410378">
            <w:pPr>
              <w:rPr>
                <w:rFonts w:ascii="Arial Narrow" w:hAnsi="Arial Narrow"/>
                <w:sz w:val="18"/>
                <w:szCs w:val="18"/>
              </w:rPr>
            </w:pPr>
            <w:r w:rsidRPr="006F4C57">
              <w:rPr>
                <w:rFonts w:ascii="Arial Narrow" w:hAnsi="Arial Narrow"/>
                <w:b/>
                <w:bCs/>
                <w:sz w:val="18"/>
                <w:szCs w:val="18"/>
              </w:rPr>
              <w:t>Prescribing Instructions:</w:t>
            </w:r>
          </w:p>
        </w:tc>
      </w:tr>
      <w:tr w:rsidR="00D65CDD" w:rsidRPr="006F4C57" w:rsidTr="00D65CDD">
        <w:tc>
          <w:tcPr>
            <w:tcW w:w="5000" w:type="pct"/>
            <w:vAlign w:val="center"/>
          </w:tcPr>
          <w:p w:rsidR="00D65CDD" w:rsidRPr="006F4C57" w:rsidRDefault="00D65CDD" w:rsidP="00410378">
            <w:pPr>
              <w:jc w:val="left"/>
              <w:rPr>
                <w:rFonts w:ascii="Arial Narrow" w:hAnsi="Arial Narrow"/>
                <w:sz w:val="18"/>
                <w:szCs w:val="18"/>
              </w:rPr>
            </w:pPr>
            <w:r w:rsidRPr="006F4C57">
              <w:rPr>
                <w:rFonts w:ascii="Arial Narrow" w:hAnsi="Arial Narrow"/>
                <w:sz w:val="18"/>
                <w:szCs w:val="18"/>
              </w:rPr>
              <w:t xml:space="preserve">At the time of the authority application, medical practitioners should request sufficient quantity for up to 24 weeks of treatment under this restriction. </w:t>
            </w:r>
          </w:p>
        </w:tc>
      </w:tr>
      <w:tr w:rsidR="00D65CDD" w:rsidRPr="006F4C57" w:rsidTr="00D65CDD">
        <w:tc>
          <w:tcPr>
            <w:tcW w:w="5000" w:type="pct"/>
            <w:vAlign w:val="center"/>
          </w:tcPr>
          <w:p w:rsidR="00D65CDD" w:rsidRPr="006F4C57" w:rsidRDefault="00D65CDD" w:rsidP="00410378">
            <w:pPr>
              <w:rPr>
                <w:rFonts w:ascii="Arial Narrow" w:hAnsi="Arial Narrow"/>
                <w:sz w:val="18"/>
                <w:szCs w:val="18"/>
              </w:rPr>
            </w:pPr>
            <w:r w:rsidRPr="006F4C57">
              <w:rPr>
                <w:rFonts w:ascii="Arial Narrow" w:hAnsi="Arial Narrow"/>
                <w:b/>
                <w:bCs/>
                <w:sz w:val="18"/>
                <w:szCs w:val="18"/>
              </w:rPr>
              <w:t>Prescribing Instructions:</w:t>
            </w:r>
          </w:p>
        </w:tc>
      </w:tr>
      <w:tr w:rsidR="00D65CDD" w:rsidRPr="006F4C57" w:rsidTr="00D65CDD">
        <w:tc>
          <w:tcPr>
            <w:tcW w:w="5000" w:type="pct"/>
            <w:vAlign w:val="center"/>
          </w:tcPr>
          <w:p w:rsidR="00D65CDD" w:rsidRPr="006F4C57" w:rsidRDefault="00D65CDD" w:rsidP="00410378">
            <w:pPr>
              <w:spacing w:after="150"/>
              <w:rPr>
                <w:rFonts w:ascii="Arial Narrow" w:hAnsi="Arial Narrow" w:cs="Arial Narrow"/>
                <w:iCs/>
                <w:sz w:val="18"/>
                <w:szCs w:val="18"/>
              </w:rPr>
            </w:pPr>
            <w:r w:rsidRPr="006F4C57">
              <w:rPr>
                <w:rFonts w:ascii="Arial Narrow" w:hAnsi="Arial Narrow" w:cs="Arial Narrow"/>
                <w:iCs/>
                <w:sz w:val="18"/>
                <w:szCs w:val="18"/>
              </w:rPr>
              <w:t xml:space="preserve">Up to a maximum of 5 repeats will be authorised. </w:t>
            </w:r>
          </w:p>
        </w:tc>
      </w:tr>
      <w:tr w:rsidR="00D65CDD" w:rsidRPr="006F4C57" w:rsidTr="00D65CDD">
        <w:tc>
          <w:tcPr>
            <w:tcW w:w="5000" w:type="pct"/>
            <w:vAlign w:val="center"/>
          </w:tcPr>
          <w:p w:rsidR="00D65CDD" w:rsidRPr="006F4C57" w:rsidRDefault="00D65CDD" w:rsidP="00410378">
            <w:pPr>
              <w:rPr>
                <w:rFonts w:ascii="Arial Narrow" w:hAnsi="Arial Narrow"/>
                <w:sz w:val="18"/>
                <w:szCs w:val="18"/>
              </w:rPr>
            </w:pPr>
            <w:r w:rsidRPr="006F4C57">
              <w:rPr>
                <w:rFonts w:ascii="Arial Narrow" w:hAnsi="Arial Narrow"/>
                <w:b/>
                <w:bCs/>
                <w:sz w:val="18"/>
                <w:szCs w:val="18"/>
              </w:rPr>
              <w:t>Prescribing Instructions:</w:t>
            </w:r>
          </w:p>
        </w:tc>
      </w:tr>
      <w:tr w:rsidR="00D65CDD" w:rsidRPr="006F4C57" w:rsidTr="00D65CDD">
        <w:tc>
          <w:tcPr>
            <w:tcW w:w="5000" w:type="pct"/>
            <w:vAlign w:val="center"/>
          </w:tcPr>
          <w:p w:rsidR="00D65CDD" w:rsidRPr="006F4C57" w:rsidRDefault="00D65CDD" w:rsidP="00410378">
            <w:pPr>
              <w:spacing w:after="150"/>
              <w:rPr>
                <w:rFonts w:ascii="Arial Narrow" w:hAnsi="Arial Narrow" w:cs="Arial Narrow"/>
                <w:iCs/>
                <w:sz w:val="18"/>
                <w:szCs w:val="18"/>
              </w:rPr>
            </w:pPr>
            <w:r w:rsidRPr="006F4C57">
              <w:rPr>
                <w:rFonts w:ascii="Arial Narrow" w:hAnsi="Arial Narrow" w:cs="Arial Narrow"/>
                <w:iCs/>
                <w:sz w:val="18"/>
                <w:szCs w:val="18"/>
              </w:rPr>
              <w:t xml:space="preserve">If fewer than 5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 </w:t>
            </w:r>
          </w:p>
        </w:tc>
      </w:tr>
      <w:tr w:rsidR="00D65CDD" w:rsidRPr="006F4C57" w:rsidTr="00D65CDD">
        <w:tc>
          <w:tcPr>
            <w:tcW w:w="5000" w:type="pct"/>
            <w:vAlign w:val="center"/>
            <w:hideMark/>
          </w:tcPr>
          <w:p w:rsidR="00D65CDD" w:rsidRPr="006F4C57" w:rsidRDefault="00D65CDD" w:rsidP="00410378">
            <w:pPr>
              <w:rPr>
                <w:rFonts w:ascii="Arial Narrow" w:hAnsi="Arial Narrow"/>
                <w:sz w:val="18"/>
                <w:szCs w:val="18"/>
              </w:rPr>
            </w:pPr>
            <w:r w:rsidRPr="006F4C57">
              <w:rPr>
                <w:rFonts w:ascii="Arial Narrow" w:hAnsi="Arial Narrow"/>
                <w:b/>
                <w:bCs/>
                <w:sz w:val="18"/>
                <w:szCs w:val="18"/>
              </w:rPr>
              <w:t>Administrative Advice:</w:t>
            </w:r>
            <w:r w:rsidRPr="006F4C57">
              <w:rPr>
                <w:rFonts w:ascii="Arial Narrow" w:hAnsi="Arial Narrow"/>
                <w:sz w:val="18"/>
                <w:szCs w:val="18"/>
              </w:rPr>
              <w:t xml:space="preserve"> No increase in the maximum quantity or number of units may be authorised.</w:t>
            </w:r>
          </w:p>
        </w:tc>
      </w:tr>
      <w:tr w:rsidR="00D65CDD" w:rsidRPr="006F4C57" w:rsidTr="00D65CDD">
        <w:tc>
          <w:tcPr>
            <w:tcW w:w="5000" w:type="pct"/>
            <w:vAlign w:val="center"/>
            <w:hideMark/>
          </w:tcPr>
          <w:p w:rsidR="00D65CDD" w:rsidRPr="006F4C57" w:rsidRDefault="00D65CDD" w:rsidP="00410378">
            <w:pPr>
              <w:rPr>
                <w:rFonts w:ascii="Arial Narrow" w:hAnsi="Arial Narrow"/>
                <w:sz w:val="18"/>
                <w:szCs w:val="18"/>
              </w:rPr>
            </w:pPr>
            <w:r w:rsidRPr="006F4C57">
              <w:rPr>
                <w:rFonts w:ascii="Arial Narrow" w:hAnsi="Arial Narrow"/>
                <w:b/>
                <w:bCs/>
                <w:sz w:val="18"/>
                <w:szCs w:val="18"/>
              </w:rPr>
              <w:t>Administrative Advice:</w:t>
            </w:r>
            <w:r w:rsidRPr="006F4C57">
              <w:rPr>
                <w:rFonts w:ascii="Arial Narrow" w:hAnsi="Arial Narrow"/>
                <w:sz w:val="18"/>
                <w:szCs w:val="18"/>
              </w:rPr>
              <w:t xml:space="preserve"> No increase in the maximum number of repeats may be authorised.</w:t>
            </w:r>
          </w:p>
        </w:tc>
      </w:tr>
      <w:tr w:rsidR="00D65CDD" w:rsidRPr="006F4C57" w:rsidTr="00D65CDD">
        <w:tc>
          <w:tcPr>
            <w:tcW w:w="5000" w:type="pct"/>
            <w:vAlign w:val="center"/>
          </w:tcPr>
          <w:p w:rsidR="00D65CDD" w:rsidRPr="006F4C57" w:rsidRDefault="00D65CDD" w:rsidP="00410378">
            <w:pPr>
              <w:rPr>
                <w:rFonts w:ascii="Arial Narrow" w:hAnsi="Arial Narrow"/>
                <w:b/>
                <w:sz w:val="18"/>
                <w:szCs w:val="18"/>
              </w:rPr>
            </w:pPr>
            <w:r w:rsidRPr="006F4C57">
              <w:rPr>
                <w:rFonts w:ascii="Arial Narrow" w:hAnsi="Arial Narrow"/>
                <w:b/>
                <w:sz w:val="18"/>
                <w:szCs w:val="18"/>
              </w:rPr>
              <w:t>Administrative Advice:</w:t>
            </w:r>
          </w:p>
          <w:p w:rsidR="00D65CDD" w:rsidRPr="006F4C57" w:rsidRDefault="00D65CDD" w:rsidP="00410378">
            <w:pPr>
              <w:rPr>
                <w:rFonts w:ascii="Arial Narrow" w:hAnsi="Arial Narrow"/>
                <w:sz w:val="18"/>
                <w:szCs w:val="18"/>
              </w:rPr>
            </w:pPr>
            <w:r w:rsidRPr="006F4C57">
              <w:rPr>
                <w:rFonts w:ascii="Arial Narrow" w:hAnsi="Arial Narrow"/>
                <w:sz w:val="18"/>
                <w:szCs w:val="18"/>
              </w:rPr>
              <w:t>Any queries concerning the arrangements to prescribe may be directed to Services Australia on 1800 700 270 (hours of operation 8 a.m. to 5 p.m. EST Monday to Friday).</w:t>
            </w:r>
          </w:p>
          <w:p w:rsidR="00D65CDD" w:rsidRPr="006F4C57" w:rsidRDefault="00D65CDD" w:rsidP="00410378">
            <w:pPr>
              <w:rPr>
                <w:rFonts w:ascii="Arial Narrow" w:hAnsi="Arial Narrow"/>
                <w:sz w:val="18"/>
                <w:szCs w:val="18"/>
              </w:rPr>
            </w:pPr>
            <w:r w:rsidRPr="006F4C57">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rsidR="00D65CDD" w:rsidRPr="006F4C57" w:rsidRDefault="00D65CDD" w:rsidP="00410378">
            <w:pPr>
              <w:rPr>
                <w:rFonts w:ascii="Arial Narrow" w:hAnsi="Arial Narrow"/>
                <w:sz w:val="18"/>
                <w:szCs w:val="18"/>
              </w:rPr>
            </w:pPr>
            <w:r w:rsidRPr="006F4C57">
              <w:rPr>
                <w:rFonts w:ascii="Arial Narrow" w:hAnsi="Arial Narrow"/>
                <w:sz w:val="18"/>
                <w:szCs w:val="18"/>
              </w:rPr>
              <w:t>Applications for authority to prescribe should be submitted online using the form upload facility in Health Professional Online Services (HPOS) at www.servicesaustralia.gov.au/hpos</w:t>
            </w:r>
          </w:p>
          <w:p w:rsidR="00D65CDD" w:rsidRPr="006F4C57" w:rsidRDefault="00D65CDD" w:rsidP="00410378">
            <w:pPr>
              <w:rPr>
                <w:rFonts w:ascii="Arial Narrow" w:hAnsi="Arial Narrow"/>
                <w:sz w:val="18"/>
                <w:szCs w:val="18"/>
              </w:rPr>
            </w:pPr>
            <w:r w:rsidRPr="006F4C57">
              <w:rPr>
                <w:rFonts w:ascii="Arial Narrow" w:hAnsi="Arial Narrow"/>
                <w:sz w:val="18"/>
                <w:szCs w:val="18"/>
              </w:rPr>
              <w:t>Or mailed to:</w:t>
            </w:r>
          </w:p>
          <w:p w:rsidR="00D65CDD" w:rsidRPr="006F4C57" w:rsidRDefault="00D65CDD" w:rsidP="00410378">
            <w:pPr>
              <w:rPr>
                <w:rFonts w:ascii="Arial Narrow" w:hAnsi="Arial Narrow"/>
                <w:sz w:val="18"/>
                <w:szCs w:val="18"/>
              </w:rPr>
            </w:pPr>
            <w:r w:rsidRPr="006F4C57">
              <w:rPr>
                <w:rFonts w:ascii="Arial Narrow" w:hAnsi="Arial Narrow"/>
                <w:sz w:val="18"/>
                <w:szCs w:val="18"/>
              </w:rPr>
              <w:t>Services Australia</w:t>
            </w:r>
          </w:p>
          <w:p w:rsidR="00D65CDD" w:rsidRPr="006F4C57" w:rsidRDefault="00D65CDD" w:rsidP="00410378">
            <w:pPr>
              <w:rPr>
                <w:rFonts w:ascii="Arial Narrow" w:hAnsi="Arial Narrow"/>
                <w:sz w:val="18"/>
                <w:szCs w:val="18"/>
              </w:rPr>
            </w:pPr>
            <w:r w:rsidRPr="006F4C57">
              <w:rPr>
                <w:rFonts w:ascii="Arial Narrow" w:hAnsi="Arial Narrow"/>
                <w:sz w:val="18"/>
                <w:szCs w:val="18"/>
              </w:rPr>
              <w:t>Complex Drugs</w:t>
            </w:r>
          </w:p>
          <w:p w:rsidR="00D65CDD" w:rsidRPr="006F4C57" w:rsidRDefault="00D65CDD" w:rsidP="00410378">
            <w:pPr>
              <w:rPr>
                <w:rFonts w:ascii="Arial Narrow" w:hAnsi="Arial Narrow"/>
                <w:sz w:val="18"/>
                <w:szCs w:val="18"/>
              </w:rPr>
            </w:pPr>
            <w:r w:rsidRPr="006F4C57">
              <w:rPr>
                <w:rFonts w:ascii="Arial Narrow" w:hAnsi="Arial Narrow"/>
                <w:sz w:val="18"/>
                <w:szCs w:val="18"/>
              </w:rPr>
              <w:t>Reply Paid 9826</w:t>
            </w:r>
          </w:p>
          <w:p w:rsidR="00D65CDD" w:rsidRPr="006F4C57" w:rsidRDefault="00D65CDD" w:rsidP="00410378">
            <w:pPr>
              <w:spacing w:after="150"/>
              <w:rPr>
                <w:rFonts w:ascii="Arial Narrow" w:hAnsi="Arial Narrow" w:cs="Arial Narrow"/>
                <w:iCs/>
                <w:sz w:val="18"/>
                <w:szCs w:val="18"/>
              </w:rPr>
            </w:pPr>
            <w:r w:rsidRPr="006F4C57">
              <w:rPr>
                <w:rFonts w:ascii="Arial Narrow" w:hAnsi="Arial Narrow"/>
                <w:sz w:val="18"/>
                <w:szCs w:val="18"/>
              </w:rPr>
              <w:t>HOBART TAS 7001</w:t>
            </w:r>
          </w:p>
        </w:tc>
      </w:tr>
    </w:tbl>
    <w:p w:rsidR="001E7635" w:rsidRDefault="001E7635" w:rsidP="00C96EB6">
      <w:pPr>
        <w:rPr>
          <w:rFonts w:cs="Calibri"/>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859"/>
        <w:gridCol w:w="716"/>
        <w:gridCol w:w="716"/>
        <w:gridCol w:w="716"/>
        <w:gridCol w:w="858"/>
        <w:gridCol w:w="1432"/>
      </w:tblGrid>
      <w:tr w:rsidR="00FF2BC8" w:rsidRPr="004E025C" w:rsidTr="0043209E">
        <w:trPr>
          <w:cantSplit/>
          <w:trHeight w:val="471"/>
        </w:trPr>
        <w:tc>
          <w:tcPr>
            <w:tcW w:w="2062" w:type="pct"/>
          </w:tcPr>
          <w:p w:rsidR="00FF2BC8" w:rsidRPr="004E025C" w:rsidRDefault="00FF2BC8" w:rsidP="0043209E">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Name, Restriction,</w:t>
            </w:r>
          </w:p>
          <w:p w:rsidR="00FF2BC8" w:rsidRPr="004E025C" w:rsidRDefault="00FF2BC8" w:rsidP="0043209E">
            <w:pPr>
              <w:keepNext/>
              <w:ind w:left="-108"/>
              <w:rPr>
                <w:rFonts w:ascii="Arial Narrow" w:hAnsi="Arial Narrow"/>
                <w:b/>
                <w:color w:val="000000" w:themeColor="text1"/>
                <w:sz w:val="18"/>
                <w:szCs w:val="18"/>
              </w:rPr>
            </w:pPr>
            <w:r w:rsidRPr="004E025C">
              <w:rPr>
                <w:rFonts w:ascii="Arial Narrow" w:hAnsi="Arial Narrow"/>
                <w:b/>
                <w:color w:val="000000" w:themeColor="text1"/>
                <w:sz w:val="18"/>
                <w:szCs w:val="18"/>
              </w:rPr>
              <w:t>Manner of administration and form</w:t>
            </w:r>
          </w:p>
        </w:tc>
        <w:tc>
          <w:tcPr>
            <w:tcW w:w="476" w:type="pct"/>
          </w:tcPr>
          <w:p w:rsidR="00FF2BC8" w:rsidRPr="004E025C" w:rsidRDefault="00FF2BC8" w:rsidP="0043209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PBS item code</w:t>
            </w:r>
          </w:p>
        </w:tc>
        <w:tc>
          <w:tcPr>
            <w:tcW w:w="397" w:type="pct"/>
          </w:tcPr>
          <w:p w:rsidR="00FF2BC8" w:rsidRPr="004E025C" w:rsidRDefault="00FF2BC8" w:rsidP="0043209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packs</w:t>
            </w:r>
          </w:p>
        </w:tc>
        <w:tc>
          <w:tcPr>
            <w:tcW w:w="397" w:type="pct"/>
          </w:tcPr>
          <w:p w:rsidR="00FF2BC8" w:rsidRPr="004E025C" w:rsidRDefault="00FF2BC8" w:rsidP="0043209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Max. qty units</w:t>
            </w:r>
          </w:p>
        </w:tc>
        <w:tc>
          <w:tcPr>
            <w:tcW w:w="397" w:type="pct"/>
          </w:tcPr>
          <w:p w:rsidR="00FF2BC8" w:rsidRPr="004E025C" w:rsidRDefault="00FF2BC8" w:rsidP="0043209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№.of</w:t>
            </w:r>
          </w:p>
          <w:p w:rsidR="00FF2BC8" w:rsidRPr="004E025C" w:rsidRDefault="00FF2BC8" w:rsidP="0043209E">
            <w:pPr>
              <w:keepNext/>
              <w:ind w:left="-108"/>
              <w:jc w:val="center"/>
              <w:rPr>
                <w:rFonts w:ascii="Arial Narrow" w:hAnsi="Arial Narrow"/>
                <w:b/>
                <w:color w:val="000000" w:themeColor="text1"/>
                <w:sz w:val="18"/>
                <w:szCs w:val="18"/>
              </w:rPr>
            </w:pPr>
            <w:r w:rsidRPr="004E025C">
              <w:rPr>
                <w:rFonts w:ascii="Arial Narrow" w:hAnsi="Arial Narrow"/>
                <w:b/>
                <w:color w:val="000000" w:themeColor="text1"/>
                <w:sz w:val="18"/>
                <w:szCs w:val="18"/>
              </w:rPr>
              <w:t>Rpts</w:t>
            </w:r>
          </w:p>
        </w:tc>
        <w:tc>
          <w:tcPr>
            <w:tcW w:w="1270" w:type="pct"/>
            <w:gridSpan w:val="2"/>
          </w:tcPr>
          <w:p w:rsidR="00FF2BC8" w:rsidRPr="004E025C" w:rsidRDefault="00FF2BC8" w:rsidP="0043209E">
            <w:pPr>
              <w:keepNext/>
              <w:rPr>
                <w:rFonts w:ascii="Arial Narrow" w:hAnsi="Arial Narrow"/>
                <w:b/>
                <w:color w:val="000000" w:themeColor="text1"/>
                <w:sz w:val="18"/>
                <w:szCs w:val="18"/>
              </w:rPr>
            </w:pPr>
            <w:r w:rsidRPr="004E025C">
              <w:rPr>
                <w:rFonts w:ascii="Arial Narrow" w:hAnsi="Arial Narrow"/>
                <w:b/>
                <w:color w:val="000000" w:themeColor="text1"/>
                <w:sz w:val="18"/>
                <w:szCs w:val="18"/>
              </w:rPr>
              <w:t>Proprietary Name and Manufacturer</w:t>
            </w:r>
          </w:p>
        </w:tc>
      </w:tr>
      <w:tr w:rsidR="00FF2BC8" w:rsidRPr="00C8305F" w:rsidTr="0043209E">
        <w:trPr>
          <w:cantSplit/>
          <w:trHeight w:val="346"/>
        </w:trPr>
        <w:tc>
          <w:tcPr>
            <w:tcW w:w="2062" w:type="pct"/>
          </w:tcPr>
          <w:p w:rsidR="00FF2BC8" w:rsidRPr="00C8305F" w:rsidRDefault="00FF2BC8" w:rsidP="0043209E">
            <w:pPr>
              <w:keepNext/>
              <w:ind w:left="-108"/>
              <w:rPr>
                <w:rFonts w:ascii="Arial Narrow" w:hAnsi="Arial Narrow"/>
                <w:sz w:val="18"/>
                <w:szCs w:val="18"/>
              </w:rPr>
            </w:pPr>
            <w:r w:rsidRPr="00C8305F">
              <w:rPr>
                <w:rFonts w:ascii="Arial Narrow" w:hAnsi="Arial Narrow" w:cstheme="minorHAnsi"/>
                <w:sz w:val="18"/>
                <w:szCs w:val="18"/>
              </w:rPr>
              <w:t>VEDOLIZUMAB 108 mg/0.68 mL injection, 2 x 0.68 mL syringes</w:t>
            </w:r>
          </w:p>
          <w:p w:rsidR="00FF2BC8" w:rsidRPr="00C8305F" w:rsidRDefault="00FF2BC8" w:rsidP="0043209E">
            <w:pPr>
              <w:keepNext/>
              <w:ind w:left="-108"/>
              <w:rPr>
                <w:rFonts w:ascii="Arial Narrow" w:hAnsi="Arial Narrow"/>
                <w:color w:val="000000" w:themeColor="text1"/>
                <w:sz w:val="18"/>
                <w:szCs w:val="18"/>
              </w:rPr>
            </w:pPr>
          </w:p>
        </w:tc>
        <w:tc>
          <w:tcPr>
            <w:tcW w:w="476" w:type="pct"/>
          </w:tcPr>
          <w:p w:rsidR="00FF2BC8" w:rsidRPr="00C8305F" w:rsidRDefault="00FF2BC8" w:rsidP="0043209E">
            <w:pPr>
              <w:keepNext/>
              <w:ind w:left="-108"/>
              <w:jc w:val="center"/>
              <w:rPr>
                <w:rFonts w:ascii="Arial Narrow" w:hAnsi="Arial Narrow"/>
                <w:sz w:val="18"/>
                <w:szCs w:val="18"/>
              </w:rPr>
            </w:pPr>
            <w:r w:rsidRPr="00C8305F">
              <w:rPr>
                <w:rFonts w:ascii="Arial Narrow" w:hAnsi="Arial Narrow"/>
                <w:sz w:val="18"/>
                <w:szCs w:val="18"/>
              </w:rPr>
              <w:t>NEW</w:t>
            </w:r>
          </w:p>
          <w:p w:rsidR="00FF2BC8" w:rsidRPr="00C8305F" w:rsidRDefault="00FF2BC8" w:rsidP="0043209E">
            <w:pPr>
              <w:keepNext/>
              <w:ind w:left="-108"/>
              <w:jc w:val="center"/>
              <w:rPr>
                <w:rFonts w:ascii="Arial Narrow" w:hAnsi="Arial Narrow"/>
                <w:color w:val="000000" w:themeColor="text1"/>
                <w:sz w:val="18"/>
                <w:szCs w:val="18"/>
              </w:rPr>
            </w:pPr>
            <w:r w:rsidRPr="00C8305F">
              <w:rPr>
                <w:rFonts w:ascii="Arial Narrow" w:hAnsi="Arial Narrow"/>
                <w:sz w:val="18"/>
                <w:szCs w:val="18"/>
              </w:rPr>
              <w:t>NEW</w:t>
            </w:r>
          </w:p>
        </w:tc>
        <w:tc>
          <w:tcPr>
            <w:tcW w:w="397" w:type="pct"/>
          </w:tcPr>
          <w:p w:rsidR="00FF2BC8" w:rsidRPr="00C8305F" w:rsidRDefault="00FF2BC8" w:rsidP="0043209E">
            <w:pPr>
              <w:keepNext/>
              <w:jc w:val="center"/>
              <w:rPr>
                <w:rFonts w:ascii="Arial Narrow" w:hAnsi="Arial Narrow"/>
                <w:color w:val="000000" w:themeColor="text1"/>
                <w:sz w:val="18"/>
                <w:szCs w:val="18"/>
              </w:rPr>
            </w:pPr>
            <w:r w:rsidRPr="00C8305F">
              <w:rPr>
                <w:rFonts w:ascii="Arial Narrow" w:hAnsi="Arial Narrow"/>
                <w:color w:val="000000" w:themeColor="text1"/>
                <w:sz w:val="18"/>
                <w:szCs w:val="18"/>
              </w:rPr>
              <w:t>1</w:t>
            </w:r>
          </w:p>
        </w:tc>
        <w:tc>
          <w:tcPr>
            <w:tcW w:w="397" w:type="pct"/>
          </w:tcPr>
          <w:p w:rsidR="00FF2BC8" w:rsidRPr="00C8305F" w:rsidRDefault="00FF2BC8" w:rsidP="0043209E">
            <w:pPr>
              <w:keepNext/>
              <w:ind w:left="-108"/>
              <w:jc w:val="center"/>
              <w:rPr>
                <w:rFonts w:ascii="Arial Narrow" w:hAnsi="Arial Narrow"/>
                <w:color w:val="000000" w:themeColor="text1"/>
                <w:sz w:val="18"/>
                <w:szCs w:val="18"/>
              </w:rPr>
            </w:pPr>
            <w:r w:rsidRPr="00C8305F">
              <w:rPr>
                <w:rFonts w:ascii="Arial Narrow" w:hAnsi="Arial Narrow"/>
                <w:sz w:val="18"/>
                <w:szCs w:val="18"/>
              </w:rPr>
              <w:t>2</w:t>
            </w:r>
          </w:p>
        </w:tc>
        <w:tc>
          <w:tcPr>
            <w:tcW w:w="397" w:type="pct"/>
          </w:tcPr>
          <w:p w:rsidR="00FF2BC8" w:rsidRPr="00C8305F" w:rsidRDefault="00FF2BC8" w:rsidP="0043209E">
            <w:pPr>
              <w:keepNext/>
              <w:ind w:left="-108"/>
              <w:jc w:val="center"/>
              <w:rPr>
                <w:rFonts w:ascii="Arial Narrow" w:hAnsi="Arial Narrow"/>
                <w:sz w:val="18"/>
                <w:szCs w:val="18"/>
              </w:rPr>
            </w:pPr>
            <w:r w:rsidRPr="00C8305F">
              <w:rPr>
                <w:rFonts w:ascii="Arial Narrow" w:hAnsi="Arial Narrow"/>
                <w:sz w:val="18"/>
                <w:szCs w:val="18"/>
              </w:rPr>
              <w:t>0</w:t>
            </w:r>
          </w:p>
          <w:p w:rsidR="00FF2BC8" w:rsidRPr="00C8305F" w:rsidRDefault="00FF2BC8" w:rsidP="0043209E">
            <w:pPr>
              <w:keepNext/>
              <w:rPr>
                <w:rFonts w:ascii="Arial Narrow" w:hAnsi="Arial Narrow"/>
                <w:color w:val="000000" w:themeColor="text1"/>
                <w:sz w:val="18"/>
                <w:szCs w:val="18"/>
              </w:rPr>
            </w:pPr>
          </w:p>
        </w:tc>
        <w:tc>
          <w:tcPr>
            <w:tcW w:w="476" w:type="pct"/>
          </w:tcPr>
          <w:p w:rsidR="00FF2BC8" w:rsidRPr="00C8305F" w:rsidRDefault="00FF2BC8" w:rsidP="0043209E">
            <w:pPr>
              <w:keepNext/>
              <w:rPr>
                <w:rFonts w:ascii="Arial Narrow" w:hAnsi="Arial Narrow"/>
                <w:color w:val="000000" w:themeColor="text1"/>
                <w:sz w:val="18"/>
                <w:szCs w:val="18"/>
              </w:rPr>
            </w:pPr>
            <w:r w:rsidRPr="00C8305F">
              <w:rPr>
                <w:rFonts w:ascii="Arial Narrow" w:hAnsi="Arial Narrow"/>
                <w:sz w:val="18"/>
                <w:szCs w:val="18"/>
              </w:rPr>
              <w:t>Entyvio</w:t>
            </w:r>
            <w:r w:rsidRPr="00C8305F">
              <w:rPr>
                <w:rFonts w:ascii="Arial Narrow" w:hAnsi="Arial Narrow"/>
                <w:sz w:val="18"/>
                <w:szCs w:val="18"/>
                <w:vertAlign w:val="superscript"/>
              </w:rPr>
              <w:t>®</w:t>
            </w:r>
          </w:p>
          <w:p w:rsidR="00FF2BC8" w:rsidRPr="00C8305F" w:rsidRDefault="00FF2BC8" w:rsidP="0043209E">
            <w:pPr>
              <w:rPr>
                <w:rFonts w:ascii="Arial Narrow" w:hAnsi="Arial Narrow"/>
                <w:sz w:val="18"/>
                <w:szCs w:val="18"/>
              </w:rPr>
            </w:pPr>
          </w:p>
        </w:tc>
        <w:tc>
          <w:tcPr>
            <w:tcW w:w="794" w:type="pct"/>
          </w:tcPr>
          <w:p w:rsidR="00FF2BC8" w:rsidRPr="00C8305F" w:rsidRDefault="00FF2BC8" w:rsidP="0043209E">
            <w:pPr>
              <w:keepNext/>
              <w:rPr>
                <w:rFonts w:ascii="Arial Narrow" w:hAnsi="Arial Narrow"/>
                <w:color w:val="000000" w:themeColor="text1"/>
                <w:sz w:val="18"/>
                <w:szCs w:val="18"/>
              </w:rPr>
            </w:pPr>
            <w:r w:rsidRPr="00C8305F">
              <w:rPr>
                <w:rFonts w:ascii="Arial Narrow" w:hAnsi="Arial Narrow"/>
                <w:sz w:val="18"/>
                <w:szCs w:val="18"/>
              </w:rPr>
              <w:t>Takeda Pharmaceuticals Australia Pty Ltd</w:t>
            </w:r>
          </w:p>
        </w:tc>
      </w:tr>
      <w:tr w:rsidR="00FF2BC8" w:rsidRPr="00C8305F" w:rsidTr="0043209E">
        <w:trPr>
          <w:cantSplit/>
          <w:trHeight w:val="346"/>
        </w:trPr>
        <w:tc>
          <w:tcPr>
            <w:tcW w:w="2062" w:type="pct"/>
          </w:tcPr>
          <w:p w:rsidR="00FF2BC8" w:rsidRPr="00C8305F" w:rsidRDefault="00FF2BC8" w:rsidP="0043209E">
            <w:pPr>
              <w:keepNext/>
              <w:ind w:left="-108"/>
              <w:rPr>
                <w:rFonts w:ascii="Arial Narrow" w:hAnsi="Arial Narrow" w:cstheme="minorHAnsi"/>
                <w:sz w:val="18"/>
                <w:szCs w:val="18"/>
              </w:rPr>
            </w:pPr>
            <w:r w:rsidRPr="00C8305F">
              <w:rPr>
                <w:rFonts w:ascii="Arial Narrow" w:hAnsi="Arial Narrow" w:cstheme="minorHAnsi"/>
                <w:sz w:val="18"/>
                <w:szCs w:val="18"/>
              </w:rPr>
              <w:t>VEDOLIZUMAB 108 mg/0.68 mL injection, 2 x 0.68 mL pen devices</w:t>
            </w:r>
          </w:p>
        </w:tc>
        <w:tc>
          <w:tcPr>
            <w:tcW w:w="476" w:type="pct"/>
          </w:tcPr>
          <w:p w:rsidR="00FF2BC8" w:rsidRPr="00C8305F" w:rsidRDefault="00FF2BC8" w:rsidP="0043209E">
            <w:pPr>
              <w:keepNext/>
              <w:ind w:left="-108"/>
              <w:jc w:val="center"/>
              <w:rPr>
                <w:rFonts w:ascii="Arial Narrow" w:hAnsi="Arial Narrow"/>
                <w:sz w:val="18"/>
                <w:szCs w:val="18"/>
              </w:rPr>
            </w:pPr>
            <w:r w:rsidRPr="00C8305F">
              <w:rPr>
                <w:rFonts w:ascii="Arial Narrow" w:hAnsi="Arial Narrow"/>
                <w:sz w:val="18"/>
                <w:szCs w:val="18"/>
              </w:rPr>
              <w:t>NEW</w:t>
            </w:r>
          </w:p>
          <w:p w:rsidR="00FF2BC8" w:rsidRPr="00C8305F" w:rsidRDefault="00FF2BC8" w:rsidP="0043209E">
            <w:pPr>
              <w:keepNext/>
              <w:ind w:left="-108"/>
              <w:jc w:val="center"/>
              <w:rPr>
                <w:rFonts w:ascii="Arial Narrow" w:hAnsi="Arial Narrow"/>
                <w:sz w:val="18"/>
                <w:szCs w:val="18"/>
              </w:rPr>
            </w:pPr>
            <w:r w:rsidRPr="00C8305F">
              <w:rPr>
                <w:rFonts w:ascii="Arial Narrow" w:hAnsi="Arial Narrow"/>
                <w:sz w:val="18"/>
                <w:szCs w:val="18"/>
              </w:rPr>
              <w:t>NEW</w:t>
            </w:r>
          </w:p>
        </w:tc>
        <w:tc>
          <w:tcPr>
            <w:tcW w:w="397" w:type="pct"/>
          </w:tcPr>
          <w:p w:rsidR="00FF2BC8" w:rsidRPr="00C8305F" w:rsidRDefault="00FF2BC8" w:rsidP="0043209E">
            <w:pPr>
              <w:keepNext/>
              <w:jc w:val="center"/>
              <w:rPr>
                <w:rFonts w:ascii="Arial Narrow" w:hAnsi="Arial Narrow"/>
                <w:color w:val="000000" w:themeColor="text1"/>
                <w:sz w:val="18"/>
                <w:szCs w:val="18"/>
              </w:rPr>
            </w:pPr>
            <w:r w:rsidRPr="00C8305F">
              <w:rPr>
                <w:rFonts w:ascii="Arial Narrow" w:hAnsi="Arial Narrow"/>
                <w:color w:val="000000" w:themeColor="text1"/>
                <w:sz w:val="18"/>
                <w:szCs w:val="18"/>
              </w:rPr>
              <w:t>1</w:t>
            </w:r>
          </w:p>
        </w:tc>
        <w:tc>
          <w:tcPr>
            <w:tcW w:w="397" w:type="pct"/>
          </w:tcPr>
          <w:p w:rsidR="00FF2BC8" w:rsidRPr="00C8305F" w:rsidRDefault="00FF2BC8" w:rsidP="0043209E">
            <w:pPr>
              <w:keepNext/>
              <w:ind w:left="-108"/>
              <w:jc w:val="center"/>
              <w:rPr>
                <w:rFonts w:ascii="Arial Narrow" w:hAnsi="Arial Narrow"/>
                <w:sz w:val="18"/>
                <w:szCs w:val="18"/>
              </w:rPr>
            </w:pPr>
            <w:r w:rsidRPr="00C8305F">
              <w:rPr>
                <w:rFonts w:ascii="Arial Narrow" w:hAnsi="Arial Narrow"/>
                <w:sz w:val="18"/>
                <w:szCs w:val="18"/>
              </w:rPr>
              <w:t>2</w:t>
            </w:r>
          </w:p>
        </w:tc>
        <w:tc>
          <w:tcPr>
            <w:tcW w:w="397" w:type="pct"/>
          </w:tcPr>
          <w:p w:rsidR="00FF2BC8" w:rsidRPr="00C8305F" w:rsidRDefault="00FF2BC8" w:rsidP="0043209E">
            <w:pPr>
              <w:keepNext/>
              <w:ind w:left="-108"/>
              <w:jc w:val="center"/>
              <w:rPr>
                <w:rFonts w:ascii="Arial Narrow" w:hAnsi="Arial Narrow"/>
                <w:sz w:val="18"/>
                <w:szCs w:val="18"/>
              </w:rPr>
            </w:pPr>
            <w:r w:rsidRPr="00C8305F">
              <w:rPr>
                <w:rFonts w:ascii="Arial Narrow" w:hAnsi="Arial Narrow"/>
                <w:sz w:val="18"/>
                <w:szCs w:val="18"/>
              </w:rPr>
              <w:t>0</w:t>
            </w:r>
          </w:p>
          <w:p w:rsidR="00FF2BC8" w:rsidRPr="00C8305F" w:rsidRDefault="00FF2BC8" w:rsidP="0043209E">
            <w:pPr>
              <w:keepNext/>
              <w:ind w:left="-108"/>
              <w:jc w:val="center"/>
              <w:rPr>
                <w:rFonts w:ascii="Arial Narrow" w:hAnsi="Arial Narrow"/>
                <w:sz w:val="18"/>
                <w:szCs w:val="18"/>
              </w:rPr>
            </w:pPr>
          </w:p>
        </w:tc>
        <w:tc>
          <w:tcPr>
            <w:tcW w:w="476" w:type="pct"/>
          </w:tcPr>
          <w:p w:rsidR="00FF2BC8" w:rsidRPr="00C8305F" w:rsidRDefault="00FF2BC8" w:rsidP="0043209E">
            <w:pPr>
              <w:keepNext/>
              <w:rPr>
                <w:rFonts w:ascii="Arial Narrow" w:hAnsi="Arial Narrow"/>
                <w:sz w:val="18"/>
                <w:szCs w:val="18"/>
              </w:rPr>
            </w:pPr>
            <w:r w:rsidRPr="00C8305F">
              <w:rPr>
                <w:rFonts w:ascii="Arial Narrow" w:hAnsi="Arial Narrow"/>
                <w:sz w:val="18"/>
                <w:szCs w:val="18"/>
              </w:rPr>
              <w:t>Entyvio</w:t>
            </w:r>
            <w:r w:rsidRPr="00C8305F">
              <w:rPr>
                <w:rFonts w:ascii="Arial Narrow" w:hAnsi="Arial Narrow"/>
                <w:sz w:val="18"/>
                <w:szCs w:val="18"/>
                <w:vertAlign w:val="superscript"/>
              </w:rPr>
              <w:t xml:space="preserve"> ®</w:t>
            </w:r>
          </w:p>
        </w:tc>
        <w:tc>
          <w:tcPr>
            <w:tcW w:w="794" w:type="pct"/>
          </w:tcPr>
          <w:p w:rsidR="00FF2BC8" w:rsidRPr="00C8305F" w:rsidRDefault="00FF2BC8" w:rsidP="0043209E">
            <w:pPr>
              <w:keepNext/>
              <w:rPr>
                <w:rFonts w:ascii="Arial Narrow" w:hAnsi="Arial Narrow"/>
                <w:sz w:val="18"/>
                <w:szCs w:val="18"/>
              </w:rPr>
            </w:pPr>
            <w:r w:rsidRPr="00C8305F">
              <w:rPr>
                <w:rFonts w:ascii="Arial Narrow" w:hAnsi="Arial Narrow"/>
                <w:sz w:val="18"/>
                <w:szCs w:val="18"/>
              </w:rPr>
              <w:t>Takeda Pharmaceuticals Australia Pty Ltd</w:t>
            </w:r>
          </w:p>
        </w:tc>
      </w:tr>
    </w:tbl>
    <w:p w:rsidR="00FF2BC8" w:rsidRDefault="00FF2BC8" w:rsidP="00C96EB6">
      <w:pPr>
        <w:rPr>
          <w:rFonts w:cs="Calibri"/>
          <w:b/>
          <w:i/>
        </w:rPr>
      </w:pPr>
    </w:p>
    <w:tbl>
      <w:tblPr>
        <w:tblpPr w:leftFromText="180" w:rightFromText="180" w:vertAnchor="text" w:horzAnchor="margin" w:tblpY="4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D65CDD" w:rsidRPr="0062746A" w:rsidTr="00D65CDD">
        <w:tc>
          <w:tcPr>
            <w:tcW w:w="5000" w:type="pct"/>
            <w:tcBorders>
              <w:top w:val="single" w:sz="4" w:space="0" w:color="auto"/>
              <w:left w:val="single" w:sz="4" w:space="0" w:color="auto"/>
              <w:bottom w:val="single" w:sz="4" w:space="0" w:color="auto"/>
              <w:right w:val="single" w:sz="4" w:space="0" w:color="auto"/>
            </w:tcBorders>
          </w:tcPr>
          <w:p w:rsidR="00D65CDD" w:rsidRPr="003174A9" w:rsidRDefault="00D65CDD" w:rsidP="0043209E">
            <w:pPr>
              <w:rPr>
                <w:rFonts w:ascii="Arial Narrow" w:hAnsi="Arial Narrow"/>
                <w:sz w:val="18"/>
                <w:szCs w:val="18"/>
              </w:rPr>
            </w:pPr>
            <w:r w:rsidRPr="003174A9">
              <w:rPr>
                <w:rFonts w:ascii="Arial Narrow" w:hAnsi="Arial Narrow"/>
                <w:b/>
                <w:sz w:val="18"/>
                <w:szCs w:val="18"/>
              </w:rPr>
              <w:t xml:space="preserve">Category / Program:   </w:t>
            </w:r>
            <w:r w:rsidRPr="003174A9">
              <w:rPr>
                <w:rFonts w:ascii="Arial Narrow" w:hAnsi="Arial Narrow"/>
                <w:sz w:val="18"/>
                <w:szCs w:val="18"/>
              </w:rPr>
              <w:t xml:space="preserve">GENERAL – General Schedule (Code GE) </w:t>
            </w:r>
          </w:p>
        </w:tc>
      </w:tr>
      <w:tr w:rsidR="00D65CDD" w:rsidRPr="0062746A" w:rsidTr="00D65CDD">
        <w:trPr>
          <w:trHeight w:val="240"/>
        </w:trPr>
        <w:tc>
          <w:tcPr>
            <w:tcW w:w="5000" w:type="pct"/>
            <w:tcBorders>
              <w:top w:val="single" w:sz="4" w:space="0" w:color="auto"/>
              <w:left w:val="single" w:sz="4" w:space="0" w:color="auto"/>
              <w:bottom w:val="single" w:sz="4" w:space="0" w:color="auto"/>
              <w:right w:val="single" w:sz="4" w:space="0" w:color="auto"/>
            </w:tcBorders>
          </w:tcPr>
          <w:p w:rsidR="00D65CDD" w:rsidRPr="003174A9" w:rsidRDefault="00D65CDD" w:rsidP="0043209E">
            <w:pPr>
              <w:rPr>
                <w:rFonts w:ascii="Arial Narrow" w:hAnsi="Arial Narrow"/>
                <w:b/>
                <w:sz w:val="18"/>
                <w:szCs w:val="18"/>
              </w:rPr>
            </w:pPr>
            <w:r w:rsidRPr="003174A9">
              <w:rPr>
                <w:rFonts w:ascii="Arial Narrow" w:hAnsi="Arial Narrow"/>
                <w:b/>
                <w:sz w:val="18"/>
                <w:szCs w:val="18"/>
              </w:rPr>
              <w:t xml:space="preserve">Prescriber type:   </w:t>
            </w:r>
            <w:r w:rsidRPr="003174A9">
              <w:rPr>
                <w:rFonts w:ascii="Arial Narrow" w:hAnsi="Arial Narrow"/>
                <w:sz w:val="18"/>
                <w:szCs w:val="18"/>
              </w:rPr>
              <w:fldChar w:fldCharType="begin">
                <w:ffData>
                  <w:name w:val="Check1"/>
                  <w:enabled/>
                  <w:calcOnExit w:val="0"/>
                  <w:checkBox>
                    <w:sizeAuto/>
                    <w:default w:val="0"/>
                  </w:checkBox>
                </w:ffData>
              </w:fldChar>
            </w:r>
            <w:r w:rsidRPr="003174A9">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 xml:space="preserve">Dental    </w:t>
            </w:r>
            <w:r w:rsidRPr="003174A9">
              <w:rPr>
                <w:rFonts w:ascii="Arial Narrow" w:hAnsi="Arial Narrow"/>
                <w:sz w:val="18"/>
                <w:szCs w:val="18"/>
              </w:rPr>
              <w:fldChar w:fldCharType="begin">
                <w:ffData>
                  <w:name w:val=""/>
                  <w:enabled/>
                  <w:calcOnExit w:val="0"/>
                  <w:checkBox>
                    <w:sizeAuto/>
                    <w:default w:val="1"/>
                  </w:checkBox>
                </w:ffData>
              </w:fldChar>
            </w:r>
            <w:r w:rsidRPr="003174A9">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 xml:space="preserve">Medical Practitioners    </w:t>
            </w:r>
            <w:r w:rsidRPr="003174A9">
              <w:rPr>
                <w:rFonts w:ascii="Arial Narrow" w:hAnsi="Arial Narrow"/>
                <w:sz w:val="18"/>
                <w:szCs w:val="18"/>
              </w:rPr>
              <w:fldChar w:fldCharType="begin">
                <w:ffData>
                  <w:name w:val="Check3"/>
                  <w:enabled/>
                  <w:calcOnExit w:val="0"/>
                  <w:checkBox>
                    <w:sizeAuto/>
                    <w:default w:val="0"/>
                  </w:checkBox>
                </w:ffData>
              </w:fldChar>
            </w:r>
            <w:r w:rsidRPr="003174A9">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 xml:space="preserve">Nurse practitioners     </w:t>
            </w:r>
            <w:r w:rsidRPr="003174A9">
              <w:rPr>
                <w:rFonts w:ascii="Arial Narrow" w:hAnsi="Arial Narrow"/>
                <w:sz w:val="18"/>
                <w:szCs w:val="18"/>
              </w:rPr>
              <w:fldChar w:fldCharType="begin">
                <w:ffData>
                  <w:name w:val=""/>
                  <w:enabled/>
                  <w:calcOnExit w:val="0"/>
                  <w:checkBox>
                    <w:sizeAuto/>
                    <w:default w:val="0"/>
                  </w:checkBox>
                </w:ffData>
              </w:fldChar>
            </w:r>
            <w:r w:rsidRPr="003174A9">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 xml:space="preserve">Optometrists    </w:t>
            </w:r>
            <w:r w:rsidRPr="003174A9">
              <w:rPr>
                <w:rFonts w:ascii="Arial Narrow" w:hAnsi="Arial Narrow"/>
                <w:sz w:val="18"/>
                <w:szCs w:val="18"/>
              </w:rPr>
              <w:fldChar w:fldCharType="begin">
                <w:ffData>
                  <w:name w:val="Check5"/>
                  <w:enabled/>
                  <w:calcOnExit w:val="0"/>
                  <w:checkBox>
                    <w:sizeAuto/>
                    <w:default w:val="0"/>
                  </w:checkBox>
                </w:ffData>
              </w:fldChar>
            </w:r>
            <w:r w:rsidRPr="003174A9">
              <w:rPr>
                <w:rFonts w:ascii="Arial Narrow" w:hAnsi="Arial Narrow"/>
                <w:sz w:val="18"/>
                <w:szCs w:val="18"/>
              </w:rPr>
              <w:instrText xml:space="preserve"> FORMCHECKBOX </w:instrText>
            </w:r>
            <w:r w:rsidR="00226F00">
              <w:rPr>
                <w:rFonts w:ascii="Arial Narrow" w:hAnsi="Arial Narrow"/>
                <w:sz w:val="18"/>
                <w:szCs w:val="18"/>
              </w:rPr>
            </w:r>
            <w:r w:rsidR="00226F00">
              <w:rPr>
                <w:rFonts w:ascii="Arial Narrow" w:hAnsi="Arial Narrow"/>
                <w:sz w:val="18"/>
                <w:szCs w:val="18"/>
              </w:rPr>
              <w:fldChar w:fldCharType="separate"/>
            </w:r>
            <w:r w:rsidRPr="003174A9">
              <w:rPr>
                <w:rFonts w:ascii="Arial Narrow" w:hAnsi="Arial Narrow"/>
                <w:sz w:val="18"/>
                <w:szCs w:val="18"/>
              </w:rPr>
              <w:fldChar w:fldCharType="end"/>
            </w:r>
            <w:r w:rsidRPr="003174A9">
              <w:rPr>
                <w:rFonts w:ascii="Arial Narrow" w:hAnsi="Arial Narrow"/>
                <w:sz w:val="18"/>
                <w:szCs w:val="18"/>
              </w:rPr>
              <w:t>Midwives</w:t>
            </w:r>
          </w:p>
        </w:tc>
      </w:tr>
      <w:tr w:rsidR="00D65CDD" w:rsidRPr="0062746A" w:rsidTr="00D65CDD">
        <w:tc>
          <w:tcPr>
            <w:tcW w:w="5000" w:type="pct"/>
            <w:tcBorders>
              <w:top w:val="single" w:sz="4" w:space="0" w:color="auto"/>
              <w:left w:val="single" w:sz="4" w:space="0" w:color="auto"/>
              <w:bottom w:val="single" w:sz="4" w:space="0" w:color="auto"/>
              <w:right w:val="single" w:sz="4" w:space="0" w:color="auto"/>
            </w:tcBorders>
          </w:tcPr>
          <w:p w:rsidR="00D65CDD" w:rsidRPr="003174A9" w:rsidRDefault="00D65CDD" w:rsidP="0043209E">
            <w:pPr>
              <w:rPr>
                <w:rFonts w:ascii="Arial Narrow" w:eastAsia="Calibri" w:hAnsi="Arial Narrow"/>
                <w:sz w:val="18"/>
                <w:szCs w:val="18"/>
              </w:rPr>
            </w:pPr>
            <w:r w:rsidRPr="003174A9">
              <w:rPr>
                <w:rFonts w:ascii="Arial Narrow" w:hAnsi="Arial Narrow"/>
                <w:b/>
                <w:sz w:val="18"/>
                <w:szCs w:val="18"/>
              </w:rPr>
              <w:t xml:space="preserve">Restriction Type – </w:t>
            </w:r>
            <w:r w:rsidRPr="003174A9">
              <w:rPr>
                <w:rFonts w:ascii="Arial Narrow" w:eastAsia="Calibri" w:hAnsi="Arial Narrow"/>
                <w:sz w:val="18"/>
                <w:szCs w:val="18"/>
              </w:rPr>
              <w:fldChar w:fldCharType="begin">
                <w:ffData>
                  <w:name w:val=""/>
                  <w:enabled/>
                  <w:calcOnExit w:val="0"/>
                  <w:checkBox>
                    <w:sizeAuto/>
                    <w:default w:val="1"/>
                  </w:checkBox>
                </w:ffData>
              </w:fldChar>
            </w:r>
            <w:r w:rsidRPr="003174A9">
              <w:rPr>
                <w:rFonts w:ascii="Arial Narrow" w:eastAsia="Calibri" w:hAnsi="Arial Narrow"/>
                <w:sz w:val="18"/>
                <w:szCs w:val="18"/>
              </w:rPr>
              <w:instrText xml:space="preserve"> FORMCHECKBOX </w:instrText>
            </w:r>
            <w:r w:rsidR="00226F00">
              <w:rPr>
                <w:rFonts w:ascii="Arial Narrow" w:eastAsia="Calibri" w:hAnsi="Arial Narrow"/>
                <w:sz w:val="18"/>
                <w:szCs w:val="18"/>
              </w:rPr>
            </w:r>
            <w:r w:rsidR="00226F00">
              <w:rPr>
                <w:rFonts w:ascii="Arial Narrow" w:eastAsia="Calibri" w:hAnsi="Arial Narrow"/>
                <w:sz w:val="18"/>
                <w:szCs w:val="18"/>
              </w:rPr>
              <w:fldChar w:fldCharType="separate"/>
            </w:r>
            <w:r w:rsidRPr="003174A9">
              <w:rPr>
                <w:rFonts w:ascii="Arial Narrow" w:eastAsia="Calibri" w:hAnsi="Arial Narrow"/>
                <w:sz w:val="18"/>
                <w:szCs w:val="18"/>
              </w:rPr>
              <w:fldChar w:fldCharType="end"/>
            </w:r>
            <w:r w:rsidRPr="003174A9">
              <w:rPr>
                <w:rFonts w:ascii="Arial Narrow" w:eastAsia="Calibri" w:hAnsi="Arial Narrow"/>
                <w:sz w:val="18"/>
                <w:szCs w:val="18"/>
              </w:rPr>
              <w:t xml:space="preserve"> Authority Required – immediate/real time assessment by Medicare (telephone/online/emergency)</w:t>
            </w:r>
          </w:p>
          <w:p w:rsidR="00D65CDD" w:rsidRPr="003174A9" w:rsidRDefault="00D65CDD" w:rsidP="0043209E">
            <w:pPr>
              <w:rPr>
                <w:rFonts w:ascii="Arial Narrow" w:eastAsia="Calibri" w:hAnsi="Arial Narrow"/>
                <w:sz w:val="18"/>
                <w:szCs w:val="18"/>
              </w:rPr>
            </w:pPr>
          </w:p>
        </w:tc>
      </w:tr>
      <w:tr w:rsidR="00D65CDD" w:rsidRPr="0062746A" w:rsidTr="00D65CDD">
        <w:tc>
          <w:tcPr>
            <w:tcW w:w="5000" w:type="pct"/>
            <w:vAlign w:val="center"/>
          </w:tcPr>
          <w:p w:rsidR="00D65CDD" w:rsidRPr="003174A9" w:rsidRDefault="00D65CDD" w:rsidP="0043209E">
            <w:pPr>
              <w:rPr>
                <w:rFonts w:ascii="Arial Narrow" w:hAnsi="Arial Narrow"/>
                <w:b/>
                <w:bCs/>
                <w:sz w:val="18"/>
                <w:szCs w:val="18"/>
              </w:rPr>
            </w:pPr>
            <w:r w:rsidRPr="003174A9">
              <w:rPr>
                <w:rFonts w:ascii="Arial Narrow" w:hAnsi="Arial Narrow"/>
                <w:b/>
                <w:bCs/>
                <w:sz w:val="18"/>
                <w:szCs w:val="18"/>
              </w:rPr>
              <w:t xml:space="preserve">Severity: </w:t>
            </w:r>
            <w:r w:rsidRPr="003174A9">
              <w:rPr>
                <w:rFonts w:ascii="Arial Narrow" w:hAnsi="Arial Narrow"/>
                <w:sz w:val="18"/>
                <w:szCs w:val="18"/>
              </w:rPr>
              <w:t>Severe</w:t>
            </w:r>
          </w:p>
        </w:tc>
      </w:tr>
      <w:tr w:rsidR="00D65CDD" w:rsidRPr="0062746A" w:rsidTr="00D65CDD">
        <w:tc>
          <w:tcPr>
            <w:tcW w:w="5000" w:type="pct"/>
            <w:vAlign w:val="center"/>
          </w:tcPr>
          <w:p w:rsidR="00D65CDD" w:rsidRPr="003174A9" w:rsidRDefault="00D65CDD" w:rsidP="0043209E">
            <w:pPr>
              <w:rPr>
                <w:rFonts w:ascii="Arial Narrow" w:hAnsi="Arial Narrow"/>
                <w:b/>
                <w:bCs/>
                <w:sz w:val="18"/>
                <w:szCs w:val="18"/>
              </w:rPr>
            </w:pPr>
            <w:r w:rsidRPr="003174A9">
              <w:rPr>
                <w:rFonts w:ascii="Arial Narrow" w:hAnsi="Arial Narrow"/>
                <w:b/>
                <w:bCs/>
                <w:sz w:val="18"/>
                <w:szCs w:val="18"/>
              </w:rPr>
              <w:t xml:space="preserve">Condition: </w:t>
            </w:r>
            <w:r w:rsidRPr="003174A9">
              <w:rPr>
                <w:rFonts w:ascii="Arial Narrow" w:hAnsi="Arial Narrow"/>
                <w:sz w:val="18"/>
                <w:szCs w:val="18"/>
              </w:rPr>
              <w:t>Crohn’s disease</w:t>
            </w:r>
          </w:p>
        </w:tc>
      </w:tr>
      <w:tr w:rsidR="00D65CDD" w:rsidRPr="0062746A" w:rsidTr="00D65CDD">
        <w:tc>
          <w:tcPr>
            <w:tcW w:w="5000" w:type="pct"/>
            <w:vAlign w:val="center"/>
            <w:hideMark/>
          </w:tcPr>
          <w:p w:rsidR="00D65CDD" w:rsidRPr="003174A9" w:rsidRDefault="00D65CDD" w:rsidP="0043209E">
            <w:pPr>
              <w:rPr>
                <w:rFonts w:ascii="Arial Narrow" w:hAnsi="Arial Narrow"/>
                <w:sz w:val="18"/>
                <w:szCs w:val="18"/>
              </w:rPr>
            </w:pPr>
            <w:r w:rsidRPr="003174A9">
              <w:rPr>
                <w:rFonts w:ascii="Arial Narrow" w:hAnsi="Arial Narrow"/>
                <w:b/>
                <w:bCs/>
                <w:sz w:val="18"/>
                <w:szCs w:val="18"/>
              </w:rPr>
              <w:t>Indication:</w:t>
            </w:r>
            <w:r w:rsidRPr="003174A9">
              <w:rPr>
                <w:rFonts w:ascii="Arial Narrow" w:hAnsi="Arial Narrow"/>
                <w:sz w:val="18"/>
                <w:szCs w:val="18"/>
              </w:rPr>
              <w:t xml:space="preserve"> Severe Crohn’s disease</w:t>
            </w:r>
          </w:p>
        </w:tc>
      </w:tr>
      <w:tr w:rsidR="00D65CDD" w:rsidRPr="0062746A" w:rsidTr="00D65CDD">
        <w:tc>
          <w:tcPr>
            <w:tcW w:w="5000" w:type="pct"/>
            <w:vAlign w:val="center"/>
            <w:hideMark/>
          </w:tcPr>
          <w:p w:rsidR="00D65CDD" w:rsidRPr="003174A9" w:rsidRDefault="00D65CDD" w:rsidP="0043209E">
            <w:pPr>
              <w:rPr>
                <w:rFonts w:ascii="Arial Narrow" w:hAnsi="Arial Narrow"/>
                <w:sz w:val="18"/>
                <w:szCs w:val="18"/>
              </w:rPr>
            </w:pPr>
            <w:r w:rsidRPr="003174A9">
              <w:rPr>
                <w:rFonts w:ascii="Arial Narrow" w:hAnsi="Arial Narrow"/>
                <w:b/>
                <w:bCs/>
                <w:sz w:val="18"/>
                <w:szCs w:val="18"/>
              </w:rPr>
              <w:t>Treatment Phase:</w:t>
            </w:r>
            <w:r w:rsidRPr="003174A9">
              <w:rPr>
                <w:rFonts w:ascii="Arial Narrow" w:hAnsi="Arial Narrow"/>
                <w:sz w:val="18"/>
                <w:szCs w:val="18"/>
              </w:rPr>
              <w:t xml:space="preserve"> </w:t>
            </w:r>
            <w:r w:rsidRPr="003174A9">
              <w:rPr>
                <w:b/>
                <w:sz w:val="18"/>
                <w:szCs w:val="18"/>
              </w:rPr>
              <w:t xml:space="preserve"> </w:t>
            </w:r>
            <w:r w:rsidRPr="003174A9">
              <w:rPr>
                <w:rFonts w:ascii="Arial Narrow" w:hAnsi="Arial Narrow"/>
                <w:b/>
                <w:sz w:val="18"/>
                <w:szCs w:val="18"/>
              </w:rPr>
              <w:t>Initial treatment or continuing treatment with subcutaneous form - Balance of supply</w:t>
            </w:r>
          </w:p>
        </w:tc>
      </w:tr>
      <w:tr w:rsidR="00D65CDD" w:rsidRPr="0062746A" w:rsidTr="00D65CDD">
        <w:tc>
          <w:tcPr>
            <w:tcW w:w="5000" w:type="pct"/>
            <w:vAlign w:val="center"/>
          </w:tcPr>
          <w:p w:rsidR="00D65CDD" w:rsidRPr="003174A9" w:rsidRDefault="00D65CDD" w:rsidP="0043209E">
            <w:pPr>
              <w:rPr>
                <w:rFonts w:ascii="Arial Narrow" w:hAnsi="Arial Narrow"/>
                <w:b/>
                <w:bCs/>
                <w:sz w:val="18"/>
                <w:szCs w:val="18"/>
              </w:rPr>
            </w:pPr>
            <w:r w:rsidRPr="003174A9">
              <w:rPr>
                <w:rFonts w:ascii="Arial Narrow" w:hAnsi="Arial Narrow"/>
                <w:b/>
                <w:bCs/>
                <w:sz w:val="18"/>
                <w:szCs w:val="18"/>
              </w:rPr>
              <w:t>Treatment criteria:</w:t>
            </w:r>
          </w:p>
        </w:tc>
      </w:tr>
      <w:tr w:rsidR="00D65CDD" w:rsidRPr="0062746A" w:rsidTr="00D65CDD">
        <w:tc>
          <w:tcPr>
            <w:tcW w:w="5000" w:type="pct"/>
            <w:vAlign w:val="center"/>
          </w:tcPr>
          <w:p w:rsidR="00D65CDD" w:rsidRPr="003174A9" w:rsidRDefault="00D65CDD" w:rsidP="0043209E">
            <w:pPr>
              <w:rPr>
                <w:rFonts w:ascii="Arial Narrow" w:hAnsi="Arial Narrow"/>
                <w:bCs/>
                <w:sz w:val="18"/>
                <w:szCs w:val="18"/>
              </w:rPr>
            </w:pPr>
            <w:r w:rsidRPr="003174A9">
              <w:rPr>
                <w:rFonts w:ascii="Arial Narrow" w:hAnsi="Arial Narrow"/>
                <w:bCs/>
                <w:sz w:val="18"/>
                <w:szCs w:val="18"/>
              </w:rPr>
              <w:t>Must be treated by a gastroenterologist; or</w:t>
            </w:r>
          </w:p>
        </w:tc>
      </w:tr>
      <w:tr w:rsidR="00D65CDD" w:rsidRPr="0062746A" w:rsidTr="00D65CDD">
        <w:tc>
          <w:tcPr>
            <w:tcW w:w="5000" w:type="pct"/>
            <w:vAlign w:val="center"/>
          </w:tcPr>
          <w:p w:rsidR="00D65CDD" w:rsidRPr="003174A9" w:rsidRDefault="00D65CDD" w:rsidP="0043209E">
            <w:pPr>
              <w:rPr>
                <w:rFonts w:ascii="Arial Narrow" w:hAnsi="Arial Narrow"/>
                <w:bCs/>
                <w:sz w:val="18"/>
                <w:szCs w:val="18"/>
              </w:rPr>
            </w:pPr>
            <w:r w:rsidRPr="003174A9">
              <w:rPr>
                <w:rFonts w:ascii="Arial Narrow" w:hAnsi="Arial Narrow"/>
                <w:bCs/>
                <w:sz w:val="18"/>
                <w:szCs w:val="18"/>
              </w:rPr>
              <w:t>Must be treated by a consultant physician [internal medicine specialising in gastroenterology]; or</w:t>
            </w:r>
          </w:p>
        </w:tc>
      </w:tr>
      <w:tr w:rsidR="00D65CDD" w:rsidRPr="0062746A" w:rsidTr="00D65CDD">
        <w:tc>
          <w:tcPr>
            <w:tcW w:w="5000" w:type="pct"/>
            <w:vAlign w:val="center"/>
          </w:tcPr>
          <w:p w:rsidR="00D65CDD" w:rsidRPr="003174A9" w:rsidRDefault="00D65CDD" w:rsidP="0043209E">
            <w:pPr>
              <w:rPr>
                <w:rFonts w:ascii="Arial Narrow" w:hAnsi="Arial Narrow"/>
                <w:bCs/>
                <w:sz w:val="18"/>
                <w:szCs w:val="18"/>
              </w:rPr>
            </w:pPr>
            <w:r w:rsidRPr="003174A9">
              <w:rPr>
                <w:rFonts w:ascii="Arial Narrow" w:hAnsi="Arial Narrow"/>
                <w:bCs/>
                <w:sz w:val="18"/>
                <w:szCs w:val="18"/>
              </w:rPr>
              <w:t>Must be treated by a consultant physician [general medicine specialising in gastroenterology]</w:t>
            </w:r>
          </w:p>
        </w:tc>
      </w:tr>
      <w:tr w:rsidR="00D65CDD" w:rsidRPr="0062746A" w:rsidTr="00D65CDD">
        <w:tc>
          <w:tcPr>
            <w:tcW w:w="5000" w:type="pct"/>
            <w:vAlign w:val="center"/>
          </w:tcPr>
          <w:p w:rsidR="00D65CDD" w:rsidRPr="003174A9" w:rsidRDefault="00D65CDD" w:rsidP="0043209E">
            <w:pPr>
              <w:rPr>
                <w:rFonts w:ascii="Arial Narrow" w:hAnsi="Arial Narrow"/>
                <w:b/>
                <w:bCs/>
                <w:sz w:val="18"/>
                <w:szCs w:val="18"/>
              </w:rPr>
            </w:pPr>
            <w:r w:rsidRPr="003174A9">
              <w:rPr>
                <w:rFonts w:ascii="Arial Narrow" w:hAnsi="Arial Narrow"/>
                <w:b/>
                <w:bCs/>
                <w:sz w:val="18"/>
                <w:szCs w:val="18"/>
              </w:rPr>
              <w:t>AND</w:t>
            </w:r>
          </w:p>
        </w:tc>
      </w:tr>
      <w:tr w:rsidR="00D65CDD" w:rsidRPr="0062746A" w:rsidTr="00D65CDD">
        <w:tc>
          <w:tcPr>
            <w:tcW w:w="5000" w:type="pct"/>
            <w:vAlign w:val="center"/>
            <w:hideMark/>
          </w:tcPr>
          <w:p w:rsidR="00D65CDD" w:rsidRPr="003174A9" w:rsidRDefault="00D65CDD" w:rsidP="0043209E">
            <w:pPr>
              <w:rPr>
                <w:rFonts w:ascii="Arial Narrow" w:hAnsi="Arial Narrow"/>
                <w:sz w:val="18"/>
                <w:szCs w:val="18"/>
              </w:rPr>
            </w:pPr>
            <w:r w:rsidRPr="003174A9">
              <w:rPr>
                <w:rFonts w:ascii="Arial Narrow" w:hAnsi="Arial Narrow"/>
                <w:b/>
                <w:bCs/>
                <w:sz w:val="18"/>
                <w:szCs w:val="18"/>
              </w:rPr>
              <w:t>Clinical criteria:</w:t>
            </w:r>
          </w:p>
        </w:tc>
      </w:tr>
      <w:tr w:rsidR="00D65CDD" w:rsidRPr="0062746A" w:rsidTr="00D65CDD">
        <w:tc>
          <w:tcPr>
            <w:tcW w:w="5000" w:type="pct"/>
            <w:hideMark/>
          </w:tcPr>
          <w:p w:rsidR="00D65CDD" w:rsidRPr="003174A9" w:rsidRDefault="00D65CDD" w:rsidP="0043209E">
            <w:pPr>
              <w:pStyle w:val="CommentText"/>
              <w:rPr>
                <w:rFonts w:ascii="Arial Narrow" w:hAnsi="Arial Narrow"/>
                <w:sz w:val="18"/>
                <w:szCs w:val="18"/>
              </w:rPr>
            </w:pPr>
            <w:r w:rsidRPr="003174A9">
              <w:rPr>
                <w:rFonts w:ascii="Arial Narrow" w:hAnsi="Arial Narrow"/>
                <w:sz w:val="18"/>
                <w:szCs w:val="18"/>
              </w:rPr>
              <w:t>Patient must have received insufficient therapy with this drug under the Initial treatment with subcutaneous form to complete 14 to 16 weeks treatment; OR</w:t>
            </w:r>
          </w:p>
        </w:tc>
      </w:tr>
      <w:tr w:rsidR="00D65CDD" w:rsidRPr="0062746A" w:rsidTr="00D65CDD">
        <w:tc>
          <w:tcPr>
            <w:tcW w:w="5000" w:type="pct"/>
          </w:tcPr>
          <w:p w:rsidR="00D65CDD" w:rsidRPr="003174A9" w:rsidRDefault="00D65CDD" w:rsidP="0043209E">
            <w:pPr>
              <w:pStyle w:val="CommentText"/>
              <w:rPr>
                <w:rFonts w:ascii="Arial Narrow" w:hAnsi="Arial Narrow"/>
                <w:sz w:val="18"/>
                <w:szCs w:val="18"/>
              </w:rPr>
            </w:pPr>
            <w:r w:rsidRPr="003174A9">
              <w:rPr>
                <w:rFonts w:ascii="Arial Narrow" w:hAnsi="Arial Narrow"/>
                <w:b/>
                <w:bCs/>
                <w:sz w:val="18"/>
                <w:szCs w:val="18"/>
              </w:rPr>
              <w:t>Clinical criteria:</w:t>
            </w:r>
          </w:p>
        </w:tc>
      </w:tr>
      <w:tr w:rsidR="00D65CDD" w:rsidRPr="0062746A" w:rsidTr="00D65CDD">
        <w:tc>
          <w:tcPr>
            <w:tcW w:w="5000" w:type="pct"/>
          </w:tcPr>
          <w:p w:rsidR="00D65CDD" w:rsidRPr="003174A9" w:rsidRDefault="00D65CDD" w:rsidP="0043209E">
            <w:pPr>
              <w:pStyle w:val="CommentText"/>
              <w:rPr>
                <w:rFonts w:ascii="Arial Narrow" w:hAnsi="Arial Narrow"/>
                <w:sz w:val="18"/>
                <w:szCs w:val="18"/>
              </w:rPr>
            </w:pPr>
            <w:r w:rsidRPr="003174A9">
              <w:rPr>
                <w:rFonts w:ascii="Arial Narrow" w:hAnsi="Arial Narrow"/>
                <w:sz w:val="18"/>
                <w:szCs w:val="18"/>
              </w:rPr>
              <w:t xml:space="preserve">Patient must have received insufficient therapy with this drug under the Continuing treatment to complete 24 weeks of treatment; </w:t>
            </w:r>
          </w:p>
        </w:tc>
      </w:tr>
      <w:tr w:rsidR="00D65CDD" w:rsidRPr="0062746A" w:rsidTr="00D65CDD">
        <w:tc>
          <w:tcPr>
            <w:tcW w:w="5000" w:type="pct"/>
          </w:tcPr>
          <w:p w:rsidR="00D65CDD" w:rsidRPr="003174A9" w:rsidRDefault="00D65CDD" w:rsidP="0043209E">
            <w:pPr>
              <w:pStyle w:val="CommentText"/>
              <w:rPr>
                <w:rFonts w:ascii="Arial Narrow" w:hAnsi="Arial Narrow"/>
                <w:b/>
                <w:sz w:val="18"/>
                <w:szCs w:val="18"/>
              </w:rPr>
            </w:pPr>
            <w:r w:rsidRPr="003174A9">
              <w:rPr>
                <w:rFonts w:ascii="Arial Narrow" w:hAnsi="Arial Narrow"/>
                <w:b/>
                <w:sz w:val="18"/>
                <w:szCs w:val="18"/>
              </w:rPr>
              <w:t>AND</w:t>
            </w:r>
          </w:p>
        </w:tc>
      </w:tr>
      <w:tr w:rsidR="00D65CDD" w:rsidRPr="0062746A" w:rsidTr="00D65CDD">
        <w:tc>
          <w:tcPr>
            <w:tcW w:w="5000" w:type="pct"/>
          </w:tcPr>
          <w:p w:rsidR="00D65CDD" w:rsidRPr="003174A9" w:rsidRDefault="00D65CDD" w:rsidP="0043209E">
            <w:pPr>
              <w:pStyle w:val="CommentText"/>
              <w:rPr>
                <w:rFonts w:ascii="Arial Narrow" w:hAnsi="Arial Narrow"/>
                <w:sz w:val="18"/>
                <w:szCs w:val="18"/>
              </w:rPr>
            </w:pPr>
            <w:r w:rsidRPr="003174A9">
              <w:rPr>
                <w:rFonts w:ascii="Arial Narrow" w:hAnsi="Arial Narrow"/>
                <w:b/>
                <w:bCs/>
                <w:sz w:val="18"/>
                <w:szCs w:val="18"/>
              </w:rPr>
              <w:t>Clinical criteria:</w:t>
            </w:r>
          </w:p>
        </w:tc>
      </w:tr>
      <w:tr w:rsidR="00D65CDD" w:rsidRPr="00C337E5" w:rsidTr="00D65CDD">
        <w:tc>
          <w:tcPr>
            <w:tcW w:w="5000" w:type="pct"/>
          </w:tcPr>
          <w:p w:rsidR="00D65CDD" w:rsidRPr="003174A9" w:rsidRDefault="00D65CDD" w:rsidP="0043209E">
            <w:pPr>
              <w:pStyle w:val="CommentText"/>
              <w:rPr>
                <w:rFonts w:ascii="Arial Narrow" w:hAnsi="Arial Narrow"/>
                <w:sz w:val="18"/>
                <w:szCs w:val="18"/>
              </w:rPr>
            </w:pPr>
            <w:r w:rsidRPr="003174A9">
              <w:rPr>
                <w:rFonts w:ascii="Arial Narrow" w:hAnsi="Arial Narrow"/>
                <w:sz w:val="18"/>
                <w:szCs w:val="18"/>
              </w:rPr>
              <w:t>The treatment must provide no more than the balance of doses up to 14 to 16 weeks therapy available under Initial treatment – subcutaneous form; OR</w:t>
            </w:r>
          </w:p>
        </w:tc>
      </w:tr>
      <w:tr w:rsidR="00D65CDD" w:rsidRPr="0062746A" w:rsidTr="00D65CDD">
        <w:tc>
          <w:tcPr>
            <w:tcW w:w="5000" w:type="pct"/>
          </w:tcPr>
          <w:p w:rsidR="00D65CDD" w:rsidRPr="003174A9" w:rsidRDefault="00D65CDD" w:rsidP="0043209E">
            <w:pPr>
              <w:pStyle w:val="CommentText"/>
              <w:rPr>
                <w:rFonts w:ascii="Arial Narrow" w:hAnsi="Arial Narrow"/>
                <w:b/>
                <w:sz w:val="18"/>
                <w:szCs w:val="18"/>
              </w:rPr>
            </w:pPr>
            <w:r w:rsidRPr="003174A9">
              <w:rPr>
                <w:rFonts w:ascii="Arial Narrow" w:hAnsi="Arial Narrow"/>
                <w:b/>
                <w:sz w:val="18"/>
                <w:szCs w:val="18"/>
              </w:rPr>
              <w:t>Clinical criteria:</w:t>
            </w:r>
          </w:p>
        </w:tc>
      </w:tr>
      <w:tr w:rsidR="00D65CDD" w:rsidRPr="00C337E5" w:rsidTr="00D65CDD">
        <w:tc>
          <w:tcPr>
            <w:tcW w:w="5000" w:type="pct"/>
          </w:tcPr>
          <w:p w:rsidR="00D65CDD" w:rsidRPr="003174A9" w:rsidRDefault="00D65CDD" w:rsidP="0043209E">
            <w:pPr>
              <w:pStyle w:val="CommentText"/>
              <w:rPr>
                <w:rFonts w:ascii="Arial Narrow" w:hAnsi="Arial Narrow"/>
                <w:sz w:val="18"/>
                <w:szCs w:val="18"/>
              </w:rPr>
            </w:pPr>
            <w:r w:rsidRPr="003174A9">
              <w:rPr>
                <w:rFonts w:ascii="Arial Narrow" w:hAnsi="Arial Narrow"/>
                <w:sz w:val="18"/>
                <w:szCs w:val="18"/>
              </w:rPr>
              <w:t>The treatment must provide no more than the balance of up to 24 weeks therapy available under Continuing treatment – subcutaneous form</w:t>
            </w:r>
          </w:p>
        </w:tc>
      </w:tr>
      <w:tr w:rsidR="00D65CDD" w:rsidRPr="0062746A" w:rsidTr="00D65CDD">
        <w:tc>
          <w:tcPr>
            <w:tcW w:w="5000" w:type="pct"/>
            <w:vAlign w:val="center"/>
            <w:hideMark/>
          </w:tcPr>
          <w:p w:rsidR="00D65CDD" w:rsidRPr="003174A9" w:rsidRDefault="00D65CDD" w:rsidP="0043209E">
            <w:pPr>
              <w:rPr>
                <w:rFonts w:ascii="Arial Narrow" w:hAnsi="Arial Narrow"/>
                <w:sz w:val="18"/>
                <w:szCs w:val="18"/>
              </w:rPr>
            </w:pPr>
            <w:r w:rsidRPr="003174A9">
              <w:rPr>
                <w:rFonts w:ascii="Arial Narrow" w:hAnsi="Arial Narrow"/>
                <w:b/>
                <w:bCs/>
                <w:sz w:val="18"/>
                <w:szCs w:val="18"/>
              </w:rPr>
              <w:t>AND</w:t>
            </w:r>
          </w:p>
        </w:tc>
      </w:tr>
      <w:tr w:rsidR="00D65CDD" w:rsidRPr="0062746A" w:rsidTr="00D65CDD">
        <w:tc>
          <w:tcPr>
            <w:tcW w:w="5000" w:type="pct"/>
            <w:vAlign w:val="center"/>
            <w:hideMark/>
          </w:tcPr>
          <w:p w:rsidR="00D65CDD" w:rsidRPr="003174A9" w:rsidRDefault="00D65CDD" w:rsidP="0043209E">
            <w:pPr>
              <w:rPr>
                <w:rFonts w:ascii="Arial Narrow" w:hAnsi="Arial Narrow"/>
                <w:sz w:val="18"/>
                <w:szCs w:val="18"/>
              </w:rPr>
            </w:pPr>
            <w:r w:rsidRPr="003174A9">
              <w:rPr>
                <w:rFonts w:ascii="Arial Narrow" w:hAnsi="Arial Narrow"/>
                <w:b/>
                <w:bCs/>
                <w:sz w:val="18"/>
                <w:szCs w:val="18"/>
              </w:rPr>
              <w:t>Population criteria:</w:t>
            </w:r>
          </w:p>
        </w:tc>
      </w:tr>
      <w:tr w:rsidR="00D65CDD" w:rsidRPr="0062746A" w:rsidTr="00D65CDD">
        <w:tc>
          <w:tcPr>
            <w:tcW w:w="5000" w:type="pct"/>
            <w:vAlign w:val="center"/>
            <w:hideMark/>
          </w:tcPr>
          <w:p w:rsidR="00D65CDD" w:rsidRPr="003174A9" w:rsidRDefault="00D65CDD" w:rsidP="0043209E">
            <w:pPr>
              <w:rPr>
                <w:rFonts w:ascii="Arial Narrow" w:hAnsi="Arial Narrow"/>
                <w:sz w:val="18"/>
                <w:szCs w:val="18"/>
              </w:rPr>
            </w:pPr>
            <w:r w:rsidRPr="003174A9">
              <w:rPr>
                <w:rFonts w:ascii="Arial Narrow" w:hAnsi="Arial Narrow"/>
                <w:sz w:val="18"/>
                <w:szCs w:val="18"/>
              </w:rPr>
              <w:t>Patient must be aged 18 years or older.</w:t>
            </w:r>
          </w:p>
        </w:tc>
      </w:tr>
      <w:tr w:rsidR="00D65CDD" w:rsidRPr="0062746A" w:rsidTr="00D65CDD">
        <w:tc>
          <w:tcPr>
            <w:tcW w:w="5000" w:type="pct"/>
            <w:tcBorders>
              <w:bottom w:val="single" w:sz="4" w:space="0" w:color="auto"/>
            </w:tcBorders>
            <w:vAlign w:val="center"/>
          </w:tcPr>
          <w:p w:rsidR="00D65CDD" w:rsidRPr="003174A9" w:rsidRDefault="00D65CDD" w:rsidP="0043209E">
            <w:pPr>
              <w:rPr>
                <w:rFonts w:ascii="Arial Narrow" w:hAnsi="Arial Narrow"/>
                <w:sz w:val="18"/>
                <w:szCs w:val="18"/>
              </w:rPr>
            </w:pPr>
            <w:r w:rsidRPr="003174A9">
              <w:rPr>
                <w:rFonts w:ascii="Arial Narrow" w:hAnsi="Arial Narrow"/>
                <w:b/>
                <w:bCs/>
                <w:sz w:val="18"/>
                <w:szCs w:val="18"/>
              </w:rPr>
              <w:t>Prescribing Instructions:</w:t>
            </w:r>
          </w:p>
        </w:tc>
      </w:tr>
      <w:tr w:rsidR="00D65CDD" w:rsidRPr="0062746A" w:rsidTr="00D65CD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Ex>
        <w:tc>
          <w:tcPr>
            <w:tcW w:w="5000" w:type="pct"/>
            <w:tcBorders>
              <w:top w:val="single" w:sz="4" w:space="0" w:color="auto"/>
              <w:left w:val="single" w:sz="4" w:space="0" w:color="auto"/>
              <w:bottom w:val="single" w:sz="4" w:space="0" w:color="auto"/>
              <w:right w:val="single" w:sz="4" w:space="0" w:color="auto"/>
            </w:tcBorders>
            <w:vAlign w:val="center"/>
          </w:tcPr>
          <w:p w:rsidR="00D65CDD" w:rsidRPr="003174A9" w:rsidRDefault="00D65CDD" w:rsidP="0043209E">
            <w:pPr>
              <w:ind w:hanging="103"/>
              <w:rPr>
                <w:rFonts w:ascii="Arial Narrow" w:hAnsi="Arial Narrow"/>
                <w:b/>
                <w:sz w:val="18"/>
                <w:szCs w:val="18"/>
              </w:rPr>
            </w:pPr>
            <w:r w:rsidRPr="003174A9">
              <w:rPr>
                <w:rFonts w:ascii="Arial Narrow" w:hAnsi="Arial Narrow"/>
                <w:b/>
                <w:bCs/>
                <w:sz w:val="18"/>
                <w:szCs w:val="18"/>
              </w:rPr>
              <w:t>Administrative Advice:</w:t>
            </w:r>
            <w:r w:rsidRPr="003174A9">
              <w:rPr>
                <w:rFonts w:ascii="Arial Narrow" w:hAnsi="Arial Narrow"/>
                <w:sz w:val="18"/>
                <w:szCs w:val="18"/>
              </w:rPr>
              <w:t xml:space="preserve"> No increase in the maximum quantity or number of units may be authorised.</w:t>
            </w:r>
          </w:p>
        </w:tc>
      </w:tr>
      <w:tr w:rsidR="00D65CDD" w:rsidRPr="00F84F11" w:rsidTr="00D65CDD">
        <w:trPr>
          <w:trHeight w:val="723"/>
        </w:trPr>
        <w:tc>
          <w:tcPr>
            <w:tcW w:w="5000" w:type="pct"/>
            <w:tcBorders>
              <w:top w:val="single" w:sz="4" w:space="0" w:color="auto"/>
            </w:tcBorders>
            <w:vAlign w:val="center"/>
            <w:hideMark/>
          </w:tcPr>
          <w:p w:rsidR="00D65CDD" w:rsidRPr="003174A9" w:rsidRDefault="00D65CDD" w:rsidP="0043209E">
            <w:pPr>
              <w:jc w:val="left"/>
              <w:rPr>
                <w:rFonts w:ascii="Arial Narrow" w:hAnsi="Arial Narrow"/>
                <w:b/>
                <w:sz w:val="18"/>
                <w:szCs w:val="18"/>
              </w:rPr>
            </w:pPr>
            <w:r w:rsidRPr="003174A9">
              <w:rPr>
                <w:rFonts w:ascii="Arial Narrow" w:hAnsi="Arial Narrow"/>
                <w:b/>
                <w:sz w:val="18"/>
                <w:szCs w:val="18"/>
              </w:rPr>
              <w:t>Administrative Advice:</w:t>
            </w:r>
          </w:p>
          <w:p w:rsidR="00D65CDD" w:rsidRPr="003174A9" w:rsidRDefault="00D65CDD" w:rsidP="0043209E">
            <w:pPr>
              <w:jc w:val="left"/>
              <w:rPr>
                <w:rFonts w:ascii="Arial Narrow" w:hAnsi="Arial Narrow"/>
                <w:sz w:val="18"/>
                <w:szCs w:val="18"/>
              </w:rPr>
            </w:pPr>
            <w:r w:rsidRPr="003174A9">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FF2BC8" w:rsidRDefault="00FF2BC8" w:rsidP="00C96EB6">
      <w:pPr>
        <w:rPr>
          <w:rFonts w:cs="Calibri"/>
        </w:rPr>
      </w:pPr>
    </w:p>
    <w:p w:rsidR="00FF2BC8" w:rsidRPr="00FF2BC8" w:rsidRDefault="00FF2BC8" w:rsidP="00C96EB6">
      <w:pPr>
        <w:rPr>
          <w:rFonts w:cs="Calibri"/>
        </w:rPr>
      </w:pPr>
    </w:p>
    <w:p w:rsidR="00A3364E" w:rsidRDefault="00C96EB6" w:rsidP="00427C47">
      <w:pPr>
        <w:rPr>
          <w:rFonts w:cs="Calibri"/>
          <w:b/>
          <w:i/>
        </w:rPr>
      </w:pPr>
      <w:r w:rsidRPr="004E025C">
        <w:rPr>
          <w:rFonts w:cs="Calibri"/>
          <w:b/>
          <w:i/>
        </w:rPr>
        <w:t>This restriction may be subject to further review. Should there be any changes made to the restriction the Sponsor will be informed.</w:t>
      </w:r>
    </w:p>
    <w:p w:rsidR="00D4216F" w:rsidRDefault="00D4216F" w:rsidP="00427C47">
      <w:pPr>
        <w:rPr>
          <w:rFonts w:cs="Calibri"/>
          <w:b/>
          <w:i/>
        </w:rPr>
      </w:pPr>
    </w:p>
    <w:p w:rsidR="00D4216F" w:rsidRPr="00D4216F" w:rsidRDefault="00D4216F" w:rsidP="00D4216F">
      <w:pPr>
        <w:pStyle w:val="2-SectionHeading"/>
        <w:keepLines/>
        <w:numPr>
          <w:ilvl w:val="0"/>
          <w:numId w:val="1"/>
        </w:numPr>
      </w:pPr>
      <w:r w:rsidRPr="00C07617">
        <w:t>Context for Decision</w:t>
      </w:r>
    </w:p>
    <w:p w:rsidR="00D4216F" w:rsidRPr="00D4216F" w:rsidRDefault="00D4216F" w:rsidP="009B2129">
      <w:pPr>
        <w:keepNext/>
        <w:keepLines/>
        <w:widowControl w:val="0"/>
        <w:spacing w:after="120"/>
        <w:ind w:left="720"/>
        <w:rPr>
          <w:rFonts w:asciiTheme="minorHAnsi" w:hAnsiTheme="minorHAnsi"/>
          <w:bCs/>
          <w:snapToGrid w:val="0"/>
        </w:rPr>
      </w:pPr>
      <w:r w:rsidRPr="00D4216F">
        <w:rPr>
          <w:rFonts w:asciiTheme="minorHAnsi" w:hAnsiTheme="minorHAnsi"/>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4216F" w:rsidRPr="00D4216F" w:rsidRDefault="00D4216F" w:rsidP="00D4216F">
      <w:pPr>
        <w:pStyle w:val="2-SectionHeading"/>
        <w:keepLines/>
        <w:numPr>
          <w:ilvl w:val="0"/>
          <w:numId w:val="1"/>
        </w:numPr>
      </w:pPr>
      <w:r>
        <w:t>Sponsor’s Comment</w:t>
      </w:r>
    </w:p>
    <w:p w:rsidR="006416BD" w:rsidRPr="00B179A1" w:rsidRDefault="006416BD" w:rsidP="006416BD">
      <w:pPr>
        <w:pStyle w:val="2-SectionHeading"/>
        <w:numPr>
          <w:ilvl w:val="0"/>
          <w:numId w:val="0"/>
        </w:numPr>
        <w:ind w:left="720"/>
        <w:rPr>
          <w:b w:val="0"/>
          <w:sz w:val="24"/>
          <w:szCs w:val="24"/>
        </w:rPr>
      </w:pPr>
      <w:r w:rsidRPr="00B179A1">
        <w:rPr>
          <w:b w:val="0"/>
          <w:sz w:val="24"/>
          <w:szCs w:val="24"/>
        </w:rPr>
        <w:t>Takeda Australia welcomes the PBAC’s decision to recommend the subcutaneously administered formulation of vedolizumab as maintenance treatment for patients with moderate to severe ulcerative colitis and patients with severe Crohn’s disease</w:t>
      </w:r>
    </w:p>
    <w:p w:rsidR="00D4216F" w:rsidRPr="00427C47" w:rsidRDefault="00D4216F" w:rsidP="00427C47">
      <w:pPr>
        <w:rPr>
          <w:rFonts w:cs="Calibri"/>
          <w:b/>
          <w:i/>
        </w:rPr>
      </w:pPr>
    </w:p>
    <w:sectPr w:rsidR="00D4216F" w:rsidRPr="00427C47"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9061A" w16cex:dateUtc="2020-11-25T05:34:00Z"/>
  <w16cex:commentExtensible w16cex:durableId="23690A5D" w16cex:dateUtc="2020-11-25T05:52:00Z"/>
  <w16cex:commentExtensible w16cex:durableId="23690B62" w16cex:dateUtc="2020-11-25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E63CB" w16cid:durableId="2369061A"/>
  <w16cid:commentId w16cid:paraId="3C023D8E" w16cid:durableId="236904E9"/>
  <w16cid:commentId w16cid:paraId="6DE86A08" w16cid:durableId="23690A5D"/>
  <w16cid:commentId w16cid:paraId="0D7C54D4" w16cid:durableId="23690B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98" w:rsidRDefault="00084C98" w:rsidP="00124A51">
      <w:r>
        <w:separator/>
      </w:r>
    </w:p>
    <w:p w:rsidR="00084C98" w:rsidRDefault="00084C98"/>
  </w:endnote>
  <w:endnote w:type="continuationSeparator" w:id="0">
    <w:p w:rsidR="00084C98" w:rsidRDefault="00084C98" w:rsidP="00124A51">
      <w:r>
        <w:continuationSeparator/>
      </w:r>
    </w:p>
    <w:p w:rsidR="00084C98" w:rsidRDefault="0008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altName w:val="MS Reference Sans Serif"/>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83" w:rsidRDefault="00624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83" w:rsidRDefault="00624283" w:rsidP="005A64DB">
    <w:pPr>
      <w:pStyle w:val="Footer"/>
      <w:jc w:val="center"/>
      <w:rPr>
        <w:caps/>
      </w:rPr>
    </w:pPr>
    <w:r w:rsidRPr="008A68F7">
      <w:rPr>
        <w:caps/>
      </w:rPr>
      <w:t xml:space="preserve"> </w:t>
    </w:r>
  </w:p>
  <w:p w:rsidR="00624283" w:rsidRPr="005A64DB" w:rsidRDefault="00624283" w:rsidP="005A64DB">
    <w:pPr>
      <w:pStyle w:val="Footer"/>
      <w:jc w:val="center"/>
      <w:rPr>
        <w:b/>
        <w:caps/>
        <w:noProof/>
      </w:rPr>
    </w:pPr>
    <w:r w:rsidRPr="008A68F7">
      <w:rPr>
        <w:b/>
        <w:caps/>
      </w:rPr>
      <w:fldChar w:fldCharType="begin"/>
    </w:r>
    <w:r w:rsidRPr="008A68F7">
      <w:rPr>
        <w:b/>
        <w:caps/>
      </w:rPr>
      <w:instrText xml:space="preserve"> PAGE   \* MERGEFORMAT </w:instrText>
    </w:r>
    <w:r w:rsidRPr="008A68F7">
      <w:rPr>
        <w:b/>
        <w:caps/>
      </w:rPr>
      <w:fldChar w:fldCharType="separate"/>
    </w:r>
    <w:r w:rsidR="00226F00">
      <w:rPr>
        <w:b/>
        <w:caps/>
        <w:noProof/>
      </w:rPr>
      <w:t>41</w:t>
    </w:r>
    <w:r w:rsidRPr="008A68F7">
      <w:rPr>
        <w:b/>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83" w:rsidRDefault="00624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98" w:rsidRDefault="00084C98" w:rsidP="00124A51">
      <w:r>
        <w:separator/>
      </w:r>
    </w:p>
    <w:p w:rsidR="00084C98" w:rsidRDefault="00084C98"/>
  </w:footnote>
  <w:footnote w:type="continuationSeparator" w:id="0">
    <w:p w:rsidR="00084C98" w:rsidRDefault="00084C98" w:rsidP="00124A51">
      <w:r>
        <w:continuationSeparator/>
      </w:r>
    </w:p>
    <w:p w:rsidR="00084C98" w:rsidRDefault="00084C98"/>
  </w:footnote>
  <w:footnote w:id="1">
    <w:p w:rsidR="00624283" w:rsidRPr="00FF4E94" w:rsidRDefault="00624283" w:rsidP="00432EA7">
      <w:pPr>
        <w:pStyle w:val="FootnoteText"/>
        <w:ind w:left="142" w:hanging="142"/>
        <w:rPr>
          <w:rFonts w:ascii="Arial Narrow" w:hAnsi="Arial Narrow"/>
          <w:i/>
          <w:sz w:val="18"/>
          <w:szCs w:val="18"/>
        </w:rPr>
      </w:pPr>
      <w:r w:rsidRPr="00FF4E94">
        <w:rPr>
          <w:rStyle w:val="FootnoteReference"/>
          <w:rFonts w:ascii="Arial Narrow" w:hAnsi="Arial Narrow"/>
          <w:sz w:val="18"/>
          <w:szCs w:val="18"/>
        </w:rPr>
        <w:footnoteRef/>
      </w:r>
      <w:r w:rsidRPr="00FF4E94">
        <w:rPr>
          <w:rFonts w:ascii="Arial Narrow" w:hAnsi="Arial Narrow"/>
          <w:sz w:val="18"/>
          <w:szCs w:val="18"/>
        </w:rPr>
        <w:t xml:space="preserve"> Gastroenterology Society of Australia (GESA).</w:t>
      </w:r>
      <w:r w:rsidRPr="00FF4E94">
        <w:rPr>
          <w:rFonts w:ascii="Arial Narrow" w:hAnsi="Arial Narrow"/>
          <w:i/>
          <w:sz w:val="18"/>
          <w:szCs w:val="18"/>
        </w:rPr>
        <w:t xml:space="preserve"> </w:t>
      </w:r>
      <w:r w:rsidRPr="00FF4E94">
        <w:rPr>
          <w:rFonts w:ascii="Arial Narrow" w:hAnsi="Arial Narrow"/>
          <w:sz w:val="18"/>
          <w:szCs w:val="18"/>
        </w:rPr>
        <w:t>Clinical Update for General Practitioners and Physicians - Inflammatory Bowel Disease, 2018.</w:t>
      </w:r>
    </w:p>
    <w:p w:rsidR="00624283" w:rsidRPr="00FF4E94" w:rsidRDefault="00624283" w:rsidP="00432EA7">
      <w:pPr>
        <w:pStyle w:val="FootnoteText"/>
        <w:ind w:left="142"/>
        <w:rPr>
          <w:rFonts w:ascii="Arial Narrow" w:hAnsi="Arial Narrow"/>
          <w:sz w:val="18"/>
          <w:szCs w:val="18"/>
        </w:rPr>
      </w:pPr>
      <w:r w:rsidRPr="00FF4E94">
        <w:rPr>
          <w:rFonts w:ascii="Arial Narrow" w:hAnsi="Arial Narrow"/>
          <w:sz w:val="18"/>
          <w:szCs w:val="18"/>
        </w:rPr>
        <w:t>Lamb CA, Kennedy NA</w:t>
      </w:r>
      <w:r w:rsidRPr="00FF4E94">
        <w:rPr>
          <w:rFonts w:ascii="Arial Narrow" w:hAnsi="Arial Narrow"/>
          <w:i/>
          <w:sz w:val="18"/>
          <w:szCs w:val="18"/>
        </w:rPr>
        <w:t>, et al.</w:t>
      </w:r>
      <w:r w:rsidRPr="00FF4E94">
        <w:rPr>
          <w:rFonts w:ascii="Arial Narrow" w:hAnsi="Arial Narrow"/>
          <w:sz w:val="18"/>
          <w:szCs w:val="18"/>
        </w:rPr>
        <w:t xml:space="preserve"> British Society of Gastroenterology consensus guidelines on the management of inflammatory bowel disease in adults. </w:t>
      </w:r>
      <w:r w:rsidRPr="00FF4E94">
        <w:rPr>
          <w:rFonts w:ascii="Arial Narrow" w:hAnsi="Arial Narrow"/>
          <w:i/>
          <w:sz w:val="18"/>
          <w:szCs w:val="18"/>
        </w:rPr>
        <w:t>Gut</w:t>
      </w:r>
      <w:r w:rsidRPr="00FF4E94">
        <w:rPr>
          <w:rFonts w:ascii="Arial Narrow" w:hAnsi="Arial Narrow"/>
          <w:sz w:val="18"/>
          <w:szCs w:val="18"/>
        </w:rPr>
        <w:t>. 2019; 68 (Suppl 3):s1-s106.</w:t>
      </w:r>
    </w:p>
    <w:p w:rsidR="00624283" w:rsidRPr="00FF4E94" w:rsidRDefault="00624283" w:rsidP="00432EA7">
      <w:pPr>
        <w:pStyle w:val="FootnoteText"/>
        <w:ind w:left="142"/>
        <w:rPr>
          <w:rFonts w:ascii="Arial Narrow" w:hAnsi="Arial Narrow"/>
          <w:sz w:val="18"/>
          <w:szCs w:val="18"/>
        </w:rPr>
      </w:pPr>
      <w:r w:rsidRPr="00FF4E94">
        <w:rPr>
          <w:rFonts w:ascii="Arial Narrow" w:hAnsi="Arial Narrow"/>
          <w:sz w:val="18"/>
          <w:szCs w:val="18"/>
        </w:rPr>
        <w:t>Harbord M, Eliakim R</w:t>
      </w:r>
      <w:r w:rsidRPr="00FF4E94">
        <w:rPr>
          <w:rFonts w:ascii="Arial Narrow" w:hAnsi="Arial Narrow"/>
          <w:i/>
          <w:sz w:val="18"/>
          <w:szCs w:val="18"/>
        </w:rPr>
        <w:t>, et al.</w:t>
      </w:r>
      <w:r w:rsidRPr="00FF4E94">
        <w:rPr>
          <w:rFonts w:ascii="Arial Narrow" w:hAnsi="Arial Narrow"/>
          <w:sz w:val="18"/>
          <w:szCs w:val="18"/>
        </w:rPr>
        <w:t xml:space="preserve"> Third European Evidence-based Consensus on Diagnosis and Management of Ulcerative Colitis. Part 2: Current Management. </w:t>
      </w:r>
      <w:r w:rsidRPr="00FF4E94">
        <w:rPr>
          <w:rFonts w:ascii="Arial Narrow" w:hAnsi="Arial Narrow"/>
          <w:i/>
          <w:sz w:val="18"/>
          <w:szCs w:val="18"/>
        </w:rPr>
        <w:t>J Crohns Colitis</w:t>
      </w:r>
      <w:r w:rsidRPr="00FF4E94">
        <w:rPr>
          <w:rFonts w:ascii="Arial Narrow" w:hAnsi="Arial Narrow"/>
          <w:sz w:val="18"/>
          <w:szCs w:val="18"/>
        </w:rPr>
        <w:t>. 2017; 11 (7):769-84.</w:t>
      </w:r>
    </w:p>
    <w:p w:rsidR="00624283" w:rsidRPr="00FF4E94" w:rsidRDefault="00624283" w:rsidP="00432EA7">
      <w:pPr>
        <w:pStyle w:val="FootnoteText"/>
        <w:ind w:left="142"/>
        <w:rPr>
          <w:rFonts w:ascii="Arial Narrow" w:hAnsi="Arial Narrow"/>
          <w:sz w:val="18"/>
          <w:szCs w:val="18"/>
          <w:lang w:val="en-US"/>
        </w:rPr>
      </w:pPr>
      <w:r w:rsidRPr="00FF4E94">
        <w:rPr>
          <w:rFonts w:ascii="Arial Narrow" w:hAnsi="Arial Narrow"/>
          <w:sz w:val="18"/>
          <w:szCs w:val="18"/>
        </w:rPr>
        <w:t>Torres J, Bonovas S</w:t>
      </w:r>
      <w:r w:rsidRPr="00FF4E94">
        <w:rPr>
          <w:rFonts w:ascii="Arial Narrow" w:hAnsi="Arial Narrow"/>
          <w:i/>
          <w:sz w:val="18"/>
          <w:szCs w:val="18"/>
        </w:rPr>
        <w:t>, et al.</w:t>
      </w:r>
      <w:r w:rsidRPr="00FF4E94">
        <w:rPr>
          <w:rFonts w:ascii="Arial Narrow" w:hAnsi="Arial Narrow"/>
          <w:sz w:val="18"/>
          <w:szCs w:val="18"/>
        </w:rPr>
        <w:t xml:space="preserve"> ECCO Guidelines on Therapeutics in Crohn's Disease: Medical Treatment. </w:t>
      </w:r>
      <w:r w:rsidRPr="00FF4E94">
        <w:rPr>
          <w:rFonts w:ascii="Arial Narrow" w:hAnsi="Arial Narrow"/>
          <w:i/>
          <w:sz w:val="18"/>
          <w:szCs w:val="18"/>
        </w:rPr>
        <w:t>J Crohns Colitis</w:t>
      </w:r>
      <w:r w:rsidRPr="00FF4E94">
        <w:rPr>
          <w:rFonts w:ascii="Arial Narrow" w:hAnsi="Arial Narrow"/>
          <w:sz w:val="18"/>
          <w:szCs w:val="18"/>
        </w:rPr>
        <w:t>. 2020; 14 (1):4-22.</w:t>
      </w:r>
    </w:p>
  </w:footnote>
  <w:footnote w:id="2">
    <w:p w:rsidR="00624283" w:rsidRPr="00A03286" w:rsidRDefault="00624283" w:rsidP="00A03286">
      <w:pPr>
        <w:pStyle w:val="FootnoteText"/>
        <w:rPr>
          <w:rFonts w:ascii="Arial Narrow" w:hAnsi="Arial Narrow"/>
          <w:sz w:val="18"/>
          <w:szCs w:val="18"/>
        </w:rPr>
      </w:pPr>
      <w:r w:rsidRPr="00A03286">
        <w:rPr>
          <w:rStyle w:val="FootnoteReference"/>
          <w:rFonts w:ascii="Arial Narrow" w:hAnsi="Arial Narrow"/>
          <w:sz w:val="18"/>
          <w:szCs w:val="18"/>
        </w:rPr>
        <w:footnoteRef/>
      </w:r>
      <w:r w:rsidRPr="00A03286">
        <w:rPr>
          <w:rFonts w:ascii="Arial Narrow" w:hAnsi="Arial Narrow"/>
          <w:sz w:val="18"/>
          <w:szCs w:val="18"/>
        </w:rPr>
        <w:t xml:space="preserve"> </w:t>
      </w:r>
      <w:r>
        <w:rPr>
          <w:rFonts w:ascii="Arial Narrow" w:hAnsi="Arial Narrow"/>
          <w:sz w:val="18"/>
          <w:szCs w:val="18"/>
        </w:rPr>
        <w:t xml:space="preserve">Sands B, </w:t>
      </w:r>
      <w:r w:rsidRPr="00E47DC2">
        <w:rPr>
          <w:rFonts w:ascii="Arial Narrow" w:hAnsi="Arial Narrow"/>
          <w:sz w:val="18"/>
          <w:szCs w:val="18"/>
        </w:rPr>
        <w:t>Peyrin</w:t>
      </w:r>
      <w:r w:rsidRPr="00E47DC2">
        <w:rPr>
          <w:rFonts w:ascii="Cambria Math" w:hAnsi="Cambria Math" w:cs="Cambria Math"/>
          <w:sz w:val="18"/>
          <w:szCs w:val="18"/>
        </w:rPr>
        <w:t>‑</w:t>
      </w:r>
      <w:r>
        <w:rPr>
          <w:rFonts w:ascii="Arial Narrow" w:hAnsi="Arial Narrow"/>
          <w:sz w:val="18"/>
          <w:szCs w:val="18"/>
        </w:rPr>
        <w:t xml:space="preserve">Biroulet L, </w:t>
      </w:r>
      <w:r w:rsidRPr="00E47DC2">
        <w:rPr>
          <w:rFonts w:ascii="Arial Narrow" w:hAnsi="Arial Narrow"/>
          <w:i/>
          <w:sz w:val="18"/>
          <w:szCs w:val="18"/>
        </w:rPr>
        <w:t>et al.</w:t>
      </w:r>
      <w:r>
        <w:rPr>
          <w:rFonts w:ascii="Arial Narrow" w:hAnsi="Arial Narrow"/>
          <w:sz w:val="18"/>
          <w:szCs w:val="18"/>
        </w:rPr>
        <w:t xml:space="preserve"> Vedolizumab versus adalimumab </w:t>
      </w:r>
      <w:r w:rsidRPr="00E47DC2">
        <w:rPr>
          <w:rFonts w:ascii="Arial Narrow" w:hAnsi="Arial Narrow"/>
          <w:sz w:val="18"/>
          <w:szCs w:val="18"/>
        </w:rPr>
        <w:t xml:space="preserve">for </w:t>
      </w:r>
      <w:r>
        <w:rPr>
          <w:rFonts w:ascii="Arial Narrow" w:hAnsi="Arial Narrow"/>
          <w:sz w:val="18"/>
          <w:szCs w:val="18"/>
        </w:rPr>
        <w:t>m</w:t>
      </w:r>
      <w:r w:rsidRPr="00E47DC2">
        <w:rPr>
          <w:rFonts w:ascii="Arial Narrow" w:hAnsi="Arial Narrow"/>
          <w:sz w:val="18"/>
          <w:szCs w:val="18"/>
        </w:rPr>
        <w:t>oderate-to-</w:t>
      </w:r>
      <w:r>
        <w:rPr>
          <w:rFonts w:ascii="Arial Narrow" w:hAnsi="Arial Narrow"/>
          <w:sz w:val="18"/>
          <w:szCs w:val="18"/>
        </w:rPr>
        <w:t>s</w:t>
      </w:r>
      <w:r w:rsidRPr="00E47DC2">
        <w:rPr>
          <w:rFonts w:ascii="Arial Narrow" w:hAnsi="Arial Narrow"/>
          <w:sz w:val="18"/>
          <w:szCs w:val="18"/>
        </w:rPr>
        <w:t xml:space="preserve">evere </w:t>
      </w:r>
      <w:r>
        <w:rPr>
          <w:rFonts w:ascii="Arial Narrow" w:hAnsi="Arial Narrow"/>
          <w:sz w:val="18"/>
          <w:szCs w:val="18"/>
        </w:rPr>
        <w:t>u</w:t>
      </w:r>
      <w:r w:rsidRPr="00E47DC2">
        <w:rPr>
          <w:rFonts w:ascii="Arial Narrow" w:hAnsi="Arial Narrow"/>
          <w:sz w:val="18"/>
          <w:szCs w:val="18"/>
        </w:rPr>
        <w:t xml:space="preserve">lcerative </w:t>
      </w:r>
      <w:r>
        <w:rPr>
          <w:rFonts w:ascii="Arial Narrow" w:hAnsi="Arial Narrow"/>
          <w:sz w:val="18"/>
          <w:szCs w:val="18"/>
        </w:rPr>
        <w:t>c</w:t>
      </w:r>
      <w:r w:rsidRPr="00E47DC2">
        <w:rPr>
          <w:rFonts w:ascii="Arial Narrow" w:hAnsi="Arial Narrow"/>
          <w:sz w:val="18"/>
          <w:szCs w:val="18"/>
        </w:rPr>
        <w:t>olitis</w:t>
      </w:r>
      <w:r>
        <w:rPr>
          <w:rFonts w:ascii="Arial Narrow" w:hAnsi="Arial Narrow"/>
          <w:sz w:val="18"/>
          <w:szCs w:val="18"/>
        </w:rPr>
        <w:t xml:space="preserve">. </w:t>
      </w:r>
      <w:r>
        <w:rPr>
          <w:rFonts w:ascii="Arial Narrow" w:hAnsi="Arial Narrow"/>
          <w:i/>
          <w:sz w:val="18"/>
          <w:szCs w:val="18"/>
        </w:rPr>
        <w:t>NEJM</w:t>
      </w:r>
      <w:r w:rsidRPr="00A03286">
        <w:rPr>
          <w:rFonts w:ascii="Arial Narrow" w:hAnsi="Arial Narrow"/>
          <w:sz w:val="18"/>
          <w:szCs w:val="18"/>
        </w:rPr>
        <w:t xml:space="preserve"> 2019;</w:t>
      </w:r>
      <w:r>
        <w:rPr>
          <w:rFonts w:ascii="Arial Narrow" w:hAnsi="Arial Narrow"/>
          <w:sz w:val="18"/>
          <w:szCs w:val="18"/>
        </w:rPr>
        <w:t xml:space="preserve"> 381:1215-26.</w:t>
      </w:r>
    </w:p>
  </w:footnote>
  <w:footnote w:id="3">
    <w:p w:rsidR="00624283" w:rsidRPr="00CB362D" w:rsidRDefault="00624283">
      <w:pPr>
        <w:pStyle w:val="FootnoteText"/>
        <w:rPr>
          <w:rFonts w:ascii="Arial Narrow" w:hAnsi="Arial Narrow"/>
          <w:sz w:val="18"/>
          <w:szCs w:val="18"/>
        </w:rPr>
      </w:pPr>
      <w:r w:rsidRPr="00CB362D">
        <w:rPr>
          <w:rStyle w:val="FootnoteReference"/>
          <w:rFonts w:ascii="Arial Narrow" w:hAnsi="Arial Narrow"/>
          <w:sz w:val="18"/>
          <w:szCs w:val="18"/>
        </w:rPr>
        <w:footnoteRef/>
      </w:r>
      <w:r w:rsidRPr="00CB362D">
        <w:rPr>
          <w:rFonts w:ascii="Arial Narrow" w:hAnsi="Arial Narrow"/>
          <w:sz w:val="18"/>
          <w:szCs w:val="18"/>
        </w:rPr>
        <w:t xml:space="preserve"> Peyrin-Biroulet L et al. Defining disease severity in inflammatory bowel diseases: current and future directions. Clinical Gastroenterology and Hepatology. 2016;14(3):348-54. e17</w:t>
      </w:r>
    </w:p>
  </w:footnote>
  <w:footnote w:id="4">
    <w:p w:rsidR="00624283" w:rsidRPr="00EF783B" w:rsidRDefault="00624283" w:rsidP="00EF783B">
      <w:pPr>
        <w:pStyle w:val="FootnoteText"/>
        <w:jc w:val="left"/>
        <w:rPr>
          <w:rFonts w:ascii="Arial Narrow" w:hAnsi="Arial Narrow"/>
          <w:sz w:val="18"/>
          <w:szCs w:val="18"/>
        </w:rPr>
      </w:pPr>
      <w:r w:rsidRPr="00EF783B">
        <w:rPr>
          <w:rStyle w:val="FootnoteReference"/>
          <w:rFonts w:ascii="Arial Narrow" w:hAnsi="Arial Narrow"/>
          <w:sz w:val="18"/>
          <w:szCs w:val="18"/>
        </w:rPr>
        <w:footnoteRef/>
      </w:r>
      <w:r w:rsidRPr="00EF783B">
        <w:rPr>
          <w:rFonts w:ascii="Arial Narrow" w:hAnsi="Arial Narrow"/>
          <w:sz w:val="18"/>
          <w:szCs w:val="18"/>
        </w:rPr>
        <w:t xml:space="preserve"> Entyvio Assessment Report EMA/220524/2020. Last updated 18/05/2020. Available from </w:t>
      </w:r>
      <w:hyperlink r:id="rId1" w:anchor="assessment-history-section" w:history="1">
        <w:r w:rsidRPr="00DE1A44">
          <w:rPr>
            <w:rStyle w:val="Hyperlink"/>
            <w:rFonts w:ascii="Arial Narrow" w:hAnsi="Arial Narrow"/>
            <w:sz w:val="18"/>
            <w:szCs w:val="18"/>
          </w:rPr>
          <w:t>https://www.ema.europa.eu/en/medicines/human/EPAR/entyvio#assessment-history-section</w:t>
        </w:r>
      </w:hyperlink>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83" w:rsidRDefault="00624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83" w:rsidRPr="008A68F7" w:rsidRDefault="00624283" w:rsidP="008A68F7">
    <w:pPr>
      <w:pStyle w:val="Header"/>
      <w:ind w:left="360"/>
      <w:rPr>
        <w:rFonts w:cs="Calibri"/>
        <w:i/>
        <w:color w:val="808080"/>
      </w:rPr>
    </w:pPr>
    <w:r>
      <w:rPr>
        <w:rFonts w:cs="Calibri"/>
        <w:i/>
        <w:color w:val="808080"/>
      </w:rPr>
      <w:t>Public Summary Document</w:t>
    </w:r>
    <w:r w:rsidRPr="008A68F7">
      <w:rPr>
        <w:rFonts w:cs="Calibri"/>
        <w:i/>
        <w:color w:val="808080"/>
      </w:rPr>
      <w:t xml:space="preserve"> – November 2020 PBAC Meeting</w:t>
    </w:r>
  </w:p>
  <w:p w:rsidR="00624283" w:rsidRDefault="0062428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83" w:rsidRDefault="00624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4EEC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8A11BE"/>
    <w:multiLevelType w:val="hybridMultilevel"/>
    <w:tmpl w:val="DAEC0DD0"/>
    <w:lvl w:ilvl="0" w:tplc="2C9A85A8">
      <w:start w:val="1"/>
      <w:numFmt w:val="bullet"/>
      <w:pStyle w:val="Bulltabletext"/>
      <w:lvlText w:val=""/>
      <w:lvlJc w:val="left"/>
      <w:pPr>
        <w:ind w:left="927" w:hanging="360"/>
      </w:pPr>
      <w:rPr>
        <w:rFonts w:ascii="Symbol" w:hAnsi="Symbol" w:hint="default"/>
      </w:rPr>
    </w:lvl>
    <w:lvl w:ilvl="1" w:tplc="96FA9172">
      <w:start w:val="1"/>
      <w:numFmt w:val="bullet"/>
      <w:pStyle w:val="Bull2tabletext"/>
      <w:lvlText w:val="o"/>
      <w:lvlJc w:val="left"/>
      <w:pPr>
        <w:ind w:left="1440" w:hanging="360"/>
      </w:pPr>
      <w:rPr>
        <w:rFonts w:ascii="Courier New" w:hAnsi="Courier New" w:cs="Courier New" w:hint="default"/>
      </w:rPr>
    </w:lvl>
    <w:lvl w:ilvl="2" w:tplc="F0382D52">
      <w:start w:val="1"/>
      <w:numFmt w:val="bullet"/>
      <w:pStyle w:val="Bull3tabletex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B1FA5"/>
    <w:multiLevelType w:val="hybridMultilevel"/>
    <w:tmpl w:val="5E1CEE9E"/>
    <w:lvl w:ilvl="0" w:tplc="DDA8F17A">
      <w:start w:val="1"/>
      <w:numFmt w:val="decimal"/>
      <w:pStyle w:val="Numtabletext"/>
      <w:lvlText w:val="%1."/>
      <w:lvlJc w:val="left"/>
      <w:pPr>
        <w:ind w:left="360" w:hanging="360"/>
      </w:pPr>
      <w:rPr>
        <w:rFonts w:hint="default"/>
      </w:rPr>
    </w:lvl>
    <w:lvl w:ilvl="1" w:tplc="FBF4463A">
      <w:start w:val="1"/>
      <w:numFmt w:val="lowerRoman"/>
      <w:lvlText w:val="%2."/>
      <w:lvlJc w:val="left"/>
      <w:pPr>
        <w:ind w:left="1440" w:hanging="72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82BDF"/>
    <w:multiLevelType w:val="hybridMultilevel"/>
    <w:tmpl w:val="74160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177FCD"/>
    <w:multiLevelType w:val="hybridMultilevel"/>
    <w:tmpl w:val="0986CFEC"/>
    <w:lvl w:ilvl="0" w:tplc="E2D21C7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658563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CD5999"/>
    <w:multiLevelType w:val="hybridMultilevel"/>
    <w:tmpl w:val="F1E2312E"/>
    <w:lvl w:ilvl="0" w:tplc="4328DD5A">
      <w:start w:val="1"/>
      <w:numFmt w:val="bullet"/>
      <w:lvlText w:val="•"/>
      <w:lvlJc w:val="left"/>
      <w:pPr>
        <w:tabs>
          <w:tab w:val="num" w:pos="720"/>
        </w:tabs>
        <w:ind w:left="720" w:hanging="360"/>
      </w:pPr>
      <w:rPr>
        <w:rFonts w:ascii="Arial" w:hAnsi="Arial" w:hint="default"/>
      </w:rPr>
    </w:lvl>
    <w:lvl w:ilvl="1" w:tplc="6A0E1220">
      <w:start w:val="1"/>
      <w:numFmt w:val="bullet"/>
      <w:lvlText w:val="•"/>
      <w:lvlJc w:val="left"/>
      <w:pPr>
        <w:tabs>
          <w:tab w:val="num" w:pos="1440"/>
        </w:tabs>
        <w:ind w:left="1440" w:hanging="360"/>
      </w:pPr>
      <w:rPr>
        <w:rFonts w:ascii="Arial" w:hAnsi="Arial" w:hint="default"/>
      </w:rPr>
    </w:lvl>
    <w:lvl w:ilvl="2" w:tplc="D318FEB2" w:tentative="1">
      <w:start w:val="1"/>
      <w:numFmt w:val="bullet"/>
      <w:lvlText w:val="•"/>
      <w:lvlJc w:val="left"/>
      <w:pPr>
        <w:tabs>
          <w:tab w:val="num" w:pos="2160"/>
        </w:tabs>
        <w:ind w:left="2160" w:hanging="360"/>
      </w:pPr>
      <w:rPr>
        <w:rFonts w:ascii="Arial" w:hAnsi="Arial" w:hint="default"/>
      </w:rPr>
    </w:lvl>
    <w:lvl w:ilvl="3" w:tplc="975AC282" w:tentative="1">
      <w:start w:val="1"/>
      <w:numFmt w:val="bullet"/>
      <w:lvlText w:val="•"/>
      <w:lvlJc w:val="left"/>
      <w:pPr>
        <w:tabs>
          <w:tab w:val="num" w:pos="2880"/>
        </w:tabs>
        <w:ind w:left="2880" w:hanging="360"/>
      </w:pPr>
      <w:rPr>
        <w:rFonts w:ascii="Arial" w:hAnsi="Arial" w:hint="default"/>
      </w:rPr>
    </w:lvl>
    <w:lvl w:ilvl="4" w:tplc="A538DE54" w:tentative="1">
      <w:start w:val="1"/>
      <w:numFmt w:val="bullet"/>
      <w:lvlText w:val="•"/>
      <w:lvlJc w:val="left"/>
      <w:pPr>
        <w:tabs>
          <w:tab w:val="num" w:pos="3600"/>
        </w:tabs>
        <w:ind w:left="3600" w:hanging="360"/>
      </w:pPr>
      <w:rPr>
        <w:rFonts w:ascii="Arial" w:hAnsi="Arial" w:hint="default"/>
      </w:rPr>
    </w:lvl>
    <w:lvl w:ilvl="5" w:tplc="B73AC0EA" w:tentative="1">
      <w:start w:val="1"/>
      <w:numFmt w:val="bullet"/>
      <w:lvlText w:val="•"/>
      <w:lvlJc w:val="left"/>
      <w:pPr>
        <w:tabs>
          <w:tab w:val="num" w:pos="4320"/>
        </w:tabs>
        <w:ind w:left="4320" w:hanging="360"/>
      </w:pPr>
      <w:rPr>
        <w:rFonts w:ascii="Arial" w:hAnsi="Arial" w:hint="default"/>
      </w:rPr>
    </w:lvl>
    <w:lvl w:ilvl="6" w:tplc="86E43C6E" w:tentative="1">
      <w:start w:val="1"/>
      <w:numFmt w:val="bullet"/>
      <w:lvlText w:val="•"/>
      <w:lvlJc w:val="left"/>
      <w:pPr>
        <w:tabs>
          <w:tab w:val="num" w:pos="5040"/>
        </w:tabs>
        <w:ind w:left="5040" w:hanging="360"/>
      </w:pPr>
      <w:rPr>
        <w:rFonts w:ascii="Arial" w:hAnsi="Arial" w:hint="default"/>
      </w:rPr>
    </w:lvl>
    <w:lvl w:ilvl="7" w:tplc="BE1AA5EA" w:tentative="1">
      <w:start w:val="1"/>
      <w:numFmt w:val="bullet"/>
      <w:lvlText w:val="•"/>
      <w:lvlJc w:val="left"/>
      <w:pPr>
        <w:tabs>
          <w:tab w:val="num" w:pos="5760"/>
        </w:tabs>
        <w:ind w:left="5760" w:hanging="360"/>
      </w:pPr>
      <w:rPr>
        <w:rFonts w:ascii="Arial" w:hAnsi="Arial" w:hint="default"/>
      </w:rPr>
    </w:lvl>
    <w:lvl w:ilvl="8" w:tplc="86DC19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51787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C20319"/>
    <w:multiLevelType w:val="hybridMultilevel"/>
    <w:tmpl w:val="1D104E38"/>
    <w:lvl w:ilvl="0" w:tplc="2EF62414">
      <w:start w:val="1"/>
      <w:numFmt w:val="bullet"/>
      <w:pStyle w:val="Bull1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2E07DE"/>
    <w:multiLevelType w:val="hybridMultilevel"/>
    <w:tmpl w:val="40765096"/>
    <w:lvl w:ilvl="0" w:tplc="EF287784">
      <w:start w:val="1"/>
      <w:numFmt w:val="bullet"/>
      <w:pStyle w:val="Bullettabletex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7321BC"/>
    <w:multiLevelType w:val="hybridMultilevel"/>
    <w:tmpl w:val="AEDEF0F4"/>
    <w:lvl w:ilvl="0" w:tplc="5336CF18">
      <w:start w:val="1"/>
      <w:numFmt w:val="bullet"/>
      <w:lvlText w:val="•"/>
      <w:lvlJc w:val="left"/>
      <w:pPr>
        <w:tabs>
          <w:tab w:val="num" w:pos="720"/>
        </w:tabs>
        <w:ind w:left="720" w:hanging="360"/>
      </w:pPr>
      <w:rPr>
        <w:rFonts w:ascii="Arial" w:hAnsi="Arial" w:hint="default"/>
      </w:rPr>
    </w:lvl>
    <w:lvl w:ilvl="1" w:tplc="8432EAB4">
      <w:start w:val="1"/>
      <w:numFmt w:val="bullet"/>
      <w:lvlText w:val="•"/>
      <w:lvlJc w:val="left"/>
      <w:pPr>
        <w:tabs>
          <w:tab w:val="num" w:pos="1440"/>
        </w:tabs>
        <w:ind w:left="1440" w:hanging="360"/>
      </w:pPr>
      <w:rPr>
        <w:rFonts w:ascii="Arial" w:hAnsi="Arial" w:hint="default"/>
      </w:rPr>
    </w:lvl>
    <w:lvl w:ilvl="2" w:tplc="BE24E136" w:tentative="1">
      <w:start w:val="1"/>
      <w:numFmt w:val="bullet"/>
      <w:lvlText w:val="•"/>
      <w:lvlJc w:val="left"/>
      <w:pPr>
        <w:tabs>
          <w:tab w:val="num" w:pos="2160"/>
        </w:tabs>
        <w:ind w:left="2160" w:hanging="360"/>
      </w:pPr>
      <w:rPr>
        <w:rFonts w:ascii="Arial" w:hAnsi="Arial" w:hint="default"/>
      </w:rPr>
    </w:lvl>
    <w:lvl w:ilvl="3" w:tplc="53E2719E" w:tentative="1">
      <w:start w:val="1"/>
      <w:numFmt w:val="bullet"/>
      <w:lvlText w:val="•"/>
      <w:lvlJc w:val="left"/>
      <w:pPr>
        <w:tabs>
          <w:tab w:val="num" w:pos="2880"/>
        </w:tabs>
        <w:ind w:left="2880" w:hanging="360"/>
      </w:pPr>
      <w:rPr>
        <w:rFonts w:ascii="Arial" w:hAnsi="Arial" w:hint="default"/>
      </w:rPr>
    </w:lvl>
    <w:lvl w:ilvl="4" w:tplc="42727C24" w:tentative="1">
      <w:start w:val="1"/>
      <w:numFmt w:val="bullet"/>
      <w:lvlText w:val="•"/>
      <w:lvlJc w:val="left"/>
      <w:pPr>
        <w:tabs>
          <w:tab w:val="num" w:pos="3600"/>
        </w:tabs>
        <w:ind w:left="3600" w:hanging="360"/>
      </w:pPr>
      <w:rPr>
        <w:rFonts w:ascii="Arial" w:hAnsi="Arial" w:hint="default"/>
      </w:rPr>
    </w:lvl>
    <w:lvl w:ilvl="5" w:tplc="D0EA5E7C" w:tentative="1">
      <w:start w:val="1"/>
      <w:numFmt w:val="bullet"/>
      <w:lvlText w:val="•"/>
      <w:lvlJc w:val="left"/>
      <w:pPr>
        <w:tabs>
          <w:tab w:val="num" w:pos="4320"/>
        </w:tabs>
        <w:ind w:left="4320" w:hanging="360"/>
      </w:pPr>
      <w:rPr>
        <w:rFonts w:ascii="Arial" w:hAnsi="Arial" w:hint="default"/>
      </w:rPr>
    </w:lvl>
    <w:lvl w:ilvl="6" w:tplc="4B5434D6" w:tentative="1">
      <w:start w:val="1"/>
      <w:numFmt w:val="bullet"/>
      <w:lvlText w:val="•"/>
      <w:lvlJc w:val="left"/>
      <w:pPr>
        <w:tabs>
          <w:tab w:val="num" w:pos="5040"/>
        </w:tabs>
        <w:ind w:left="5040" w:hanging="360"/>
      </w:pPr>
      <w:rPr>
        <w:rFonts w:ascii="Arial" w:hAnsi="Arial" w:hint="default"/>
      </w:rPr>
    </w:lvl>
    <w:lvl w:ilvl="7" w:tplc="83CEFB2A" w:tentative="1">
      <w:start w:val="1"/>
      <w:numFmt w:val="bullet"/>
      <w:lvlText w:val="•"/>
      <w:lvlJc w:val="left"/>
      <w:pPr>
        <w:tabs>
          <w:tab w:val="num" w:pos="5760"/>
        </w:tabs>
        <w:ind w:left="5760" w:hanging="360"/>
      </w:pPr>
      <w:rPr>
        <w:rFonts w:ascii="Arial" w:hAnsi="Arial" w:hint="default"/>
      </w:rPr>
    </w:lvl>
    <w:lvl w:ilvl="8" w:tplc="0E484A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E5077C"/>
    <w:multiLevelType w:val="hybridMultilevel"/>
    <w:tmpl w:val="496E6304"/>
    <w:lvl w:ilvl="0" w:tplc="24EAA156">
      <w:start w:val="1"/>
      <w:numFmt w:val="bullet"/>
      <w:pStyle w:val="Bull2table"/>
      <w:lvlText w:val="-"/>
      <w:lvlJc w:val="left"/>
      <w:pPr>
        <w:ind w:left="776" w:hanging="360"/>
      </w:pPr>
      <w:rPr>
        <w:rFonts w:ascii="Courier New" w:hAnsi="Courier New"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8"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26796"/>
    <w:multiLevelType w:val="hybridMultilevel"/>
    <w:tmpl w:val="881C3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530D5E9A"/>
    <w:multiLevelType w:val="hybridMultilevel"/>
    <w:tmpl w:val="DC16B808"/>
    <w:lvl w:ilvl="0" w:tplc="7CE4C8B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37728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911DF0"/>
    <w:multiLevelType w:val="hybridMultilevel"/>
    <w:tmpl w:val="89B42AD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6" w15:restartNumberingAfterBreak="0">
    <w:nsid w:val="6AA05864"/>
    <w:multiLevelType w:val="hybridMultilevel"/>
    <w:tmpl w:val="965A8B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137278B"/>
    <w:multiLevelType w:val="hybridMultilevel"/>
    <w:tmpl w:val="68D05C10"/>
    <w:lvl w:ilvl="0" w:tplc="5F383DC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784D033C"/>
    <w:multiLevelType w:val="multilevel"/>
    <w:tmpl w:val="CD421D2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EC272B"/>
    <w:multiLevelType w:val="hybridMultilevel"/>
    <w:tmpl w:val="B7DE3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C95B7A"/>
    <w:multiLevelType w:val="hybridMultilevel"/>
    <w:tmpl w:val="00C60DEE"/>
    <w:lvl w:ilvl="0" w:tplc="785C05E4">
      <w:start w:val="1"/>
      <w:numFmt w:val="bullet"/>
      <w:pStyle w:val="Tablebullet"/>
      <w:lvlText w:val="-"/>
      <w:lvlJc w:val="left"/>
      <w:pPr>
        <w:ind w:left="720" w:hanging="360"/>
      </w:pPr>
      <w:rPr>
        <w:rFonts w:ascii="Courier New" w:hAnsi="Courier New" w:hint="default"/>
      </w:rPr>
    </w:lvl>
    <w:lvl w:ilvl="1" w:tplc="474A6566">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0"/>
  </w:num>
  <w:num w:numId="4">
    <w:abstractNumId w:val="28"/>
  </w:num>
  <w:num w:numId="5">
    <w:abstractNumId w:val="29"/>
  </w:num>
  <w:num w:numId="6">
    <w:abstractNumId w:val="15"/>
  </w:num>
  <w:num w:numId="7">
    <w:abstractNumId w:val="6"/>
  </w:num>
  <w:num w:numId="8">
    <w:abstractNumId w:val="30"/>
  </w:num>
  <w:num w:numId="9">
    <w:abstractNumId w:val="17"/>
  </w:num>
  <w:num w:numId="10">
    <w:abstractNumId w:val="14"/>
  </w:num>
  <w:num w:numId="11">
    <w:abstractNumId w:val="21"/>
  </w:num>
  <w:num w:numId="12">
    <w:abstractNumId w:val="2"/>
  </w:num>
  <w:num w:numId="13">
    <w:abstractNumId w:val="3"/>
  </w:num>
  <w:num w:numId="14">
    <w:abstractNumId w:val="27"/>
  </w:num>
  <w:num w:numId="15">
    <w:abstractNumId w:val="22"/>
  </w:num>
  <w:num w:numId="16">
    <w:abstractNumId w:val="26"/>
  </w:num>
  <w:num w:numId="17">
    <w:abstractNumId w:val="4"/>
  </w:num>
  <w:num w:numId="18">
    <w:abstractNumId w:val="23"/>
  </w:num>
  <w:num w:numId="19">
    <w:abstractNumId w:val="5"/>
  </w:num>
  <w:num w:numId="20">
    <w:abstractNumId w:val="1"/>
  </w:num>
  <w:num w:numId="21">
    <w:abstractNumId w:val="11"/>
  </w:num>
  <w:num w:numId="22">
    <w:abstractNumId w:val="12"/>
  </w:num>
  <w:num w:numId="23">
    <w:abstractNumId w:val="10"/>
  </w:num>
  <w:num w:numId="24">
    <w:abstractNumId w:val="18"/>
  </w:num>
  <w:num w:numId="25">
    <w:abstractNumId w:val="24"/>
  </w:num>
  <w:num w:numId="26">
    <w:abstractNumId w:val="13"/>
  </w:num>
  <w:num w:numId="27">
    <w:abstractNumId w:val="8"/>
  </w:num>
  <w:num w:numId="28">
    <w:abstractNumId w:val="28"/>
  </w:num>
  <w:num w:numId="29">
    <w:abstractNumId w:val="28"/>
  </w:num>
  <w:num w:numId="30">
    <w:abstractNumId w:val="25"/>
  </w:num>
  <w:num w:numId="31">
    <w:abstractNumId w:val="16"/>
  </w:num>
  <w:num w:numId="32">
    <w:abstractNumId w:val="9"/>
  </w:num>
  <w:num w:numId="33">
    <w:abstractNumId w:val="20"/>
  </w:num>
  <w:num w:numId="34">
    <w:abstractNumId w:val="28"/>
  </w:num>
  <w:num w:numId="35">
    <w:abstractNumId w:val="28"/>
  </w:num>
  <w:num w:numId="36">
    <w:abstractNumId w:val="28"/>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wftvxde9z5x8edav7vxvdvv92ae9fwwtzs&quot;&gt;Vedolizumab&lt;record-ids&gt;&lt;item&gt;1&lt;/item&gt;&lt;item&gt;2&lt;/item&gt;&lt;item&gt;3&lt;/item&gt;&lt;item&gt;4&lt;/item&gt;&lt;item&gt;5&lt;/item&gt;&lt;item&gt;6&lt;/item&gt;&lt;item&gt;7&lt;/item&gt;&lt;item&gt;8&lt;/item&gt;&lt;item&gt;9&lt;/item&gt;&lt;item&gt;10&lt;/item&gt;&lt;item&gt;11&lt;/item&gt;&lt;item&gt;13&lt;/item&gt;&lt;item&gt;14&lt;/item&gt;&lt;item&gt;15&lt;/item&gt;&lt;item&gt;20&lt;/item&gt;&lt;item&gt;23&lt;/item&gt;&lt;item&gt;31&lt;/item&gt;&lt;item&gt;36&lt;/item&gt;&lt;item&gt;41&lt;/item&gt;&lt;item&gt;43&lt;/item&gt;&lt;item&gt;45&lt;/item&gt;&lt;item&gt;46&lt;/item&gt;&lt;/record-ids&gt;&lt;/item&gt;&lt;/Libraries&gt;"/>
  </w:docVars>
  <w:rsids>
    <w:rsidRoot w:val="00E65E79"/>
    <w:rsid w:val="00000010"/>
    <w:rsid w:val="00000790"/>
    <w:rsid w:val="0000110B"/>
    <w:rsid w:val="0000189D"/>
    <w:rsid w:val="000023D0"/>
    <w:rsid w:val="00003499"/>
    <w:rsid w:val="000039B7"/>
    <w:rsid w:val="0000639A"/>
    <w:rsid w:val="00006760"/>
    <w:rsid w:val="000075DF"/>
    <w:rsid w:val="00013247"/>
    <w:rsid w:val="00015886"/>
    <w:rsid w:val="000162EF"/>
    <w:rsid w:val="000177F3"/>
    <w:rsid w:val="00017857"/>
    <w:rsid w:val="000207C9"/>
    <w:rsid w:val="00020D52"/>
    <w:rsid w:val="000215F3"/>
    <w:rsid w:val="0002225F"/>
    <w:rsid w:val="000222A4"/>
    <w:rsid w:val="000226B5"/>
    <w:rsid w:val="0002341A"/>
    <w:rsid w:val="00023763"/>
    <w:rsid w:val="00023B3E"/>
    <w:rsid w:val="000242A4"/>
    <w:rsid w:val="00024F7C"/>
    <w:rsid w:val="0002510B"/>
    <w:rsid w:val="00026005"/>
    <w:rsid w:val="0002690C"/>
    <w:rsid w:val="00026DF1"/>
    <w:rsid w:val="000274B8"/>
    <w:rsid w:val="00033863"/>
    <w:rsid w:val="00035DC0"/>
    <w:rsid w:val="00036829"/>
    <w:rsid w:val="00037E92"/>
    <w:rsid w:val="00040895"/>
    <w:rsid w:val="000431ED"/>
    <w:rsid w:val="000435EE"/>
    <w:rsid w:val="00043C37"/>
    <w:rsid w:val="00044B46"/>
    <w:rsid w:val="00044C4F"/>
    <w:rsid w:val="00045017"/>
    <w:rsid w:val="00045A2B"/>
    <w:rsid w:val="000460CD"/>
    <w:rsid w:val="0004698F"/>
    <w:rsid w:val="0005231D"/>
    <w:rsid w:val="00053012"/>
    <w:rsid w:val="000539D0"/>
    <w:rsid w:val="00053B83"/>
    <w:rsid w:val="00053C48"/>
    <w:rsid w:val="00054621"/>
    <w:rsid w:val="000546D7"/>
    <w:rsid w:val="00054E84"/>
    <w:rsid w:val="00055457"/>
    <w:rsid w:val="000554C3"/>
    <w:rsid w:val="000556BF"/>
    <w:rsid w:val="00055F22"/>
    <w:rsid w:val="000563CD"/>
    <w:rsid w:val="00056ECF"/>
    <w:rsid w:val="000604DF"/>
    <w:rsid w:val="000610AF"/>
    <w:rsid w:val="00061B30"/>
    <w:rsid w:val="000652CB"/>
    <w:rsid w:val="0006539A"/>
    <w:rsid w:val="000653B5"/>
    <w:rsid w:val="00066360"/>
    <w:rsid w:val="000664C1"/>
    <w:rsid w:val="00066AF8"/>
    <w:rsid w:val="00070BE4"/>
    <w:rsid w:val="000710B1"/>
    <w:rsid w:val="00071248"/>
    <w:rsid w:val="000715EF"/>
    <w:rsid w:val="000720B9"/>
    <w:rsid w:val="00072BAB"/>
    <w:rsid w:val="0007321D"/>
    <w:rsid w:val="000737F7"/>
    <w:rsid w:val="00073DFA"/>
    <w:rsid w:val="00074209"/>
    <w:rsid w:val="0007448A"/>
    <w:rsid w:val="0007672F"/>
    <w:rsid w:val="00076B54"/>
    <w:rsid w:val="000774F0"/>
    <w:rsid w:val="00080909"/>
    <w:rsid w:val="000812CA"/>
    <w:rsid w:val="00081E63"/>
    <w:rsid w:val="0008258D"/>
    <w:rsid w:val="00083E99"/>
    <w:rsid w:val="000849BA"/>
    <w:rsid w:val="00084C98"/>
    <w:rsid w:val="00084FA8"/>
    <w:rsid w:val="000856C5"/>
    <w:rsid w:val="00085C31"/>
    <w:rsid w:val="000902D9"/>
    <w:rsid w:val="00090C7E"/>
    <w:rsid w:val="0009259C"/>
    <w:rsid w:val="00092600"/>
    <w:rsid w:val="0009262B"/>
    <w:rsid w:val="00092B18"/>
    <w:rsid w:val="00093310"/>
    <w:rsid w:val="00093B33"/>
    <w:rsid w:val="0009445C"/>
    <w:rsid w:val="00095200"/>
    <w:rsid w:val="00095FE5"/>
    <w:rsid w:val="00096284"/>
    <w:rsid w:val="000969D4"/>
    <w:rsid w:val="00097E11"/>
    <w:rsid w:val="000A124A"/>
    <w:rsid w:val="000A139E"/>
    <w:rsid w:val="000A1BC0"/>
    <w:rsid w:val="000A463F"/>
    <w:rsid w:val="000A6039"/>
    <w:rsid w:val="000A7453"/>
    <w:rsid w:val="000A7D08"/>
    <w:rsid w:val="000A7D66"/>
    <w:rsid w:val="000B0121"/>
    <w:rsid w:val="000B04F2"/>
    <w:rsid w:val="000B0670"/>
    <w:rsid w:val="000B0972"/>
    <w:rsid w:val="000B0E75"/>
    <w:rsid w:val="000B216E"/>
    <w:rsid w:val="000B2782"/>
    <w:rsid w:val="000B2DCB"/>
    <w:rsid w:val="000B4103"/>
    <w:rsid w:val="000B5CC2"/>
    <w:rsid w:val="000B5CE0"/>
    <w:rsid w:val="000B6AA2"/>
    <w:rsid w:val="000B6CAC"/>
    <w:rsid w:val="000B71FA"/>
    <w:rsid w:val="000B7612"/>
    <w:rsid w:val="000B78AE"/>
    <w:rsid w:val="000C0083"/>
    <w:rsid w:val="000C172F"/>
    <w:rsid w:val="000C26FB"/>
    <w:rsid w:val="000C29D6"/>
    <w:rsid w:val="000C38F1"/>
    <w:rsid w:val="000C3DF9"/>
    <w:rsid w:val="000C589B"/>
    <w:rsid w:val="000C6713"/>
    <w:rsid w:val="000D0368"/>
    <w:rsid w:val="000D182C"/>
    <w:rsid w:val="000D1BFC"/>
    <w:rsid w:val="000D1D5D"/>
    <w:rsid w:val="000D2659"/>
    <w:rsid w:val="000D281A"/>
    <w:rsid w:val="000D2848"/>
    <w:rsid w:val="000D29AC"/>
    <w:rsid w:val="000D326A"/>
    <w:rsid w:val="000D3B20"/>
    <w:rsid w:val="000D3D47"/>
    <w:rsid w:val="000D4926"/>
    <w:rsid w:val="000D4F7C"/>
    <w:rsid w:val="000D51FB"/>
    <w:rsid w:val="000D7198"/>
    <w:rsid w:val="000E0409"/>
    <w:rsid w:val="000E0640"/>
    <w:rsid w:val="000E135D"/>
    <w:rsid w:val="000E1DDA"/>
    <w:rsid w:val="000E2695"/>
    <w:rsid w:val="000E2F4C"/>
    <w:rsid w:val="000E5C5F"/>
    <w:rsid w:val="000F00BA"/>
    <w:rsid w:val="000F1FEF"/>
    <w:rsid w:val="000F2733"/>
    <w:rsid w:val="000F2834"/>
    <w:rsid w:val="000F316A"/>
    <w:rsid w:val="000F3C74"/>
    <w:rsid w:val="000F4BB8"/>
    <w:rsid w:val="000F4FA9"/>
    <w:rsid w:val="000F53FB"/>
    <w:rsid w:val="000F7127"/>
    <w:rsid w:val="000F7B54"/>
    <w:rsid w:val="00100F8A"/>
    <w:rsid w:val="00101738"/>
    <w:rsid w:val="00101995"/>
    <w:rsid w:val="00102E75"/>
    <w:rsid w:val="0010452E"/>
    <w:rsid w:val="00105AE2"/>
    <w:rsid w:val="001060C6"/>
    <w:rsid w:val="00106B80"/>
    <w:rsid w:val="00107016"/>
    <w:rsid w:val="00107F8A"/>
    <w:rsid w:val="0011032E"/>
    <w:rsid w:val="00111147"/>
    <w:rsid w:val="001123F1"/>
    <w:rsid w:val="0011348B"/>
    <w:rsid w:val="00114171"/>
    <w:rsid w:val="00115982"/>
    <w:rsid w:val="0011610C"/>
    <w:rsid w:val="001165B5"/>
    <w:rsid w:val="00116C53"/>
    <w:rsid w:val="00120CE5"/>
    <w:rsid w:val="00120E3A"/>
    <w:rsid w:val="00120F73"/>
    <w:rsid w:val="00121799"/>
    <w:rsid w:val="001222FC"/>
    <w:rsid w:val="00122470"/>
    <w:rsid w:val="00122936"/>
    <w:rsid w:val="00122EB9"/>
    <w:rsid w:val="00123902"/>
    <w:rsid w:val="001243A5"/>
    <w:rsid w:val="00124A51"/>
    <w:rsid w:val="001260DA"/>
    <w:rsid w:val="001264E9"/>
    <w:rsid w:val="00126621"/>
    <w:rsid w:val="00126B1D"/>
    <w:rsid w:val="001301E9"/>
    <w:rsid w:val="00131BBE"/>
    <w:rsid w:val="00131D82"/>
    <w:rsid w:val="00132592"/>
    <w:rsid w:val="00132B22"/>
    <w:rsid w:val="0013354F"/>
    <w:rsid w:val="00133D36"/>
    <w:rsid w:val="0013534A"/>
    <w:rsid w:val="00137645"/>
    <w:rsid w:val="0014015A"/>
    <w:rsid w:val="00140E99"/>
    <w:rsid w:val="001427A4"/>
    <w:rsid w:val="00142AB1"/>
    <w:rsid w:val="00143E63"/>
    <w:rsid w:val="00143F67"/>
    <w:rsid w:val="001440F5"/>
    <w:rsid w:val="001454CB"/>
    <w:rsid w:val="00145540"/>
    <w:rsid w:val="001456B0"/>
    <w:rsid w:val="00145935"/>
    <w:rsid w:val="00147D5F"/>
    <w:rsid w:val="00151129"/>
    <w:rsid w:val="00151687"/>
    <w:rsid w:val="00151964"/>
    <w:rsid w:val="0015219F"/>
    <w:rsid w:val="001522B9"/>
    <w:rsid w:val="00152632"/>
    <w:rsid w:val="00152F93"/>
    <w:rsid w:val="00153565"/>
    <w:rsid w:val="00153CCE"/>
    <w:rsid w:val="00153DE8"/>
    <w:rsid w:val="00155531"/>
    <w:rsid w:val="00156F8F"/>
    <w:rsid w:val="00157130"/>
    <w:rsid w:val="001576B1"/>
    <w:rsid w:val="0016047B"/>
    <w:rsid w:val="001604E8"/>
    <w:rsid w:val="00160A4C"/>
    <w:rsid w:val="00160DC5"/>
    <w:rsid w:val="0016117F"/>
    <w:rsid w:val="00161900"/>
    <w:rsid w:val="00161D1F"/>
    <w:rsid w:val="00161D58"/>
    <w:rsid w:val="00162913"/>
    <w:rsid w:val="00163EFF"/>
    <w:rsid w:val="00163F66"/>
    <w:rsid w:val="00164D2D"/>
    <w:rsid w:val="001661FB"/>
    <w:rsid w:val="00167042"/>
    <w:rsid w:val="001671A0"/>
    <w:rsid w:val="0016767F"/>
    <w:rsid w:val="00167732"/>
    <w:rsid w:val="00167CD9"/>
    <w:rsid w:val="0017098A"/>
    <w:rsid w:val="00173565"/>
    <w:rsid w:val="00173B07"/>
    <w:rsid w:val="00174BD2"/>
    <w:rsid w:val="00174DE8"/>
    <w:rsid w:val="001751FA"/>
    <w:rsid w:val="001754B3"/>
    <w:rsid w:val="001810AB"/>
    <w:rsid w:val="00181358"/>
    <w:rsid w:val="00181D9C"/>
    <w:rsid w:val="00181F44"/>
    <w:rsid w:val="00184AE2"/>
    <w:rsid w:val="00184B0E"/>
    <w:rsid w:val="00185FB8"/>
    <w:rsid w:val="0018674F"/>
    <w:rsid w:val="00186F9F"/>
    <w:rsid w:val="0018752F"/>
    <w:rsid w:val="00187ECC"/>
    <w:rsid w:val="001916AE"/>
    <w:rsid w:val="001921DC"/>
    <w:rsid w:val="00192A46"/>
    <w:rsid w:val="00193838"/>
    <w:rsid w:val="0019448A"/>
    <w:rsid w:val="00194A1A"/>
    <w:rsid w:val="00194AD8"/>
    <w:rsid w:val="00194D53"/>
    <w:rsid w:val="00195222"/>
    <w:rsid w:val="00195278"/>
    <w:rsid w:val="00195B43"/>
    <w:rsid w:val="0019613E"/>
    <w:rsid w:val="00196B08"/>
    <w:rsid w:val="001975D8"/>
    <w:rsid w:val="00197A01"/>
    <w:rsid w:val="00197FC1"/>
    <w:rsid w:val="001A0CA0"/>
    <w:rsid w:val="001A178E"/>
    <w:rsid w:val="001A2C88"/>
    <w:rsid w:val="001A43FA"/>
    <w:rsid w:val="001A47C5"/>
    <w:rsid w:val="001A59FB"/>
    <w:rsid w:val="001A5E9E"/>
    <w:rsid w:val="001A6354"/>
    <w:rsid w:val="001A6366"/>
    <w:rsid w:val="001A7AE8"/>
    <w:rsid w:val="001B02ED"/>
    <w:rsid w:val="001B16F4"/>
    <w:rsid w:val="001B204E"/>
    <w:rsid w:val="001B2372"/>
    <w:rsid w:val="001B3443"/>
    <w:rsid w:val="001B3D36"/>
    <w:rsid w:val="001B4D20"/>
    <w:rsid w:val="001B6A52"/>
    <w:rsid w:val="001C20DD"/>
    <w:rsid w:val="001C2A9B"/>
    <w:rsid w:val="001C2AD7"/>
    <w:rsid w:val="001C3DB8"/>
    <w:rsid w:val="001C4299"/>
    <w:rsid w:val="001C4874"/>
    <w:rsid w:val="001C5F94"/>
    <w:rsid w:val="001C61AF"/>
    <w:rsid w:val="001C663C"/>
    <w:rsid w:val="001C6CEA"/>
    <w:rsid w:val="001C6E66"/>
    <w:rsid w:val="001C769A"/>
    <w:rsid w:val="001D1100"/>
    <w:rsid w:val="001D1391"/>
    <w:rsid w:val="001D143A"/>
    <w:rsid w:val="001D1BA7"/>
    <w:rsid w:val="001D20BE"/>
    <w:rsid w:val="001D25D7"/>
    <w:rsid w:val="001D50B2"/>
    <w:rsid w:val="001D59A0"/>
    <w:rsid w:val="001D5EF2"/>
    <w:rsid w:val="001D7244"/>
    <w:rsid w:val="001D763A"/>
    <w:rsid w:val="001D7645"/>
    <w:rsid w:val="001D7988"/>
    <w:rsid w:val="001E0FD2"/>
    <w:rsid w:val="001E126D"/>
    <w:rsid w:val="001E197A"/>
    <w:rsid w:val="001E1C06"/>
    <w:rsid w:val="001E1C97"/>
    <w:rsid w:val="001E1E86"/>
    <w:rsid w:val="001E238E"/>
    <w:rsid w:val="001E2483"/>
    <w:rsid w:val="001E2B1E"/>
    <w:rsid w:val="001E2CFF"/>
    <w:rsid w:val="001E2F24"/>
    <w:rsid w:val="001E30D4"/>
    <w:rsid w:val="001E34DF"/>
    <w:rsid w:val="001E36E6"/>
    <w:rsid w:val="001E3C79"/>
    <w:rsid w:val="001E3FEB"/>
    <w:rsid w:val="001E52EB"/>
    <w:rsid w:val="001E585F"/>
    <w:rsid w:val="001E5AA9"/>
    <w:rsid w:val="001E61D2"/>
    <w:rsid w:val="001E6235"/>
    <w:rsid w:val="001E6F0D"/>
    <w:rsid w:val="001E740C"/>
    <w:rsid w:val="001E7635"/>
    <w:rsid w:val="001F1235"/>
    <w:rsid w:val="001F18FA"/>
    <w:rsid w:val="001F1CB3"/>
    <w:rsid w:val="001F2513"/>
    <w:rsid w:val="001F2EE7"/>
    <w:rsid w:val="001F329C"/>
    <w:rsid w:val="001F38B5"/>
    <w:rsid w:val="001F4081"/>
    <w:rsid w:val="001F4A65"/>
    <w:rsid w:val="001F51B3"/>
    <w:rsid w:val="001F6FA8"/>
    <w:rsid w:val="001F7361"/>
    <w:rsid w:val="002003AF"/>
    <w:rsid w:val="002011B0"/>
    <w:rsid w:val="00203181"/>
    <w:rsid w:val="002036AA"/>
    <w:rsid w:val="00203783"/>
    <w:rsid w:val="0020385F"/>
    <w:rsid w:val="00203C28"/>
    <w:rsid w:val="0020405E"/>
    <w:rsid w:val="002068A0"/>
    <w:rsid w:val="00207021"/>
    <w:rsid w:val="0020732F"/>
    <w:rsid w:val="00207D00"/>
    <w:rsid w:val="002105C1"/>
    <w:rsid w:val="00211BE7"/>
    <w:rsid w:val="00211FCA"/>
    <w:rsid w:val="0021289F"/>
    <w:rsid w:val="00213CBE"/>
    <w:rsid w:val="00213EF5"/>
    <w:rsid w:val="00216181"/>
    <w:rsid w:val="00216BF5"/>
    <w:rsid w:val="00217005"/>
    <w:rsid w:val="002178B5"/>
    <w:rsid w:val="00217A46"/>
    <w:rsid w:val="002208B9"/>
    <w:rsid w:val="00221BF5"/>
    <w:rsid w:val="00221CB7"/>
    <w:rsid w:val="002236C1"/>
    <w:rsid w:val="00223B49"/>
    <w:rsid w:val="00223D5A"/>
    <w:rsid w:val="00224B8C"/>
    <w:rsid w:val="00224DD4"/>
    <w:rsid w:val="00225CE2"/>
    <w:rsid w:val="00226293"/>
    <w:rsid w:val="00226F00"/>
    <w:rsid w:val="002278A0"/>
    <w:rsid w:val="002278B3"/>
    <w:rsid w:val="002309CC"/>
    <w:rsid w:val="0023209F"/>
    <w:rsid w:val="00233107"/>
    <w:rsid w:val="00233BB7"/>
    <w:rsid w:val="00233C01"/>
    <w:rsid w:val="0023413C"/>
    <w:rsid w:val="002346F0"/>
    <w:rsid w:val="00234BC5"/>
    <w:rsid w:val="00234E18"/>
    <w:rsid w:val="00235F27"/>
    <w:rsid w:val="0023629D"/>
    <w:rsid w:val="00236B4B"/>
    <w:rsid w:val="00237255"/>
    <w:rsid w:val="00237A60"/>
    <w:rsid w:val="00237AE3"/>
    <w:rsid w:val="002401A0"/>
    <w:rsid w:val="00240F5E"/>
    <w:rsid w:val="0024105D"/>
    <w:rsid w:val="00241136"/>
    <w:rsid w:val="0024184A"/>
    <w:rsid w:val="002424AF"/>
    <w:rsid w:val="002439DC"/>
    <w:rsid w:val="00243C00"/>
    <w:rsid w:val="002441D2"/>
    <w:rsid w:val="00244429"/>
    <w:rsid w:val="00244DC8"/>
    <w:rsid w:val="00244FB0"/>
    <w:rsid w:val="0024549E"/>
    <w:rsid w:val="002458BA"/>
    <w:rsid w:val="00245CB6"/>
    <w:rsid w:val="00245CE9"/>
    <w:rsid w:val="0024636C"/>
    <w:rsid w:val="00247925"/>
    <w:rsid w:val="00251006"/>
    <w:rsid w:val="002524D5"/>
    <w:rsid w:val="00253B1D"/>
    <w:rsid w:val="00254DCF"/>
    <w:rsid w:val="0025534B"/>
    <w:rsid w:val="00255BB7"/>
    <w:rsid w:val="002569E1"/>
    <w:rsid w:val="00257541"/>
    <w:rsid w:val="00257934"/>
    <w:rsid w:val="00257A39"/>
    <w:rsid w:val="00257AC4"/>
    <w:rsid w:val="00261EEF"/>
    <w:rsid w:val="00262A1A"/>
    <w:rsid w:val="00262A87"/>
    <w:rsid w:val="00262D68"/>
    <w:rsid w:val="00264D26"/>
    <w:rsid w:val="00266EA7"/>
    <w:rsid w:val="00267642"/>
    <w:rsid w:val="00267AEA"/>
    <w:rsid w:val="002700E6"/>
    <w:rsid w:val="00270CD1"/>
    <w:rsid w:val="0027102A"/>
    <w:rsid w:val="00272059"/>
    <w:rsid w:val="0027294B"/>
    <w:rsid w:val="00273A89"/>
    <w:rsid w:val="00273B92"/>
    <w:rsid w:val="00273EB4"/>
    <w:rsid w:val="00274208"/>
    <w:rsid w:val="00274682"/>
    <w:rsid w:val="00274CBF"/>
    <w:rsid w:val="00274D6A"/>
    <w:rsid w:val="00275C5A"/>
    <w:rsid w:val="00276D11"/>
    <w:rsid w:val="00277380"/>
    <w:rsid w:val="002803A6"/>
    <w:rsid w:val="00280CDB"/>
    <w:rsid w:val="00281014"/>
    <w:rsid w:val="00281FEF"/>
    <w:rsid w:val="002823A0"/>
    <w:rsid w:val="00285D72"/>
    <w:rsid w:val="0028665D"/>
    <w:rsid w:val="002915BD"/>
    <w:rsid w:val="002923C6"/>
    <w:rsid w:val="00294319"/>
    <w:rsid w:val="0029735D"/>
    <w:rsid w:val="002A14AB"/>
    <w:rsid w:val="002A2163"/>
    <w:rsid w:val="002A2ADE"/>
    <w:rsid w:val="002A2F50"/>
    <w:rsid w:val="002A35B4"/>
    <w:rsid w:val="002A454E"/>
    <w:rsid w:val="002B05A1"/>
    <w:rsid w:val="002B09A4"/>
    <w:rsid w:val="002B1C1F"/>
    <w:rsid w:val="002B2229"/>
    <w:rsid w:val="002B3B36"/>
    <w:rsid w:val="002B4009"/>
    <w:rsid w:val="002B432F"/>
    <w:rsid w:val="002B45EC"/>
    <w:rsid w:val="002B4780"/>
    <w:rsid w:val="002B62B3"/>
    <w:rsid w:val="002B6754"/>
    <w:rsid w:val="002B6CCE"/>
    <w:rsid w:val="002B7539"/>
    <w:rsid w:val="002C04F8"/>
    <w:rsid w:val="002C104B"/>
    <w:rsid w:val="002C2510"/>
    <w:rsid w:val="002C2775"/>
    <w:rsid w:val="002C27C1"/>
    <w:rsid w:val="002C2F8A"/>
    <w:rsid w:val="002C40BE"/>
    <w:rsid w:val="002C4BD8"/>
    <w:rsid w:val="002C5099"/>
    <w:rsid w:val="002C57E9"/>
    <w:rsid w:val="002C586A"/>
    <w:rsid w:val="002C586F"/>
    <w:rsid w:val="002C5889"/>
    <w:rsid w:val="002C653B"/>
    <w:rsid w:val="002C71CE"/>
    <w:rsid w:val="002C790F"/>
    <w:rsid w:val="002C7F9E"/>
    <w:rsid w:val="002D05C7"/>
    <w:rsid w:val="002D08F8"/>
    <w:rsid w:val="002D0CC2"/>
    <w:rsid w:val="002D231D"/>
    <w:rsid w:val="002D3E64"/>
    <w:rsid w:val="002D577C"/>
    <w:rsid w:val="002D650E"/>
    <w:rsid w:val="002E0743"/>
    <w:rsid w:val="002E0994"/>
    <w:rsid w:val="002E0AF2"/>
    <w:rsid w:val="002E0BF7"/>
    <w:rsid w:val="002E1061"/>
    <w:rsid w:val="002E1071"/>
    <w:rsid w:val="002E14D8"/>
    <w:rsid w:val="002E15B9"/>
    <w:rsid w:val="002E2158"/>
    <w:rsid w:val="002E4169"/>
    <w:rsid w:val="002E443A"/>
    <w:rsid w:val="002E4E93"/>
    <w:rsid w:val="002E4F02"/>
    <w:rsid w:val="002E61D8"/>
    <w:rsid w:val="002E649D"/>
    <w:rsid w:val="002E7722"/>
    <w:rsid w:val="002E7AEF"/>
    <w:rsid w:val="002F07BA"/>
    <w:rsid w:val="002F0DA9"/>
    <w:rsid w:val="002F1014"/>
    <w:rsid w:val="002F2F87"/>
    <w:rsid w:val="002F643C"/>
    <w:rsid w:val="002F71C0"/>
    <w:rsid w:val="002F74F1"/>
    <w:rsid w:val="0030029A"/>
    <w:rsid w:val="00301017"/>
    <w:rsid w:val="0030155F"/>
    <w:rsid w:val="0030587B"/>
    <w:rsid w:val="00306D98"/>
    <w:rsid w:val="00307332"/>
    <w:rsid w:val="0030786C"/>
    <w:rsid w:val="0031031A"/>
    <w:rsid w:val="00310981"/>
    <w:rsid w:val="003114E0"/>
    <w:rsid w:val="00312471"/>
    <w:rsid w:val="003124D9"/>
    <w:rsid w:val="00312594"/>
    <w:rsid w:val="003129EA"/>
    <w:rsid w:val="0031305A"/>
    <w:rsid w:val="003134F8"/>
    <w:rsid w:val="003149CF"/>
    <w:rsid w:val="00315498"/>
    <w:rsid w:val="00315B11"/>
    <w:rsid w:val="00316474"/>
    <w:rsid w:val="00316CA2"/>
    <w:rsid w:val="0031755F"/>
    <w:rsid w:val="0032181D"/>
    <w:rsid w:val="00322107"/>
    <w:rsid w:val="00322355"/>
    <w:rsid w:val="00322363"/>
    <w:rsid w:val="00322846"/>
    <w:rsid w:val="00322F49"/>
    <w:rsid w:val="00325F20"/>
    <w:rsid w:val="00326724"/>
    <w:rsid w:val="00326DA7"/>
    <w:rsid w:val="003270E4"/>
    <w:rsid w:val="003300EA"/>
    <w:rsid w:val="00330977"/>
    <w:rsid w:val="00330DAA"/>
    <w:rsid w:val="00330F5C"/>
    <w:rsid w:val="00331340"/>
    <w:rsid w:val="00332EE0"/>
    <w:rsid w:val="00333264"/>
    <w:rsid w:val="00334D04"/>
    <w:rsid w:val="00335A52"/>
    <w:rsid w:val="003363A5"/>
    <w:rsid w:val="003366C9"/>
    <w:rsid w:val="00336D04"/>
    <w:rsid w:val="003371B0"/>
    <w:rsid w:val="00340BE5"/>
    <w:rsid w:val="00340DF1"/>
    <w:rsid w:val="00344B42"/>
    <w:rsid w:val="00347150"/>
    <w:rsid w:val="003501D8"/>
    <w:rsid w:val="00350417"/>
    <w:rsid w:val="00351027"/>
    <w:rsid w:val="003517F9"/>
    <w:rsid w:val="00351BA9"/>
    <w:rsid w:val="00352C9D"/>
    <w:rsid w:val="00352F10"/>
    <w:rsid w:val="00353002"/>
    <w:rsid w:val="00354F64"/>
    <w:rsid w:val="0035591E"/>
    <w:rsid w:val="0035620E"/>
    <w:rsid w:val="00357668"/>
    <w:rsid w:val="00357888"/>
    <w:rsid w:val="00360345"/>
    <w:rsid w:val="0036110C"/>
    <w:rsid w:val="00361A05"/>
    <w:rsid w:val="003624C4"/>
    <w:rsid w:val="00363B00"/>
    <w:rsid w:val="00363F78"/>
    <w:rsid w:val="00363FF4"/>
    <w:rsid w:val="003654AC"/>
    <w:rsid w:val="00366EB8"/>
    <w:rsid w:val="003710CF"/>
    <w:rsid w:val="003722BC"/>
    <w:rsid w:val="00372B32"/>
    <w:rsid w:val="0037358A"/>
    <w:rsid w:val="003750F6"/>
    <w:rsid w:val="0037538C"/>
    <w:rsid w:val="003760FC"/>
    <w:rsid w:val="00376C4A"/>
    <w:rsid w:val="003771BD"/>
    <w:rsid w:val="0038013E"/>
    <w:rsid w:val="00380272"/>
    <w:rsid w:val="0038135F"/>
    <w:rsid w:val="00382E7F"/>
    <w:rsid w:val="0038365C"/>
    <w:rsid w:val="0038369B"/>
    <w:rsid w:val="00383B78"/>
    <w:rsid w:val="00384368"/>
    <w:rsid w:val="00384B3E"/>
    <w:rsid w:val="00385A9D"/>
    <w:rsid w:val="003866C0"/>
    <w:rsid w:val="003873BB"/>
    <w:rsid w:val="003877EA"/>
    <w:rsid w:val="00387D79"/>
    <w:rsid w:val="003902B1"/>
    <w:rsid w:val="00390D08"/>
    <w:rsid w:val="0039179C"/>
    <w:rsid w:val="00393467"/>
    <w:rsid w:val="003937FE"/>
    <w:rsid w:val="00393886"/>
    <w:rsid w:val="003941A9"/>
    <w:rsid w:val="00394A9F"/>
    <w:rsid w:val="003956F9"/>
    <w:rsid w:val="00395EF8"/>
    <w:rsid w:val="00396896"/>
    <w:rsid w:val="00396FD0"/>
    <w:rsid w:val="003A12E2"/>
    <w:rsid w:val="003A1A7A"/>
    <w:rsid w:val="003A1CDF"/>
    <w:rsid w:val="003A2392"/>
    <w:rsid w:val="003A2831"/>
    <w:rsid w:val="003A3CB6"/>
    <w:rsid w:val="003A3ED1"/>
    <w:rsid w:val="003A44DB"/>
    <w:rsid w:val="003A4C15"/>
    <w:rsid w:val="003A502D"/>
    <w:rsid w:val="003A54DF"/>
    <w:rsid w:val="003A5C14"/>
    <w:rsid w:val="003A6069"/>
    <w:rsid w:val="003A69FE"/>
    <w:rsid w:val="003A732E"/>
    <w:rsid w:val="003B267A"/>
    <w:rsid w:val="003B2B74"/>
    <w:rsid w:val="003B3971"/>
    <w:rsid w:val="003B5115"/>
    <w:rsid w:val="003B55D1"/>
    <w:rsid w:val="003B5B61"/>
    <w:rsid w:val="003B6E25"/>
    <w:rsid w:val="003B79BF"/>
    <w:rsid w:val="003C00D5"/>
    <w:rsid w:val="003C07EF"/>
    <w:rsid w:val="003C1654"/>
    <w:rsid w:val="003C2038"/>
    <w:rsid w:val="003C20F1"/>
    <w:rsid w:val="003C4FCF"/>
    <w:rsid w:val="003C5516"/>
    <w:rsid w:val="003C5542"/>
    <w:rsid w:val="003C5BE8"/>
    <w:rsid w:val="003C60E1"/>
    <w:rsid w:val="003C6857"/>
    <w:rsid w:val="003C69F5"/>
    <w:rsid w:val="003C73CF"/>
    <w:rsid w:val="003C73D8"/>
    <w:rsid w:val="003C7CDC"/>
    <w:rsid w:val="003C7D19"/>
    <w:rsid w:val="003C7D2F"/>
    <w:rsid w:val="003D13A2"/>
    <w:rsid w:val="003D1828"/>
    <w:rsid w:val="003D1DE4"/>
    <w:rsid w:val="003D1E9A"/>
    <w:rsid w:val="003D2422"/>
    <w:rsid w:val="003D2A28"/>
    <w:rsid w:val="003D2A3B"/>
    <w:rsid w:val="003D3959"/>
    <w:rsid w:val="003D39A1"/>
    <w:rsid w:val="003D3FBF"/>
    <w:rsid w:val="003D451C"/>
    <w:rsid w:val="003D4A30"/>
    <w:rsid w:val="003D5617"/>
    <w:rsid w:val="003D5D30"/>
    <w:rsid w:val="003D7452"/>
    <w:rsid w:val="003D79BB"/>
    <w:rsid w:val="003D7A6D"/>
    <w:rsid w:val="003D7C98"/>
    <w:rsid w:val="003D7D9D"/>
    <w:rsid w:val="003D7E4E"/>
    <w:rsid w:val="003E0543"/>
    <w:rsid w:val="003E1481"/>
    <w:rsid w:val="003E1D6D"/>
    <w:rsid w:val="003E2ED0"/>
    <w:rsid w:val="003E34D0"/>
    <w:rsid w:val="003E3661"/>
    <w:rsid w:val="003E3DCD"/>
    <w:rsid w:val="003E51AD"/>
    <w:rsid w:val="003E749E"/>
    <w:rsid w:val="003E78F6"/>
    <w:rsid w:val="003E7EC6"/>
    <w:rsid w:val="003F1572"/>
    <w:rsid w:val="003F2216"/>
    <w:rsid w:val="003F3C00"/>
    <w:rsid w:val="003F3C01"/>
    <w:rsid w:val="003F4156"/>
    <w:rsid w:val="003F470C"/>
    <w:rsid w:val="003F477C"/>
    <w:rsid w:val="003F54DA"/>
    <w:rsid w:val="003F5ADF"/>
    <w:rsid w:val="003F5C51"/>
    <w:rsid w:val="003F6FB4"/>
    <w:rsid w:val="003F720B"/>
    <w:rsid w:val="003F79E0"/>
    <w:rsid w:val="0040070E"/>
    <w:rsid w:val="00400B29"/>
    <w:rsid w:val="00401ED9"/>
    <w:rsid w:val="00402AE2"/>
    <w:rsid w:val="00402FC7"/>
    <w:rsid w:val="00403501"/>
    <w:rsid w:val="00403A61"/>
    <w:rsid w:val="0040504B"/>
    <w:rsid w:val="00405491"/>
    <w:rsid w:val="004059F4"/>
    <w:rsid w:val="00405F9E"/>
    <w:rsid w:val="00406223"/>
    <w:rsid w:val="00406EEC"/>
    <w:rsid w:val="004071BD"/>
    <w:rsid w:val="00407FE5"/>
    <w:rsid w:val="004101B0"/>
    <w:rsid w:val="00410326"/>
    <w:rsid w:val="00410378"/>
    <w:rsid w:val="00410708"/>
    <w:rsid w:val="00410EC7"/>
    <w:rsid w:val="00411854"/>
    <w:rsid w:val="00411B39"/>
    <w:rsid w:val="004127A7"/>
    <w:rsid w:val="00413A1E"/>
    <w:rsid w:val="00414476"/>
    <w:rsid w:val="0041485E"/>
    <w:rsid w:val="00414C2E"/>
    <w:rsid w:val="004151CF"/>
    <w:rsid w:val="00416364"/>
    <w:rsid w:val="0042047F"/>
    <w:rsid w:val="00420AA6"/>
    <w:rsid w:val="00420B9F"/>
    <w:rsid w:val="0042192C"/>
    <w:rsid w:val="00421CAF"/>
    <w:rsid w:val="00422260"/>
    <w:rsid w:val="0042413F"/>
    <w:rsid w:val="00425F53"/>
    <w:rsid w:val="0042674E"/>
    <w:rsid w:val="00426F09"/>
    <w:rsid w:val="00427C47"/>
    <w:rsid w:val="0043143E"/>
    <w:rsid w:val="004319F8"/>
    <w:rsid w:val="00431E55"/>
    <w:rsid w:val="0043209E"/>
    <w:rsid w:val="004321F6"/>
    <w:rsid w:val="00432EA7"/>
    <w:rsid w:val="00433044"/>
    <w:rsid w:val="004336D6"/>
    <w:rsid w:val="00433FEF"/>
    <w:rsid w:val="00434088"/>
    <w:rsid w:val="0043428A"/>
    <w:rsid w:val="00434E22"/>
    <w:rsid w:val="0043569B"/>
    <w:rsid w:val="004375B9"/>
    <w:rsid w:val="00437EFB"/>
    <w:rsid w:val="00442793"/>
    <w:rsid w:val="004428D0"/>
    <w:rsid w:val="00442F6B"/>
    <w:rsid w:val="00443D9F"/>
    <w:rsid w:val="00443F47"/>
    <w:rsid w:val="00444185"/>
    <w:rsid w:val="004443A7"/>
    <w:rsid w:val="0044442C"/>
    <w:rsid w:val="00445941"/>
    <w:rsid w:val="00445E95"/>
    <w:rsid w:val="004463B1"/>
    <w:rsid w:val="004464EB"/>
    <w:rsid w:val="00447285"/>
    <w:rsid w:val="004476D8"/>
    <w:rsid w:val="00447D26"/>
    <w:rsid w:val="00447DFC"/>
    <w:rsid w:val="004504B2"/>
    <w:rsid w:val="00451169"/>
    <w:rsid w:val="004520D9"/>
    <w:rsid w:val="00452681"/>
    <w:rsid w:val="00453BDD"/>
    <w:rsid w:val="00455D45"/>
    <w:rsid w:val="00456D8E"/>
    <w:rsid w:val="00457543"/>
    <w:rsid w:val="00461C8C"/>
    <w:rsid w:val="004629F9"/>
    <w:rsid w:val="004638F3"/>
    <w:rsid w:val="00463B6B"/>
    <w:rsid w:val="00464595"/>
    <w:rsid w:val="00464611"/>
    <w:rsid w:val="00464780"/>
    <w:rsid w:val="00465187"/>
    <w:rsid w:val="004658B5"/>
    <w:rsid w:val="00465DE8"/>
    <w:rsid w:val="004676F4"/>
    <w:rsid w:val="00470428"/>
    <w:rsid w:val="00470769"/>
    <w:rsid w:val="00471B20"/>
    <w:rsid w:val="00471E8A"/>
    <w:rsid w:val="00471EA5"/>
    <w:rsid w:val="00472A79"/>
    <w:rsid w:val="00473735"/>
    <w:rsid w:val="00473F19"/>
    <w:rsid w:val="004759DB"/>
    <w:rsid w:val="00475E22"/>
    <w:rsid w:val="004760DD"/>
    <w:rsid w:val="00476DA3"/>
    <w:rsid w:val="00477E70"/>
    <w:rsid w:val="00480886"/>
    <w:rsid w:val="0048088E"/>
    <w:rsid w:val="00480F2B"/>
    <w:rsid w:val="00481F32"/>
    <w:rsid w:val="00482720"/>
    <w:rsid w:val="00483557"/>
    <w:rsid w:val="004835E7"/>
    <w:rsid w:val="004845BC"/>
    <w:rsid w:val="00484F9B"/>
    <w:rsid w:val="00485D9C"/>
    <w:rsid w:val="004867E2"/>
    <w:rsid w:val="00487BF3"/>
    <w:rsid w:val="00490928"/>
    <w:rsid w:val="00490B17"/>
    <w:rsid w:val="00491B3A"/>
    <w:rsid w:val="0049253D"/>
    <w:rsid w:val="00492815"/>
    <w:rsid w:val="00492CFD"/>
    <w:rsid w:val="00494207"/>
    <w:rsid w:val="00494DD5"/>
    <w:rsid w:val="00495234"/>
    <w:rsid w:val="0049524F"/>
    <w:rsid w:val="00495782"/>
    <w:rsid w:val="00496160"/>
    <w:rsid w:val="00496210"/>
    <w:rsid w:val="004962D2"/>
    <w:rsid w:val="004A0DA1"/>
    <w:rsid w:val="004A13D6"/>
    <w:rsid w:val="004A1AD2"/>
    <w:rsid w:val="004A2852"/>
    <w:rsid w:val="004A38BD"/>
    <w:rsid w:val="004A3C08"/>
    <w:rsid w:val="004A40EA"/>
    <w:rsid w:val="004A52E9"/>
    <w:rsid w:val="004A5486"/>
    <w:rsid w:val="004A59A8"/>
    <w:rsid w:val="004A6040"/>
    <w:rsid w:val="004A6597"/>
    <w:rsid w:val="004A7848"/>
    <w:rsid w:val="004A7FAF"/>
    <w:rsid w:val="004B1CB4"/>
    <w:rsid w:val="004B2F18"/>
    <w:rsid w:val="004B3044"/>
    <w:rsid w:val="004B3DDB"/>
    <w:rsid w:val="004B44FD"/>
    <w:rsid w:val="004B5CFC"/>
    <w:rsid w:val="004B605E"/>
    <w:rsid w:val="004B6F79"/>
    <w:rsid w:val="004B753D"/>
    <w:rsid w:val="004B774D"/>
    <w:rsid w:val="004C0698"/>
    <w:rsid w:val="004C1469"/>
    <w:rsid w:val="004C19B4"/>
    <w:rsid w:val="004C2FA6"/>
    <w:rsid w:val="004C3814"/>
    <w:rsid w:val="004C409F"/>
    <w:rsid w:val="004C4AED"/>
    <w:rsid w:val="004C4E7D"/>
    <w:rsid w:val="004D0815"/>
    <w:rsid w:val="004D098C"/>
    <w:rsid w:val="004D1F41"/>
    <w:rsid w:val="004D2C2D"/>
    <w:rsid w:val="004D37AD"/>
    <w:rsid w:val="004D3ED3"/>
    <w:rsid w:val="004D6276"/>
    <w:rsid w:val="004D69B5"/>
    <w:rsid w:val="004D6E2B"/>
    <w:rsid w:val="004D7155"/>
    <w:rsid w:val="004D7227"/>
    <w:rsid w:val="004E025C"/>
    <w:rsid w:val="004E0E7F"/>
    <w:rsid w:val="004E0EB8"/>
    <w:rsid w:val="004E18E9"/>
    <w:rsid w:val="004E2ADC"/>
    <w:rsid w:val="004E2FC0"/>
    <w:rsid w:val="004E3297"/>
    <w:rsid w:val="004E32BB"/>
    <w:rsid w:val="004E3716"/>
    <w:rsid w:val="004E3E39"/>
    <w:rsid w:val="004E43B2"/>
    <w:rsid w:val="004E65C9"/>
    <w:rsid w:val="004E6D18"/>
    <w:rsid w:val="004E7218"/>
    <w:rsid w:val="004F13A3"/>
    <w:rsid w:val="004F147F"/>
    <w:rsid w:val="004F1D02"/>
    <w:rsid w:val="004F2679"/>
    <w:rsid w:val="004F2F21"/>
    <w:rsid w:val="004F34DE"/>
    <w:rsid w:val="004F3DE5"/>
    <w:rsid w:val="004F4E5C"/>
    <w:rsid w:val="004F633F"/>
    <w:rsid w:val="004F6913"/>
    <w:rsid w:val="004F7865"/>
    <w:rsid w:val="00500492"/>
    <w:rsid w:val="0050174E"/>
    <w:rsid w:val="00501854"/>
    <w:rsid w:val="005019A6"/>
    <w:rsid w:val="0050219B"/>
    <w:rsid w:val="00503F17"/>
    <w:rsid w:val="00506928"/>
    <w:rsid w:val="00506EAD"/>
    <w:rsid w:val="005077EF"/>
    <w:rsid w:val="0051032D"/>
    <w:rsid w:val="005104BC"/>
    <w:rsid w:val="00511AD5"/>
    <w:rsid w:val="00511DC7"/>
    <w:rsid w:val="00513AA5"/>
    <w:rsid w:val="005142C5"/>
    <w:rsid w:val="0051501B"/>
    <w:rsid w:val="005152B5"/>
    <w:rsid w:val="00515620"/>
    <w:rsid w:val="00515CF8"/>
    <w:rsid w:val="00517AC1"/>
    <w:rsid w:val="00520A85"/>
    <w:rsid w:val="0052123C"/>
    <w:rsid w:val="00521319"/>
    <w:rsid w:val="005213D4"/>
    <w:rsid w:val="00522BC8"/>
    <w:rsid w:val="0052345C"/>
    <w:rsid w:val="00523C28"/>
    <w:rsid w:val="00523F6B"/>
    <w:rsid w:val="00525DF5"/>
    <w:rsid w:val="0052619B"/>
    <w:rsid w:val="00526FDA"/>
    <w:rsid w:val="0053176B"/>
    <w:rsid w:val="00531844"/>
    <w:rsid w:val="00533AD7"/>
    <w:rsid w:val="005341BB"/>
    <w:rsid w:val="005364D2"/>
    <w:rsid w:val="00536F42"/>
    <w:rsid w:val="00537182"/>
    <w:rsid w:val="005374AB"/>
    <w:rsid w:val="00537EC7"/>
    <w:rsid w:val="0054048E"/>
    <w:rsid w:val="00541EDD"/>
    <w:rsid w:val="00542743"/>
    <w:rsid w:val="00542C2D"/>
    <w:rsid w:val="005430A4"/>
    <w:rsid w:val="00543F0B"/>
    <w:rsid w:val="005441B5"/>
    <w:rsid w:val="005478BD"/>
    <w:rsid w:val="005479E3"/>
    <w:rsid w:val="00551025"/>
    <w:rsid w:val="0055157A"/>
    <w:rsid w:val="00551985"/>
    <w:rsid w:val="00551F4A"/>
    <w:rsid w:val="00552BD3"/>
    <w:rsid w:val="005532A0"/>
    <w:rsid w:val="00553798"/>
    <w:rsid w:val="00555109"/>
    <w:rsid w:val="00556B35"/>
    <w:rsid w:val="0055741A"/>
    <w:rsid w:val="00557491"/>
    <w:rsid w:val="005600F6"/>
    <w:rsid w:val="00560375"/>
    <w:rsid w:val="005611B7"/>
    <w:rsid w:val="005618D4"/>
    <w:rsid w:val="005627EC"/>
    <w:rsid w:val="005627F3"/>
    <w:rsid w:val="00562988"/>
    <w:rsid w:val="00562C60"/>
    <w:rsid w:val="005636EE"/>
    <w:rsid w:val="00565115"/>
    <w:rsid w:val="00565DF0"/>
    <w:rsid w:val="0056696F"/>
    <w:rsid w:val="00570430"/>
    <w:rsid w:val="00570ED0"/>
    <w:rsid w:val="0057136D"/>
    <w:rsid w:val="00572269"/>
    <w:rsid w:val="005723CA"/>
    <w:rsid w:val="0057244A"/>
    <w:rsid w:val="005727E7"/>
    <w:rsid w:val="00572F26"/>
    <w:rsid w:val="0057396C"/>
    <w:rsid w:val="00574CFB"/>
    <w:rsid w:val="005750C5"/>
    <w:rsid w:val="00575245"/>
    <w:rsid w:val="005752DE"/>
    <w:rsid w:val="00575D8D"/>
    <w:rsid w:val="00576972"/>
    <w:rsid w:val="00580140"/>
    <w:rsid w:val="0058074C"/>
    <w:rsid w:val="00581810"/>
    <w:rsid w:val="0058186A"/>
    <w:rsid w:val="005818AC"/>
    <w:rsid w:val="00583699"/>
    <w:rsid w:val="00583ADB"/>
    <w:rsid w:val="00584F0A"/>
    <w:rsid w:val="00585C0A"/>
    <w:rsid w:val="00585CDD"/>
    <w:rsid w:val="00587058"/>
    <w:rsid w:val="00590A7D"/>
    <w:rsid w:val="00591767"/>
    <w:rsid w:val="00591957"/>
    <w:rsid w:val="005928CC"/>
    <w:rsid w:val="00593251"/>
    <w:rsid w:val="00593729"/>
    <w:rsid w:val="00594EE5"/>
    <w:rsid w:val="005964A0"/>
    <w:rsid w:val="005979C3"/>
    <w:rsid w:val="00597B49"/>
    <w:rsid w:val="00597BF9"/>
    <w:rsid w:val="005A309A"/>
    <w:rsid w:val="005A373D"/>
    <w:rsid w:val="005A64DB"/>
    <w:rsid w:val="005A6CC4"/>
    <w:rsid w:val="005B0774"/>
    <w:rsid w:val="005B0B58"/>
    <w:rsid w:val="005B1598"/>
    <w:rsid w:val="005B1731"/>
    <w:rsid w:val="005B2CFA"/>
    <w:rsid w:val="005B4492"/>
    <w:rsid w:val="005B4E53"/>
    <w:rsid w:val="005B5815"/>
    <w:rsid w:val="005B5857"/>
    <w:rsid w:val="005B665F"/>
    <w:rsid w:val="005B6F29"/>
    <w:rsid w:val="005B7E05"/>
    <w:rsid w:val="005C1B83"/>
    <w:rsid w:val="005C25FF"/>
    <w:rsid w:val="005C29AA"/>
    <w:rsid w:val="005C2D55"/>
    <w:rsid w:val="005C346B"/>
    <w:rsid w:val="005C3D6A"/>
    <w:rsid w:val="005D044D"/>
    <w:rsid w:val="005D0ABD"/>
    <w:rsid w:val="005D142A"/>
    <w:rsid w:val="005D15C1"/>
    <w:rsid w:val="005D18AD"/>
    <w:rsid w:val="005D26B4"/>
    <w:rsid w:val="005D2B63"/>
    <w:rsid w:val="005D318B"/>
    <w:rsid w:val="005D493B"/>
    <w:rsid w:val="005D5137"/>
    <w:rsid w:val="005D7AE7"/>
    <w:rsid w:val="005D7D1C"/>
    <w:rsid w:val="005E0E8C"/>
    <w:rsid w:val="005E1D9B"/>
    <w:rsid w:val="005E2402"/>
    <w:rsid w:val="005E29C4"/>
    <w:rsid w:val="005E30F5"/>
    <w:rsid w:val="005E33F1"/>
    <w:rsid w:val="005E410B"/>
    <w:rsid w:val="005E477F"/>
    <w:rsid w:val="005E4D1A"/>
    <w:rsid w:val="005E5101"/>
    <w:rsid w:val="005E5256"/>
    <w:rsid w:val="005E6CBC"/>
    <w:rsid w:val="005E6EC4"/>
    <w:rsid w:val="005E7063"/>
    <w:rsid w:val="005E72FF"/>
    <w:rsid w:val="005E73C0"/>
    <w:rsid w:val="005E781D"/>
    <w:rsid w:val="005F03CF"/>
    <w:rsid w:val="005F2706"/>
    <w:rsid w:val="005F31CB"/>
    <w:rsid w:val="005F5FE4"/>
    <w:rsid w:val="005F6A8F"/>
    <w:rsid w:val="005F6BB7"/>
    <w:rsid w:val="005F6C36"/>
    <w:rsid w:val="005F7588"/>
    <w:rsid w:val="00600654"/>
    <w:rsid w:val="00600CA8"/>
    <w:rsid w:val="00601BD0"/>
    <w:rsid w:val="00603D40"/>
    <w:rsid w:val="00603DB9"/>
    <w:rsid w:val="00604E97"/>
    <w:rsid w:val="00606FBA"/>
    <w:rsid w:val="0060740A"/>
    <w:rsid w:val="00607669"/>
    <w:rsid w:val="006076F4"/>
    <w:rsid w:val="00607AFD"/>
    <w:rsid w:val="00610A76"/>
    <w:rsid w:val="0061137C"/>
    <w:rsid w:val="00611B5D"/>
    <w:rsid w:val="00612F97"/>
    <w:rsid w:val="0061345D"/>
    <w:rsid w:val="00613F30"/>
    <w:rsid w:val="0061549B"/>
    <w:rsid w:val="00616802"/>
    <w:rsid w:val="00617E12"/>
    <w:rsid w:val="00620C25"/>
    <w:rsid w:val="00621477"/>
    <w:rsid w:val="00621555"/>
    <w:rsid w:val="00621ADA"/>
    <w:rsid w:val="00621C90"/>
    <w:rsid w:val="006228A2"/>
    <w:rsid w:val="0062300E"/>
    <w:rsid w:val="00623CF8"/>
    <w:rsid w:val="00623F7B"/>
    <w:rsid w:val="00624283"/>
    <w:rsid w:val="0062546B"/>
    <w:rsid w:val="00625D95"/>
    <w:rsid w:val="00626E3B"/>
    <w:rsid w:val="0062746A"/>
    <w:rsid w:val="006275DC"/>
    <w:rsid w:val="00627629"/>
    <w:rsid w:val="0063158F"/>
    <w:rsid w:val="00631D6B"/>
    <w:rsid w:val="00632183"/>
    <w:rsid w:val="006330A1"/>
    <w:rsid w:val="006330AA"/>
    <w:rsid w:val="00633E98"/>
    <w:rsid w:val="00634272"/>
    <w:rsid w:val="006346D5"/>
    <w:rsid w:val="0063479F"/>
    <w:rsid w:val="006353F0"/>
    <w:rsid w:val="006357B5"/>
    <w:rsid w:val="00635AAE"/>
    <w:rsid w:val="006364A1"/>
    <w:rsid w:val="0063678E"/>
    <w:rsid w:val="00637BFD"/>
    <w:rsid w:val="00640BB6"/>
    <w:rsid w:val="006416BD"/>
    <w:rsid w:val="00641C4E"/>
    <w:rsid w:val="00641FB3"/>
    <w:rsid w:val="0064434C"/>
    <w:rsid w:val="00644501"/>
    <w:rsid w:val="0064565D"/>
    <w:rsid w:val="006471CC"/>
    <w:rsid w:val="0064763B"/>
    <w:rsid w:val="00647A29"/>
    <w:rsid w:val="0065079F"/>
    <w:rsid w:val="006512E4"/>
    <w:rsid w:val="00651C8B"/>
    <w:rsid w:val="00652A28"/>
    <w:rsid w:val="0065379F"/>
    <w:rsid w:val="00653F51"/>
    <w:rsid w:val="00654B00"/>
    <w:rsid w:val="0065537A"/>
    <w:rsid w:val="00656188"/>
    <w:rsid w:val="00656B24"/>
    <w:rsid w:val="0065715A"/>
    <w:rsid w:val="006576F1"/>
    <w:rsid w:val="006610F1"/>
    <w:rsid w:val="0066112F"/>
    <w:rsid w:val="00661C6B"/>
    <w:rsid w:val="0066249B"/>
    <w:rsid w:val="00662AE5"/>
    <w:rsid w:val="00662BFB"/>
    <w:rsid w:val="006630F7"/>
    <w:rsid w:val="00663B74"/>
    <w:rsid w:val="0066601C"/>
    <w:rsid w:val="00667270"/>
    <w:rsid w:val="00667430"/>
    <w:rsid w:val="00667F64"/>
    <w:rsid w:val="00671004"/>
    <w:rsid w:val="0067157A"/>
    <w:rsid w:val="0067180E"/>
    <w:rsid w:val="00672646"/>
    <w:rsid w:val="00672786"/>
    <w:rsid w:val="00672C7B"/>
    <w:rsid w:val="00674E42"/>
    <w:rsid w:val="00677E82"/>
    <w:rsid w:val="006813F8"/>
    <w:rsid w:val="00682112"/>
    <w:rsid w:val="00682A8B"/>
    <w:rsid w:val="00682BA6"/>
    <w:rsid w:val="006845C2"/>
    <w:rsid w:val="00684888"/>
    <w:rsid w:val="00685D70"/>
    <w:rsid w:val="0068694B"/>
    <w:rsid w:val="00686957"/>
    <w:rsid w:val="006871CE"/>
    <w:rsid w:val="006872BA"/>
    <w:rsid w:val="00687712"/>
    <w:rsid w:val="00690795"/>
    <w:rsid w:val="00690D84"/>
    <w:rsid w:val="00691286"/>
    <w:rsid w:val="00691648"/>
    <w:rsid w:val="006917D7"/>
    <w:rsid w:val="0069211B"/>
    <w:rsid w:val="00692475"/>
    <w:rsid w:val="00692B16"/>
    <w:rsid w:val="0069434C"/>
    <w:rsid w:val="00694F44"/>
    <w:rsid w:val="00696F2A"/>
    <w:rsid w:val="00696F51"/>
    <w:rsid w:val="006979A5"/>
    <w:rsid w:val="006A1320"/>
    <w:rsid w:val="006A2374"/>
    <w:rsid w:val="006A59B8"/>
    <w:rsid w:val="006A6B99"/>
    <w:rsid w:val="006A6C02"/>
    <w:rsid w:val="006A752E"/>
    <w:rsid w:val="006A7E5F"/>
    <w:rsid w:val="006A7E98"/>
    <w:rsid w:val="006B002D"/>
    <w:rsid w:val="006B147B"/>
    <w:rsid w:val="006B1485"/>
    <w:rsid w:val="006B261B"/>
    <w:rsid w:val="006B2C90"/>
    <w:rsid w:val="006B2D86"/>
    <w:rsid w:val="006B30AC"/>
    <w:rsid w:val="006B3317"/>
    <w:rsid w:val="006B35E6"/>
    <w:rsid w:val="006B41E7"/>
    <w:rsid w:val="006B465A"/>
    <w:rsid w:val="006B68C2"/>
    <w:rsid w:val="006B6DD0"/>
    <w:rsid w:val="006B7C05"/>
    <w:rsid w:val="006B7DAA"/>
    <w:rsid w:val="006C0399"/>
    <w:rsid w:val="006C2284"/>
    <w:rsid w:val="006C23E2"/>
    <w:rsid w:val="006C2A8E"/>
    <w:rsid w:val="006C3255"/>
    <w:rsid w:val="006C3CBC"/>
    <w:rsid w:val="006C3F26"/>
    <w:rsid w:val="006C47C8"/>
    <w:rsid w:val="006C53EB"/>
    <w:rsid w:val="006C53F2"/>
    <w:rsid w:val="006C5650"/>
    <w:rsid w:val="006C5BB9"/>
    <w:rsid w:val="006C79A2"/>
    <w:rsid w:val="006D0D17"/>
    <w:rsid w:val="006D2089"/>
    <w:rsid w:val="006D3A96"/>
    <w:rsid w:val="006D3C7D"/>
    <w:rsid w:val="006D4659"/>
    <w:rsid w:val="006D4E6A"/>
    <w:rsid w:val="006D5D5F"/>
    <w:rsid w:val="006D644F"/>
    <w:rsid w:val="006D68FB"/>
    <w:rsid w:val="006D6E35"/>
    <w:rsid w:val="006E11C6"/>
    <w:rsid w:val="006E2868"/>
    <w:rsid w:val="006E3014"/>
    <w:rsid w:val="006E3DD3"/>
    <w:rsid w:val="006E4765"/>
    <w:rsid w:val="006E6665"/>
    <w:rsid w:val="006F082B"/>
    <w:rsid w:val="006F12D4"/>
    <w:rsid w:val="006F2D98"/>
    <w:rsid w:val="006F306C"/>
    <w:rsid w:val="006F4C57"/>
    <w:rsid w:val="006F63A5"/>
    <w:rsid w:val="0070142B"/>
    <w:rsid w:val="0070276E"/>
    <w:rsid w:val="0070292E"/>
    <w:rsid w:val="00702943"/>
    <w:rsid w:val="00702F8F"/>
    <w:rsid w:val="00703069"/>
    <w:rsid w:val="0070558B"/>
    <w:rsid w:val="007079FC"/>
    <w:rsid w:val="007107FA"/>
    <w:rsid w:val="007114CD"/>
    <w:rsid w:val="00711A36"/>
    <w:rsid w:val="00711F59"/>
    <w:rsid w:val="00713BB0"/>
    <w:rsid w:val="00713C35"/>
    <w:rsid w:val="00714932"/>
    <w:rsid w:val="00714C26"/>
    <w:rsid w:val="0071529C"/>
    <w:rsid w:val="00716F76"/>
    <w:rsid w:val="007170DA"/>
    <w:rsid w:val="00717212"/>
    <w:rsid w:val="007172AD"/>
    <w:rsid w:val="00717894"/>
    <w:rsid w:val="00717A78"/>
    <w:rsid w:val="00720801"/>
    <w:rsid w:val="00722B1B"/>
    <w:rsid w:val="0072416F"/>
    <w:rsid w:val="00724BCA"/>
    <w:rsid w:val="007267D4"/>
    <w:rsid w:val="00727C94"/>
    <w:rsid w:val="00731B0A"/>
    <w:rsid w:val="00731EAE"/>
    <w:rsid w:val="00732E2A"/>
    <w:rsid w:val="00733073"/>
    <w:rsid w:val="0073472E"/>
    <w:rsid w:val="00735033"/>
    <w:rsid w:val="00735328"/>
    <w:rsid w:val="0073685B"/>
    <w:rsid w:val="00736B77"/>
    <w:rsid w:val="007404FC"/>
    <w:rsid w:val="00742AAF"/>
    <w:rsid w:val="00744320"/>
    <w:rsid w:val="007449BF"/>
    <w:rsid w:val="0074689D"/>
    <w:rsid w:val="00746BC0"/>
    <w:rsid w:val="00750AC3"/>
    <w:rsid w:val="007510B4"/>
    <w:rsid w:val="00752142"/>
    <w:rsid w:val="007523F9"/>
    <w:rsid w:val="00752E67"/>
    <w:rsid w:val="0075357E"/>
    <w:rsid w:val="00753DF9"/>
    <w:rsid w:val="007563F9"/>
    <w:rsid w:val="007573E8"/>
    <w:rsid w:val="007601DA"/>
    <w:rsid w:val="00760C4E"/>
    <w:rsid w:val="00760F9E"/>
    <w:rsid w:val="0076146F"/>
    <w:rsid w:val="00761680"/>
    <w:rsid w:val="0076193D"/>
    <w:rsid w:val="00761CC5"/>
    <w:rsid w:val="007621A6"/>
    <w:rsid w:val="00762252"/>
    <w:rsid w:val="007627BE"/>
    <w:rsid w:val="00762AB5"/>
    <w:rsid w:val="00764F03"/>
    <w:rsid w:val="00765B1A"/>
    <w:rsid w:val="00766ECD"/>
    <w:rsid w:val="0076799D"/>
    <w:rsid w:val="00767C7B"/>
    <w:rsid w:val="00770199"/>
    <w:rsid w:val="00773709"/>
    <w:rsid w:val="00773F8E"/>
    <w:rsid w:val="007741DC"/>
    <w:rsid w:val="00774C68"/>
    <w:rsid w:val="007751DA"/>
    <w:rsid w:val="00776AEA"/>
    <w:rsid w:val="00777335"/>
    <w:rsid w:val="00781700"/>
    <w:rsid w:val="00781BF5"/>
    <w:rsid w:val="00783897"/>
    <w:rsid w:val="00784009"/>
    <w:rsid w:val="00784191"/>
    <w:rsid w:val="007843F2"/>
    <w:rsid w:val="0078557F"/>
    <w:rsid w:val="00785A9F"/>
    <w:rsid w:val="0078672A"/>
    <w:rsid w:val="00791779"/>
    <w:rsid w:val="00791E3C"/>
    <w:rsid w:val="007925DF"/>
    <w:rsid w:val="00796C3A"/>
    <w:rsid w:val="00797A60"/>
    <w:rsid w:val="007A08AA"/>
    <w:rsid w:val="007A0A12"/>
    <w:rsid w:val="007A132D"/>
    <w:rsid w:val="007A1345"/>
    <w:rsid w:val="007A2DDB"/>
    <w:rsid w:val="007A30D1"/>
    <w:rsid w:val="007A5D5D"/>
    <w:rsid w:val="007A6771"/>
    <w:rsid w:val="007A70BA"/>
    <w:rsid w:val="007A7145"/>
    <w:rsid w:val="007A7D87"/>
    <w:rsid w:val="007B0D68"/>
    <w:rsid w:val="007B190C"/>
    <w:rsid w:val="007B251D"/>
    <w:rsid w:val="007B2A11"/>
    <w:rsid w:val="007B2C44"/>
    <w:rsid w:val="007B4921"/>
    <w:rsid w:val="007B4F58"/>
    <w:rsid w:val="007B528D"/>
    <w:rsid w:val="007B54E0"/>
    <w:rsid w:val="007B63CA"/>
    <w:rsid w:val="007B6C28"/>
    <w:rsid w:val="007B77D1"/>
    <w:rsid w:val="007C07C7"/>
    <w:rsid w:val="007C1897"/>
    <w:rsid w:val="007C1CD9"/>
    <w:rsid w:val="007C1F79"/>
    <w:rsid w:val="007C32EF"/>
    <w:rsid w:val="007C361D"/>
    <w:rsid w:val="007C3B20"/>
    <w:rsid w:val="007C4389"/>
    <w:rsid w:val="007C4B84"/>
    <w:rsid w:val="007C4BBC"/>
    <w:rsid w:val="007C70FF"/>
    <w:rsid w:val="007C7756"/>
    <w:rsid w:val="007C789F"/>
    <w:rsid w:val="007C7C25"/>
    <w:rsid w:val="007D004F"/>
    <w:rsid w:val="007D0B38"/>
    <w:rsid w:val="007D125E"/>
    <w:rsid w:val="007D34DB"/>
    <w:rsid w:val="007D4CA6"/>
    <w:rsid w:val="007D5227"/>
    <w:rsid w:val="007D5440"/>
    <w:rsid w:val="007D69EB"/>
    <w:rsid w:val="007D6AF8"/>
    <w:rsid w:val="007D7014"/>
    <w:rsid w:val="007E0D21"/>
    <w:rsid w:val="007E128F"/>
    <w:rsid w:val="007E1827"/>
    <w:rsid w:val="007E278B"/>
    <w:rsid w:val="007E3005"/>
    <w:rsid w:val="007E3FA5"/>
    <w:rsid w:val="007E6865"/>
    <w:rsid w:val="007E7312"/>
    <w:rsid w:val="007E7CFF"/>
    <w:rsid w:val="007F1017"/>
    <w:rsid w:val="007F1E1B"/>
    <w:rsid w:val="007F2B59"/>
    <w:rsid w:val="007F2E66"/>
    <w:rsid w:val="007F2E98"/>
    <w:rsid w:val="007F31FE"/>
    <w:rsid w:val="007F4A3F"/>
    <w:rsid w:val="007F4A61"/>
    <w:rsid w:val="007F4E78"/>
    <w:rsid w:val="007F5255"/>
    <w:rsid w:val="007F56CC"/>
    <w:rsid w:val="007F61C2"/>
    <w:rsid w:val="007F6F27"/>
    <w:rsid w:val="007F748D"/>
    <w:rsid w:val="007F797B"/>
    <w:rsid w:val="00800751"/>
    <w:rsid w:val="00801447"/>
    <w:rsid w:val="00801897"/>
    <w:rsid w:val="00801CCF"/>
    <w:rsid w:val="00803E1C"/>
    <w:rsid w:val="00805142"/>
    <w:rsid w:val="00805FCE"/>
    <w:rsid w:val="00807A8B"/>
    <w:rsid w:val="00811383"/>
    <w:rsid w:val="0081210B"/>
    <w:rsid w:val="00812149"/>
    <w:rsid w:val="00812CAC"/>
    <w:rsid w:val="00813106"/>
    <w:rsid w:val="00813923"/>
    <w:rsid w:val="00815FCE"/>
    <w:rsid w:val="00816361"/>
    <w:rsid w:val="008166EF"/>
    <w:rsid w:val="008167AE"/>
    <w:rsid w:val="00816FEF"/>
    <w:rsid w:val="00820A8C"/>
    <w:rsid w:val="008215FB"/>
    <w:rsid w:val="00821AA0"/>
    <w:rsid w:val="00823174"/>
    <w:rsid w:val="00825751"/>
    <w:rsid w:val="008264EB"/>
    <w:rsid w:val="008265E1"/>
    <w:rsid w:val="00827AEB"/>
    <w:rsid w:val="00830187"/>
    <w:rsid w:val="008326FD"/>
    <w:rsid w:val="00833B05"/>
    <w:rsid w:val="00833E3F"/>
    <w:rsid w:val="00834725"/>
    <w:rsid w:val="00834A32"/>
    <w:rsid w:val="00835E1F"/>
    <w:rsid w:val="008362B4"/>
    <w:rsid w:val="008371F5"/>
    <w:rsid w:val="00840CA2"/>
    <w:rsid w:val="00842599"/>
    <w:rsid w:val="0084374F"/>
    <w:rsid w:val="00843D87"/>
    <w:rsid w:val="00844A22"/>
    <w:rsid w:val="00845C79"/>
    <w:rsid w:val="00846F89"/>
    <w:rsid w:val="00847703"/>
    <w:rsid w:val="00847DF5"/>
    <w:rsid w:val="00850B6C"/>
    <w:rsid w:val="00851D81"/>
    <w:rsid w:val="0085309D"/>
    <w:rsid w:val="00855604"/>
    <w:rsid w:val="00855A90"/>
    <w:rsid w:val="008563E1"/>
    <w:rsid w:val="00856897"/>
    <w:rsid w:val="00856E9A"/>
    <w:rsid w:val="00857989"/>
    <w:rsid w:val="00857B3D"/>
    <w:rsid w:val="0086075D"/>
    <w:rsid w:val="00860FD6"/>
    <w:rsid w:val="0086240A"/>
    <w:rsid w:val="00862502"/>
    <w:rsid w:val="00862CC1"/>
    <w:rsid w:val="008660D4"/>
    <w:rsid w:val="0086731A"/>
    <w:rsid w:val="008708E8"/>
    <w:rsid w:val="00871D31"/>
    <w:rsid w:val="00871FA9"/>
    <w:rsid w:val="008728E9"/>
    <w:rsid w:val="008737BC"/>
    <w:rsid w:val="00875E15"/>
    <w:rsid w:val="00877765"/>
    <w:rsid w:val="0088005B"/>
    <w:rsid w:val="008821F1"/>
    <w:rsid w:val="008824B0"/>
    <w:rsid w:val="00882874"/>
    <w:rsid w:val="00882E3C"/>
    <w:rsid w:val="00883787"/>
    <w:rsid w:val="00883B1A"/>
    <w:rsid w:val="00883DFC"/>
    <w:rsid w:val="008855E4"/>
    <w:rsid w:val="00886CD2"/>
    <w:rsid w:val="00890A16"/>
    <w:rsid w:val="00891702"/>
    <w:rsid w:val="00891A3B"/>
    <w:rsid w:val="00891D6D"/>
    <w:rsid w:val="00891E6F"/>
    <w:rsid w:val="0089275D"/>
    <w:rsid w:val="00892A36"/>
    <w:rsid w:val="00893239"/>
    <w:rsid w:val="008934A6"/>
    <w:rsid w:val="00893668"/>
    <w:rsid w:val="00894010"/>
    <w:rsid w:val="00894489"/>
    <w:rsid w:val="008963A5"/>
    <w:rsid w:val="00896D5D"/>
    <w:rsid w:val="008A0004"/>
    <w:rsid w:val="008A3363"/>
    <w:rsid w:val="008A3371"/>
    <w:rsid w:val="008A3C3E"/>
    <w:rsid w:val="008A4E14"/>
    <w:rsid w:val="008A68F7"/>
    <w:rsid w:val="008A7453"/>
    <w:rsid w:val="008A79DE"/>
    <w:rsid w:val="008B1161"/>
    <w:rsid w:val="008B174F"/>
    <w:rsid w:val="008B1757"/>
    <w:rsid w:val="008B20BC"/>
    <w:rsid w:val="008B3025"/>
    <w:rsid w:val="008B60CE"/>
    <w:rsid w:val="008B7992"/>
    <w:rsid w:val="008B7D7E"/>
    <w:rsid w:val="008C2697"/>
    <w:rsid w:val="008C27D5"/>
    <w:rsid w:val="008C31B4"/>
    <w:rsid w:val="008C49F2"/>
    <w:rsid w:val="008C5610"/>
    <w:rsid w:val="008C5739"/>
    <w:rsid w:val="008C58D6"/>
    <w:rsid w:val="008C7ECB"/>
    <w:rsid w:val="008C7FEB"/>
    <w:rsid w:val="008D04D5"/>
    <w:rsid w:val="008D1CE7"/>
    <w:rsid w:val="008D3B86"/>
    <w:rsid w:val="008D4755"/>
    <w:rsid w:val="008D4C3D"/>
    <w:rsid w:val="008D506C"/>
    <w:rsid w:val="008D6C50"/>
    <w:rsid w:val="008D743C"/>
    <w:rsid w:val="008E00D4"/>
    <w:rsid w:val="008E0173"/>
    <w:rsid w:val="008E0D3C"/>
    <w:rsid w:val="008E113E"/>
    <w:rsid w:val="008E1204"/>
    <w:rsid w:val="008E1320"/>
    <w:rsid w:val="008E1B9E"/>
    <w:rsid w:val="008E3234"/>
    <w:rsid w:val="008E55AB"/>
    <w:rsid w:val="008E59AE"/>
    <w:rsid w:val="008E6ED9"/>
    <w:rsid w:val="008E7953"/>
    <w:rsid w:val="008F0453"/>
    <w:rsid w:val="008F120A"/>
    <w:rsid w:val="008F27E0"/>
    <w:rsid w:val="008F48EB"/>
    <w:rsid w:val="008F4F0B"/>
    <w:rsid w:val="008F5240"/>
    <w:rsid w:val="008F5301"/>
    <w:rsid w:val="008F7210"/>
    <w:rsid w:val="008F76BC"/>
    <w:rsid w:val="00900342"/>
    <w:rsid w:val="00901209"/>
    <w:rsid w:val="009046C4"/>
    <w:rsid w:val="00904BF8"/>
    <w:rsid w:val="00904EF2"/>
    <w:rsid w:val="0090597E"/>
    <w:rsid w:val="00905A49"/>
    <w:rsid w:val="00905B78"/>
    <w:rsid w:val="00905C83"/>
    <w:rsid w:val="009062A5"/>
    <w:rsid w:val="009071F2"/>
    <w:rsid w:val="0090730F"/>
    <w:rsid w:val="00907B94"/>
    <w:rsid w:val="00910FA7"/>
    <w:rsid w:val="00911272"/>
    <w:rsid w:val="009135C9"/>
    <w:rsid w:val="009135D6"/>
    <w:rsid w:val="009137E3"/>
    <w:rsid w:val="00914C77"/>
    <w:rsid w:val="00914DF6"/>
    <w:rsid w:val="0092031D"/>
    <w:rsid w:val="00921ACB"/>
    <w:rsid w:val="0092227D"/>
    <w:rsid w:val="00923322"/>
    <w:rsid w:val="0092369B"/>
    <w:rsid w:val="009245A0"/>
    <w:rsid w:val="00926EDD"/>
    <w:rsid w:val="00934888"/>
    <w:rsid w:val="00934988"/>
    <w:rsid w:val="00935C05"/>
    <w:rsid w:val="009369DF"/>
    <w:rsid w:val="00936D38"/>
    <w:rsid w:val="00936D4B"/>
    <w:rsid w:val="00937089"/>
    <w:rsid w:val="009401F2"/>
    <w:rsid w:val="00943769"/>
    <w:rsid w:val="00943BA2"/>
    <w:rsid w:val="00944F8A"/>
    <w:rsid w:val="009459CB"/>
    <w:rsid w:val="00945BC3"/>
    <w:rsid w:val="00945FCB"/>
    <w:rsid w:val="00946B66"/>
    <w:rsid w:val="009478BD"/>
    <w:rsid w:val="009510A2"/>
    <w:rsid w:val="00951153"/>
    <w:rsid w:val="00951360"/>
    <w:rsid w:val="00952E8E"/>
    <w:rsid w:val="00953257"/>
    <w:rsid w:val="0095474C"/>
    <w:rsid w:val="00954B1C"/>
    <w:rsid w:val="009556D2"/>
    <w:rsid w:val="009557D2"/>
    <w:rsid w:val="00956227"/>
    <w:rsid w:val="0095672C"/>
    <w:rsid w:val="00956EA6"/>
    <w:rsid w:val="009572B4"/>
    <w:rsid w:val="00957BE9"/>
    <w:rsid w:val="00960A55"/>
    <w:rsid w:val="009615E2"/>
    <w:rsid w:val="009617EC"/>
    <w:rsid w:val="00962184"/>
    <w:rsid w:val="00962CB9"/>
    <w:rsid w:val="00964312"/>
    <w:rsid w:val="00964F21"/>
    <w:rsid w:val="00965B8A"/>
    <w:rsid w:val="00966265"/>
    <w:rsid w:val="00966A0F"/>
    <w:rsid w:val="0097071F"/>
    <w:rsid w:val="009717AC"/>
    <w:rsid w:val="00972360"/>
    <w:rsid w:val="009748BF"/>
    <w:rsid w:val="009749AC"/>
    <w:rsid w:val="009751C1"/>
    <w:rsid w:val="0097566C"/>
    <w:rsid w:val="00975C2E"/>
    <w:rsid w:val="009767D8"/>
    <w:rsid w:val="009811F1"/>
    <w:rsid w:val="00981D41"/>
    <w:rsid w:val="009826ED"/>
    <w:rsid w:val="00982B54"/>
    <w:rsid w:val="00983397"/>
    <w:rsid w:val="00983AD6"/>
    <w:rsid w:val="00983E57"/>
    <w:rsid w:val="00985051"/>
    <w:rsid w:val="0098553C"/>
    <w:rsid w:val="00985DE2"/>
    <w:rsid w:val="00985FB5"/>
    <w:rsid w:val="0098675D"/>
    <w:rsid w:val="00986B9F"/>
    <w:rsid w:val="009926E0"/>
    <w:rsid w:val="00993A32"/>
    <w:rsid w:val="009940C1"/>
    <w:rsid w:val="00994469"/>
    <w:rsid w:val="0099451E"/>
    <w:rsid w:val="0099674C"/>
    <w:rsid w:val="00996B1A"/>
    <w:rsid w:val="009A0405"/>
    <w:rsid w:val="009A0C13"/>
    <w:rsid w:val="009A1AF7"/>
    <w:rsid w:val="009A20BB"/>
    <w:rsid w:val="009A2DCC"/>
    <w:rsid w:val="009A4634"/>
    <w:rsid w:val="009A4AFD"/>
    <w:rsid w:val="009A4E98"/>
    <w:rsid w:val="009A5ABC"/>
    <w:rsid w:val="009A6321"/>
    <w:rsid w:val="009A7F10"/>
    <w:rsid w:val="009A7FD2"/>
    <w:rsid w:val="009B0EB2"/>
    <w:rsid w:val="009B19C0"/>
    <w:rsid w:val="009B2129"/>
    <w:rsid w:val="009B2B2D"/>
    <w:rsid w:val="009B3E26"/>
    <w:rsid w:val="009B4975"/>
    <w:rsid w:val="009B52AE"/>
    <w:rsid w:val="009B6C2F"/>
    <w:rsid w:val="009B7A82"/>
    <w:rsid w:val="009B7D52"/>
    <w:rsid w:val="009C00D0"/>
    <w:rsid w:val="009C070D"/>
    <w:rsid w:val="009C128A"/>
    <w:rsid w:val="009C22BB"/>
    <w:rsid w:val="009C3706"/>
    <w:rsid w:val="009C3A3A"/>
    <w:rsid w:val="009C4318"/>
    <w:rsid w:val="009C53CA"/>
    <w:rsid w:val="009C54A4"/>
    <w:rsid w:val="009C5A8A"/>
    <w:rsid w:val="009C5F02"/>
    <w:rsid w:val="009C6CEA"/>
    <w:rsid w:val="009C7B85"/>
    <w:rsid w:val="009D0225"/>
    <w:rsid w:val="009D0254"/>
    <w:rsid w:val="009D02C0"/>
    <w:rsid w:val="009D05B9"/>
    <w:rsid w:val="009D1A10"/>
    <w:rsid w:val="009D1A64"/>
    <w:rsid w:val="009D31B0"/>
    <w:rsid w:val="009D4E75"/>
    <w:rsid w:val="009D5B91"/>
    <w:rsid w:val="009D792E"/>
    <w:rsid w:val="009E0DFE"/>
    <w:rsid w:val="009E30F2"/>
    <w:rsid w:val="009E31F6"/>
    <w:rsid w:val="009E321F"/>
    <w:rsid w:val="009E4C07"/>
    <w:rsid w:val="009E5173"/>
    <w:rsid w:val="009E6296"/>
    <w:rsid w:val="009E67B4"/>
    <w:rsid w:val="009E6A34"/>
    <w:rsid w:val="009F0D99"/>
    <w:rsid w:val="009F1C4A"/>
    <w:rsid w:val="009F5409"/>
    <w:rsid w:val="009F57DC"/>
    <w:rsid w:val="009F631C"/>
    <w:rsid w:val="009F7B44"/>
    <w:rsid w:val="00A01184"/>
    <w:rsid w:val="00A0144D"/>
    <w:rsid w:val="00A01BF9"/>
    <w:rsid w:val="00A03286"/>
    <w:rsid w:val="00A037C2"/>
    <w:rsid w:val="00A03D43"/>
    <w:rsid w:val="00A04380"/>
    <w:rsid w:val="00A05472"/>
    <w:rsid w:val="00A05C32"/>
    <w:rsid w:val="00A0653F"/>
    <w:rsid w:val="00A07689"/>
    <w:rsid w:val="00A11334"/>
    <w:rsid w:val="00A11CD0"/>
    <w:rsid w:val="00A12340"/>
    <w:rsid w:val="00A13948"/>
    <w:rsid w:val="00A13BEF"/>
    <w:rsid w:val="00A1555B"/>
    <w:rsid w:val="00A155C5"/>
    <w:rsid w:val="00A157D7"/>
    <w:rsid w:val="00A16039"/>
    <w:rsid w:val="00A167BE"/>
    <w:rsid w:val="00A1697A"/>
    <w:rsid w:val="00A16AD8"/>
    <w:rsid w:val="00A21C95"/>
    <w:rsid w:val="00A21CF3"/>
    <w:rsid w:val="00A2367B"/>
    <w:rsid w:val="00A23E14"/>
    <w:rsid w:val="00A24813"/>
    <w:rsid w:val="00A2497D"/>
    <w:rsid w:val="00A27AEC"/>
    <w:rsid w:val="00A30D57"/>
    <w:rsid w:val="00A320DB"/>
    <w:rsid w:val="00A33075"/>
    <w:rsid w:val="00A333FA"/>
    <w:rsid w:val="00A3364E"/>
    <w:rsid w:val="00A35D16"/>
    <w:rsid w:val="00A37BCD"/>
    <w:rsid w:val="00A402A2"/>
    <w:rsid w:val="00A41689"/>
    <w:rsid w:val="00A416E9"/>
    <w:rsid w:val="00A41F20"/>
    <w:rsid w:val="00A4242A"/>
    <w:rsid w:val="00A42592"/>
    <w:rsid w:val="00A43C59"/>
    <w:rsid w:val="00A45A4F"/>
    <w:rsid w:val="00A466CE"/>
    <w:rsid w:val="00A46EE8"/>
    <w:rsid w:val="00A507C5"/>
    <w:rsid w:val="00A50ECD"/>
    <w:rsid w:val="00A518F3"/>
    <w:rsid w:val="00A52729"/>
    <w:rsid w:val="00A52D63"/>
    <w:rsid w:val="00A53675"/>
    <w:rsid w:val="00A53988"/>
    <w:rsid w:val="00A53B7B"/>
    <w:rsid w:val="00A54262"/>
    <w:rsid w:val="00A5529A"/>
    <w:rsid w:val="00A564D7"/>
    <w:rsid w:val="00A56B6A"/>
    <w:rsid w:val="00A570DA"/>
    <w:rsid w:val="00A578DC"/>
    <w:rsid w:val="00A60BC7"/>
    <w:rsid w:val="00A61047"/>
    <w:rsid w:val="00A625E8"/>
    <w:rsid w:val="00A63337"/>
    <w:rsid w:val="00A636AC"/>
    <w:rsid w:val="00A639E4"/>
    <w:rsid w:val="00A640E2"/>
    <w:rsid w:val="00A645B4"/>
    <w:rsid w:val="00A64D65"/>
    <w:rsid w:val="00A6725B"/>
    <w:rsid w:val="00A702EC"/>
    <w:rsid w:val="00A70445"/>
    <w:rsid w:val="00A70605"/>
    <w:rsid w:val="00A715F3"/>
    <w:rsid w:val="00A73134"/>
    <w:rsid w:val="00A74253"/>
    <w:rsid w:val="00A76001"/>
    <w:rsid w:val="00A7610F"/>
    <w:rsid w:val="00A772EF"/>
    <w:rsid w:val="00A777B2"/>
    <w:rsid w:val="00A77E44"/>
    <w:rsid w:val="00A8088A"/>
    <w:rsid w:val="00A81E84"/>
    <w:rsid w:val="00A825D4"/>
    <w:rsid w:val="00A828F6"/>
    <w:rsid w:val="00A82B5D"/>
    <w:rsid w:val="00A82B73"/>
    <w:rsid w:val="00A830B4"/>
    <w:rsid w:val="00A83D50"/>
    <w:rsid w:val="00A8441C"/>
    <w:rsid w:val="00A8457C"/>
    <w:rsid w:val="00A866B1"/>
    <w:rsid w:val="00A86E8B"/>
    <w:rsid w:val="00A87164"/>
    <w:rsid w:val="00A9036A"/>
    <w:rsid w:val="00A9157C"/>
    <w:rsid w:val="00A91C3D"/>
    <w:rsid w:val="00A93072"/>
    <w:rsid w:val="00A93639"/>
    <w:rsid w:val="00A938BD"/>
    <w:rsid w:val="00A93953"/>
    <w:rsid w:val="00A946A9"/>
    <w:rsid w:val="00A9524F"/>
    <w:rsid w:val="00A959D8"/>
    <w:rsid w:val="00AA113D"/>
    <w:rsid w:val="00AA2E8E"/>
    <w:rsid w:val="00AA3B6A"/>
    <w:rsid w:val="00AA4CEC"/>
    <w:rsid w:val="00AA5183"/>
    <w:rsid w:val="00AA5A7B"/>
    <w:rsid w:val="00AA6BD5"/>
    <w:rsid w:val="00AA6BD8"/>
    <w:rsid w:val="00AA6C7D"/>
    <w:rsid w:val="00AA7C60"/>
    <w:rsid w:val="00AA7FD6"/>
    <w:rsid w:val="00AB027A"/>
    <w:rsid w:val="00AB042A"/>
    <w:rsid w:val="00AB18CE"/>
    <w:rsid w:val="00AB19EF"/>
    <w:rsid w:val="00AB2D34"/>
    <w:rsid w:val="00AB3430"/>
    <w:rsid w:val="00AB37B9"/>
    <w:rsid w:val="00AB413C"/>
    <w:rsid w:val="00AB4264"/>
    <w:rsid w:val="00AB4AD1"/>
    <w:rsid w:val="00AB4F13"/>
    <w:rsid w:val="00AB5736"/>
    <w:rsid w:val="00AB5E07"/>
    <w:rsid w:val="00AB79E1"/>
    <w:rsid w:val="00AB7CFA"/>
    <w:rsid w:val="00AC2ED4"/>
    <w:rsid w:val="00AC5B48"/>
    <w:rsid w:val="00AC5C21"/>
    <w:rsid w:val="00AC651B"/>
    <w:rsid w:val="00AC65E8"/>
    <w:rsid w:val="00AC6DB5"/>
    <w:rsid w:val="00AD042D"/>
    <w:rsid w:val="00AD1450"/>
    <w:rsid w:val="00AD33F5"/>
    <w:rsid w:val="00AD4730"/>
    <w:rsid w:val="00AD4743"/>
    <w:rsid w:val="00AD6015"/>
    <w:rsid w:val="00AD618F"/>
    <w:rsid w:val="00AD6502"/>
    <w:rsid w:val="00AD6573"/>
    <w:rsid w:val="00AD6716"/>
    <w:rsid w:val="00AD6B56"/>
    <w:rsid w:val="00AE0695"/>
    <w:rsid w:val="00AE0B4B"/>
    <w:rsid w:val="00AE1266"/>
    <w:rsid w:val="00AE1699"/>
    <w:rsid w:val="00AE2389"/>
    <w:rsid w:val="00AE3340"/>
    <w:rsid w:val="00AE3E7E"/>
    <w:rsid w:val="00AE4786"/>
    <w:rsid w:val="00AE4CF0"/>
    <w:rsid w:val="00AE7DFE"/>
    <w:rsid w:val="00AF062B"/>
    <w:rsid w:val="00AF1315"/>
    <w:rsid w:val="00AF19BF"/>
    <w:rsid w:val="00AF24CB"/>
    <w:rsid w:val="00AF2AE0"/>
    <w:rsid w:val="00AF2DC3"/>
    <w:rsid w:val="00AF3CAD"/>
    <w:rsid w:val="00AF5409"/>
    <w:rsid w:val="00AF6055"/>
    <w:rsid w:val="00AF7309"/>
    <w:rsid w:val="00B01FA8"/>
    <w:rsid w:val="00B0257B"/>
    <w:rsid w:val="00B026BF"/>
    <w:rsid w:val="00B026FC"/>
    <w:rsid w:val="00B033E5"/>
    <w:rsid w:val="00B03A63"/>
    <w:rsid w:val="00B03B02"/>
    <w:rsid w:val="00B040FC"/>
    <w:rsid w:val="00B06B15"/>
    <w:rsid w:val="00B07860"/>
    <w:rsid w:val="00B07B55"/>
    <w:rsid w:val="00B123C7"/>
    <w:rsid w:val="00B161D8"/>
    <w:rsid w:val="00B16FD8"/>
    <w:rsid w:val="00B179A1"/>
    <w:rsid w:val="00B17A96"/>
    <w:rsid w:val="00B201A4"/>
    <w:rsid w:val="00B201D1"/>
    <w:rsid w:val="00B213A6"/>
    <w:rsid w:val="00B226EE"/>
    <w:rsid w:val="00B235B0"/>
    <w:rsid w:val="00B23A39"/>
    <w:rsid w:val="00B24821"/>
    <w:rsid w:val="00B24DF6"/>
    <w:rsid w:val="00B25A75"/>
    <w:rsid w:val="00B27222"/>
    <w:rsid w:val="00B301EB"/>
    <w:rsid w:val="00B314BD"/>
    <w:rsid w:val="00B317BD"/>
    <w:rsid w:val="00B34318"/>
    <w:rsid w:val="00B34B57"/>
    <w:rsid w:val="00B34FE2"/>
    <w:rsid w:val="00B35166"/>
    <w:rsid w:val="00B357D8"/>
    <w:rsid w:val="00B3592F"/>
    <w:rsid w:val="00B35A1C"/>
    <w:rsid w:val="00B35B22"/>
    <w:rsid w:val="00B360F4"/>
    <w:rsid w:val="00B36A00"/>
    <w:rsid w:val="00B37BFC"/>
    <w:rsid w:val="00B37CBA"/>
    <w:rsid w:val="00B40358"/>
    <w:rsid w:val="00B407FB"/>
    <w:rsid w:val="00B41614"/>
    <w:rsid w:val="00B4213A"/>
    <w:rsid w:val="00B42851"/>
    <w:rsid w:val="00B42F80"/>
    <w:rsid w:val="00B435CB"/>
    <w:rsid w:val="00B436E0"/>
    <w:rsid w:val="00B44284"/>
    <w:rsid w:val="00B5054B"/>
    <w:rsid w:val="00B505C8"/>
    <w:rsid w:val="00B505FA"/>
    <w:rsid w:val="00B50D84"/>
    <w:rsid w:val="00B50DB8"/>
    <w:rsid w:val="00B5106B"/>
    <w:rsid w:val="00B510E5"/>
    <w:rsid w:val="00B517F3"/>
    <w:rsid w:val="00B527B4"/>
    <w:rsid w:val="00B53654"/>
    <w:rsid w:val="00B53905"/>
    <w:rsid w:val="00B54417"/>
    <w:rsid w:val="00B54B5B"/>
    <w:rsid w:val="00B55481"/>
    <w:rsid w:val="00B5562E"/>
    <w:rsid w:val="00B5574A"/>
    <w:rsid w:val="00B55D65"/>
    <w:rsid w:val="00B57000"/>
    <w:rsid w:val="00B60606"/>
    <w:rsid w:val="00B60939"/>
    <w:rsid w:val="00B60AFD"/>
    <w:rsid w:val="00B60FF5"/>
    <w:rsid w:val="00B62715"/>
    <w:rsid w:val="00B62F30"/>
    <w:rsid w:val="00B64142"/>
    <w:rsid w:val="00B65611"/>
    <w:rsid w:val="00B663D0"/>
    <w:rsid w:val="00B670A0"/>
    <w:rsid w:val="00B6761C"/>
    <w:rsid w:val="00B677DF"/>
    <w:rsid w:val="00B70E8E"/>
    <w:rsid w:val="00B71733"/>
    <w:rsid w:val="00B71EFA"/>
    <w:rsid w:val="00B72D45"/>
    <w:rsid w:val="00B742D8"/>
    <w:rsid w:val="00B74B97"/>
    <w:rsid w:val="00B75790"/>
    <w:rsid w:val="00B763A0"/>
    <w:rsid w:val="00B769ED"/>
    <w:rsid w:val="00B76C92"/>
    <w:rsid w:val="00B76DB1"/>
    <w:rsid w:val="00B800FA"/>
    <w:rsid w:val="00B80FB7"/>
    <w:rsid w:val="00B814F4"/>
    <w:rsid w:val="00B818A4"/>
    <w:rsid w:val="00B822B3"/>
    <w:rsid w:val="00B82592"/>
    <w:rsid w:val="00B84117"/>
    <w:rsid w:val="00B843FF"/>
    <w:rsid w:val="00B858F0"/>
    <w:rsid w:val="00B85AA2"/>
    <w:rsid w:val="00B85F83"/>
    <w:rsid w:val="00B8649C"/>
    <w:rsid w:val="00B868A4"/>
    <w:rsid w:val="00B8695D"/>
    <w:rsid w:val="00B87F0A"/>
    <w:rsid w:val="00B90994"/>
    <w:rsid w:val="00B9188C"/>
    <w:rsid w:val="00B92D0B"/>
    <w:rsid w:val="00B92E31"/>
    <w:rsid w:val="00B93830"/>
    <w:rsid w:val="00B93BAA"/>
    <w:rsid w:val="00B93F8E"/>
    <w:rsid w:val="00B94945"/>
    <w:rsid w:val="00B94DD6"/>
    <w:rsid w:val="00B959DE"/>
    <w:rsid w:val="00B95AD0"/>
    <w:rsid w:val="00B960DE"/>
    <w:rsid w:val="00BA2542"/>
    <w:rsid w:val="00BA322D"/>
    <w:rsid w:val="00BA50CB"/>
    <w:rsid w:val="00BA63FA"/>
    <w:rsid w:val="00BB00B3"/>
    <w:rsid w:val="00BB0BDD"/>
    <w:rsid w:val="00BB176C"/>
    <w:rsid w:val="00BB1910"/>
    <w:rsid w:val="00BB2A73"/>
    <w:rsid w:val="00BB310F"/>
    <w:rsid w:val="00BB3A45"/>
    <w:rsid w:val="00BB4ACC"/>
    <w:rsid w:val="00BB703E"/>
    <w:rsid w:val="00BB732D"/>
    <w:rsid w:val="00BB7405"/>
    <w:rsid w:val="00BB74CB"/>
    <w:rsid w:val="00BC3263"/>
    <w:rsid w:val="00BC3631"/>
    <w:rsid w:val="00BC37C8"/>
    <w:rsid w:val="00BC4540"/>
    <w:rsid w:val="00BC49DC"/>
    <w:rsid w:val="00BC4BE6"/>
    <w:rsid w:val="00BC5437"/>
    <w:rsid w:val="00BC5791"/>
    <w:rsid w:val="00BC591F"/>
    <w:rsid w:val="00BC6161"/>
    <w:rsid w:val="00BC6CF2"/>
    <w:rsid w:val="00BC7243"/>
    <w:rsid w:val="00BC7D6D"/>
    <w:rsid w:val="00BD19B5"/>
    <w:rsid w:val="00BD2108"/>
    <w:rsid w:val="00BD32A5"/>
    <w:rsid w:val="00BD352A"/>
    <w:rsid w:val="00BD55DD"/>
    <w:rsid w:val="00BD5ACB"/>
    <w:rsid w:val="00BD68A3"/>
    <w:rsid w:val="00BD6938"/>
    <w:rsid w:val="00BD6CF3"/>
    <w:rsid w:val="00BD72CF"/>
    <w:rsid w:val="00BE047E"/>
    <w:rsid w:val="00BE072E"/>
    <w:rsid w:val="00BE07AF"/>
    <w:rsid w:val="00BE0B97"/>
    <w:rsid w:val="00BE0ECA"/>
    <w:rsid w:val="00BE128B"/>
    <w:rsid w:val="00BE2166"/>
    <w:rsid w:val="00BE2180"/>
    <w:rsid w:val="00BE21F2"/>
    <w:rsid w:val="00BE2661"/>
    <w:rsid w:val="00BE293D"/>
    <w:rsid w:val="00BE2D74"/>
    <w:rsid w:val="00BE2E2D"/>
    <w:rsid w:val="00BE3CDB"/>
    <w:rsid w:val="00BE40A8"/>
    <w:rsid w:val="00BE4275"/>
    <w:rsid w:val="00BE4BC6"/>
    <w:rsid w:val="00BE6B53"/>
    <w:rsid w:val="00BF0322"/>
    <w:rsid w:val="00BF06AE"/>
    <w:rsid w:val="00BF0F95"/>
    <w:rsid w:val="00BF1B53"/>
    <w:rsid w:val="00BF1CCA"/>
    <w:rsid w:val="00BF20B6"/>
    <w:rsid w:val="00BF2433"/>
    <w:rsid w:val="00BF6100"/>
    <w:rsid w:val="00BF61C9"/>
    <w:rsid w:val="00BF6A86"/>
    <w:rsid w:val="00BF6C94"/>
    <w:rsid w:val="00C00424"/>
    <w:rsid w:val="00C01D9E"/>
    <w:rsid w:val="00C0238C"/>
    <w:rsid w:val="00C03D90"/>
    <w:rsid w:val="00C04E53"/>
    <w:rsid w:val="00C05FEB"/>
    <w:rsid w:val="00C1179F"/>
    <w:rsid w:val="00C12026"/>
    <w:rsid w:val="00C12C14"/>
    <w:rsid w:val="00C14622"/>
    <w:rsid w:val="00C153CF"/>
    <w:rsid w:val="00C15F04"/>
    <w:rsid w:val="00C179B3"/>
    <w:rsid w:val="00C17E3F"/>
    <w:rsid w:val="00C200AA"/>
    <w:rsid w:val="00C2067F"/>
    <w:rsid w:val="00C20745"/>
    <w:rsid w:val="00C22BB2"/>
    <w:rsid w:val="00C237ED"/>
    <w:rsid w:val="00C24632"/>
    <w:rsid w:val="00C25418"/>
    <w:rsid w:val="00C25D9C"/>
    <w:rsid w:val="00C2778B"/>
    <w:rsid w:val="00C3037E"/>
    <w:rsid w:val="00C30841"/>
    <w:rsid w:val="00C31649"/>
    <w:rsid w:val="00C31CDC"/>
    <w:rsid w:val="00C32625"/>
    <w:rsid w:val="00C32752"/>
    <w:rsid w:val="00C33796"/>
    <w:rsid w:val="00C34007"/>
    <w:rsid w:val="00C3434C"/>
    <w:rsid w:val="00C34576"/>
    <w:rsid w:val="00C34BB7"/>
    <w:rsid w:val="00C35573"/>
    <w:rsid w:val="00C358C9"/>
    <w:rsid w:val="00C40385"/>
    <w:rsid w:val="00C41768"/>
    <w:rsid w:val="00C4180C"/>
    <w:rsid w:val="00C4219E"/>
    <w:rsid w:val="00C421A8"/>
    <w:rsid w:val="00C424E9"/>
    <w:rsid w:val="00C4486D"/>
    <w:rsid w:val="00C46673"/>
    <w:rsid w:val="00C46951"/>
    <w:rsid w:val="00C46A2E"/>
    <w:rsid w:val="00C475AA"/>
    <w:rsid w:val="00C500D3"/>
    <w:rsid w:val="00C53C98"/>
    <w:rsid w:val="00C5435D"/>
    <w:rsid w:val="00C5490F"/>
    <w:rsid w:val="00C56D7A"/>
    <w:rsid w:val="00C56FCF"/>
    <w:rsid w:val="00C579B5"/>
    <w:rsid w:val="00C57B6C"/>
    <w:rsid w:val="00C57DCD"/>
    <w:rsid w:val="00C622F4"/>
    <w:rsid w:val="00C628A6"/>
    <w:rsid w:val="00C637BD"/>
    <w:rsid w:val="00C64344"/>
    <w:rsid w:val="00C64E88"/>
    <w:rsid w:val="00C65108"/>
    <w:rsid w:val="00C65576"/>
    <w:rsid w:val="00C66165"/>
    <w:rsid w:val="00C7060A"/>
    <w:rsid w:val="00C7151A"/>
    <w:rsid w:val="00C717E3"/>
    <w:rsid w:val="00C71F60"/>
    <w:rsid w:val="00C72241"/>
    <w:rsid w:val="00C72943"/>
    <w:rsid w:val="00C73A2C"/>
    <w:rsid w:val="00C750C8"/>
    <w:rsid w:val="00C7560F"/>
    <w:rsid w:val="00C80A0E"/>
    <w:rsid w:val="00C819CB"/>
    <w:rsid w:val="00C81B3A"/>
    <w:rsid w:val="00C81D96"/>
    <w:rsid w:val="00C8213F"/>
    <w:rsid w:val="00C8305F"/>
    <w:rsid w:val="00C85154"/>
    <w:rsid w:val="00C858F9"/>
    <w:rsid w:val="00C8621B"/>
    <w:rsid w:val="00C86557"/>
    <w:rsid w:val="00C868FD"/>
    <w:rsid w:val="00C8797A"/>
    <w:rsid w:val="00C900B8"/>
    <w:rsid w:val="00C90C71"/>
    <w:rsid w:val="00C91FD1"/>
    <w:rsid w:val="00C9234D"/>
    <w:rsid w:val="00C931CF"/>
    <w:rsid w:val="00C938CF"/>
    <w:rsid w:val="00C93A02"/>
    <w:rsid w:val="00C93B6F"/>
    <w:rsid w:val="00C94053"/>
    <w:rsid w:val="00C95948"/>
    <w:rsid w:val="00C9624D"/>
    <w:rsid w:val="00C9636B"/>
    <w:rsid w:val="00C969DA"/>
    <w:rsid w:val="00C96BC8"/>
    <w:rsid w:val="00C96EB6"/>
    <w:rsid w:val="00CA0B90"/>
    <w:rsid w:val="00CA0BF4"/>
    <w:rsid w:val="00CA2C77"/>
    <w:rsid w:val="00CA444F"/>
    <w:rsid w:val="00CA5245"/>
    <w:rsid w:val="00CA71F4"/>
    <w:rsid w:val="00CA7B09"/>
    <w:rsid w:val="00CA7FEA"/>
    <w:rsid w:val="00CB0F7A"/>
    <w:rsid w:val="00CB12A5"/>
    <w:rsid w:val="00CB13D1"/>
    <w:rsid w:val="00CB16D6"/>
    <w:rsid w:val="00CB18F7"/>
    <w:rsid w:val="00CB1CAC"/>
    <w:rsid w:val="00CB1DF1"/>
    <w:rsid w:val="00CB2F2A"/>
    <w:rsid w:val="00CB324D"/>
    <w:rsid w:val="00CB362D"/>
    <w:rsid w:val="00CB5B1A"/>
    <w:rsid w:val="00CB5E60"/>
    <w:rsid w:val="00CB5F20"/>
    <w:rsid w:val="00CB6B22"/>
    <w:rsid w:val="00CB7F5F"/>
    <w:rsid w:val="00CC0421"/>
    <w:rsid w:val="00CC0A4B"/>
    <w:rsid w:val="00CC1B39"/>
    <w:rsid w:val="00CC35EA"/>
    <w:rsid w:val="00CC3848"/>
    <w:rsid w:val="00CC44AE"/>
    <w:rsid w:val="00CC5C64"/>
    <w:rsid w:val="00CC7492"/>
    <w:rsid w:val="00CD0EB9"/>
    <w:rsid w:val="00CD1109"/>
    <w:rsid w:val="00CD251E"/>
    <w:rsid w:val="00CD3F77"/>
    <w:rsid w:val="00CD3FC1"/>
    <w:rsid w:val="00CD4484"/>
    <w:rsid w:val="00CD4A85"/>
    <w:rsid w:val="00CD4F1F"/>
    <w:rsid w:val="00CD5B06"/>
    <w:rsid w:val="00CD6039"/>
    <w:rsid w:val="00CD6ADC"/>
    <w:rsid w:val="00CD6EE3"/>
    <w:rsid w:val="00CD7193"/>
    <w:rsid w:val="00CD7CFB"/>
    <w:rsid w:val="00CE038F"/>
    <w:rsid w:val="00CE24B6"/>
    <w:rsid w:val="00CE38C8"/>
    <w:rsid w:val="00CE3AAC"/>
    <w:rsid w:val="00CE3F1F"/>
    <w:rsid w:val="00CE4038"/>
    <w:rsid w:val="00CE498F"/>
    <w:rsid w:val="00CE5679"/>
    <w:rsid w:val="00CE6274"/>
    <w:rsid w:val="00CE63E6"/>
    <w:rsid w:val="00CE77B6"/>
    <w:rsid w:val="00CF15FB"/>
    <w:rsid w:val="00CF1B88"/>
    <w:rsid w:val="00CF2B8D"/>
    <w:rsid w:val="00CF3524"/>
    <w:rsid w:val="00CF456B"/>
    <w:rsid w:val="00CF5A22"/>
    <w:rsid w:val="00D00925"/>
    <w:rsid w:val="00D0262E"/>
    <w:rsid w:val="00D02900"/>
    <w:rsid w:val="00D02B13"/>
    <w:rsid w:val="00D03598"/>
    <w:rsid w:val="00D043C7"/>
    <w:rsid w:val="00D05E3D"/>
    <w:rsid w:val="00D05F64"/>
    <w:rsid w:val="00D06139"/>
    <w:rsid w:val="00D0639F"/>
    <w:rsid w:val="00D06A1F"/>
    <w:rsid w:val="00D071D5"/>
    <w:rsid w:val="00D110BD"/>
    <w:rsid w:val="00D13675"/>
    <w:rsid w:val="00D141E1"/>
    <w:rsid w:val="00D14B50"/>
    <w:rsid w:val="00D15314"/>
    <w:rsid w:val="00D16354"/>
    <w:rsid w:val="00D17D6C"/>
    <w:rsid w:val="00D20BAD"/>
    <w:rsid w:val="00D2155B"/>
    <w:rsid w:val="00D21999"/>
    <w:rsid w:val="00D2295F"/>
    <w:rsid w:val="00D23738"/>
    <w:rsid w:val="00D23C7D"/>
    <w:rsid w:val="00D23D11"/>
    <w:rsid w:val="00D244B6"/>
    <w:rsid w:val="00D25557"/>
    <w:rsid w:val="00D25936"/>
    <w:rsid w:val="00D260D8"/>
    <w:rsid w:val="00D260FF"/>
    <w:rsid w:val="00D26A9E"/>
    <w:rsid w:val="00D2754D"/>
    <w:rsid w:val="00D27B27"/>
    <w:rsid w:val="00D31F87"/>
    <w:rsid w:val="00D3281B"/>
    <w:rsid w:val="00D328D4"/>
    <w:rsid w:val="00D33BE9"/>
    <w:rsid w:val="00D33F93"/>
    <w:rsid w:val="00D34F01"/>
    <w:rsid w:val="00D35114"/>
    <w:rsid w:val="00D3556B"/>
    <w:rsid w:val="00D355A5"/>
    <w:rsid w:val="00D357FF"/>
    <w:rsid w:val="00D37FD7"/>
    <w:rsid w:val="00D420C1"/>
    <w:rsid w:val="00D4216F"/>
    <w:rsid w:val="00D424C7"/>
    <w:rsid w:val="00D43195"/>
    <w:rsid w:val="00D4321B"/>
    <w:rsid w:val="00D43268"/>
    <w:rsid w:val="00D43B2A"/>
    <w:rsid w:val="00D43D83"/>
    <w:rsid w:val="00D43DB5"/>
    <w:rsid w:val="00D43E3D"/>
    <w:rsid w:val="00D44A9E"/>
    <w:rsid w:val="00D4650F"/>
    <w:rsid w:val="00D4732F"/>
    <w:rsid w:val="00D47575"/>
    <w:rsid w:val="00D47C67"/>
    <w:rsid w:val="00D50E9A"/>
    <w:rsid w:val="00D51944"/>
    <w:rsid w:val="00D5243B"/>
    <w:rsid w:val="00D533EC"/>
    <w:rsid w:val="00D53F39"/>
    <w:rsid w:val="00D543C6"/>
    <w:rsid w:val="00D56A95"/>
    <w:rsid w:val="00D61273"/>
    <w:rsid w:val="00D6149E"/>
    <w:rsid w:val="00D62A7F"/>
    <w:rsid w:val="00D62B2A"/>
    <w:rsid w:val="00D65CDD"/>
    <w:rsid w:val="00D661C0"/>
    <w:rsid w:val="00D6715E"/>
    <w:rsid w:val="00D70F16"/>
    <w:rsid w:val="00D721AC"/>
    <w:rsid w:val="00D7255A"/>
    <w:rsid w:val="00D72F57"/>
    <w:rsid w:val="00D7377F"/>
    <w:rsid w:val="00D7492E"/>
    <w:rsid w:val="00D74EB5"/>
    <w:rsid w:val="00D74F38"/>
    <w:rsid w:val="00D755B1"/>
    <w:rsid w:val="00D75B2F"/>
    <w:rsid w:val="00D762D6"/>
    <w:rsid w:val="00D76A44"/>
    <w:rsid w:val="00D80684"/>
    <w:rsid w:val="00D815EF"/>
    <w:rsid w:val="00D81F26"/>
    <w:rsid w:val="00D84125"/>
    <w:rsid w:val="00D86231"/>
    <w:rsid w:val="00D8655C"/>
    <w:rsid w:val="00D86AB2"/>
    <w:rsid w:val="00D90B7B"/>
    <w:rsid w:val="00D91923"/>
    <w:rsid w:val="00D91C48"/>
    <w:rsid w:val="00D91E41"/>
    <w:rsid w:val="00D92CE3"/>
    <w:rsid w:val="00D93753"/>
    <w:rsid w:val="00D93A8B"/>
    <w:rsid w:val="00D9438B"/>
    <w:rsid w:val="00D95987"/>
    <w:rsid w:val="00D95A8E"/>
    <w:rsid w:val="00D95AA6"/>
    <w:rsid w:val="00DA3167"/>
    <w:rsid w:val="00DA360E"/>
    <w:rsid w:val="00DA3DDC"/>
    <w:rsid w:val="00DA4DC3"/>
    <w:rsid w:val="00DA5D82"/>
    <w:rsid w:val="00DA6622"/>
    <w:rsid w:val="00DA6A2F"/>
    <w:rsid w:val="00DA75D3"/>
    <w:rsid w:val="00DA77A5"/>
    <w:rsid w:val="00DA7AFC"/>
    <w:rsid w:val="00DB062C"/>
    <w:rsid w:val="00DB0C78"/>
    <w:rsid w:val="00DB2A81"/>
    <w:rsid w:val="00DB3DBF"/>
    <w:rsid w:val="00DB484F"/>
    <w:rsid w:val="00DB51CF"/>
    <w:rsid w:val="00DB5931"/>
    <w:rsid w:val="00DB5ABD"/>
    <w:rsid w:val="00DB615F"/>
    <w:rsid w:val="00DB662C"/>
    <w:rsid w:val="00DC04F6"/>
    <w:rsid w:val="00DC0690"/>
    <w:rsid w:val="00DC1D65"/>
    <w:rsid w:val="00DC3789"/>
    <w:rsid w:val="00DC3C57"/>
    <w:rsid w:val="00DC4044"/>
    <w:rsid w:val="00DC5501"/>
    <w:rsid w:val="00DC5602"/>
    <w:rsid w:val="00DC7154"/>
    <w:rsid w:val="00DC7E8A"/>
    <w:rsid w:val="00DD0EC9"/>
    <w:rsid w:val="00DD0F78"/>
    <w:rsid w:val="00DD12F2"/>
    <w:rsid w:val="00DD16B0"/>
    <w:rsid w:val="00DD20CD"/>
    <w:rsid w:val="00DD273C"/>
    <w:rsid w:val="00DD2AF6"/>
    <w:rsid w:val="00DD2BC5"/>
    <w:rsid w:val="00DD394D"/>
    <w:rsid w:val="00DD3F28"/>
    <w:rsid w:val="00DD4537"/>
    <w:rsid w:val="00DD4E15"/>
    <w:rsid w:val="00DD5906"/>
    <w:rsid w:val="00DD6D40"/>
    <w:rsid w:val="00DD7751"/>
    <w:rsid w:val="00DE0D5B"/>
    <w:rsid w:val="00DE1C54"/>
    <w:rsid w:val="00DE1E51"/>
    <w:rsid w:val="00DE2304"/>
    <w:rsid w:val="00DE2EB8"/>
    <w:rsid w:val="00DE3138"/>
    <w:rsid w:val="00DE31B4"/>
    <w:rsid w:val="00DE3335"/>
    <w:rsid w:val="00DE3410"/>
    <w:rsid w:val="00DE37F8"/>
    <w:rsid w:val="00DE43C1"/>
    <w:rsid w:val="00DE4FCB"/>
    <w:rsid w:val="00DE5324"/>
    <w:rsid w:val="00DE5C4B"/>
    <w:rsid w:val="00DE5D07"/>
    <w:rsid w:val="00DE5F26"/>
    <w:rsid w:val="00DE6C84"/>
    <w:rsid w:val="00DE72A7"/>
    <w:rsid w:val="00DE74D9"/>
    <w:rsid w:val="00DE7832"/>
    <w:rsid w:val="00DF18FC"/>
    <w:rsid w:val="00DF1A2D"/>
    <w:rsid w:val="00DF2215"/>
    <w:rsid w:val="00DF4C38"/>
    <w:rsid w:val="00DF4D73"/>
    <w:rsid w:val="00DF5302"/>
    <w:rsid w:val="00DF5D2B"/>
    <w:rsid w:val="00DF7853"/>
    <w:rsid w:val="00E00E8E"/>
    <w:rsid w:val="00E03929"/>
    <w:rsid w:val="00E05630"/>
    <w:rsid w:val="00E068B4"/>
    <w:rsid w:val="00E06DBB"/>
    <w:rsid w:val="00E10149"/>
    <w:rsid w:val="00E10B2C"/>
    <w:rsid w:val="00E11340"/>
    <w:rsid w:val="00E122A1"/>
    <w:rsid w:val="00E133EF"/>
    <w:rsid w:val="00E14EC1"/>
    <w:rsid w:val="00E16372"/>
    <w:rsid w:val="00E17807"/>
    <w:rsid w:val="00E17CD3"/>
    <w:rsid w:val="00E20E4D"/>
    <w:rsid w:val="00E20ED6"/>
    <w:rsid w:val="00E21358"/>
    <w:rsid w:val="00E213F0"/>
    <w:rsid w:val="00E21B11"/>
    <w:rsid w:val="00E2249B"/>
    <w:rsid w:val="00E22A0D"/>
    <w:rsid w:val="00E22CB9"/>
    <w:rsid w:val="00E23295"/>
    <w:rsid w:val="00E240F2"/>
    <w:rsid w:val="00E244F6"/>
    <w:rsid w:val="00E26F6B"/>
    <w:rsid w:val="00E2771E"/>
    <w:rsid w:val="00E27EE6"/>
    <w:rsid w:val="00E311EF"/>
    <w:rsid w:val="00E32180"/>
    <w:rsid w:val="00E32302"/>
    <w:rsid w:val="00E347CC"/>
    <w:rsid w:val="00E34948"/>
    <w:rsid w:val="00E35E91"/>
    <w:rsid w:val="00E37569"/>
    <w:rsid w:val="00E401B2"/>
    <w:rsid w:val="00E41D30"/>
    <w:rsid w:val="00E41E30"/>
    <w:rsid w:val="00E42573"/>
    <w:rsid w:val="00E42F73"/>
    <w:rsid w:val="00E4372B"/>
    <w:rsid w:val="00E43D2A"/>
    <w:rsid w:val="00E43D70"/>
    <w:rsid w:val="00E4407D"/>
    <w:rsid w:val="00E458EF"/>
    <w:rsid w:val="00E46230"/>
    <w:rsid w:val="00E46663"/>
    <w:rsid w:val="00E466F3"/>
    <w:rsid w:val="00E46774"/>
    <w:rsid w:val="00E4727C"/>
    <w:rsid w:val="00E47B2C"/>
    <w:rsid w:val="00E47DC2"/>
    <w:rsid w:val="00E50CA5"/>
    <w:rsid w:val="00E51560"/>
    <w:rsid w:val="00E5266D"/>
    <w:rsid w:val="00E53FC8"/>
    <w:rsid w:val="00E5401B"/>
    <w:rsid w:val="00E54347"/>
    <w:rsid w:val="00E54906"/>
    <w:rsid w:val="00E55424"/>
    <w:rsid w:val="00E556CF"/>
    <w:rsid w:val="00E55915"/>
    <w:rsid w:val="00E55BB5"/>
    <w:rsid w:val="00E56961"/>
    <w:rsid w:val="00E56AA6"/>
    <w:rsid w:val="00E56B98"/>
    <w:rsid w:val="00E56DDD"/>
    <w:rsid w:val="00E576B0"/>
    <w:rsid w:val="00E60824"/>
    <w:rsid w:val="00E61AA7"/>
    <w:rsid w:val="00E651E0"/>
    <w:rsid w:val="00E652E8"/>
    <w:rsid w:val="00E653E8"/>
    <w:rsid w:val="00E65D26"/>
    <w:rsid w:val="00E65E79"/>
    <w:rsid w:val="00E66BA2"/>
    <w:rsid w:val="00E67416"/>
    <w:rsid w:val="00E718B6"/>
    <w:rsid w:val="00E71BB8"/>
    <w:rsid w:val="00E71D56"/>
    <w:rsid w:val="00E723BA"/>
    <w:rsid w:val="00E73581"/>
    <w:rsid w:val="00E73ED1"/>
    <w:rsid w:val="00E74D2C"/>
    <w:rsid w:val="00E75AC1"/>
    <w:rsid w:val="00E766A8"/>
    <w:rsid w:val="00E775A0"/>
    <w:rsid w:val="00E779C2"/>
    <w:rsid w:val="00E80CDA"/>
    <w:rsid w:val="00E80D0A"/>
    <w:rsid w:val="00E81127"/>
    <w:rsid w:val="00E833F7"/>
    <w:rsid w:val="00E83B25"/>
    <w:rsid w:val="00E83BDF"/>
    <w:rsid w:val="00E85F5A"/>
    <w:rsid w:val="00E868C9"/>
    <w:rsid w:val="00E87A1D"/>
    <w:rsid w:val="00E87F48"/>
    <w:rsid w:val="00E9094A"/>
    <w:rsid w:val="00E90DEF"/>
    <w:rsid w:val="00E91A05"/>
    <w:rsid w:val="00E91D35"/>
    <w:rsid w:val="00E91D43"/>
    <w:rsid w:val="00E92361"/>
    <w:rsid w:val="00E926A5"/>
    <w:rsid w:val="00E92D3D"/>
    <w:rsid w:val="00E93E23"/>
    <w:rsid w:val="00E93F38"/>
    <w:rsid w:val="00E9538B"/>
    <w:rsid w:val="00E95DC0"/>
    <w:rsid w:val="00EA03C5"/>
    <w:rsid w:val="00EA052B"/>
    <w:rsid w:val="00EA0A89"/>
    <w:rsid w:val="00EA17C3"/>
    <w:rsid w:val="00EA22E9"/>
    <w:rsid w:val="00EA2473"/>
    <w:rsid w:val="00EA29CF"/>
    <w:rsid w:val="00EA2CAA"/>
    <w:rsid w:val="00EA3864"/>
    <w:rsid w:val="00EA3A7B"/>
    <w:rsid w:val="00EA5542"/>
    <w:rsid w:val="00EA5B58"/>
    <w:rsid w:val="00EA686A"/>
    <w:rsid w:val="00EA6BF9"/>
    <w:rsid w:val="00EA7F1C"/>
    <w:rsid w:val="00EB01FC"/>
    <w:rsid w:val="00EB0853"/>
    <w:rsid w:val="00EB15B6"/>
    <w:rsid w:val="00EB15E4"/>
    <w:rsid w:val="00EB2B7A"/>
    <w:rsid w:val="00EB2D60"/>
    <w:rsid w:val="00EB3267"/>
    <w:rsid w:val="00EB3CF3"/>
    <w:rsid w:val="00EB3D06"/>
    <w:rsid w:val="00EB45FC"/>
    <w:rsid w:val="00EB4916"/>
    <w:rsid w:val="00EB4DE3"/>
    <w:rsid w:val="00EB5EC7"/>
    <w:rsid w:val="00EB686C"/>
    <w:rsid w:val="00EB6C1E"/>
    <w:rsid w:val="00EB6F86"/>
    <w:rsid w:val="00EB7E45"/>
    <w:rsid w:val="00EC00C9"/>
    <w:rsid w:val="00EC0950"/>
    <w:rsid w:val="00EC0DD9"/>
    <w:rsid w:val="00EC2649"/>
    <w:rsid w:val="00EC31ED"/>
    <w:rsid w:val="00EC44CE"/>
    <w:rsid w:val="00EC5392"/>
    <w:rsid w:val="00EC5445"/>
    <w:rsid w:val="00EC5836"/>
    <w:rsid w:val="00EC5E10"/>
    <w:rsid w:val="00EC688C"/>
    <w:rsid w:val="00EC688F"/>
    <w:rsid w:val="00EC7BBF"/>
    <w:rsid w:val="00EC7D03"/>
    <w:rsid w:val="00ED1808"/>
    <w:rsid w:val="00ED4AF1"/>
    <w:rsid w:val="00ED57EA"/>
    <w:rsid w:val="00ED5BD4"/>
    <w:rsid w:val="00ED6925"/>
    <w:rsid w:val="00EE075B"/>
    <w:rsid w:val="00EE07D3"/>
    <w:rsid w:val="00EE0970"/>
    <w:rsid w:val="00EE1996"/>
    <w:rsid w:val="00EE1A41"/>
    <w:rsid w:val="00EE1C01"/>
    <w:rsid w:val="00EE22AF"/>
    <w:rsid w:val="00EE2644"/>
    <w:rsid w:val="00EE4D5E"/>
    <w:rsid w:val="00EE57DD"/>
    <w:rsid w:val="00EE751E"/>
    <w:rsid w:val="00EF0171"/>
    <w:rsid w:val="00EF1B25"/>
    <w:rsid w:val="00EF1DA0"/>
    <w:rsid w:val="00EF3877"/>
    <w:rsid w:val="00EF3A17"/>
    <w:rsid w:val="00EF4747"/>
    <w:rsid w:val="00EF4BF8"/>
    <w:rsid w:val="00EF5D4B"/>
    <w:rsid w:val="00EF6D33"/>
    <w:rsid w:val="00EF6E72"/>
    <w:rsid w:val="00EF705D"/>
    <w:rsid w:val="00EF783B"/>
    <w:rsid w:val="00EF7991"/>
    <w:rsid w:val="00F00330"/>
    <w:rsid w:val="00F0075F"/>
    <w:rsid w:val="00F00F67"/>
    <w:rsid w:val="00F02253"/>
    <w:rsid w:val="00F027DB"/>
    <w:rsid w:val="00F03C2E"/>
    <w:rsid w:val="00F04837"/>
    <w:rsid w:val="00F04A66"/>
    <w:rsid w:val="00F04B4B"/>
    <w:rsid w:val="00F04E80"/>
    <w:rsid w:val="00F0516C"/>
    <w:rsid w:val="00F0627F"/>
    <w:rsid w:val="00F06491"/>
    <w:rsid w:val="00F067A2"/>
    <w:rsid w:val="00F06820"/>
    <w:rsid w:val="00F07B9E"/>
    <w:rsid w:val="00F1116F"/>
    <w:rsid w:val="00F11599"/>
    <w:rsid w:val="00F11B99"/>
    <w:rsid w:val="00F1263A"/>
    <w:rsid w:val="00F12885"/>
    <w:rsid w:val="00F133C3"/>
    <w:rsid w:val="00F15B77"/>
    <w:rsid w:val="00F1615A"/>
    <w:rsid w:val="00F171D5"/>
    <w:rsid w:val="00F17C44"/>
    <w:rsid w:val="00F20072"/>
    <w:rsid w:val="00F203F5"/>
    <w:rsid w:val="00F20A88"/>
    <w:rsid w:val="00F21206"/>
    <w:rsid w:val="00F217B7"/>
    <w:rsid w:val="00F21BC3"/>
    <w:rsid w:val="00F24837"/>
    <w:rsid w:val="00F2575F"/>
    <w:rsid w:val="00F26AB8"/>
    <w:rsid w:val="00F27565"/>
    <w:rsid w:val="00F27D7C"/>
    <w:rsid w:val="00F303C8"/>
    <w:rsid w:val="00F310D4"/>
    <w:rsid w:val="00F311AD"/>
    <w:rsid w:val="00F31D5A"/>
    <w:rsid w:val="00F32639"/>
    <w:rsid w:val="00F334B2"/>
    <w:rsid w:val="00F33975"/>
    <w:rsid w:val="00F33DA2"/>
    <w:rsid w:val="00F33DE9"/>
    <w:rsid w:val="00F34D82"/>
    <w:rsid w:val="00F35E6D"/>
    <w:rsid w:val="00F3619A"/>
    <w:rsid w:val="00F4080D"/>
    <w:rsid w:val="00F40AAA"/>
    <w:rsid w:val="00F40BA7"/>
    <w:rsid w:val="00F40E44"/>
    <w:rsid w:val="00F40F9D"/>
    <w:rsid w:val="00F41ACD"/>
    <w:rsid w:val="00F44848"/>
    <w:rsid w:val="00F45A36"/>
    <w:rsid w:val="00F46ADF"/>
    <w:rsid w:val="00F46CB6"/>
    <w:rsid w:val="00F4756D"/>
    <w:rsid w:val="00F47DE8"/>
    <w:rsid w:val="00F52AC4"/>
    <w:rsid w:val="00F542C1"/>
    <w:rsid w:val="00F55E73"/>
    <w:rsid w:val="00F55EDA"/>
    <w:rsid w:val="00F56048"/>
    <w:rsid w:val="00F56C80"/>
    <w:rsid w:val="00F56F2A"/>
    <w:rsid w:val="00F60092"/>
    <w:rsid w:val="00F61C18"/>
    <w:rsid w:val="00F6258B"/>
    <w:rsid w:val="00F64805"/>
    <w:rsid w:val="00F6574F"/>
    <w:rsid w:val="00F65F4B"/>
    <w:rsid w:val="00F6610C"/>
    <w:rsid w:val="00F668EB"/>
    <w:rsid w:val="00F67A69"/>
    <w:rsid w:val="00F70BFF"/>
    <w:rsid w:val="00F70C9D"/>
    <w:rsid w:val="00F7216E"/>
    <w:rsid w:val="00F73574"/>
    <w:rsid w:val="00F749C2"/>
    <w:rsid w:val="00F74CD9"/>
    <w:rsid w:val="00F74FB9"/>
    <w:rsid w:val="00F7514B"/>
    <w:rsid w:val="00F7572E"/>
    <w:rsid w:val="00F80A7B"/>
    <w:rsid w:val="00F80E5D"/>
    <w:rsid w:val="00F81283"/>
    <w:rsid w:val="00F81E78"/>
    <w:rsid w:val="00F82FFC"/>
    <w:rsid w:val="00F8336C"/>
    <w:rsid w:val="00F8396C"/>
    <w:rsid w:val="00F851CE"/>
    <w:rsid w:val="00F91068"/>
    <w:rsid w:val="00F91219"/>
    <w:rsid w:val="00F92444"/>
    <w:rsid w:val="00F924B9"/>
    <w:rsid w:val="00F9298B"/>
    <w:rsid w:val="00F92CB9"/>
    <w:rsid w:val="00F9393E"/>
    <w:rsid w:val="00F9454D"/>
    <w:rsid w:val="00F95FB8"/>
    <w:rsid w:val="00F961AF"/>
    <w:rsid w:val="00F96E6C"/>
    <w:rsid w:val="00F96FD0"/>
    <w:rsid w:val="00F97A78"/>
    <w:rsid w:val="00F97D33"/>
    <w:rsid w:val="00FA086D"/>
    <w:rsid w:val="00FA0B20"/>
    <w:rsid w:val="00FA0DE2"/>
    <w:rsid w:val="00FA1063"/>
    <w:rsid w:val="00FA24E7"/>
    <w:rsid w:val="00FA325F"/>
    <w:rsid w:val="00FA33FA"/>
    <w:rsid w:val="00FA5A9F"/>
    <w:rsid w:val="00FA5EE6"/>
    <w:rsid w:val="00FA6872"/>
    <w:rsid w:val="00FA7956"/>
    <w:rsid w:val="00FB1351"/>
    <w:rsid w:val="00FB258C"/>
    <w:rsid w:val="00FB2FCB"/>
    <w:rsid w:val="00FB3D7C"/>
    <w:rsid w:val="00FB5D90"/>
    <w:rsid w:val="00FB6FD0"/>
    <w:rsid w:val="00FB741A"/>
    <w:rsid w:val="00FB7C55"/>
    <w:rsid w:val="00FC1065"/>
    <w:rsid w:val="00FC1074"/>
    <w:rsid w:val="00FC1884"/>
    <w:rsid w:val="00FC2240"/>
    <w:rsid w:val="00FC268A"/>
    <w:rsid w:val="00FC2905"/>
    <w:rsid w:val="00FC371D"/>
    <w:rsid w:val="00FC5F0B"/>
    <w:rsid w:val="00FC60E7"/>
    <w:rsid w:val="00FC673B"/>
    <w:rsid w:val="00FD089F"/>
    <w:rsid w:val="00FD0AA6"/>
    <w:rsid w:val="00FD1849"/>
    <w:rsid w:val="00FD2100"/>
    <w:rsid w:val="00FD25B4"/>
    <w:rsid w:val="00FD314E"/>
    <w:rsid w:val="00FD31D9"/>
    <w:rsid w:val="00FD3921"/>
    <w:rsid w:val="00FD436C"/>
    <w:rsid w:val="00FD4381"/>
    <w:rsid w:val="00FD446D"/>
    <w:rsid w:val="00FD4B8D"/>
    <w:rsid w:val="00FD4F2C"/>
    <w:rsid w:val="00FD5BEC"/>
    <w:rsid w:val="00FD6394"/>
    <w:rsid w:val="00FD7350"/>
    <w:rsid w:val="00FD7B3B"/>
    <w:rsid w:val="00FE08EE"/>
    <w:rsid w:val="00FE0CBC"/>
    <w:rsid w:val="00FE0E6C"/>
    <w:rsid w:val="00FE1CDC"/>
    <w:rsid w:val="00FE29B0"/>
    <w:rsid w:val="00FE3865"/>
    <w:rsid w:val="00FE70C3"/>
    <w:rsid w:val="00FF16A2"/>
    <w:rsid w:val="00FF29B4"/>
    <w:rsid w:val="00FF2AD9"/>
    <w:rsid w:val="00FF2BC8"/>
    <w:rsid w:val="00FF359F"/>
    <w:rsid w:val="00FF3DCF"/>
    <w:rsid w:val="00FF492C"/>
    <w:rsid w:val="00FF4A21"/>
    <w:rsid w:val="00FF4E94"/>
    <w:rsid w:val="00FF5AA3"/>
    <w:rsid w:val="00FF5AD8"/>
    <w:rsid w:val="00FF7D0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3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1C61AF"/>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1C61AF"/>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4"/>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Bullettabletext">
    <w:name w:val="Bullet table text"/>
    <w:basedOn w:val="Normal"/>
    <w:rsid w:val="00E90DEF"/>
    <w:pPr>
      <w:numPr>
        <w:numId w:val="6"/>
      </w:numPr>
      <w:tabs>
        <w:tab w:val="num" w:pos="360"/>
      </w:tabs>
      <w:ind w:left="0" w:firstLine="0"/>
      <w:jc w:val="left"/>
    </w:pPr>
    <w:rPr>
      <w:rFonts w:eastAsiaTheme="minorHAnsi" w:cstheme="minorBidi"/>
      <w:sz w:val="20"/>
      <w:szCs w:val="22"/>
      <w:lang w:eastAsia="en-US"/>
    </w:rPr>
  </w:style>
  <w:style w:type="paragraph" w:customStyle="1" w:styleId="TableHeading0">
    <w:name w:val="Table Heading"/>
    <w:basedOn w:val="Normal"/>
    <w:rsid w:val="00E83B25"/>
    <w:pPr>
      <w:keepNext/>
      <w:jc w:val="center"/>
    </w:pPr>
    <w:rPr>
      <w:rFonts w:asciiTheme="minorHAnsi" w:eastAsiaTheme="minorHAnsi" w:hAnsiTheme="minorHAnsi" w:cstheme="minorBidi"/>
      <w:b/>
      <w:sz w:val="20"/>
      <w:szCs w:val="20"/>
      <w:lang w:eastAsia="en-US"/>
    </w:rPr>
  </w:style>
  <w:style w:type="paragraph" w:customStyle="1" w:styleId="Default">
    <w:name w:val="Default"/>
    <w:rsid w:val="005D142A"/>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D43268"/>
    <w:rPr>
      <w:sz w:val="20"/>
      <w:szCs w:val="20"/>
    </w:rPr>
  </w:style>
  <w:style w:type="character" w:customStyle="1" w:styleId="FootnoteTextChar">
    <w:name w:val="Footnote Text Char"/>
    <w:basedOn w:val="DefaultParagraphFont"/>
    <w:link w:val="FootnoteText"/>
    <w:uiPriority w:val="99"/>
    <w:rsid w:val="00D43268"/>
    <w:rPr>
      <w:rFonts w:ascii="Calibri" w:hAnsi="Calibri" w:cs="Arial"/>
    </w:rPr>
  </w:style>
  <w:style w:type="character" w:styleId="FootnoteReference">
    <w:name w:val="footnote reference"/>
    <w:basedOn w:val="DefaultParagraphFont"/>
    <w:semiHidden/>
    <w:unhideWhenUsed/>
    <w:rsid w:val="00D43268"/>
    <w:rPr>
      <w:vertAlign w:val="superscript"/>
    </w:rPr>
  </w:style>
  <w:style w:type="paragraph" w:customStyle="1" w:styleId="Source">
    <w:name w:val="Source"/>
    <w:basedOn w:val="Normal"/>
    <w:rsid w:val="00174BD2"/>
    <w:pPr>
      <w:contextualSpacing/>
    </w:pPr>
    <w:rPr>
      <w:rFonts w:eastAsia="Calibri" w:cs="Times New Roman"/>
      <w:bCs/>
      <w:sz w:val="18"/>
      <w:szCs w:val="22"/>
      <w:lang w:eastAsia="en-US"/>
    </w:rPr>
  </w:style>
  <w:style w:type="paragraph" w:customStyle="1" w:styleId="Tableheading1">
    <w:name w:val="Table heading"/>
    <w:basedOn w:val="Normal"/>
    <w:rsid w:val="00174BD2"/>
    <w:pPr>
      <w:jc w:val="center"/>
    </w:pPr>
    <w:rPr>
      <w:rFonts w:asciiTheme="minorHAnsi" w:eastAsiaTheme="minorHAnsi" w:hAnsiTheme="minorHAnsi" w:cstheme="minorBidi"/>
      <w:b/>
      <w:sz w:val="20"/>
      <w:szCs w:val="20"/>
      <w:lang w:eastAsia="en-US"/>
    </w:rPr>
  </w:style>
  <w:style w:type="table" w:customStyle="1" w:styleId="TableGrid62">
    <w:name w:val="Table Grid62"/>
    <w:basedOn w:val="TableNormal"/>
    <w:rsid w:val="00174BD2"/>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Tabletext"/>
    <w:rsid w:val="00174BD2"/>
    <w:pPr>
      <w:numPr>
        <w:numId w:val="8"/>
      </w:numPr>
      <w:tabs>
        <w:tab w:val="left" w:pos="416"/>
        <w:tab w:val="left" w:pos="582"/>
      </w:tabs>
      <w:contextualSpacing/>
      <w:jc w:val="both"/>
    </w:pPr>
    <w:rPr>
      <w:rFonts w:asciiTheme="minorHAnsi" w:hAnsiTheme="minorHAnsi"/>
      <w:snapToGrid/>
      <w:szCs w:val="20"/>
      <w:lang w:eastAsia="en-US"/>
    </w:rPr>
  </w:style>
  <w:style w:type="paragraph" w:customStyle="1" w:styleId="Btabletext">
    <w:name w:val="B table text"/>
    <w:basedOn w:val="Tabletext"/>
    <w:rsid w:val="00174BD2"/>
    <w:pPr>
      <w:keepNext/>
      <w:tabs>
        <w:tab w:val="left" w:pos="416"/>
        <w:tab w:val="left" w:pos="582"/>
      </w:tabs>
      <w:contextualSpacing/>
      <w:jc w:val="both"/>
    </w:pPr>
    <w:rPr>
      <w:rFonts w:asciiTheme="minorHAnsi" w:eastAsia="Calibri" w:hAnsiTheme="minorHAnsi"/>
      <w:b/>
      <w:snapToGrid/>
      <w:szCs w:val="20"/>
    </w:rPr>
  </w:style>
  <w:style w:type="paragraph" w:customStyle="1" w:styleId="BTabletext0">
    <w:name w:val="B Table text"/>
    <w:basedOn w:val="Tabletext"/>
    <w:rsid w:val="00174BD2"/>
    <w:pPr>
      <w:contextualSpacing/>
      <w:jc w:val="both"/>
    </w:pPr>
    <w:rPr>
      <w:rFonts w:asciiTheme="minorHAnsi" w:eastAsiaTheme="minorHAnsi" w:hAnsiTheme="minorHAnsi" w:cstheme="minorBidi"/>
      <w:b/>
      <w:bCs/>
      <w:snapToGrid/>
      <w:szCs w:val="20"/>
      <w:lang w:eastAsia="en-US"/>
    </w:rPr>
  </w:style>
  <w:style w:type="paragraph" w:customStyle="1" w:styleId="Bull1table">
    <w:name w:val="Bull1 table"/>
    <w:basedOn w:val="Tablebullet"/>
    <w:rsid w:val="00174BD2"/>
    <w:pPr>
      <w:numPr>
        <w:numId w:val="10"/>
      </w:numPr>
      <w:ind w:left="340" w:hanging="340"/>
    </w:pPr>
  </w:style>
  <w:style w:type="paragraph" w:customStyle="1" w:styleId="Bull2table">
    <w:name w:val="Bull2 table"/>
    <w:basedOn w:val="Bull1table"/>
    <w:rsid w:val="00174BD2"/>
    <w:pPr>
      <w:numPr>
        <w:numId w:val="9"/>
      </w:numPr>
    </w:pPr>
  </w:style>
  <w:style w:type="paragraph" w:customStyle="1" w:styleId="Tablecentre">
    <w:name w:val="Table centre"/>
    <w:basedOn w:val="Tabletext"/>
    <w:rsid w:val="00336D04"/>
    <w:pPr>
      <w:contextualSpacing/>
      <w:jc w:val="center"/>
    </w:pPr>
    <w:rPr>
      <w:rFonts w:asciiTheme="minorHAnsi" w:eastAsiaTheme="minorHAnsi" w:hAnsiTheme="minorHAnsi" w:cstheme="minorBidi"/>
      <w:snapToGrid/>
      <w:szCs w:val="20"/>
      <w:lang w:eastAsia="en-US"/>
    </w:rPr>
  </w:style>
  <w:style w:type="paragraph" w:customStyle="1" w:styleId="Tab1tabletext">
    <w:name w:val="Tab1 table text"/>
    <w:basedOn w:val="Tabletext"/>
    <w:rsid w:val="00336D04"/>
    <w:pPr>
      <w:ind w:left="283"/>
      <w:contextualSpacing/>
      <w:jc w:val="both"/>
    </w:pPr>
    <w:rPr>
      <w:rFonts w:asciiTheme="minorHAnsi" w:eastAsiaTheme="minorHAnsi" w:hAnsiTheme="minorHAnsi" w:cstheme="minorBidi"/>
      <w:snapToGrid/>
      <w:szCs w:val="20"/>
      <w:lang w:eastAsia="en-US"/>
    </w:rPr>
  </w:style>
  <w:style w:type="table" w:customStyle="1" w:styleId="TableGrid11">
    <w:name w:val="Table Grid11"/>
    <w:basedOn w:val="TableNormal"/>
    <w:next w:val="TableGrid"/>
    <w:uiPriority w:val="59"/>
    <w:rsid w:val="00D043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
    <w:name w:val="Section Bi"/>
    <w:uiPriority w:val="99"/>
    <w:rsid w:val="00F44848"/>
    <w:pPr>
      <w:numPr>
        <w:numId w:val="11"/>
      </w:numPr>
    </w:pPr>
  </w:style>
  <w:style w:type="table" w:customStyle="1" w:styleId="Summarybox1">
    <w:name w:val="Summary box1"/>
    <w:basedOn w:val="TableNormal"/>
    <w:next w:val="TableGrid"/>
    <w:uiPriority w:val="59"/>
    <w:rsid w:val="001E1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tabletext">
    <w:name w:val="Num table text"/>
    <w:basedOn w:val="Tabletext"/>
    <w:rsid w:val="00225CE2"/>
    <w:pPr>
      <w:numPr>
        <w:numId w:val="13"/>
      </w:numPr>
      <w:contextualSpacing/>
      <w:jc w:val="both"/>
    </w:pPr>
    <w:rPr>
      <w:rFonts w:asciiTheme="minorHAnsi" w:eastAsiaTheme="minorHAnsi" w:hAnsiTheme="minorHAnsi" w:cstheme="minorBidi"/>
      <w:snapToGrid/>
      <w:szCs w:val="20"/>
      <w:lang w:eastAsia="en-US"/>
    </w:rPr>
  </w:style>
  <w:style w:type="paragraph" w:customStyle="1" w:styleId="Bulltabletext">
    <w:name w:val="Bull table text"/>
    <w:basedOn w:val="Numtabletext"/>
    <w:rsid w:val="00225CE2"/>
    <w:pPr>
      <w:numPr>
        <w:numId w:val="12"/>
      </w:numPr>
    </w:pPr>
  </w:style>
  <w:style w:type="paragraph" w:customStyle="1" w:styleId="Bull2tabletext">
    <w:name w:val="Bull2 table text"/>
    <w:basedOn w:val="Bulltabletext"/>
    <w:rsid w:val="00225CE2"/>
    <w:pPr>
      <w:numPr>
        <w:ilvl w:val="1"/>
      </w:numPr>
    </w:pPr>
  </w:style>
  <w:style w:type="paragraph" w:customStyle="1" w:styleId="Bull3tabletext">
    <w:name w:val="Bull3 table text"/>
    <w:basedOn w:val="Bull2tabletext"/>
    <w:rsid w:val="00225CE2"/>
    <w:pPr>
      <w:numPr>
        <w:ilvl w:val="2"/>
      </w:numPr>
    </w:pPr>
  </w:style>
  <w:style w:type="paragraph" w:customStyle="1" w:styleId="TableParagraph">
    <w:name w:val="Table Paragraph"/>
    <w:basedOn w:val="Normal"/>
    <w:uiPriority w:val="1"/>
    <w:qFormat/>
    <w:rsid w:val="00A1697A"/>
    <w:pPr>
      <w:autoSpaceDE w:val="0"/>
      <w:autoSpaceDN w:val="0"/>
      <w:adjustRightInd w:val="0"/>
      <w:jc w:val="left"/>
    </w:pPr>
    <w:rPr>
      <w:rFonts w:ascii="Times New Roman" w:hAnsi="Times New Roman" w:cs="Times New Roman"/>
    </w:rPr>
  </w:style>
  <w:style w:type="table" w:customStyle="1" w:styleId="HTATableshaded29">
    <w:name w:val="HTA Table shaded29"/>
    <w:basedOn w:val="TableNormal"/>
    <w:rsid w:val="00F133C3"/>
    <w:pPr>
      <w:spacing w:before="40" w:after="20"/>
      <w:jc w:val="both"/>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01">
    <w:name w:val="Table Grid401"/>
    <w:basedOn w:val="TableNormal"/>
    <w:next w:val="TableGrid"/>
    <w:uiPriority w:val="59"/>
    <w:rsid w:val="00F133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rsid w:val="007A30D1"/>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7A30D1"/>
    <w:rPr>
      <w:rFonts w:asciiTheme="minorHAnsi" w:hAnsiTheme="minorHAnsi"/>
      <w:sz w:val="22"/>
      <w:lang w:val="en-US" w:eastAsia="en-US"/>
    </w:rPr>
  </w:style>
  <w:style w:type="paragraph" w:customStyle="1" w:styleId="EndNoteBibliographyTitle">
    <w:name w:val="EndNote Bibliography Title"/>
    <w:basedOn w:val="Normal"/>
    <w:link w:val="EndNoteBibliographyTitleChar"/>
    <w:rsid w:val="00517AC1"/>
    <w:pPr>
      <w:jc w:val="center"/>
    </w:pPr>
    <w:rPr>
      <w:rFonts w:cs="Calibri"/>
      <w:noProof/>
    </w:rPr>
  </w:style>
  <w:style w:type="character" w:customStyle="1" w:styleId="EndNoteBibliographyTitleChar">
    <w:name w:val="EndNote Bibliography Title Char"/>
    <w:basedOn w:val="DefaultParagraphFont"/>
    <w:link w:val="EndNoteBibliographyTitle"/>
    <w:rsid w:val="00517AC1"/>
    <w:rPr>
      <w:rFonts w:ascii="Calibri" w:hAnsi="Calibri" w:cs="Calibri"/>
      <w:noProof/>
      <w:sz w:val="24"/>
      <w:szCs w:val="24"/>
    </w:rPr>
  </w:style>
  <w:style w:type="paragraph" w:customStyle="1" w:styleId="EndNoteBibliography">
    <w:name w:val="EndNote Bibliography"/>
    <w:basedOn w:val="Normal"/>
    <w:link w:val="EndNoteBibliographyChar"/>
    <w:rsid w:val="00517AC1"/>
    <w:rPr>
      <w:rFonts w:cs="Calibri"/>
      <w:noProof/>
    </w:rPr>
  </w:style>
  <w:style w:type="character" w:customStyle="1" w:styleId="EndNoteBibliographyChar">
    <w:name w:val="EndNote Bibliography Char"/>
    <w:basedOn w:val="DefaultParagraphFont"/>
    <w:link w:val="EndNoteBibliography"/>
    <w:rsid w:val="00517AC1"/>
    <w:rPr>
      <w:rFonts w:ascii="Calibri" w:hAnsi="Calibri" w:cs="Calibri"/>
      <w:noProof/>
      <w:sz w:val="24"/>
      <w:szCs w:val="24"/>
    </w:rPr>
  </w:style>
  <w:style w:type="paragraph" w:styleId="HTMLPreformatted">
    <w:name w:val="HTML Preformatted"/>
    <w:basedOn w:val="Normal"/>
    <w:link w:val="HTMLPreformattedChar"/>
    <w:semiHidden/>
    <w:unhideWhenUsed/>
    <w:rsid w:val="00517AC1"/>
    <w:rPr>
      <w:rFonts w:ascii="Consolas" w:hAnsi="Consolas"/>
      <w:sz w:val="20"/>
      <w:szCs w:val="20"/>
    </w:rPr>
  </w:style>
  <w:style w:type="character" w:customStyle="1" w:styleId="HTMLPreformattedChar">
    <w:name w:val="HTML Preformatted Char"/>
    <w:basedOn w:val="DefaultParagraphFont"/>
    <w:link w:val="HTMLPreformatted"/>
    <w:semiHidden/>
    <w:rsid w:val="00517AC1"/>
    <w:rPr>
      <w:rFonts w:ascii="Consolas" w:hAnsi="Consolas" w:cs="Arial"/>
    </w:rPr>
  </w:style>
  <w:style w:type="table" w:customStyle="1" w:styleId="TableGrid15">
    <w:name w:val="Table Grid15"/>
    <w:basedOn w:val="TableNormal"/>
    <w:next w:val="TableGrid"/>
    <w:rsid w:val="00517AC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numbering" w:customStyle="1" w:styleId="SectionBii">
    <w:name w:val="Section Bii"/>
    <w:uiPriority w:val="99"/>
    <w:rsid w:val="00517AC1"/>
  </w:style>
  <w:style w:type="table" w:customStyle="1" w:styleId="TableGrid14">
    <w:name w:val="Table Grid14"/>
    <w:basedOn w:val="TableNormal"/>
    <w:next w:val="TableGrid"/>
    <w:rsid w:val="00517AC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3">
    <w:name w:val="Table Grid3"/>
    <w:basedOn w:val="TableNormal"/>
    <w:next w:val="TableGrid"/>
    <w:rsid w:val="00517AC1"/>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7AC1"/>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517AC1"/>
    <w:rPr>
      <w:rFonts w:ascii="Calibri" w:eastAsiaTheme="minorHAnsi" w:hAnsi="Calibri" w:cstheme="minorBidi"/>
      <w:lang w:eastAsia="en-US"/>
    </w:rPr>
  </w:style>
  <w:style w:type="paragraph" w:customStyle="1" w:styleId="TableFootnotes">
    <w:name w:val="Table Footnotes"/>
    <w:basedOn w:val="Normal"/>
    <w:uiPriority w:val="99"/>
    <w:rsid w:val="00517AC1"/>
    <w:pPr>
      <w:contextualSpacing/>
      <w:jc w:val="left"/>
    </w:pPr>
    <w:rPr>
      <w:rFonts w:eastAsiaTheme="minorHAnsi" w:cstheme="minorBidi"/>
      <w:sz w:val="18"/>
      <w:szCs w:val="22"/>
      <w:lang w:eastAsia="en-US"/>
    </w:rPr>
  </w:style>
  <w:style w:type="paragraph" w:customStyle="1" w:styleId="PBACheading10">
    <w:name w:val="PBAC heading 1"/>
    <w:qFormat/>
    <w:rsid w:val="00B35A1C"/>
    <w:pPr>
      <w:ind w:left="720" w:hanging="720"/>
      <w:outlineLvl w:val="0"/>
    </w:pPr>
    <w:rPr>
      <w:rFonts w:ascii="Arial" w:hAnsi="Arial" w:cs="Arial"/>
      <w:b/>
      <w:snapToGrid w:val="0"/>
      <w:sz w:val="22"/>
      <w:szCs w:val="22"/>
      <w:lang w:eastAsia="en-US"/>
    </w:rPr>
  </w:style>
  <w:style w:type="character" w:customStyle="1" w:styleId="null1">
    <w:name w:val="null1"/>
    <w:basedOn w:val="DefaultParagraphFont"/>
    <w:rsid w:val="00352F10"/>
  </w:style>
  <w:style w:type="character" w:customStyle="1" w:styleId="KMC16-TablecontentChar">
    <w:name w:val="KMC16 - Table content Char"/>
    <w:basedOn w:val="DefaultParagraphFont"/>
    <w:link w:val="KMC16-Tablecontent"/>
    <w:locked/>
    <w:rsid w:val="008737BC"/>
    <w:rPr>
      <w:rFonts w:ascii="Arial Narrow" w:hAnsi="Arial Narrow" w:cs="Arial"/>
      <w:color w:val="000000"/>
      <w:szCs w:val="22"/>
      <w:lang w:val="en-GB"/>
    </w:rPr>
  </w:style>
  <w:style w:type="paragraph" w:customStyle="1" w:styleId="KMC16-Tablecontent">
    <w:name w:val="KMC16 - Table content"/>
    <w:basedOn w:val="Normal"/>
    <w:link w:val="KMC16-TablecontentChar"/>
    <w:qFormat/>
    <w:rsid w:val="008737BC"/>
    <w:pPr>
      <w:spacing w:before="40" w:after="40"/>
      <w:jc w:val="left"/>
    </w:pPr>
    <w:rPr>
      <w:rFonts w:ascii="Arial Narrow" w:hAnsi="Arial Narrow"/>
      <w:color w:val="000000"/>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66">
      <w:bodyDiv w:val="1"/>
      <w:marLeft w:val="0"/>
      <w:marRight w:val="0"/>
      <w:marTop w:val="0"/>
      <w:marBottom w:val="0"/>
      <w:divBdr>
        <w:top w:val="none" w:sz="0" w:space="0" w:color="auto"/>
        <w:left w:val="none" w:sz="0" w:space="0" w:color="auto"/>
        <w:bottom w:val="none" w:sz="0" w:space="0" w:color="auto"/>
        <w:right w:val="none" w:sz="0" w:space="0" w:color="auto"/>
      </w:divBdr>
      <w:divsChild>
        <w:div w:id="1337658579">
          <w:marLeft w:val="1080"/>
          <w:marRight w:val="0"/>
          <w:marTop w:val="100"/>
          <w:marBottom w:val="0"/>
          <w:divBdr>
            <w:top w:val="none" w:sz="0" w:space="0" w:color="auto"/>
            <w:left w:val="none" w:sz="0" w:space="0" w:color="auto"/>
            <w:bottom w:val="none" w:sz="0" w:space="0" w:color="auto"/>
            <w:right w:val="none" w:sz="0" w:space="0" w:color="auto"/>
          </w:divBdr>
        </w:div>
        <w:div w:id="1437022932">
          <w:marLeft w:val="108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85242125">
      <w:bodyDiv w:val="1"/>
      <w:marLeft w:val="0"/>
      <w:marRight w:val="0"/>
      <w:marTop w:val="0"/>
      <w:marBottom w:val="0"/>
      <w:divBdr>
        <w:top w:val="none" w:sz="0" w:space="0" w:color="auto"/>
        <w:left w:val="none" w:sz="0" w:space="0" w:color="auto"/>
        <w:bottom w:val="none" w:sz="0" w:space="0" w:color="auto"/>
        <w:right w:val="none" w:sz="0" w:space="0" w:color="auto"/>
      </w:divBdr>
      <w:divsChild>
        <w:div w:id="1288076766">
          <w:marLeft w:val="1080"/>
          <w:marRight w:val="0"/>
          <w:marTop w:val="100"/>
          <w:marBottom w:val="0"/>
          <w:divBdr>
            <w:top w:val="none" w:sz="0" w:space="0" w:color="auto"/>
            <w:left w:val="none" w:sz="0" w:space="0" w:color="auto"/>
            <w:bottom w:val="none" w:sz="0" w:space="0" w:color="auto"/>
            <w:right w:val="none" w:sz="0" w:space="0" w:color="auto"/>
          </w:divBdr>
        </w:div>
        <w:div w:id="594360726">
          <w:marLeft w:val="1080"/>
          <w:marRight w:val="0"/>
          <w:marTop w:val="100"/>
          <w:marBottom w:val="0"/>
          <w:divBdr>
            <w:top w:val="none" w:sz="0" w:space="0" w:color="auto"/>
            <w:left w:val="none" w:sz="0" w:space="0" w:color="auto"/>
            <w:bottom w:val="none" w:sz="0" w:space="0" w:color="auto"/>
            <w:right w:val="none" w:sz="0" w:space="0" w:color="auto"/>
          </w:divBdr>
        </w:div>
        <w:div w:id="1841651442">
          <w:marLeft w:val="1080"/>
          <w:marRight w:val="0"/>
          <w:marTop w:val="100"/>
          <w:marBottom w:val="0"/>
          <w:divBdr>
            <w:top w:val="none" w:sz="0" w:space="0" w:color="auto"/>
            <w:left w:val="none" w:sz="0" w:space="0" w:color="auto"/>
            <w:bottom w:val="none" w:sz="0" w:space="0" w:color="auto"/>
            <w:right w:val="none" w:sz="0" w:space="0" w:color="auto"/>
          </w:divBdr>
        </w:div>
      </w:divsChild>
    </w:div>
    <w:div w:id="557012636">
      <w:bodyDiv w:val="1"/>
      <w:marLeft w:val="0"/>
      <w:marRight w:val="0"/>
      <w:marTop w:val="0"/>
      <w:marBottom w:val="0"/>
      <w:divBdr>
        <w:top w:val="none" w:sz="0" w:space="0" w:color="auto"/>
        <w:left w:val="none" w:sz="0" w:space="0" w:color="auto"/>
        <w:bottom w:val="none" w:sz="0" w:space="0" w:color="auto"/>
        <w:right w:val="none" w:sz="0" w:space="0" w:color="auto"/>
      </w:divBdr>
      <w:divsChild>
        <w:div w:id="336007951">
          <w:marLeft w:val="1080"/>
          <w:marRight w:val="0"/>
          <w:marTop w:val="100"/>
          <w:marBottom w:val="0"/>
          <w:divBdr>
            <w:top w:val="none" w:sz="0" w:space="0" w:color="auto"/>
            <w:left w:val="none" w:sz="0" w:space="0" w:color="auto"/>
            <w:bottom w:val="none" w:sz="0" w:space="0" w:color="auto"/>
            <w:right w:val="none" w:sz="0" w:space="0" w:color="auto"/>
          </w:divBdr>
        </w:div>
        <w:div w:id="998658151">
          <w:marLeft w:val="1080"/>
          <w:marRight w:val="0"/>
          <w:marTop w:val="100"/>
          <w:marBottom w:val="0"/>
          <w:divBdr>
            <w:top w:val="none" w:sz="0" w:space="0" w:color="auto"/>
            <w:left w:val="none" w:sz="0" w:space="0" w:color="auto"/>
            <w:bottom w:val="none" w:sz="0" w:space="0" w:color="auto"/>
            <w:right w:val="none" w:sz="0" w:space="0" w:color="auto"/>
          </w:divBdr>
        </w:div>
      </w:divsChild>
    </w:div>
    <w:div w:id="703746556">
      <w:bodyDiv w:val="1"/>
      <w:marLeft w:val="0"/>
      <w:marRight w:val="0"/>
      <w:marTop w:val="0"/>
      <w:marBottom w:val="0"/>
      <w:divBdr>
        <w:top w:val="none" w:sz="0" w:space="0" w:color="auto"/>
        <w:left w:val="none" w:sz="0" w:space="0" w:color="auto"/>
        <w:bottom w:val="none" w:sz="0" w:space="0" w:color="auto"/>
        <w:right w:val="none" w:sz="0" w:space="0" w:color="auto"/>
      </w:divBdr>
    </w:div>
    <w:div w:id="832112741">
      <w:bodyDiv w:val="1"/>
      <w:marLeft w:val="0"/>
      <w:marRight w:val="0"/>
      <w:marTop w:val="0"/>
      <w:marBottom w:val="0"/>
      <w:divBdr>
        <w:top w:val="none" w:sz="0" w:space="0" w:color="auto"/>
        <w:left w:val="none" w:sz="0" w:space="0" w:color="auto"/>
        <w:bottom w:val="none" w:sz="0" w:space="0" w:color="auto"/>
        <w:right w:val="none" w:sz="0" w:space="0" w:color="auto"/>
      </w:divBdr>
      <w:divsChild>
        <w:div w:id="330373340">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031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medicines/human/EPAR/entyv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1DBA-8BF8-4305-AAB9-4E8471F6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18048</Words>
  <Characters>96822</Characters>
  <Application>Microsoft Office Word</Application>
  <DocSecurity>0</DocSecurity>
  <Lines>806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2021-03-02T05:38:00Z</dcterms:created>
  <dcterms:modified xsi:type="dcterms:W3CDTF">2021-03-02T05:38:00Z</dcterms:modified>
</cp:coreProperties>
</file>