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B0ADE" w14:textId="77777777" w:rsidR="00F26615" w:rsidRPr="00EC12BC" w:rsidRDefault="00F26615" w:rsidP="00851C29">
      <w:pPr>
        <w:ind w:left="709" w:hanging="709"/>
        <w:jc w:val="left"/>
        <w:rPr>
          <w:rFonts w:eastAsia="Calibri" w:cs="Times New Roman"/>
          <w:b/>
          <w:sz w:val="36"/>
          <w:szCs w:val="36"/>
          <w:lang w:eastAsia="en-US"/>
        </w:rPr>
      </w:pPr>
      <w:r w:rsidRPr="00EC12BC">
        <w:rPr>
          <w:rFonts w:eastAsia="Calibri" w:cs="Times New Roman"/>
          <w:b/>
          <w:sz w:val="36"/>
          <w:szCs w:val="36"/>
          <w:lang w:eastAsia="en-US"/>
        </w:rPr>
        <w:t>6</w:t>
      </w:r>
      <w:r w:rsidR="00433044" w:rsidRPr="00EC12BC">
        <w:rPr>
          <w:rFonts w:eastAsia="Calibri" w:cs="Times New Roman"/>
          <w:b/>
          <w:sz w:val="36"/>
          <w:szCs w:val="36"/>
          <w:lang w:eastAsia="en-US"/>
        </w:rPr>
        <w:t>.</w:t>
      </w:r>
      <w:r w:rsidRPr="00EC12BC">
        <w:rPr>
          <w:rFonts w:eastAsia="Calibri" w:cs="Times New Roman"/>
          <w:b/>
          <w:sz w:val="36"/>
          <w:szCs w:val="36"/>
          <w:lang w:eastAsia="en-US"/>
        </w:rPr>
        <w:t>11</w:t>
      </w:r>
      <w:r w:rsidR="00163F66" w:rsidRPr="00EC12BC">
        <w:rPr>
          <w:rFonts w:eastAsia="Calibri" w:cs="Times New Roman"/>
          <w:b/>
          <w:sz w:val="36"/>
          <w:szCs w:val="36"/>
          <w:lang w:eastAsia="en-US"/>
        </w:rPr>
        <w:tab/>
      </w:r>
      <w:r w:rsidR="00ED1A1A" w:rsidRPr="00EC12BC">
        <w:rPr>
          <w:rFonts w:eastAsia="Calibri" w:cs="Times New Roman"/>
          <w:b/>
          <w:sz w:val="36"/>
          <w:szCs w:val="36"/>
          <w:lang w:eastAsia="en-US"/>
        </w:rPr>
        <w:t>SACUBITRIL</w:t>
      </w:r>
      <w:r w:rsidR="008233B1">
        <w:rPr>
          <w:rFonts w:eastAsia="Calibri" w:cs="Times New Roman"/>
          <w:b/>
          <w:sz w:val="36"/>
          <w:szCs w:val="36"/>
          <w:lang w:eastAsia="en-US"/>
        </w:rPr>
        <w:t xml:space="preserve"> with </w:t>
      </w:r>
      <w:r w:rsidR="00ED1A1A" w:rsidRPr="00EC12BC">
        <w:rPr>
          <w:rFonts w:eastAsia="Calibri" w:cs="Times New Roman"/>
          <w:b/>
          <w:sz w:val="36"/>
          <w:szCs w:val="36"/>
          <w:lang w:eastAsia="en-US"/>
        </w:rPr>
        <w:t>VALSARTAN</w:t>
      </w:r>
      <w:r w:rsidR="00163F66" w:rsidRPr="00EC12BC">
        <w:rPr>
          <w:rFonts w:eastAsia="Calibri" w:cs="Times New Roman"/>
          <w:b/>
          <w:sz w:val="36"/>
          <w:szCs w:val="36"/>
          <w:lang w:eastAsia="en-US"/>
        </w:rPr>
        <w:t>,</w:t>
      </w:r>
    </w:p>
    <w:p w14:paraId="097CB780" w14:textId="77777777" w:rsidR="00F26615" w:rsidRPr="00EC12BC" w:rsidRDefault="00F26615" w:rsidP="00851C29">
      <w:pPr>
        <w:ind w:left="709"/>
        <w:jc w:val="left"/>
        <w:rPr>
          <w:rFonts w:eastAsia="Calibri" w:cs="Times New Roman"/>
          <w:b/>
          <w:sz w:val="36"/>
          <w:szCs w:val="36"/>
          <w:lang w:eastAsia="en-US"/>
        </w:rPr>
      </w:pPr>
      <w:r w:rsidRPr="00EC12BC">
        <w:rPr>
          <w:rFonts w:eastAsia="Calibri" w:cs="Times New Roman"/>
          <w:b/>
          <w:sz w:val="36"/>
          <w:szCs w:val="36"/>
          <w:lang w:eastAsia="en-US"/>
        </w:rPr>
        <w:t xml:space="preserve">Tablet containing sacubitril 24.3 mg + valsartan 25.7 </w:t>
      </w:r>
      <w:r w:rsidR="00EC12BC">
        <w:rPr>
          <w:rFonts w:eastAsia="Calibri" w:cs="Times New Roman"/>
          <w:b/>
          <w:sz w:val="36"/>
          <w:szCs w:val="36"/>
          <w:lang w:eastAsia="en-US"/>
        </w:rPr>
        <w:t>mg</w:t>
      </w:r>
      <w:r w:rsidR="00095F3E">
        <w:rPr>
          <w:rFonts w:eastAsia="Calibri" w:cs="Times New Roman"/>
          <w:b/>
          <w:sz w:val="36"/>
          <w:szCs w:val="36"/>
          <w:lang w:eastAsia="en-US"/>
        </w:rPr>
        <w:t>,</w:t>
      </w:r>
    </w:p>
    <w:p w14:paraId="10985C9B" w14:textId="77777777" w:rsidR="00F26615" w:rsidRPr="00EC12BC" w:rsidRDefault="00F26615" w:rsidP="00851C29">
      <w:pPr>
        <w:ind w:left="709"/>
        <w:jc w:val="left"/>
        <w:rPr>
          <w:rFonts w:eastAsia="Calibri" w:cs="Times New Roman"/>
          <w:b/>
          <w:sz w:val="36"/>
          <w:szCs w:val="36"/>
          <w:lang w:eastAsia="en-US"/>
        </w:rPr>
      </w:pPr>
      <w:r w:rsidRPr="00EC12BC">
        <w:rPr>
          <w:rFonts w:eastAsia="Calibri" w:cs="Times New Roman"/>
          <w:b/>
          <w:sz w:val="36"/>
          <w:szCs w:val="36"/>
          <w:lang w:eastAsia="en-US"/>
        </w:rPr>
        <w:t>Tablet containing sacubitril 48.6 mg + valsartan 51.4 mg</w:t>
      </w:r>
      <w:r w:rsidR="00095F3E">
        <w:rPr>
          <w:rFonts w:eastAsia="Calibri" w:cs="Times New Roman"/>
          <w:b/>
          <w:sz w:val="36"/>
          <w:szCs w:val="36"/>
          <w:lang w:eastAsia="en-US"/>
        </w:rPr>
        <w:t>,</w:t>
      </w:r>
    </w:p>
    <w:p w14:paraId="40255524" w14:textId="77777777" w:rsidR="00EC12BC" w:rsidRDefault="00F26615" w:rsidP="00851C29">
      <w:pPr>
        <w:ind w:left="709"/>
        <w:jc w:val="left"/>
      </w:pPr>
      <w:r w:rsidRPr="00EC12BC">
        <w:rPr>
          <w:rFonts w:eastAsia="Calibri" w:cs="Times New Roman"/>
          <w:b/>
          <w:sz w:val="36"/>
          <w:szCs w:val="36"/>
          <w:lang w:eastAsia="en-US"/>
        </w:rPr>
        <w:t>Tablet containing sacubitril 97.2 mg + valsartan 102.8 mg</w:t>
      </w:r>
      <w:r w:rsidR="00EC12BC">
        <w:rPr>
          <w:rFonts w:eastAsia="Calibri" w:cs="Times New Roman"/>
          <w:b/>
          <w:sz w:val="36"/>
          <w:szCs w:val="36"/>
          <w:lang w:eastAsia="en-US"/>
        </w:rPr>
        <w:t>,</w:t>
      </w:r>
    </w:p>
    <w:p w14:paraId="73400DB5" w14:textId="77777777" w:rsidR="009877B0" w:rsidRDefault="00ED1A1A" w:rsidP="00851C29">
      <w:pPr>
        <w:ind w:left="709"/>
        <w:jc w:val="left"/>
        <w:rPr>
          <w:rFonts w:eastAsia="Calibri" w:cs="Times New Roman"/>
          <w:b/>
          <w:sz w:val="36"/>
          <w:szCs w:val="36"/>
          <w:lang w:eastAsia="en-US"/>
        </w:rPr>
      </w:pPr>
      <w:r w:rsidRPr="00EC12BC">
        <w:rPr>
          <w:rFonts w:eastAsia="Calibri" w:cs="Times New Roman"/>
          <w:b/>
          <w:sz w:val="36"/>
          <w:szCs w:val="36"/>
          <w:lang w:eastAsia="en-US"/>
        </w:rPr>
        <w:t>Entresto</w:t>
      </w:r>
      <w:r w:rsidR="00B60939" w:rsidRPr="00EC12BC">
        <w:rPr>
          <w:rFonts w:eastAsia="Calibri" w:cs="Times New Roman"/>
          <w:b/>
          <w:sz w:val="36"/>
          <w:szCs w:val="36"/>
          <w:lang w:eastAsia="en-US"/>
        </w:rPr>
        <w:t>®</w:t>
      </w:r>
      <w:r w:rsidR="009877B0">
        <w:rPr>
          <w:rFonts w:eastAsia="Calibri" w:cs="Times New Roman"/>
          <w:b/>
          <w:sz w:val="36"/>
          <w:szCs w:val="36"/>
          <w:lang w:eastAsia="en-US"/>
        </w:rPr>
        <w:t xml:space="preserve">, </w:t>
      </w:r>
    </w:p>
    <w:p w14:paraId="7B5ACB77" w14:textId="77777777" w:rsidR="00F26615" w:rsidRPr="00EC12BC" w:rsidRDefault="00851C29" w:rsidP="00851C29">
      <w:pPr>
        <w:tabs>
          <w:tab w:val="left" w:pos="8076"/>
        </w:tabs>
        <w:ind w:left="709" w:hanging="709"/>
        <w:jc w:val="left"/>
        <w:rPr>
          <w:rFonts w:eastAsia="Calibri" w:cs="Times New Roman"/>
          <w:b/>
          <w:sz w:val="36"/>
          <w:szCs w:val="36"/>
          <w:lang w:eastAsia="en-US"/>
        </w:rPr>
      </w:pPr>
      <w:r>
        <w:rPr>
          <w:rFonts w:eastAsia="Calibri" w:cs="Times New Roman"/>
          <w:b/>
          <w:sz w:val="36"/>
          <w:szCs w:val="36"/>
          <w:lang w:eastAsia="en-US"/>
        </w:rPr>
        <w:tab/>
      </w:r>
      <w:r w:rsidR="00F26615" w:rsidRPr="00EC12BC">
        <w:rPr>
          <w:rFonts w:eastAsia="Calibri" w:cs="Times New Roman"/>
          <w:b/>
          <w:sz w:val="36"/>
          <w:szCs w:val="36"/>
          <w:lang w:eastAsia="en-US"/>
        </w:rPr>
        <w:t>Novartis Pharmaceuticals Australia Pty Ltd</w:t>
      </w:r>
      <w:r w:rsidR="00F26615" w:rsidRPr="00EC12BC" w:rsidDel="00F26615">
        <w:rPr>
          <w:rFonts w:eastAsia="Calibri" w:cs="Times New Roman"/>
          <w:b/>
          <w:sz w:val="36"/>
          <w:szCs w:val="36"/>
          <w:lang w:eastAsia="en-US"/>
        </w:rPr>
        <w:t xml:space="preserve"> </w:t>
      </w:r>
      <w:r w:rsidR="005226CA">
        <w:rPr>
          <w:rFonts w:eastAsia="Calibri" w:cs="Times New Roman"/>
          <w:b/>
          <w:sz w:val="36"/>
          <w:szCs w:val="36"/>
          <w:lang w:eastAsia="en-US"/>
        </w:rPr>
        <w:tab/>
      </w:r>
    </w:p>
    <w:p w14:paraId="653C9807" w14:textId="77777777" w:rsidR="00B50DB8" w:rsidRPr="00407F2D" w:rsidRDefault="00B50DB8" w:rsidP="004A6040">
      <w:pPr>
        <w:pStyle w:val="2-SectionHeading"/>
      </w:pPr>
      <w:bookmarkStart w:id="0" w:name="_Toc51070679"/>
      <w:r w:rsidRPr="00407F2D">
        <w:t xml:space="preserve">Purpose of </w:t>
      </w:r>
      <w:r w:rsidR="00CD7193">
        <w:t>s</w:t>
      </w:r>
      <w:r w:rsidR="00BB3A45">
        <w:t>ubmission</w:t>
      </w:r>
      <w:bookmarkEnd w:id="0"/>
    </w:p>
    <w:p w14:paraId="60A131DD" w14:textId="77777777" w:rsidR="002C2775" w:rsidRPr="008B1757" w:rsidRDefault="007170DA" w:rsidP="003A55F2">
      <w:pPr>
        <w:pStyle w:val="ExecSumBodyText"/>
        <w:ind w:left="709" w:hanging="709"/>
      </w:pPr>
      <w:r>
        <w:t xml:space="preserve">The submission </w:t>
      </w:r>
      <w:r w:rsidRPr="004E18E9">
        <w:t>requested</w:t>
      </w:r>
      <w:r w:rsidR="000428B8">
        <w:t xml:space="preserve"> an extension to the existing</w:t>
      </w:r>
      <w:r w:rsidRPr="004E18E9">
        <w:t xml:space="preserve"> </w:t>
      </w:r>
      <w:r w:rsidR="000428B8">
        <w:t xml:space="preserve">Authority </w:t>
      </w:r>
      <w:r w:rsidR="00962E8F">
        <w:t>R</w:t>
      </w:r>
      <w:r w:rsidR="000428B8">
        <w:t>equired (Streamlined)</w:t>
      </w:r>
      <w:r w:rsidR="008B1757" w:rsidRPr="004E18E9">
        <w:t xml:space="preserve"> listing for</w:t>
      </w:r>
      <w:r w:rsidR="000428B8">
        <w:t xml:space="preserve"> sacubitril/valsartan fixed dose combination (FDC)</w:t>
      </w:r>
      <w:r w:rsidR="008B1757" w:rsidRPr="004E18E9">
        <w:t xml:space="preserve"> for </w:t>
      </w:r>
      <w:r w:rsidR="0050174E" w:rsidRPr="004E18E9">
        <w:t xml:space="preserve">the </w:t>
      </w:r>
      <w:r w:rsidR="008B1757" w:rsidRPr="004E18E9">
        <w:t xml:space="preserve">treatment of </w:t>
      </w:r>
      <w:r w:rsidR="000428B8">
        <w:t xml:space="preserve">chronic heart failure with reduced ejection fraction. The extended listing would allow patients to initiate treatment with sacubitril/valsartan without first requiring treatment with an </w:t>
      </w:r>
      <w:r w:rsidR="003A55F2">
        <w:t>a</w:t>
      </w:r>
      <w:r w:rsidR="003A55F2" w:rsidRPr="003A55F2">
        <w:t>ngiotensin</w:t>
      </w:r>
      <w:r w:rsidR="00780318">
        <w:t xml:space="preserve"> II </w:t>
      </w:r>
      <w:r w:rsidR="003A55F2" w:rsidRPr="003A55F2">
        <w:t xml:space="preserve">converting enzyme </w:t>
      </w:r>
      <w:r w:rsidR="003A55F2">
        <w:t>(</w:t>
      </w:r>
      <w:r w:rsidR="000428B8">
        <w:t>ACE</w:t>
      </w:r>
      <w:r w:rsidR="003A55F2">
        <w:t>)</w:t>
      </w:r>
      <w:r w:rsidR="000428B8">
        <w:t xml:space="preserve"> inhibitor</w:t>
      </w:r>
      <w:r w:rsidR="00962E8F">
        <w:t>,</w:t>
      </w:r>
      <w:r w:rsidR="000428B8">
        <w:t xml:space="preserve"> </w:t>
      </w:r>
      <w:r w:rsidR="003A55F2">
        <w:t xml:space="preserve">angiotensin </w:t>
      </w:r>
      <w:r w:rsidR="003F250E">
        <w:t xml:space="preserve">II </w:t>
      </w:r>
      <w:r w:rsidR="003A55F2">
        <w:t>receptor blocker (</w:t>
      </w:r>
      <w:r w:rsidR="00FD2496">
        <w:t>ARB</w:t>
      </w:r>
      <w:r w:rsidR="003A55F2">
        <w:t>)</w:t>
      </w:r>
      <w:r w:rsidR="000428B8">
        <w:t xml:space="preserve">, or a </w:t>
      </w:r>
      <w:r w:rsidR="007261F5">
        <w:t>beta-blocker</w:t>
      </w:r>
      <w:r w:rsidR="000428B8">
        <w:t xml:space="preserve">, and change the degree of reduced left ventricular ejection fraction (LVEF) required from </w:t>
      </w:r>
      <w:r w:rsidR="000428B8" w:rsidRPr="003A55F2">
        <w:t>≤</w:t>
      </w:r>
      <w:r w:rsidR="000428B8">
        <w:t>40% to &lt;50%.</w:t>
      </w:r>
      <w:r w:rsidR="008B1757" w:rsidRPr="004E18E9">
        <w:t xml:space="preserve"> </w:t>
      </w:r>
    </w:p>
    <w:p w14:paraId="2302C5A7" w14:textId="77777777" w:rsidR="00C2778B" w:rsidRDefault="00B1553F" w:rsidP="00D640D8">
      <w:pPr>
        <w:pStyle w:val="ExecSumBodyText"/>
        <w:ind w:left="709" w:hanging="709"/>
      </w:pPr>
      <w:r w:rsidRPr="00B1553F">
        <w:t xml:space="preserve">Listing was requested on the basis of acceptance that the </w:t>
      </w:r>
      <w:r w:rsidR="003E7285">
        <w:t>cost effectiv</w:t>
      </w:r>
      <w:r w:rsidRPr="00B1553F">
        <w:t>eness of sacu</w:t>
      </w:r>
      <w:r w:rsidR="00251360">
        <w:t>bitril</w:t>
      </w:r>
      <w:r w:rsidRPr="00B1553F">
        <w:t>/val</w:t>
      </w:r>
      <w:r w:rsidR="00251360">
        <w:t>sartan</w:t>
      </w:r>
      <w:r w:rsidRPr="00B1553F">
        <w:t xml:space="preserve"> versus</w:t>
      </w:r>
      <w:r w:rsidR="00251360">
        <w:t xml:space="preserve"> enalapril (as proxy for all ACE-inhibitors)</w:t>
      </w:r>
      <w:r w:rsidRPr="00B1553F">
        <w:t xml:space="preserve"> in the expanded population is unchanged from the current PBS population.</w:t>
      </w:r>
    </w:p>
    <w:p w14:paraId="3C654D64" w14:textId="77777777" w:rsidR="008B1757" w:rsidRPr="004A6040" w:rsidRDefault="008B1757" w:rsidP="00230DB1">
      <w:pPr>
        <w:pStyle w:val="TableFigureCaption"/>
      </w:pPr>
      <w:r w:rsidRPr="004A6040">
        <w:t xml:space="preserve">Table </w:t>
      </w:r>
      <w:r w:rsidR="00D640D8">
        <w:t>1</w:t>
      </w:r>
      <w:r w:rsidRPr="004A6040">
        <w:t>:</w:t>
      </w:r>
      <w:r w:rsidR="00BC591F" w:rsidRPr="004A6040">
        <w:t xml:space="preserve"> </w:t>
      </w:r>
      <w:r w:rsidRPr="004A6040">
        <w:t xml:space="preserve">Key components of the clinical issue addressed </w:t>
      </w:r>
      <w:r w:rsidR="00ED5AAB">
        <w:t>in</w:t>
      </w:r>
      <w:r w:rsidRPr="004A6040">
        <w:t xml:space="preserve"> the submission</w:t>
      </w:r>
      <w:r w:rsidR="007170DA" w:rsidRPr="004A6040">
        <w:t xml:space="preserve"> </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327"/>
      </w:tblGrid>
      <w:tr w:rsidR="00736D13" w:rsidRPr="00A518F3" w14:paraId="354D0168" w14:textId="77777777" w:rsidTr="008C1249">
        <w:tc>
          <w:tcPr>
            <w:tcW w:w="1668" w:type="dxa"/>
            <w:vAlign w:val="center"/>
          </w:tcPr>
          <w:p w14:paraId="1556D83D" w14:textId="77777777" w:rsidR="00736D13" w:rsidRPr="00A518F3" w:rsidRDefault="00736D13" w:rsidP="00F60460">
            <w:pPr>
              <w:pStyle w:val="Tableheadingrow"/>
            </w:pPr>
            <w:r w:rsidRPr="00A518F3">
              <w:t>Component</w:t>
            </w:r>
          </w:p>
        </w:tc>
        <w:tc>
          <w:tcPr>
            <w:tcW w:w="7327" w:type="dxa"/>
            <w:vAlign w:val="center"/>
          </w:tcPr>
          <w:p w14:paraId="3FB246A5" w14:textId="77777777" w:rsidR="00736D13" w:rsidRPr="00A518F3" w:rsidRDefault="00736D13" w:rsidP="00F60460">
            <w:pPr>
              <w:pStyle w:val="Tableheadingrow"/>
            </w:pPr>
            <w:r w:rsidRPr="00A518F3">
              <w:t>Description</w:t>
            </w:r>
          </w:p>
        </w:tc>
      </w:tr>
      <w:tr w:rsidR="00736D13" w14:paraId="516CF37E" w14:textId="77777777" w:rsidTr="008C1249">
        <w:trPr>
          <w:trHeight w:val="287"/>
        </w:trPr>
        <w:tc>
          <w:tcPr>
            <w:tcW w:w="1668" w:type="dxa"/>
            <w:vAlign w:val="center"/>
          </w:tcPr>
          <w:p w14:paraId="663BC7F9" w14:textId="77777777" w:rsidR="00736D13" w:rsidRDefault="00736D13" w:rsidP="00F60460">
            <w:pPr>
              <w:pStyle w:val="TableText"/>
            </w:pPr>
            <w:r>
              <w:t>Population</w:t>
            </w:r>
          </w:p>
        </w:tc>
        <w:tc>
          <w:tcPr>
            <w:tcW w:w="7327" w:type="dxa"/>
            <w:vAlign w:val="center"/>
          </w:tcPr>
          <w:p w14:paraId="1E738974" w14:textId="77777777" w:rsidR="008C1249" w:rsidRPr="008C1249" w:rsidRDefault="00736D13" w:rsidP="00F60460">
            <w:pPr>
              <w:pStyle w:val="TableText"/>
              <w:rPr>
                <w:u w:val="single"/>
              </w:rPr>
            </w:pPr>
            <w:r>
              <w:t xml:space="preserve">Patients with chronic heart failure and reduced LVEF of </w:t>
            </w:r>
            <w:r w:rsidRPr="00E7601C">
              <w:rPr>
                <w:u w:val="single"/>
              </w:rPr>
              <w:t>&lt;50%</w:t>
            </w:r>
            <w:r>
              <w:rPr>
                <w:u w:val="single"/>
              </w:rPr>
              <w:t xml:space="preserve">, </w:t>
            </w:r>
            <w:r w:rsidRPr="00737A42">
              <w:t>with or</w:t>
            </w:r>
            <w:r>
              <w:rPr>
                <w:u w:val="single"/>
              </w:rPr>
              <w:t xml:space="preserve"> without </w:t>
            </w:r>
            <w:r w:rsidRPr="00737A42">
              <w:t>prior stabilisation on</w:t>
            </w:r>
            <w:r>
              <w:rPr>
                <w:u w:val="single"/>
              </w:rPr>
              <w:t xml:space="preserve"> ACE-inhibitors or ARBs.</w:t>
            </w:r>
          </w:p>
        </w:tc>
      </w:tr>
      <w:tr w:rsidR="00736D13" w14:paraId="574AF401" w14:textId="77777777" w:rsidTr="008C1249">
        <w:tc>
          <w:tcPr>
            <w:tcW w:w="1668" w:type="dxa"/>
            <w:vAlign w:val="center"/>
          </w:tcPr>
          <w:p w14:paraId="5BC60622" w14:textId="77777777" w:rsidR="00736D13" w:rsidRDefault="00736D13" w:rsidP="00F60460">
            <w:pPr>
              <w:pStyle w:val="TableText"/>
            </w:pPr>
            <w:r>
              <w:t>Intervention</w:t>
            </w:r>
          </w:p>
        </w:tc>
        <w:tc>
          <w:tcPr>
            <w:tcW w:w="7327" w:type="dxa"/>
            <w:vAlign w:val="center"/>
          </w:tcPr>
          <w:p w14:paraId="56E62CA1" w14:textId="77777777" w:rsidR="00736D13" w:rsidRDefault="00736D13" w:rsidP="00F60460">
            <w:pPr>
              <w:pStyle w:val="TableText"/>
            </w:pPr>
            <w:r>
              <w:t>Sacubitril/valsartan fixed dose combination, initiated at low dose and titrated to target dose</w:t>
            </w:r>
          </w:p>
        </w:tc>
      </w:tr>
      <w:tr w:rsidR="00736D13" w14:paraId="2C13F51B" w14:textId="77777777" w:rsidTr="008C1249">
        <w:tc>
          <w:tcPr>
            <w:tcW w:w="1668" w:type="dxa"/>
            <w:vAlign w:val="center"/>
          </w:tcPr>
          <w:p w14:paraId="717FAA32" w14:textId="77777777" w:rsidR="00736D13" w:rsidRDefault="00736D13" w:rsidP="00F60460">
            <w:pPr>
              <w:pStyle w:val="TableText"/>
            </w:pPr>
            <w:r>
              <w:t>Comparator</w:t>
            </w:r>
          </w:p>
        </w:tc>
        <w:tc>
          <w:tcPr>
            <w:tcW w:w="7327" w:type="dxa"/>
            <w:vAlign w:val="center"/>
          </w:tcPr>
          <w:p w14:paraId="49B12637" w14:textId="77777777" w:rsidR="00736D13" w:rsidRDefault="00736D13" w:rsidP="00F60460">
            <w:pPr>
              <w:pStyle w:val="TableText"/>
            </w:pPr>
            <w:r>
              <w:t xml:space="preserve">Enalapril 20 mg, as a proxy for all ACE-inhibitors </w:t>
            </w:r>
          </w:p>
        </w:tc>
      </w:tr>
      <w:tr w:rsidR="00736D13" w14:paraId="2302B211" w14:textId="77777777" w:rsidTr="008C1249">
        <w:tc>
          <w:tcPr>
            <w:tcW w:w="1668" w:type="dxa"/>
            <w:vAlign w:val="center"/>
          </w:tcPr>
          <w:p w14:paraId="14AEE095" w14:textId="77777777" w:rsidR="00736D13" w:rsidRDefault="00736D13" w:rsidP="00F60460">
            <w:pPr>
              <w:pStyle w:val="TableText"/>
            </w:pPr>
            <w:r>
              <w:t>Outcomes</w:t>
            </w:r>
          </w:p>
        </w:tc>
        <w:tc>
          <w:tcPr>
            <w:tcW w:w="7327" w:type="dxa"/>
            <w:vAlign w:val="center"/>
          </w:tcPr>
          <w:p w14:paraId="13EA6A74" w14:textId="77777777" w:rsidR="00736D13" w:rsidRDefault="00736D13" w:rsidP="00F60460">
            <w:pPr>
              <w:pStyle w:val="TableText"/>
            </w:pPr>
            <w:r>
              <w:t>Cardiovascular death, heart failure hospitalisation/re-hospitalisation, requirement of LVAD, listing for cardiac transplant.</w:t>
            </w:r>
          </w:p>
        </w:tc>
      </w:tr>
      <w:tr w:rsidR="00736D13" w14:paraId="77223942" w14:textId="77777777" w:rsidTr="008C1249">
        <w:tc>
          <w:tcPr>
            <w:tcW w:w="1668" w:type="dxa"/>
            <w:vAlign w:val="center"/>
          </w:tcPr>
          <w:p w14:paraId="39760C6B" w14:textId="77777777" w:rsidR="00736D13" w:rsidRDefault="00736D13" w:rsidP="00F60460">
            <w:pPr>
              <w:pStyle w:val="TableText"/>
            </w:pPr>
            <w:r>
              <w:t>Clinical claim</w:t>
            </w:r>
          </w:p>
        </w:tc>
        <w:tc>
          <w:tcPr>
            <w:tcW w:w="7327" w:type="dxa"/>
            <w:vAlign w:val="center"/>
          </w:tcPr>
          <w:p w14:paraId="00C74156" w14:textId="77777777" w:rsidR="00736D13" w:rsidRDefault="00736D13" w:rsidP="00F60460">
            <w:pPr>
              <w:pStyle w:val="TableText"/>
            </w:pPr>
            <w:r>
              <w:t>In patients with heart failure with reduced ejection fraction, sacubitril/valsartan is more effective than ACE-inhibitors (represented by enalapril) in reducing cardiovascular mortality and heart failure hospitalisations; and has similar safety to enalapril.</w:t>
            </w:r>
          </w:p>
        </w:tc>
      </w:tr>
    </w:tbl>
    <w:p w14:paraId="76FBA1F2" w14:textId="77777777" w:rsidR="00736D13" w:rsidRDefault="00736D13" w:rsidP="00736D13">
      <w:pPr>
        <w:pStyle w:val="TableFigureFooter"/>
      </w:pPr>
      <w:r>
        <w:t>Source: Table P1, p</w:t>
      </w:r>
      <w:r w:rsidR="00C710FF">
        <w:t>p17-</w:t>
      </w:r>
      <w:r>
        <w:t>18; Section 2, p29 of the submission.</w:t>
      </w:r>
    </w:p>
    <w:p w14:paraId="2E80A7CB" w14:textId="77777777" w:rsidR="00736D13" w:rsidRDefault="00736D13" w:rsidP="00736D13">
      <w:pPr>
        <w:pStyle w:val="TableFigureFooter"/>
      </w:pPr>
      <w:r>
        <w:t xml:space="preserve">Abbreviations: </w:t>
      </w:r>
      <w:r w:rsidR="003F250E">
        <w:t>ACE, a</w:t>
      </w:r>
      <w:r w:rsidR="003F250E" w:rsidRPr="003A55F2">
        <w:t>ngiotensin</w:t>
      </w:r>
      <w:r w:rsidR="003F250E">
        <w:t xml:space="preserve"> II </w:t>
      </w:r>
      <w:r w:rsidR="003F250E" w:rsidRPr="003A55F2">
        <w:t xml:space="preserve">converting enzyme </w:t>
      </w:r>
      <w:r w:rsidR="003F250E">
        <w:t xml:space="preserve">, </w:t>
      </w:r>
      <w:r>
        <w:t xml:space="preserve">ARB, angiotensin II receptor </w:t>
      </w:r>
      <w:r w:rsidR="00C626B3">
        <w:t>blocker</w:t>
      </w:r>
      <w:r>
        <w:t>; HF, heart failure; LVAD, left ventricular assist device; LVEF, left ventricular ejection fraction.</w:t>
      </w:r>
    </w:p>
    <w:p w14:paraId="18B1D95C" w14:textId="77777777" w:rsidR="00736D13" w:rsidRDefault="00736D13" w:rsidP="00736D13">
      <w:pPr>
        <w:pStyle w:val="TableFigureFooter"/>
      </w:pPr>
      <w:r>
        <w:rPr>
          <w:u w:val="single"/>
        </w:rPr>
        <w:t>Underlining</w:t>
      </w:r>
      <w:r>
        <w:t xml:space="preserve"> denotes changes to population with proposed extension to the PBS restriction.</w:t>
      </w:r>
    </w:p>
    <w:p w14:paraId="79EC6440" w14:textId="77777777" w:rsidR="005C25FF" w:rsidRPr="00407F2D" w:rsidRDefault="005C25FF" w:rsidP="004A6040">
      <w:pPr>
        <w:pStyle w:val="2-SectionHeading"/>
      </w:pPr>
      <w:bookmarkStart w:id="1" w:name="_Toc51070680"/>
      <w:r w:rsidRPr="00407F2D">
        <w:lastRenderedPageBreak/>
        <w:t>Background</w:t>
      </w:r>
      <w:bookmarkEnd w:id="1"/>
    </w:p>
    <w:p w14:paraId="7CCEF68A" w14:textId="77777777" w:rsidR="005C25FF" w:rsidRPr="004151CF" w:rsidRDefault="005C25FF" w:rsidP="004A6040">
      <w:pPr>
        <w:pStyle w:val="3-SubsectionHeading"/>
      </w:pPr>
      <w:bookmarkStart w:id="2" w:name="_Toc22897638"/>
      <w:bookmarkStart w:id="3" w:name="_Toc51070681"/>
      <w:r w:rsidRPr="004151CF">
        <w:t>Registration status</w:t>
      </w:r>
      <w:bookmarkEnd w:id="2"/>
      <w:bookmarkEnd w:id="3"/>
    </w:p>
    <w:p w14:paraId="2AD4FFC0" w14:textId="77777777" w:rsidR="005C25FF" w:rsidRDefault="002373C3" w:rsidP="00D640D8">
      <w:pPr>
        <w:pStyle w:val="ExecSumBodyText"/>
        <w:ind w:left="709" w:hanging="709"/>
      </w:pPr>
      <w:r w:rsidRPr="002373C3">
        <w:t xml:space="preserve">Sacubitril/valsartan was listed on the Australian Register of Therapeutic Goods (ARTG) on 20 January 2016 for the following indication: for use in adult patients for the treatment of chronic heart failure (NYHA Class II-IV) with reduced ejection fraction. </w:t>
      </w:r>
      <w:r w:rsidRPr="00D640D8">
        <w:t>TGA documentation was not provided with the submission</w:t>
      </w:r>
      <w:r>
        <w:t>.</w:t>
      </w:r>
    </w:p>
    <w:p w14:paraId="486426B7" w14:textId="77777777" w:rsidR="005C25FF" w:rsidRPr="00621ADA" w:rsidRDefault="005C25FF" w:rsidP="004E18E9">
      <w:pPr>
        <w:pStyle w:val="3-SubsectionHeading"/>
      </w:pPr>
      <w:bookmarkStart w:id="4" w:name="_Toc22897639"/>
      <w:bookmarkStart w:id="5" w:name="_Toc51070682"/>
      <w:r w:rsidRPr="00621ADA">
        <w:t>Previous PBAC consideration</w:t>
      </w:r>
      <w:bookmarkEnd w:id="4"/>
      <w:bookmarkEnd w:id="5"/>
    </w:p>
    <w:p w14:paraId="452E1CA3" w14:textId="77777777" w:rsidR="002E4F02" w:rsidRPr="002B3378" w:rsidRDefault="002B3378" w:rsidP="00D640D8">
      <w:pPr>
        <w:pStyle w:val="ExecSumBodyText"/>
        <w:ind w:left="709" w:hanging="709"/>
      </w:pPr>
      <w:r w:rsidRPr="00D640D8">
        <w:t xml:space="preserve">Sacubitril/valsartan was </w:t>
      </w:r>
      <w:r w:rsidR="00ED5AAB" w:rsidRPr="00D640D8">
        <w:t>listed on the PBS in June 2017 following consideration by the PBAC in March, July and August 2016</w:t>
      </w:r>
      <w:r w:rsidRPr="00D640D8">
        <w:t xml:space="preserve">, for patients with heart failure with LVEF ≤ 40%, NHYA class II-IV, and receiving concomitant optimal standard chronic heart failure treatment including the maximum tolerated dose of a beta-blocker, and stabilised on an ACE-inhibitor or ARB at the time of treatment initiation with sacubitril/valsartan. The recommendation was made on the basis of acceptable </w:t>
      </w:r>
      <w:r w:rsidR="003E7285">
        <w:t>cost effectiv</w:t>
      </w:r>
      <w:r w:rsidRPr="00D640D8">
        <w:t xml:space="preserve">eness </w:t>
      </w:r>
      <w:r w:rsidRPr="00DC66DF">
        <w:t>compared to enalapril, with key clinical evidence presented f</w:t>
      </w:r>
      <w:r w:rsidR="00DC66DF" w:rsidRPr="00DC66DF">
        <w:t xml:space="preserve">rom the PARADIGM-HF trial, </w:t>
      </w:r>
      <w:r w:rsidR="00DC66DF" w:rsidRPr="00DC66DF">
        <w:rPr>
          <w:snapToGrid/>
          <w:lang w:val="en-US"/>
        </w:rPr>
        <w:t>which was a head-to-head randomi</w:t>
      </w:r>
      <w:r w:rsidR="00D35173">
        <w:rPr>
          <w:snapToGrid/>
          <w:lang w:val="en-US"/>
        </w:rPr>
        <w:t>s</w:t>
      </w:r>
      <w:r w:rsidR="00DC66DF" w:rsidRPr="00DC66DF">
        <w:rPr>
          <w:snapToGrid/>
          <w:lang w:val="en-US"/>
        </w:rPr>
        <w:t xml:space="preserve">ed trial comparing sacubitril/valsartan to enalapril in patients with LVEF </w:t>
      </w:r>
      <w:r w:rsidR="00DC66DF" w:rsidRPr="00DC66DF">
        <w:rPr>
          <w:rFonts w:cstheme="minorHAnsi"/>
          <w:snapToGrid/>
          <w:lang w:val="en-US"/>
        </w:rPr>
        <w:t>≤</w:t>
      </w:r>
      <w:r w:rsidR="00DC66DF" w:rsidRPr="00DC66DF">
        <w:rPr>
          <w:snapToGrid/>
          <w:lang w:val="en-US"/>
        </w:rPr>
        <w:t xml:space="preserve">40% </w:t>
      </w:r>
      <w:r w:rsidR="003F2B1D" w:rsidRPr="003A5C34">
        <w:rPr>
          <w:snapToGrid/>
          <w:lang w:val="en-US"/>
        </w:rPr>
        <w:t>(</w:t>
      </w:r>
      <w:r w:rsidR="001E2A96" w:rsidRPr="003A5C34">
        <w:rPr>
          <w:snapToGrid/>
          <w:lang w:val="en-US"/>
        </w:rPr>
        <w:t xml:space="preserve">changed to </w:t>
      </w:r>
      <w:r w:rsidR="003F2B1D" w:rsidRPr="003A5C34">
        <w:rPr>
          <w:snapToGrid/>
          <w:lang w:val="en-US"/>
        </w:rPr>
        <w:t xml:space="preserve">LVEF </w:t>
      </w:r>
      <w:r w:rsidR="003F2B1D" w:rsidRPr="003A5C34">
        <w:rPr>
          <w:snapToGrid/>
          <w:u w:val="single"/>
          <w:lang w:val="en-US"/>
        </w:rPr>
        <w:t>&lt;</w:t>
      </w:r>
      <w:r w:rsidR="003F2B1D" w:rsidRPr="003A5C34">
        <w:rPr>
          <w:snapToGrid/>
          <w:lang w:val="en-US"/>
        </w:rPr>
        <w:t xml:space="preserve">35% after early protocol amendment) </w:t>
      </w:r>
      <w:r w:rsidR="00DC66DF" w:rsidRPr="00DC66DF">
        <w:rPr>
          <w:snapToGrid/>
          <w:lang w:val="en-US"/>
        </w:rPr>
        <w:t>over a median follow-up period of 27 months.</w:t>
      </w:r>
      <w:r w:rsidR="00DC66DF">
        <w:rPr>
          <w:snapToGrid/>
          <w:lang w:val="en-US"/>
        </w:rPr>
        <w:t xml:space="preserve"> The primary outcome of this trial was a composite of death from cardiovascular causes or hospitali</w:t>
      </w:r>
      <w:r w:rsidR="00526987">
        <w:rPr>
          <w:snapToGrid/>
          <w:lang w:val="en-US"/>
        </w:rPr>
        <w:t>s</w:t>
      </w:r>
      <w:r w:rsidR="00DC66DF">
        <w:rPr>
          <w:snapToGrid/>
          <w:lang w:val="en-US"/>
        </w:rPr>
        <w:t>ation for heart failure.</w:t>
      </w:r>
    </w:p>
    <w:p w14:paraId="150D711C" w14:textId="77777777" w:rsidR="00B60939" w:rsidRPr="00882085" w:rsidRDefault="00B50DB8" w:rsidP="004E18E9">
      <w:pPr>
        <w:pStyle w:val="2-SectionHeading"/>
      </w:pPr>
      <w:bookmarkStart w:id="6" w:name="_Toc51070683"/>
      <w:r w:rsidRPr="00407F2D">
        <w:t>Requested listing</w:t>
      </w:r>
      <w:bookmarkEnd w:id="6"/>
    </w:p>
    <w:p w14:paraId="3FB8F51F" w14:textId="77777777" w:rsidR="00F30E1D" w:rsidRPr="002B3378" w:rsidRDefault="002F50F2" w:rsidP="00D640D8">
      <w:pPr>
        <w:pStyle w:val="ExecSumBodyText"/>
        <w:ind w:left="709" w:hanging="709"/>
      </w:pPr>
      <w:r>
        <w:t>The submission’s p</w:t>
      </w:r>
      <w:r w:rsidR="00F30E1D" w:rsidRPr="00D640D8">
        <w:t xml:space="preserve">roposed changes to the current PBS restriction are presented below. Deletions are in </w:t>
      </w:r>
      <w:r w:rsidR="00F30E1D" w:rsidRPr="00D640D8">
        <w:rPr>
          <w:strike/>
        </w:rPr>
        <w:t>strikethrough</w:t>
      </w:r>
      <w:r w:rsidR="00F30E1D" w:rsidRPr="00D640D8">
        <w:t xml:space="preserve"> and additions are in </w:t>
      </w:r>
      <w:r w:rsidR="00F30E1D" w:rsidRPr="00D640D8">
        <w:rPr>
          <w:b/>
        </w:rPr>
        <w:t>bold</w:t>
      </w:r>
      <w:r w:rsidR="00F30E1D" w:rsidRPr="00D640D8">
        <w:t>.</w:t>
      </w:r>
    </w:p>
    <w:p w14:paraId="35A077B6" w14:textId="77777777" w:rsidR="00617E12" w:rsidRPr="007C609A" w:rsidRDefault="00617E12" w:rsidP="00617E12"/>
    <w:tbl>
      <w:tblPr>
        <w:tblW w:w="4977" w:type="pct"/>
        <w:tblInd w:w="28" w:type="dxa"/>
        <w:tblCellMar>
          <w:left w:w="28" w:type="dxa"/>
          <w:right w:w="28" w:type="dxa"/>
        </w:tblCellMar>
        <w:tblLook w:val="0000" w:firstRow="0" w:lastRow="0" w:firstColumn="0" w:lastColumn="0" w:noHBand="0" w:noVBand="0"/>
      </w:tblPr>
      <w:tblGrid>
        <w:gridCol w:w="2254"/>
        <w:gridCol w:w="1132"/>
        <w:gridCol w:w="1089"/>
        <w:gridCol w:w="846"/>
        <w:gridCol w:w="1881"/>
        <w:gridCol w:w="1783"/>
      </w:tblGrid>
      <w:tr w:rsidR="003517F9" w:rsidRPr="00413860" w14:paraId="5800DC20" w14:textId="77777777" w:rsidTr="00F30E1D">
        <w:trPr>
          <w:cantSplit/>
          <w:trHeight w:val="463"/>
        </w:trPr>
        <w:tc>
          <w:tcPr>
            <w:tcW w:w="1884" w:type="pct"/>
            <w:gridSpan w:val="2"/>
            <w:tcBorders>
              <w:top w:val="single" w:sz="4" w:space="0" w:color="auto"/>
              <w:bottom w:val="single" w:sz="4" w:space="0" w:color="auto"/>
            </w:tcBorders>
            <w:vAlign w:val="center"/>
          </w:tcPr>
          <w:p w14:paraId="681D4599" w14:textId="77777777" w:rsidR="00617E12" w:rsidRPr="00C7151A" w:rsidRDefault="00617E12" w:rsidP="00617E12">
            <w:pPr>
              <w:keepNext/>
              <w:jc w:val="left"/>
              <w:rPr>
                <w:rFonts w:ascii="Arial Narrow" w:hAnsi="Arial Narrow"/>
                <w:b/>
                <w:sz w:val="20"/>
              </w:rPr>
            </w:pPr>
            <w:r w:rsidRPr="00C7151A">
              <w:rPr>
                <w:rFonts w:ascii="Arial Narrow" w:hAnsi="Arial Narrow"/>
                <w:b/>
                <w:sz w:val="20"/>
              </w:rPr>
              <w:lastRenderedPageBreak/>
              <w:t>Name, Restriction,</w:t>
            </w:r>
          </w:p>
          <w:p w14:paraId="4603FF89" w14:textId="77777777" w:rsidR="00617E12" w:rsidRPr="00C7151A" w:rsidRDefault="00617E12" w:rsidP="00617E12">
            <w:pPr>
              <w:keepNext/>
              <w:jc w:val="left"/>
              <w:rPr>
                <w:rFonts w:ascii="Arial Narrow" w:hAnsi="Arial Narrow"/>
                <w:b/>
                <w:sz w:val="20"/>
              </w:rPr>
            </w:pPr>
            <w:r w:rsidRPr="00C7151A">
              <w:rPr>
                <w:rFonts w:ascii="Arial Narrow" w:hAnsi="Arial Narrow"/>
                <w:b/>
                <w:sz w:val="20"/>
              </w:rPr>
              <w:t>Manner of administration and form</w:t>
            </w:r>
          </w:p>
        </w:tc>
        <w:tc>
          <w:tcPr>
            <w:tcW w:w="606" w:type="pct"/>
            <w:tcBorders>
              <w:top w:val="single" w:sz="4" w:space="0" w:color="auto"/>
              <w:bottom w:val="single" w:sz="4" w:space="0" w:color="auto"/>
            </w:tcBorders>
            <w:vAlign w:val="center"/>
          </w:tcPr>
          <w:p w14:paraId="226EF566" w14:textId="77777777" w:rsidR="00617E12" w:rsidRPr="00C7151A" w:rsidRDefault="00617E12" w:rsidP="00617E12">
            <w:pPr>
              <w:keepNext/>
              <w:jc w:val="center"/>
              <w:rPr>
                <w:rFonts w:ascii="Arial Narrow" w:hAnsi="Arial Narrow"/>
                <w:b/>
                <w:sz w:val="20"/>
              </w:rPr>
            </w:pPr>
            <w:r w:rsidRPr="00C7151A">
              <w:rPr>
                <w:rFonts w:ascii="Arial Narrow" w:hAnsi="Arial Narrow"/>
                <w:b/>
                <w:sz w:val="20"/>
              </w:rPr>
              <w:t>Max.</w:t>
            </w:r>
          </w:p>
          <w:p w14:paraId="15C9209A" w14:textId="77777777" w:rsidR="00617E12" w:rsidRPr="00C7151A" w:rsidRDefault="00617E12" w:rsidP="00F30E1D">
            <w:pPr>
              <w:keepNext/>
              <w:jc w:val="center"/>
              <w:rPr>
                <w:rFonts w:ascii="Arial Narrow" w:hAnsi="Arial Narrow"/>
                <w:b/>
                <w:sz w:val="20"/>
              </w:rPr>
            </w:pPr>
            <w:r w:rsidRPr="00C7151A">
              <w:rPr>
                <w:rFonts w:ascii="Arial Narrow" w:hAnsi="Arial Narrow"/>
                <w:b/>
                <w:sz w:val="20"/>
              </w:rPr>
              <w:t>Qty</w:t>
            </w:r>
          </w:p>
        </w:tc>
        <w:tc>
          <w:tcPr>
            <w:tcW w:w="471" w:type="pct"/>
            <w:tcBorders>
              <w:top w:val="single" w:sz="4" w:space="0" w:color="auto"/>
              <w:bottom w:val="single" w:sz="4" w:space="0" w:color="auto"/>
            </w:tcBorders>
            <w:vAlign w:val="center"/>
          </w:tcPr>
          <w:p w14:paraId="5FF45F8D" w14:textId="77777777" w:rsidR="00617E12" w:rsidRPr="00C7151A" w:rsidRDefault="00617E12" w:rsidP="00617E12">
            <w:pPr>
              <w:keepNext/>
              <w:jc w:val="center"/>
              <w:rPr>
                <w:rFonts w:ascii="Arial Narrow" w:hAnsi="Arial Narrow"/>
                <w:b/>
                <w:sz w:val="20"/>
              </w:rPr>
            </w:pPr>
            <w:r w:rsidRPr="00C7151A">
              <w:rPr>
                <w:rFonts w:ascii="Arial Narrow" w:hAnsi="Arial Narrow" w:cs="Times New Roman"/>
                <w:b/>
                <w:sz w:val="20"/>
              </w:rPr>
              <w:t>№</w:t>
            </w:r>
            <w:r w:rsidRPr="00C7151A">
              <w:rPr>
                <w:rFonts w:ascii="Arial Narrow" w:hAnsi="Arial Narrow"/>
                <w:b/>
                <w:sz w:val="20"/>
              </w:rPr>
              <w:t>.of</w:t>
            </w:r>
          </w:p>
          <w:p w14:paraId="3D02997C" w14:textId="77777777" w:rsidR="00617E12" w:rsidRPr="00C7151A" w:rsidRDefault="00617E12" w:rsidP="00617E12">
            <w:pPr>
              <w:keepNext/>
              <w:jc w:val="center"/>
              <w:rPr>
                <w:rFonts w:ascii="Arial Narrow" w:hAnsi="Arial Narrow"/>
                <w:b/>
                <w:sz w:val="20"/>
              </w:rPr>
            </w:pPr>
            <w:r w:rsidRPr="00C7151A">
              <w:rPr>
                <w:rFonts w:ascii="Arial Narrow" w:hAnsi="Arial Narrow"/>
                <w:b/>
                <w:sz w:val="20"/>
              </w:rPr>
              <w:t>Rpts</w:t>
            </w:r>
          </w:p>
        </w:tc>
        <w:tc>
          <w:tcPr>
            <w:tcW w:w="1047" w:type="pct"/>
            <w:tcBorders>
              <w:top w:val="single" w:sz="4" w:space="0" w:color="auto"/>
              <w:bottom w:val="single" w:sz="4" w:space="0" w:color="auto"/>
            </w:tcBorders>
            <w:vAlign w:val="center"/>
          </w:tcPr>
          <w:p w14:paraId="27C70E27" w14:textId="77777777" w:rsidR="00617E12" w:rsidRPr="00C7151A" w:rsidRDefault="00617E12" w:rsidP="00F30E1D">
            <w:pPr>
              <w:keepNext/>
              <w:jc w:val="center"/>
              <w:rPr>
                <w:rFonts w:ascii="Arial Narrow" w:hAnsi="Arial Narrow"/>
                <w:b/>
                <w:sz w:val="20"/>
              </w:rPr>
            </w:pPr>
            <w:r w:rsidRPr="00C7151A">
              <w:rPr>
                <w:rFonts w:ascii="Arial Narrow" w:hAnsi="Arial Narrow"/>
                <w:b/>
                <w:sz w:val="20"/>
              </w:rPr>
              <w:t>Dispensed Price for Max. Qty</w:t>
            </w:r>
          </w:p>
        </w:tc>
        <w:tc>
          <w:tcPr>
            <w:tcW w:w="992" w:type="pct"/>
            <w:tcBorders>
              <w:top w:val="single" w:sz="4" w:space="0" w:color="auto"/>
              <w:bottom w:val="single" w:sz="4" w:space="0" w:color="auto"/>
            </w:tcBorders>
            <w:vAlign w:val="center"/>
          </w:tcPr>
          <w:p w14:paraId="1A76BB6C" w14:textId="77777777" w:rsidR="00617E12" w:rsidRPr="00C7151A" w:rsidRDefault="00617E12" w:rsidP="00617E12">
            <w:pPr>
              <w:keepNext/>
              <w:jc w:val="center"/>
              <w:rPr>
                <w:rFonts w:ascii="Arial Narrow" w:hAnsi="Arial Narrow"/>
                <w:b/>
                <w:sz w:val="20"/>
                <w:lang w:val="fr-FR"/>
              </w:rPr>
            </w:pPr>
            <w:r w:rsidRPr="00C7151A">
              <w:rPr>
                <w:rFonts w:ascii="Arial Narrow" w:hAnsi="Arial Narrow"/>
                <w:b/>
                <w:sz w:val="20"/>
              </w:rPr>
              <w:t>Proprietary Name and Manufacturer</w:t>
            </w:r>
          </w:p>
        </w:tc>
      </w:tr>
      <w:tr w:rsidR="00F30E1D" w:rsidRPr="00413860" w14:paraId="215B74B3" w14:textId="77777777" w:rsidTr="00F30E1D">
        <w:trPr>
          <w:cantSplit/>
          <w:trHeight w:val="567"/>
        </w:trPr>
        <w:tc>
          <w:tcPr>
            <w:tcW w:w="1884" w:type="pct"/>
            <w:gridSpan w:val="2"/>
            <w:vAlign w:val="center"/>
          </w:tcPr>
          <w:p w14:paraId="340992D0" w14:textId="77777777" w:rsidR="00F30E1D" w:rsidRPr="00591957" w:rsidRDefault="00F30E1D" w:rsidP="00617E12">
            <w:pPr>
              <w:keepNext/>
              <w:jc w:val="left"/>
              <w:rPr>
                <w:rFonts w:ascii="Arial Narrow" w:hAnsi="Arial Narrow"/>
                <w:sz w:val="20"/>
              </w:rPr>
            </w:pPr>
            <w:r>
              <w:rPr>
                <w:rFonts w:ascii="Arial Narrow" w:hAnsi="Arial Narrow"/>
                <w:smallCaps/>
                <w:sz w:val="20"/>
              </w:rPr>
              <w:t>Sacubitril/valsartan</w:t>
            </w:r>
          </w:p>
          <w:p w14:paraId="6E521192" w14:textId="77777777" w:rsidR="00F30E1D" w:rsidRDefault="00F30E1D" w:rsidP="00F30E1D">
            <w:pPr>
              <w:keepNext/>
              <w:jc w:val="left"/>
              <w:rPr>
                <w:rFonts w:ascii="Arial Narrow" w:hAnsi="Arial Narrow"/>
                <w:sz w:val="20"/>
              </w:rPr>
            </w:pPr>
            <w:r>
              <w:rPr>
                <w:rFonts w:ascii="Arial Narrow" w:hAnsi="Arial Narrow"/>
                <w:sz w:val="20"/>
              </w:rPr>
              <w:t>Tablet, 24 mg/26 mg, 49 mg/51 mg, 97 mg/103 mg, 56</w:t>
            </w:r>
          </w:p>
          <w:p w14:paraId="5D791057" w14:textId="77777777" w:rsidR="00055FF2" w:rsidRPr="00591957" w:rsidRDefault="00055FF2" w:rsidP="00F30E1D">
            <w:pPr>
              <w:keepNext/>
              <w:jc w:val="left"/>
              <w:rPr>
                <w:rFonts w:ascii="Arial Narrow" w:hAnsi="Arial Narrow"/>
                <w:sz w:val="20"/>
              </w:rPr>
            </w:pPr>
          </w:p>
        </w:tc>
        <w:tc>
          <w:tcPr>
            <w:tcW w:w="606" w:type="pct"/>
            <w:vAlign w:val="center"/>
          </w:tcPr>
          <w:p w14:paraId="0874AEA7" w14:textId="77777777" w:rsidR="00F30E1D" w:rsidRPr="00591957" w:rsidRDefault="00F30E1D" w:rsidP="00617E12">
            <w:pPr>
              <w:keepNext/>
              <w:jc w:val="center"/>
              <w:rPr>
                <w:rFonts w:ascii="Arial Narrow" w:hAnsi="Arial Narrow"/>
                <w:sz w:val="20"/>
              </w:rPr>
            </w:pPr>
            <w:r>
              <w:rPr>
                <w:rFonts w:ascii="Arial Narrow" w:hAnsi="Arial Narrow"/>
                <w:sz w:val="20"/>
              </w:rPr>
              <w:t>1</w:t>
            </w:r>
          </w:p>
        </w:tc>
        <w:tc>
          <w:tcPr>
            <w:tcW w:w="471" w:type="pct"/>
            <w:vAlign w:val="center"/>
          </w:tcPr>
          <w:p w14:paraId="7F5CF65C" w14:textId="77777777" w:rsidR="00F30E1D" w:rsidRPr="00591957" w:rsidRDefault="00F30E1D" w:rsidP="00617E12">
            <w:pPr>
              <w:keepNext/>
              <w:jc w:val="center"/>
              <w:rPr>
                <w:rFonts w:ascii="Arial Narrow" w:hAnsi="Arial Narrow"/>
                <w:sz w:val="20"/>
              </w:rPr>
            </w:pPr>
            <w:r>
              <w:rPr>
                <w:rFonts w:ascii="Arial Narrow" w:hAnsi="Arial Narrow"/>
                <w:sz w:val="20"/>
              </w:rPr>
              <w:t>5</w:t>
            </w:r>
          </w:p>
        </w:tc>
        <w:tc>
          <w:tcPr>
            <w:tcW w:w="1047" w:type="pct"/>
            <w:vAlign w:val="center"/>
          </w:tcPr>
          <w:p w14:paraId="2C642261" w14:textId="77777777" w:rsidR="00F30E1D" w:rsidRDefault="00F30E1D" w:rsidP="00617E12">
            <w:pPr>
              <w:keepNext/>
              <w:jc w:val="center"/>
              <w:rPr>
                <w:rFonts w:ascii="Arial Narrow" w:hAnsi="Arial Narrow"/>
                <w:sz w:val="20"/>
              </w:rPr>
            </w:pPr>
            <w:r>
              <w:rPr>
                <w:rFonts w:ascii="Arial Narrow" w:hAnsi="Arial Narrow"/>
                <w:i/>
                <w:sz w:val="20"/>
              </w:rPr>
              <w:t>$202.89</w:t>
            </w:r>
            <w:r>
              <w:rPr>
                <w:rFonts w:ascii="Arial Narrow" w:hAnsi="Arial Narrow"/>
                <w:sz w:val="20"/>
              </w:rPr>
              <w:t xml:space="preserve"> published price</w:t>
            </w:r>
          </w:p>
          <w:p w14:paraId="1887BFED" w14:textId="77777777" w:rsidR="00F30E1D" w:rsidRPr="00591957" w:rsidRDefault="00F30E1D" w:rsidP="00F30E1D">
            <w:pPr>
              <w:keepNext/>
              <w:jc w:val="center"/>
              <w:rPr>
                <w:rFonts w:ascii="Arial Narrow" w:hAnsi="Arial Narrow"/>
                <w:sz w:val="20"/>
              </w:rPr>
            </w:pPr>
            <w:r>
              <w:rPr>
                <w:rFonts w:ascii="Arial Narrow" w:hAnsi="Arial Narrow"/>
                <w:i/>
                <w:sz w:val="20"/>
              </w:rPr>
              <w:t>$</w:t>
            </w:r>
            <w:r w:rsidR="009658F2">
              <w:rPr>
                <w:rFonts w:ascii="Arial Narrow" w:hAnsi="Arial Narrow"/>
                <w:i/>
                <w:noProof/>
                <w:color w:val="000000"/>
                <w:sz w:val="20"/>
                <w:highlight w:val="black"/>
              </w:rPr>
              <w:t>''''''''''''''''''</w:t>
            </w:r>
            <w:r>
              <w:rPr>
                <w:rFonts w:ascii="Arial Narrow" w:hAnsi="Arial Narrow"/>
                <w:sz w:val="20"/>
              </w:rPr>
              <w:t xml:space="preserve"> effective price</w:t>
            </w:r>
          </w:p>
        </w:tc>
        <w:tc>
          <w:tcPr>
            <w:tcW w:w="992" w:type="pct"/>
            <w:vAlign w:val="center"/>
          </w:tcPr>
          <w:p w14:paraId="2ADAB506" w14:textId="77777777" w:rsidR="00F30E1D" w:rsidRPr="00591957" w:rsidRDefault="00F30E1D" w:rsidP="00617E12">
            <w:pPr>
              <w:keepNext/>
              <w:jc w:val="center"/>
              <w:rPr>
                <w:rFonts w:ascii="Arial Narrow" w:hAnsi="Arial Narrow"/>
                <w:sz w:val="20"/>
              </w:rPr>
            </w:pPr>
            <w:r>
              <w:rPr>
                <w:rFonts w:ascii="Arial Narrow" w:hAnsi="Arial Narrow"/>
                <w:sz w:val="20"/>
              </w:rPr>
              <w:t xml:space="preserve">Entresto </w:t>
            </w:r>
            <w:r>
              <w:rPr>
                <w:rFonts w:ascii="Arial Narrow" w:hAnsi="Arial Narrow"/>
                <w:sz w:val="20"/>
                <w:vertAlign w:val="superscript"/>
              </w:rPr>
              <w:t>®</w:t>
            </w:r>
          </w:p>
          <w:p w14:paraId="235F7D6D" w14:textId="77777777" w:rsidR="00F30E1D" w:rsidRPr="00591957" w:rsidRDefault="00F30E1D" w:rsidP="00EC0DD9">
            <w:pPr>
              <w:keepNext/>
              <w:jc w:val="center"/>
              <w:rPr>
                <w:rFonts w:ascii="Arial Narrow" w:hAnsi="Arial Narrow"/>
                <w:sz w:val="20"/>
              </w:rPr>
            </w:pPr>
            <w:r>
              <w:rPr>
                <w:rFonts w:ascii="Arial Narrow" w:hAnsi="Arial Narrow"/>
                <w:sz w:val="20"/>
              </w:rPr>
              <w:t>Novartis Pharmaceuticals</w:t>
            </w:r>
          </w:p>
        </w:tc>
      </w:tr>
      <w:tr w:rsidR="00542C2D" w:rsidRPr="00A30A33" w14:paraId="4B2D4511" w14:textId="77777777" w:rsidTr="00F30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14:paraId="4C98B00C" w14:textId="77777777" w:rsidR="00542C2D" w:rsidRPr="00A30A33" w:rsidRDefault="00591957" w:rsidP="008C6B24">
            <w:pPr>
              <w:pStyle w:val="TableText"/>
            </w:pPr>
            <w:r>
              <w:t>Category/Program:</w:t>
            </w:r>
          </w:p>
        </w:tc>
        <w:tc>
          <w:tcPr>
            <w:tcW w:w="3746" w:type="pct"/>
            <w:gridSpan w:val="5"/>
            <w:tcBorders>
              <w:top w:val="single" w:sz="4" w:space="0" w:color="auto"/>
              <w:left w:val="single" w:sz="4" w:space="0" w:color="auto"/>
              <w:bottom w:val="single" w:sz="4" w:space="0" w:color="auto"/>
              <w:right w:val="single" w:sz="4" w:space="0" w:color="auto"/>
            </w:tcBorders>
          </w:tcPr>
          <w:p w14:paraId="18A69EF8" w14:textId="77777777" w:rsidR="00542C2D" w:rsidRPr="00A30A33" w:rsidRDefault="00591957" w:rsidP="00F30E1D">
            <w:pPr>
              <w:pStyle w:val="TableText"/>
            </w:pPr>
            <w:r>
              <w:t>General Schedule</w:t>
            </w:r>
          </w:p>
        </w:tc>
      </w:tr>
      <w:tr w:rsidR="00542C2D" w:rsidRPr="00A30A33" w14:paraId="7625E181" w14:textId="77777777" w:rsidTr="00F30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14:paraId="22BF8720" w14:textId="77777777" w:rsidR="00542C2D" w:rsidRPr="00A30A33" w:rsidRDefault="00591957" w:rsidP="008C6B24">
            <w:pPr>
              <w:pStyle w:val="TableText"/>
            </w:pPr>
            <w:r>
              <w:t>PBS indication:</w:t>
            </w:r>
          </w:p>
        </w:tc>
        <w:tc>
          <w:tcPr>
            <w:tcW w:w="3746" w:type="pct"/>
            <w:gridSpan w:val="5"/>
            <w:tcBorders>
              <w:top w:val="single" w:sz="4" w:space="0" w:color="auto"/>
              <w:left w:val="single" w:sz="4" w:space="0" w:color="auto"/>
              <w:bottom w:val="single" w:sz="4" w:space="0" w:color="auto"/>
              <w:right w:val="single" w:sz="4" w:space="0" w:color="auto"/>
            </w:tcBorders>
          </w:tcPr>
          <w:p w14:paraId="28AFAA52" w14:textId="77777777" w:rsidR="00542C2D" w:rsidRPr="00A30A33" w:rsidRDefault="00F30E1D" w:rsidP="008C6B24">
            <w:pPr>
              <w:pStyle w:val="TableText"/>
            </w:pPr>
            <w:r>
              <w:t>Heart failure with reduced ejection fraction (HF-rEF)</w:t>
            </w:r>
          </w:p>
        </w:tc>
      </w:tr>
      <w:tr w:rsidR="00542C2D" w:rsidRPr="00A30A33" w14:paraId="5AA12476" w14:textId="77777777" w:rsidTr="00F30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14:paraId="26490A46" w14:textId="77777777" w:rsidR="00542C2D" w:rsidRPr="00A30A33" w:rsidRDefault="00591957" w:rsidP="008C6B24">
            <w:pPr>
              <w:pStyle w:val="TableText"/>
            </w:pPr>
            <w:r>
              <w:t>Treatment phase:</w:t>
            </w:r>
          </w:p>
        </w:tc>
        <w:tc>
          <w:tcPr>
            <w:tcW w:w="3746" w:type="pct"/>
            <w:gridSpan w:val="5"/>
            <w:tcBorders>
              <w:top w:val="single" w:sz="4" w:space="0" w:color="auto"/>
              <w:left w:val="single" w:sz="4" w:space="0" w:color="auto"/>
              <w:bottom w:val="single" w:sz="4" w:space="0" w:color="auto"/>
              <w:right w:val="single" w:sz="4" w:space="0" w:color="auto"/>
            </w:tcBorders>
          </w:tcPr>
          <w:p w14:paraId="5B1BF55F" w14:textId="77777777" w:rsidR="00542C2D" w:rsidRPr="00A30A33" w:rsidRDefault="00F30E1D" w:rsidP="008C6B24">
            <w:pPr>
              <w:pStyle w:val="TableText"/>
            </w:pPr>
            <w:r>
              <w:t>Initial and continuing</w:t>
            </w:r>
          </w:p>
        </w:tc>
      </w:tr>
      <w:tr w:rsidR="00542C2D" w:rsidRPr="00A30A33" w14:paraId="2DE9D3D8" w14:textId="77777777" w:rsidTr="00F30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14:paraId="7300B2BB" w14:textId="77777777" w:rsidR="00542C2D" w:rsidRPr="00A30A33" w:rsidRDefault="00542C2D" w:rsidP="008C6B24">
            <w:pPr>
              <w:pStyle w:val="TableText"/>
            </w:pPr>
            <w:r w:rsidRPr="00A30A33">
              <w:t>Restriction</w:t>
            </w:r>
            <w:r w:rsidR="00591957">
              <w:t>:</w:t>
            </w:r>
          </w:p>
        </w:tc>
        <w:tc>
          <w:tcPr>
            <w:tcW w:w="3746" w:type="pct"/>
            <w:gridSpan w:val="5"/>
            <w:tcBorders>
              <w:top w:val="single" w:sz="4" w:space="0" w:color="auto"/>
              <w:left w:val="single" w:sz="4" w:space="0" w:color="auto"/>
              <w:bottom w:val="single" w:sz="4" w:space="0" w:color="auto"/>
              <w:right w:val="single" w:sz="4" w:space="0" w:color="auto"/>
            </w:tcBorders>
          </w:tcPr>
          <w:p w14:paraId="7CD5B767" w14:textId="77777777" w:rsidR="00542C2D" w:rsidRPr="00A30A33" w:rsidRDefault="00F30E1D" w:rsidP="008C6B24">
            <w:pPr>
              <w:pStyle w:val="TableText"/>
            </w:pPr>
            <w:r>
              <w:t>Streamlined Authority</w:t>
            </w:r>
          </w:p>
        </w:tc>
      </w:tr>
      <w:tr w:rsidR="00542C2D" w:rsidRPr="00A30A33" w14:paraId="48D94F62" w14:textId="77777777" w:rsidTr="00F30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14:paraId="7E70CED2" w14:textId="77777777" w:rsidR="00542C2D" w:rsidRPr="00A30A33" w:rsidRDefault="00542C2D" w:rsidP="008C6B24">
            <w:pPr>
              <w:pStyle w:val="TableText"/>
            </w:pPr>
            <w:r w:rsidRPr="00A30A33">
              <w:t>Clinical criteria</w:t>
            </w:r>
            <w:r w:rsidR="00591957">
              <w:t>:</w:t>
            </w:r>
          </w:p>
        </w:tc>
        <w:tc>
          <w:tcPr>
            <w:tcW w:w="3746" w:type="pct"/>
            <w:gridSpan w:val="5"/>
            <w:tcBorders>
              <w:top w:val="single" w:sz="4" w:space="0" w:color="auto"/>
              <w:left w:val="single" w:sz="4" w:space="0" w:color="auto"/>
              <w:bottom w:val="single" w:sz="4" w:space="0" w:color="auto"/>
              <w:right w:val="single" w:sz="4" w:space="0" w:color="auto"/>
            </w:tcBorders>
          </w:tcPr>
          <w:p w14:paraId="48BB47D3" w14:textId="77777777" w:rsidR="007147C3" w:rsidRPr="0074091B" w:rsidRDefault="007147C3" w:rsidP="007147C3">
            <w:pPr>
              <w:pStyle w:val="TableText"/>
              <w:rPr>
                <w:rFonts w:cs="Arial"/>
              </w:rPr>
            </w:pPr>
            <w:r w:rsidRPr="0074091B">
              <w:rPr>
                <w:rFonts w:cs="Arial"/>
              </w:rPr>
              <w:t>Patient must be symptomatic with NYHA classes II, III or IV,</w:t>
            </w:r>
          </w:p>
          <w:p w14:paraId="53BF351B" w14:textId="77777777" w:rsidR="007147C3" w:rsidRPr="0074091B" w:rsidRDefault="007147C3" w:rsidP="007147C3">
            <w:pPr>
              <w:pStyle w:val="TableText"/>
              <w:rPr>
                <w:rFonts w:cs="Arial"/>
              </w:rPr>
            </w:pPr>
            <w:r w:rsidRPr="0074091B">
              <w:rPr>
                <w:rFonts w:cs="Arial"/>
              </w:rPr>
              <w:t>AND</w:t>
            </w:r>
          </w:p>
          <w:p w14:paraId="69652346" w14:textId="77777777" w:rsidR="007147C3" w:rsidRPr="0074091B" w:rsidRDefault="007147C3" w:rsidP="007147C3">
            <w:pPr>
              <w:pStyle w:val="TableText"/>
              <w:rPr>
                <w:rFonts w:cs="Arial"/>
              </w:rPr>
            </w:pPr>
            <w:r w:rsidRPr="0074091B">
              <w:rPr>
                <w:rFonts w:cs="Arial"/>
              </w:rPr>
              <w:t xml:space="preserve">Patient must have a documented left ventricular ejection fraction (LVEF) of less than </w:t>
            </w:r>
            <w:r w:rsidRPr="0074091B">
              <w:rPr>
                <w:rFonts w:cs="Arial"/>
                <w:strike/>
              </w:rPr>
              <w:t>or equal to 40%</w:t>
            </w:r>
            <w:r>
              <w:rPr>
                <w:rFonts w:cs="Arial"/>
              </w:rPr>
              <w:t xml:space="preserve"> </w:t>
            </w:r>
            <w:r>
              <w:rPr>
                <w:rFonts w:cs="Arial"/>
                <w:b/>
              </w:rPr>
              <w:t>50%</w:t>
            </w:r>
            <w:r w:rsidRPr="0074091B">
              <w:rPr>
                <w:rFonts w:cs="Arial"/>
              </w:rPr>
              <w:t>,</w:t>
            </w:r>
          </w:p>
          <w:p w14:paraId="680725CB" w14:textId="77777777" w:rsidR="007147C3" w:rsidRPr="0074091B" w:rsidRDefault="007147C3" w:rsidP="007147C3">
            <w:pPr>
              <w:pStyle w:val="TableText"/>
              <w:rPr>
                <w:rFonts w:cs="Arial"/>
              </w:rPr>
            </w:pPr>
            <w:r w:rsidRPr="0074091B">
              <w:rPr>
                <w:rFonts w:cs="Arial"/>
              </w:rPr>
              <w:t>AND</w:t>
            </w:r>
          </w:p>
          <w:p w14:paraId="7541D621" w14:textId="77777777" w:rsidR="007147C3" w:rsidRPr="002F50F2" w:rsidRDefault="007147C3" w:rsidP="007147C3">
            <w:pPr>
              <w:pStyle w:val="PBACTableText0"/>
              <w:rPr>
                <w:b/>
                <w:u w:val="single"/>
                <w:lang w:eastAsia="en-AU"/>
              </w:rPr>
            </w:pPr>
            <w:r w:rsidRPr="0074091B">
              <w:rPr>
                <w:rFonts w:cs="Arial"/>
              </w:rPr>
              <w:t>Patient must receive concomitant optimal standard chronic heart failure treatment</w:t>
            </w:r>
            <w:r w:rsidRPr="0074091B">
              <w:rPr>
                <w:rFonts w:cs="Arial"/>
                <w:strike/>
              </w:rPr>
              <w:t xml:space="preserve">, which must </w:t>
            </w:r>
            <w:r w:rsidRPr="002F50F2">
              <w:rPr>
                <w:rFonts w:cs="Arial"/>
                <w:strike/>
              </w:rPr>
              <w:t>include the maximum tolerated dose of a beta-blocker, unless contraindicated or not tolerated,</w:t>
            </w:r>
            <w:r w:rsidRPr="002F50F2">
              <w:rPr>
                <w:rFonts w:cs="Arial"/>
                <w:b/>
              </w:rPr>
              <w:t>.</w:t>
            </w:r>
            <w:r w:rsidRPr="002F50F2">
              <w:rPr>
                <w:rFonts w:cs="Arial"/>
                <w:b/>
                <w:strike/>
              </w:rPr>
              <w:t xml:space="preserve"> </w:t>
            </w:r>
            <w:r w:rsidRPr="002F50F2">
              <w:rPr>
                <w:b/>
                <w:lang w:eastAsia="en-AU"/>
              </w:rPr>
              <w:t xml:space="preserve">A beta-blocker is usually commenced following the introduction </w:t>
            </w:r>
            <w:r w:rsidR="003F2B1D">
              <w:rPr>
                <w:b/>
                <w:lang w:eastAsia="en-AU"/>
              </w:rPr>
              <w:t xml:space="preserve">of an </w:t>
            </w:r>
            <w:r w:rsidRPr="002F50F2">
              <w:rPr>
                <w:b/>
                <w:lang w:eastAsia="en-AU"/>
              </w:rPr>
              <w:t>ACE-I, ARB or ARNI, but can be commenced before if euvolaemic. Up-titration should not be to the detriment of starting other drugs that have been shown to be effective in HF.</w:t>
            </w:r>
          </w:p>
          <w:p w14:paraId="79C093B7" w14:textId="77777777" w:rsidR="007147C3" w:rsidRPr="0074091B" w:rsidRDefault="007147C3" w:rsidP="007147C3">
            <w:pPr>
              <w:pStyle w:val="TableText"/>
              <w:rPr>
                <w:rFonts w:cs="Arial"/>
                <w:strike/>
              </w:rPr>
            </w:pPr>
            <w:r w:rsidRPr="002F50F2">
              <w:rPr>
                <w:rFonts w:cs="Arial"/>
                <w:strike/>
              </w:rPr>
              <w:t>AND</w:t>
            </w:r>
          </w:p>
          <w:p w14:paraId="6BEFCAB0" w14:textId="77777777" w:rsidR="007147C3" w:rsidRPr="0074091B" w:rsidRDefault="007147C3" w:rsidP="007147C3">
            <w:pPr>
              <w:pStyle w:val="TableText"/>
              <w:rPr>
                <w:rFonts w:cs="Arial"/>
                <w:strike/>
              </w:rPr>
            </w:pPr>
            <w:r w:rsidRPr="0074091B">
              <w:rPr>
                <w:rFonts w:cs="Arial"/>
                <w:strike/>
              </w:rPr>
              <w:t>Patient must have been stabilised on an ACE inhibitor at the time of initiation with this drug, unless such treatment is contraindicated according to the TGA-approved Product Information or cannot be tolerated; OR</w:t>
            </w:r>
          </w:p>
          <w:p w14:paraId="693FC1D7" w14:textId="77777777" w:rsidR="007147C3" w:rsidRPr="0074091B" w:rsidRDefault="007147C3" w:rsidP="007147C3">
            <w:pPr>
              <w:pStyle w:val="TableText"/>
              <w:rPr>
                <w:rFonts w:cs="Arial"/>
                <w:strike/>
              </w:rPr>
            </w:pPr>
            <w:r w:rsidRPr="0074091B">
              <w:rPr>
                <w:rFonts w:cs="Arial"/>
                <w:strike/>
              </w:rPr>
              <w:t xml:space="preserve">Patient must have been stabilised on an angiotensin II </w:t>
            </w:r>
            <w:r w:rsidR="00C626B3">
              <w:rPr>
                <w:rFonts w:cs="Arial"/>
                <w:strike/>
              </w:rPr>
              <w:t>blocker</w:t>
            </w:r>
            <w:r w:rsidRPr="0074091B">
              <w:rPr>
                <w:rFonts w:cs="Arial"/>
                <w:strike/>
              </w:rPr>
              <w:t xml:space="preserve"> at the time of initiation with this drug, unless such treatment is contraindicated according to the TGA-approved Product Information or cannot be tolerated,</w:t>
            </w:r>
          </w:p>
          <w:p w14:paraId="4DFC3157" w14:textId="77777777" w:rsidR="007147C3" w:rsidRPr="0074091B" w:rsidRDefault="007147C3" w:rsidP="007147C3">
            <w:pPr>
              <w:pStyle w:val="TableText"/>
              <w:rPr>
                <w:rFonts w:cs="Arial"/>
              </w:rPr>
            </w:pPr>
            <w:r w:rsidRPr="0074091B">
              <w:rPr>
                <w:rFonts w:cs="Arial"/>
              </w:rPr>
              <w:t>AND</w:t>
            </w:r>
          </w:p>
          <w:p w14:paraId="5EFDC772" w14:textId="77777777" w:rsidR="00542C2D" w:rsidRPr="00A30A33" w:rsidRDefault="007147C3" w:rsidP="007147C3">
            <w:pPr>
              <w:pStyle w:val="TableText"/>
            </w:pPr>
            <w:r w:rsidRPr="0074091B">
              <w:rPr>
                <w:rFonts w:cs="Arial"/>
              </w:rPr>
              <w:t xml:space="preserve">The treatment must not be co-administered with an ACE inhibitor or an angiotensin II </w:t>
            </w:r>
            <w:r w:rsidR="00C626B3">
              <w:rPr>
                <w:rFonts w:cs="Arial"/>
              </w:rPr>
              <w:t>blocker</w:t>
            </w:r>
            <w:r w:rsidRPr="0074091B">
              <w:rPr>
                <w:rFonts w:cs="Arial"/>
              </w:rPr>
              <w:t>.</w:t>
            </w:r>
          </w:p>
        </w:tc>
      </w:tr>
      <w:tr w:rsidR="00542C2D" w:rsidRPr="00A30A33" w14:paraId="6CFF3426" w14:textId="77777777" w:rsidTr="00F30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14:paraId="53C73CD0" w14:textId="77777777" w:rsidR="00542C2D" w:rsidRPr="00A30A33" w:rsidRDefault="00591957" w:rsidP="008C6B24">
            <w:pPr>
              <w:pStyle w:val="TableText"/>
            </w:pPr>
            <w:r>
              <w:t>Prescriber criteria:</w:t>
            </w:r>
          </w:p>
        </w:tc>
        <w:tc>
          <w:tcPr>
            <w:tcW w:w="3746" w:type="pct"/>
            <w:gridSpan w:val="5"/>
            <w:tcBorders>
              <w:top w:val="single" w:sz="4" w:space="0" w:color="auto"/>
              <w:left w:val="single" w:sz="4" w:space="0" w:color="auto"/>
              <w:bottom w:val="single" w:sz="4" w:space="0" w:color="auto"/>
              <w:right w:val="single" w:sz="4" w:space="0" w:color="auto"/>
            </w:tcBorders>
          </w:tcPr>
          <w:p w14:paraId="1D74EC14" w14:textId="77777777" w:rsidR="007147C3" w:rsidRPr="003048DD" w:rsidRDefault="007147C3" w:rsidP="007147C3">
            <w:pPr>
              <w:pStyle w:val="TableText"/>
              <w:rPr>
                <w:strike/>
              </w:rPr>
            </w:pPr>
            <w:r w:rsidRPr="003048DD">
              <w:rPr>
                <w:strike/>
              </w:rPr>
              <w:t>Continuing Therapy Only:</w:t>
            </w:r>
          </w:p>
          <w:p w14:paraId="2991800D" w14:textId="77777777" w:rsidR="007147C3" w:rsidRPr="003048DD" w:rsidRDefault="007147C3" w:rsidP="007147C3">
            <w:pPr>
              <w:pStyle w:val="TableText"/>
              <w:rPr>
                <w:strike/>
              </w:rPr>
            </w:pPr>
            <w:r w:rsidRPr="003048DD">
              <w:rPr>
                <w:strike/>
              </w:rPr>
              <w:t>For prescribing by nurse practitioners as continuing therapy only, where the treatment of, and prescribing of medicine for, a patient has been initiated by a medical practitioner.</w:t>
            </w:r>
          </w:p>
          <w:p w14:paraId="4DEA42D2" w14:textId="77777777" w:rsidR="007147C3" w:rsidRPr="003048DD" w:rsidRDefault="007147C3" w:rsidP="007147C3">
            <w:pPr>
              <w:pStyle w:val="TableText"/>
              <w:rPr>
                <w:b/>
              </w:rPr>
            </w:pPr>
            <w:r w:rsidRPr="003048DD">
              <w:rPr>
                <w:b/>
              </w:rPr>
              <w:t>Nurse prescribing (Shared Care Model):</w:t>
            </w:r>
          </w:p>
          <w:p w14:paraId="2F1252CC" w14:textId="77777777" w:rsidR="00542C2D" w:rsidRPr="00A30A33" w:rsidRDefault="007147C3" w:rsidP="007147C3">
            <w:pPr>
              <w:pStyle w:val="TableText"/>
              <w:rPr>
                <w:color w:val="000000"/>
              </w:rPr>
            </w:pPr>
            <w:r w:rsidRPr="003048DD">
              <w:rPr>
                <w:b/>
              </w:rPr>
              <w:t>For prescribing by nurse practitioners where care of a patient is shared between a nurse practitioner and medical practitioner in a formalised arrangement with an agreed management plan.</w:t>
            </w:r>
            <w:r>
              <w:t xml:space="preserve"> Further information can be found in the Explanatory Notes for Nurse Practitioners</w:t>
            </w:r>
          </w:p>
        </w:tc>
      </w:tr>
    </w:tbl>
    <w:p w14:paraId="1580800E" w14:textId="77777777" w:rsidR="00F30E1D" w:rsidRDefault="00F30E1D" w:rsidP="00F30E1D">
      <w:pPr>
        <w:pStyle w:val="TableFigureFooter"/>
      </w:pPr>
      <w:r>
        <w:t>Source: Table 1.4, p26</w:t>
      </w:r>
      <w:r w:rsidR="007147C3">
        <w:t>; Table 1.5, pp26-27</w:t>
      </w:r>
      <w:r>
        <w:t xml:space="preserve"> </w:t>
      </w:r>
      <w:r w:rsidRPr="00D13A3E">
        <w:t xml:space="preserve">of the </w:t>
      </w:r>
      <w:r>
        <w:t>submission.</w:t>
      </w:r>
    </w:p>
    <w:p w14:paraId="7DBD6270" w14:textId="77777777" w:rsidR="00F30E1D" w:rsidRDefault="00F30E1D" w:rsidP="00F30E1D">
      <w:pPr>
        <w:pStyle w:val="TableFigureFooter"/>
      </w:pPr>
      <w:r>
        <w:t>Note: The DPMQ</w:t>
      </w:r>
      <w:r w:rsidRPr="00B1553F">
        <w:t xml:space="preserve"> </w:t>
      </w:r>
      <w:r>
        <w:t xml:space="preserve">used in the submission </w:t>
      </w:r>
      <w:r w:rsidRPr="00B1553F">
        <w:t xml:space="preserve">did not take into account changes to dispensing fees and pharmacy </w:t>
      </w:r>
      <w:r w:rsidR="00095F3E" w:rsidRPr="00B1553F">
        <w:t>mark-ups</w:t>
      </w:r>
      <w:r w:rsidRPr="00B1553F">
        <w:t xml:space="preserve"> at 1 July 2020. During the evaluation, the DPMQ</w:t>
      </w:r>
      <w:r>
        <w:t xml:space="preserve"> (published: $198.25; effective: $</w:t>
      </w:r>
      <w:r w:rsidR="009658F2">
        <w:rPr>
          <w:noProof/>
          <w:color w:val="000000"/>
          <w:highlight w:val="black"/>
        </w:rPr>
        <w:t>'''''''''''''''''</w:t>
      </w:r>
      <w:r>
        <w:t>)</w:t>
      </w:r>
      <w:r w:rsidRPr="00B1553F">
        <w:t xml:space="preserve"> for sacubitril/valsartan was </w:t>
      </w:r>
      <w:r w:rsidR="00ED5AAB">
        <w:t>updated</w:t>
      </w:r>
      <w:r w:rsidRPr="00B1553F">
        <w:t xml:space="preserve"> and relevant costs re-calculated.</w:t>
      </w:r>
    </w:p>
    <w:p w14:paraId="65765C38" w14:textId="77777777" w:rsidR="00591957" w:rsidRPr="001C3A23" w:rsidRDefault="001C3A23" w:rsidP="00D640D8">
      <w:pPr>
        <w:pStyle w:val="ExecSumBodyText"/>
        <w:ind w:left="709" w:hanging="709"/>
      </w:pPr>
      <w:r w:rsidRPr="001C3A23">
        <w:t xml:space="preserve">A special pricing arrangement is already in place for sacubitril/valsartan, and the </w:t>
      </w:r>
      <w:r>
        <w:t xml:space="preserve">submission’s </w:t>
      </w:r>
      <w:r w:rsidRPr="001C3A23">
        <w:t>requested expansion to the PBS listing wou</w:t>
      </w:r>
      <w:r>
        <w:t xml:space="preserve">ld also form part of this </w:t>
      </w:r>
      <w:r w:rsidRPr="001C3A23">
        <w:t>special pricing arrangement</w:t>
      </w:r>
      <w:r>
        <w:t xml:space="preserve">, with the same effective price </w:t>
      </w:r>
      <w:r w:rsidRPr="005226CA">
        <w:t>(with adjustments for recent increases in dispensing fees and pharmacy mark</w:t>
      </w:r>
      <w:r w:rsidR="000213DD" w:rsidRPr="005226CA">
        <w:t>-</w:t>
      </w:r>
      <w:r w:rsidRPr="005226CA">
        <w:t>ups on 1 July 2020).</w:t>
      </w:r>
    </w:p>
    <w:p w14:paraId="08BCC22A" w14:textId="77777777" w:rsidR="0083004A" w:rsidRDefault="00E01CE7" w:rsidP="00924EE7">
      <w:pPr>
        <w:pStyle w:val="ExecSumBodyText"/>
        <w:ind w:left="709" w:hanging="709"/>
      </w:pPr>
      <w:r w:rsidRPr="00E01CE7">
        <w:t xml:space="preserve">The submission stated that the requested changes to the PBS restrictions are in line with </w:t>
      </w:r>
      <w:r w:rsidR="003F2B1D">
        <w:t xml:space="preserve">the Cardiac Society of </w:t>
      </w:r>
      <w:r w:rsidRPr="00E01CE7">
        <w:t>Australian</w:t>
      </w:r>
      <w:r w:rsidR="003F2B1D">
        <w:t xml:space="preserve"> and </w:t>
      </w:r>
      <w:r w:rsidRPr="00E01CE7">
        <w:t xml:space="preserve">New Zealand </w:t>
      </w:r>
      <w:r w:rsidR="003F2B1D">
        <w:t xml:space="preserve">(CSANZ) </w:t>
      </w:r>
      <w:r w:rsidRPr="00E01CE7">
        <w:t>clinical practice guidelines (updated in 2018)</w:t>
      </w:r>
      <w:r w:rsidR="0098035D">
        <w:t>,</w:t>
      </w:r>
      <w:r w:rsidR="0098035D" w:rsidRPr="0098035D">
        <w:t xml:space="preserve"> </w:t>
      </w:r>
      <w:r w:rsidR="0098035D">
        <w:t>and that</w:t>
      </w:r>
      <w:r w:rsidR="0098035D" w:rsidRPr="0098035D">
        <w:t xml:space="preserve"> these changes address potential delays in accessing sacubitril/valsartan, with a less restricted PBS list</w:t>
      </w:r>
      <w:r w:rsidR="0098035D">
        <w:t xml:space="preserve">ing reducing barriers to </w:t>
      </w:r>
      <w:r w:rsidR="0098035D">
        <w:lastRenderedPageBreak/>
        <w:t>access</w:t>
      </w:r>
      <w:r w:rsidRPr="00E01CE7">
        <w:t>.</w:t>
      </w:r>
      <w:r w:rsidR="000213DD">
        <w:t xml:space="preserve"> </w:t>
      </w:r>
      <w:r w:rsidR="000213DD" w:rsidRPr="005226CA">
        <w:t xml:space="preserve">Clinical evidence presented in this submission to support the changes to the restriction was limited to </w:t>
      </w:r>
      <w:r w:rsidR="003F2B1D">
        <w:t xml:space="preserve">subgroup </w:t>
      </w:r>
      <w:r w:rsidR="000213DD" w:rsidRPr="005226CA">
        <w:t xml:space="preserve">comparisons of ACE-inhibitor/ARB-naïve and -experienced patients. There was no evidence presented supporting the change of LVEF thresholds, nor the removal of requirement for maximal doses of beta-blockers prior to treatment with sacubitril/valsartan. </w:t>
      </w:r>
    </w:p>
    <w:p w14:paraId="4C71755D" w14:textId="77777777" w:rsidR="00733678" w:rsidRPr="003A5C34" w:rsidRDefault="005D7163" w:rsidP="00924EE7">
      <w:pPr>
        <w:pStyle w:val="ExecSumBodyText"/>
        <w:ind w:left="709" w:hanging="709"/>
      </w:pPr>
      <w:r w:rsidRPr="003A5C34">
        <w:t xml:space="preserve">The ESC noted no evidence was presented to </w:t>
      </w:r>
      <w:r w:rsidR="00577151" w:rsidRPr="003A5C34">
        <w:t>support the submission’s claim that</w:t>
      </w:r>
      <w:r w:rsidRPr="003A5C34">
        <w:t xml:space="preserve"> the </w:t>
      </w:r>
      <w:r w:rsidR="003E7285">
        <w:t>cost effectiv</w:t>
      </w:r>
      <w:r w:rsidR="00095F3E" w:rsidRPr="003A5C34">
        <w:t>eness</w:t>
      </w:r>
      <w:r w:rsidRPr="003A5C34">
        <w:t xml:space="preserve"> of sacubitril/valsartan in the LVEF 40%-49% population would be the same as the LVEF </w:t>
      </w:r>
      <w:r w:rsidRPr="003A5C34">
        <w:rPr>
          <w:u w:val="single"/>
        </w:rPr>
        <w:t>&lt;</w:t>
      </w:r>
      <w:r w:rsidRPr="003A5C34">
        <w:t>40% population</w:t>
      </w:r>
      <w:r w:rsidR="00577151" w:rsidRPr="003A5C34">
        <w:t>.</w:t>
      </w:r>
      <w:r w:rsidRPr="003A5C34">
        <w:t xml:space="preserve"> </w:t>
      </w:r>
      <w:r w:rsidR="00577151" w:rsidRPr="003A5C34">
        <w:t>The ESC</w:t>
      </w:r>
      <w:r w:rsidRPr="003A5C34">
        <w:t xml:space="preserve"> considered this assumption was highly implausible as this new population was likely to </w:t>
      </w:r>
      <w:r w:rsidR="00A50B54" w:rsidRPr="003A5C34">
        <w:t xml:space="preserve">have milder heart failure (LVEF 40-50%) and </w:t>
      </w:r>
      <w:r w:rsidRPr="003A5C34">
        <w:t>have a lower r</w:t>
      </w:r>
      <w:r w:rsidR="00A50B54" w:rsidRPr="003A5C34">
        <w:t>isk</w:t>
      </w:r>
      <w:r w:rsidRPr="003A5C34">
        <w:t xml:space="preserve"> of </w:t>
      </w:r>
      <w:r w:rsidR="00A50B54" w:rsidRPr="003A5C34">
        <w:t>adverse outcomes (death or hospitalisation for heart failure)</w:t>
      </w:r>
      <w:r w:rsidRPr="003A5C34">
        <w:t>.</w:t>
      </w:r>
    </w:p>
    <w:p w14:paraId="37B03BCA" w14:textId="77777777" w:rsidR="001F5EF5" w:rsidRPr="005226CA" w:rsidRDefault="00733678" w:rsidP="00733678">
      <w:pPr>
        <w:pStyle w:val="ExecSumBodyText"/>
        <w:ind w:left="709" w:hanging="709"/>
      </w:pPr>
      <w:r w:rsidRPr="005226CA">
        <w:t xml:space="preserve">The submission noted that the updated </w:t>
      </w:r>
      <w:r w:rsidR="003F2B1D">
        <w:t xml:space="preserve">CSANZ </w:t>
      </w:r>
      <w:r w:rsidRPr="005226CA">
        <w:t xml:space="preserve">guidelines for the use of sacubitril/valsartan reflect the restrictions specified in the current PBS listing, and therefore specifies use in patients with LVEF ≤40%, despite receiving maximally tolerated or target doses of an ACE inhibitor (or ARB) and a </w:t>
      </w:r>
      <w:r w:rsidR="007261F5">
        <w:t>beta-blocker</w:t>
      </w:r>
      <w:r w:rsidRPr="005226CA">
        <w:t xml:space="preserve"> (unless contraindicated). The submission’s clinical management algorithm, based on these guidelines, does not capture those patients for whom management would change with the proposed expansion of the current PBS listing.</w:t>
      </w:r>
      <w:r w:rsidR="0037221B">
        <w:t xml:space="preserve"> </w:t>
      </w:r>
      <w:r w:rsidR="0037221B" w:rsidRPr="003A5C34">
        <w:t xml:space="preserve">The ESC noted no direct evidence was presented to support the requested change to remove the requirement that patients be on maximum tolerated dose of a </w:t>
      </w:r>
      <w:r w:rsidR="007261F5">
        <w:t>beta-blocker</w:t>
      </w:r>
      <w:r w:rsidR="0037221B" w:rsidRPr="003A5C34">
        <w:t xml:space="preserve">. However, the ESC also agreed with the submission that titration of a </w:t>
      </w:r>
      <w:r w:rsidR="007261F5">
        <w:t>beta-blocker</w:t>
      </w:r>
      <w:r w:rsidR="00520F11" w:rsidRPr="003A5C34">
        <w:t xml:space="preserve"> to maximum tolerated dose</w:t>
      </w:r>
      <w:r w:rsidR="0037221B" w:rsidRPr="003A5C34">
        <w:t xml:space="preserve"> can </w:t>
      </w:r>
      <w:r w:rsidR="00520F11" w:rsidRPr="003A5C34">
        <w:t>delay</w:t>
      </w:r>
      <w:r w:rsidR="0037221B" w:rsidRPr="003A5C34">
        <w:t xml:space="preserve"> optimisation of </w:t>
      </w:r>
      <w:r w:rsidR="00520F11" w:rsidRPr="003A5C34">
        <w:t>treatment,</w:t>
      </w:r>
      <w:r w:rsidR="0037221B" w:rsidRPr="003A5C34">
        <w:t xml:space="preserve"> and considered it was reasonable that the listing of sacubitril/valsartan  be </w:t>
      </w:r>
      <w:r w:rsidR="00520F11" w:rsidRPr="003A5C34">
        <w:t xml:space="preserve">more </w:t>
      </w:r>
      <w:r w:rsidR="0037221B" w:rsidRPr="003A5C34">
        <w:t xml:space="preserve">flexible with regards to dosing requirements for </w:t>
      </w:r>
      <w:r w:rsidR="007261F5">
        <w:t>beta-blocker</w:t>
      </w:r>
      <w:r w:rsidR="0037221B" w:rsidRPr="003A5C34">
        <w:t>s.</w:t>
      </w:r>
    </w:p>
    <w:p w14:paraId="7EF28766" w14:textId="77777777" w:rsidR="007329DE" w:rsidRPr="005226CA" w:rsidRDefault="007329DE" w:rsidP="00526987">
      <w:pPr>
        <w:pStyle w:val="ExecSumBodyText"/>
        <w:ind w:left="709" w:hanging="709"/>
      </w:pPr>
      <w:r w:rsidRPr="005226CA">
        <w:rPr>
          <w:bCs/>
          <w:iCs/>
        </w:rPr>
        <w:t>The proposed criterion detailing beta-</w:t>
      </w:r>
      <w:r w:rsidR="00BC004D" w:rsidRPr="005226CA">
        <w:rPr>
          <w:bCs/>
          <w:iCs/>
        </w:rPr>
        <w:t>blocker</w:t>
      </w:r>
      <w:r w:rsidRPr="005226CA">
        <w:rPr>
          <w:bCs/>
          <w:iCs/>
        </w:rPr>
        <w:t xml:space="preserve"> commencement relates to the treatment algorithm in clinical guidelines and does not explicitly outline requirements for PBS eligibility</w:t>
      </w:r>
      <w:r w:rsidR="00BC004D" w:rsidRPr="005226CA">
        <w:rPr>
          <w:bCs/>
          <w:iCs/>
        </w:rPr>
        <w:t>.</w:t>
      </w:r>
      <w:r w:rsidRPr="005226CA">
        <w:rPr>
          <w:bCs/>
          <w:iCs/>
        </w:rPr>
        <w:t xml:space="preserve"> </w:t>
      </w:r>
      <w:r w:rsidR="003B4589">
        <w:rPr>
          <w:bCs/>
          <w:iCs/>
        </w:rPr>
        <w:t xml:space="preserve">The Pre-PBAC Response </w:t>
      </w:r>
      <w:r w:rsidR="00551700">
        <w:rPr>
          <w:bCs/>
          <w:iCs/>
        </w:rPr>
        <w:t xml:space="preserve">advocated that </w:t>
      </w:r>
      <w:r w:rsidR="003B4589">
        <w:rPr>
          <w:bCs/>
          <w:iCs/>
        </w:rPr>
        <w:t>the proposed change to the beta blocker requirement was consistent with CSANZ guidelines which state the sequence of drug(s) is less important than the final regimen. The PBAC agreed with the Pre-PBAC Response and considered it was appropriate to allow for greater flexibility for individual</w:t>
      </w:r>
      <w:r w:rsidR="00721C1E">
        <w:rPr>
          <w:bCs/>
          <w:iCs/>
        </w:rPr>
        <w:t xml:space="preserve"> prescriber</w:t>
      </w:r>
      <w:r w:rsidR="003B4589">
        <w:rPr>
          <w:bCs/>
          <w:iCs/>
        </w:rPr>
        <w:t xml:space="preserve"> decision making with regards to beta blocker use and dosing in the sacubitril/valsartan listing.</w:t>
      </w:r>
    </w:p>
    <w:p w14:paraId="39415E26" w14:textId="77777777" w:rsidR="00D26691" w:rsidRDefault="00526987" w:rsidP="00D26691">
      <w:pPr>
        <w:pStyle w:val="ExecSumBodyText"/>
        <w:ind w:left="709" w:hanging="709"/>
      </w:pPr>
      <w:r w:rsidRPr="005226CA">
        <w:t>The proposed PBS restriction allows for treatment with sacubitril/valsartan in patients that would have otherwise been adequately managed on earlier</w:t>
      </w:r>
      <w:r w:rsidR="00A50B54">
        <w:t xml:space="preserve">, </w:t>
      </w:r>
      <w:r w:rsidR="00A50B54" w:rsidRPr="003A5C34">
        <w:t>less costly</w:t>
      </w:r>
      <w:r w:rsidR="00A50B54">
        <w:rPr>
          <w:i/>
        </w:rPr>
        <w:t>,</w:t>
      </w:r>
      <w:r w:rsidRPr="005226CA">
        <w:t xml:space="preserve"> lines of therapy</w:t>
      </w:r>
      <w:r w:rsidR="003F2B1D">
        <w:t xml:space="preserve"> (ACE</w:t>
      </w:r>
      <w:r w:rsidR="001E2A96">
        <w:t xml:space="preserve"> inhibitor</w:t>
      </w:r>
      <w:r w:rsidR="003F2B1D">
        <w:t xml:space="preserve">/ARB and </w:t>
      </w:r>
      <w:r w:rsidR="007261F5">
        <w:t>beta-blocker</w:t>
      </w:r>
      <w:r w:rsidR="003F2B1D">
        <w:t xml:space="preserve">, with or without a </w:t>
      </w:r>
      <w:r w:rsidR="001E2A96">
        <w:t>mineral</w:t>
      </w:r>
      <w:r w:rsidR="00520F11">
        <w:t>o</w:t>
      </w:r>
      <w:r w:rsidR="001E2A96">
        <w:t>corticoid receptor antagonist</w:t>
      </w:r>
      <w:r w:rsidR="003F2B1D">
        <w:t>)</w:t>
      </w:r>
      <w:r w:rsidRPr="005226CA">
        <w:t>.</w:t>
      </w:r>
    </w:p>
    <w:p w14:paraId="1BC5A8A8" w14:textId="77777777" w:rsidR="004D1ACD" w:rsidRPr="003A5C34" w:rsidRDefault="00AC2B13" w:rsidP="00D26691">
      <w:pPr>
        <w:pStyle w:val="ExecSumBodyText"/>
        <w:ind w:left="709" w:hanging="709"/>
      </w:pPr>
      <w:r w:rsidRPr="005226CA">
        <w:t>The change to nurse prescribing allowing for initiation by a nurse practitioner is not in line with the TGA Product Information, which states that treatment should be initiated, and up-titration conducted, by a physician experienced with the treatment of heart failure.</w:t>
      </w:r>
      <w:r>
        <w:t xml:space="preserve"> </w:t>
      </w:r>
      <w:r w:rsidRPr="003A5C34">
        <w:t xml:space="preserve">The ESC considered it may be reasonable to allow nurse practitioners </w:t>
      </w:r>
      <w:r w:rsidRPr="003A5C34">
        <w:lastRenderedPageBreak/>
        <w:t>to prescribe sacubitril/valsartan for continuing therapy and during dose titration, however did not consider it was appropriate for nurse practitioners to initiate therapy.</w:t>
      </w:r>
    </w:p>
    <w:p w14:paraId="08E3E823" w14:textId="77777777" w:rsidR="00A405B2" w:rsidRPr="00F90A91" w:rsidRDefault="00A405B2" w:rsidP="00A405B2">
      <w:pPr>
        <w:pStyle w:val="ListParagraph"/>
        <w:ind w:left="709"/>
        <w:rPr>
          <w:rFonts w:asciiTheme="minorHAnsi" w:hAnsiTheme="minorHAnsi"/>
          <w:i/>
        </w:rPr>
      </w:pPr>
      <w:r w:rsidRPr="00525B39">
        <w:rPr>
          <w:rFonts w:asciiTheme="minorHAnsi" w:hAnsiTheme="minorHAnsi"/>
          <w:i/>
        </w:rPr>
        <w:t>For more detail on PBAC’s view, see section 7 PBAC outcome.</w:t>
      </w:r>
    </w:p>
    <w:p w14:paraId="2A4D358C" w14:textId="77777777" w:rsidR="00A405B2" w:rsidRPr="00A405B2" w:rsidRDefault="00A405B2" w:rsidP="00A405B2">
      <w:pPr>
        <w:pStyle w:val="ListParagraph"/>
        <w:spacing w:after="120"/>
        <w:contextualSpacing w:val="0"/>
        <w:rPr>
          <w:rFonts w:cs="Calibri"/>
          <w:bCs/>
          <w:highlight w:val="yellow"/>
        </w:rPr>
      </w:pPr>
    </w:p>
    <w:p w14:paraId="6F0C037D" w14:textId="77777777" w:rsidR="00B50DB8" w:rsidRPr="00407F2D" w:rsidRDefault="00203181" w:rsidP="004E18E9">
      <w:pPr>
        <w:pStyle w:val="2-SectionHeading"/>
      </w:pPr>
      <w:bookmarkStart w:id="7" w:name="_Toc51070684"/>
      <w:r>
        <w:t xml:space="preserve">Population and </w:t>
      </w:r>
      <w:r w:rsidR="008E0D3C">
        <w:t>d</w:t>
      </w:r>
      <w:r>
        <w:t>isease</w:t>
      </w:r>
      <w:bookmarkEnd w:id="7"/>
    </w:p>
    <w:p w14:paraId="3AEEC520" w14:textId="77777777" w:rsidR="00894489" w:rsidRPr="002E4F02" w:rsidRDefault="00CD4ED8" w:rsidP="00D640D8">
      <w:pPr>
        <w:pStyle w:val="ExecSumBodyText"/>
        <w:ind w:left="709" w:hanging="709"/>
        <w:rPr>
          <w:color w:val="0066FF"/>
        </w:rPr>
      </w:pPr>
      <w:r>
        <w:t>Chronic heart failure</w:t>
      </w:r>
      <w:r w:rsidRPr="00F05819">
        <w:t xml:space="preserve"> is </w:t>
      </w:r>
      <w:r>
        <w:t xml:space="preserve">a complex clinical syndrome </w:t>
      </w:r>
      <w:r w:rsidRPr="00F05819">
        <w:t xml:space="preserve">characterised by </w:t>
      </w:r>
      <w:r>
        <w:t xml:space="preserve">symptoms such as dyspnoea, peripheral oedema and fatigue, caused by an </w:t>
      </w:r>
      <w:r w:rsidRPr="00F05819">
        <w:t xml:space="preserve">underlying structural and/or functional cardiac abnormality </w:t>
      </w:r>
      <w:r w:rsidRPr="00F507C7">
        <w:t xml:space="preserve">that impairs the ability of the heart ventricle to fill with or eject blood. </w:t>
      </w:r>
      <w:r>
        <w:t>Reduction in cardiac output leads to the activation of c</w:t>
      </w:r>
      <w:r w:rsidRPr="00BE7F15">
        <w:t>ompensatory mechanisms</w:t>
      </w:r>
      <w:r>
        <w:t xml:space="preserve">, including the release of </w:t>
      </w:r>
      <w:r w:rsidRPr="00BE7F15">
        <w:t xml:space="preserve">cardiac mediators, </w:t>
      </w:r>
      <w:r>
        <w:t xml:space="preserve">over-activation of the </w:t>
      </w:r>
      <w:r w:rsidRPr="00BE7F15">
        <w:t>sympathetic nervous system and renin-angiotensin-aldosterone system</w:t>
      </w:r>
      <w:r>
        <w:t>s</w:t>
      </w:r>
      <w:r w:rsidRPr="00BE7F15">
        <w:t xml:space="preserve"> (</w:t>
      </w:r>
      <w:r>
        <w:t xml:space="preserve">resulting in increased </w:t>
      </w:r>
      <w:r w:rsidRPr="00BE7F15">
        <w:t xml:space="preserve">heart rate, </w:t>
      </w:r>
      <w:r>
        <w:t xml:space="preserve">increased </w:t>
      </w:r>
      <w:r w:rsidRPr="00BE7F15">
        <w:t xml:space="preserve">blood pressure, </w:t>
      </w:r>
      <w:r>
        <w:t xml:space="preserve">and </w:t>
      </w:r>
      <w:r w:rsidRPr="00BE7F15">
        <w:t>salt and fluid retention), inflammation and myocardial remodelling.</w:t>
      </w:r>
      <w:r w:rsidR="00BA6419" w:rsidRPr="00B50BC6">
        <w:t xml:space="preserve"> </w:t>
      </w:r>
      <w:r>
        <w:t xml:space="preserve">Heart failure is commonly classified based on the left ventricular ejection fraction. Heart failure with reduced ejection fraction refers to symptoms with or without signs of heart failure and an LVEF </w:t>
      </w:r>
      <w:r>
        <w:rPr>
          <w:rFonts w:cs="Calibri"/>
        </w:rPr>
        <w:t>≤</w:t>
      </w:r>
      <w:r>
        <w:t xml:space="preserve">40%. </w:t>
      </w:r>
      <w:r w:rsidR="001801A7">
        <w:t xml:space="preserve">Heart failure with preserved ejection fraction (HFpEF) is defined as clinical symptoms with or without signs of heart failure, an LVEF </w:t>
      </w:r>
      <w:r w:rsidR="001801A7">
        <w:rPr>
          <w:rFonts w:cs="Calibri"/>
        </w:rPr>
        <w:t>≥</w:t>
      </w:r>
      <w:r w:rsidR="001801A7">
        <w:t xml:space="preserve">50%, and objective evidence of either relevant structural heart disease or diastolic dysfunction without an alternative cause (e.g., significant valvular heart disease).  </w:t>
      </w:r>
      <w:r>
        <w:t>If LVEF is mildly reduced (41–49%), additional criteria are required (signs of heart failure, diastolic dysfunction with high filling pressure demonstrated by invasive means or echocardiography or biomarker testing).</w:t>
      </w:r>
      <w:r w:rsidRPr="000F2A34">
        <w:t xml:space="preserve"> </w:t>
      </w:r>
    </w:p>
    <w:p w14:paraId="750D3A0F" w14:textId="77777777" w:rsidR="002C2775" w:rsidRPr="003A5C34" w:rsidRDefault="00353AF6" w:rsidP="0088465B">
      <w:pPr>
        <w:pStyle w:val="ExecSumBodyText"/>
        <w:ind w:left="709" w:hanging="709"/>
        <w:rPr>
          <w:color w:val="0066FF"/>
        </w:rPr>
      </w:pPr>
      <w:r w:rsidRPr="005226CA">
        <w:t>The</w:t>
      </w:r>
      <w:r w:rsidR="00BA6419" w:rsidRPr="005226CA">
        <w:t xml:space="preserve"> submission </w:t>
      </w:r>
      <w:r w:rsidR="0088465B" w:rsidRPr="005226CA">
        <w:t xml:space="preserve">requested a broadening of the existing population (heart failure with reduced LVEF </w:t>
      </w:r>
      <w:r w:rsidR="0088465B" w:rsidRPr="005226CA">
        <w:rPr>
          <w:rFonts w:cstheme="minorHAnsi"/>
        </w:rPr>
        <w:t>≤</w:t>
      </w:r>
      <w:r w:rsidR="0088465B" w:rsidRPr="005226CA">
        <w:t xml:space="preserve">40% and stabilised on ACE-inhibitor or ARB and maximum tolerated dose of a </w:t>
      </w:r>
      <w:r w:rsidR="007261F5">
        <w:t>beta-blocker</w:t>
      </w:r>
      <w:r w:rsidR="0088465B" w:rsidRPr="005226CA">
        <w:t>), to include all patients with heart failure with reduced ejection fraction by including these additional groups: patients with LVEF between 41% and 49%, and patients n</w:t>
      </w:r>
      <w:r w:rsidR="00866FB0" w:rsidRPr="005226CA">
        <w:t>ot previously</w:t>
      </w:r>
      <w:r w:rsidR="0088465B" w:rsidRPr="005226CA">
        <w:t xml:space="preserve"> stabilised on an ACE-inhibitor/ARB or on maximum beta-blocker dose. </w:t>
      </w:r>
      <w:r w:rsidR="00B97527" w:rsidRPr="005226CA">
        <w:t xml:space="preserve">The </w:t>
      </w:r>
      <w:r w:rsidR="00B97527" w:rsidRPr="003A5C34">
        <w:t>proposed changes to the PBS restriction move sacubitril/valsartan to first line therapy</w:t>
      </w:r>
      <w:r w:rsidR="003F2B1D" w:rsidRPr="003A5C34">
        <w:t xml:space="preserve"> and </w:t>
      </w:r>
      <w:r w:rsidR="003C0B06" w:rsidRPr="003A5C34">
        <w:t>would permit use in</w:t>
      </w:r>
      <w:r w:rsidR="003F2B1D" w:rsidRPr="003A5C34">
        <w:t xml:space="preserve"> an expanded population</w:t>
      </w:r>
      <w:r w:rsidR="003C0B06" w:rsidRPr="003A5C34">
        <w:t xml:space="preserve"> with less severe disease</w:t>
      </w:r>
      <w:r w:rsidR="00B97527" w:rsidRPr="003A5C34">
        <w:t xml:space="preserve">. </w:t>
      </w:r>
      <w:r w:rsidR="0088465B" w:rsidRPr="003A5C34">
        <w:t>There is potential for sacubitril/valsartan to be used in patients who would have otherwise been adequately managed with an ACE-inhibitor/ARB</w:t>
      </w:r>
      <w:r w:rsidR="00E077FA">
        <w:t xml:space="preserve"> (NYHA Class I)</w:t>
      </w:r>
      <w:r w:rsidR="0088465B" w:rsidRPr="003A5C34">
        <w:t>. Initiating sacubitril/valsartan without first titrating a beta-blocker to the maximum tolerated dose ma</w:t>
      </w:r>
      <w:r w:rsidR="00866FB0" w:rsidRPr="003A5C34">
        <w:t>y reduce the number of patients receiving the maximum dose of a beta-blocker.</w:t>
      </w:r>
    </w:p>
    <w:p w14:paraId="17793EB3" w14:textId="77777777" w:rsidR="00A405B2" w:rsidRDefault="00353AF6" w:rsidP="00A405B2">
      <w:pPr>
        <w:pStyle w:val="ExecSumBodyText"/>
        <w:ind w:left="709" w:hanging="709"/>
      </w:pPr>
      <w:r w:rsidRPr="003A5C34">
        <w:t>Sacubitril/valsartan FDC</w:t>
      </w:r>
      <w:r w:rsidR="003E2EA5" w:rsidRPr="003A5C34">
        <w:t xml:space="preserve"> is</w:t>
      </w:r>
      <w:r w:rsidRPr="003A5C34">
        <w:t xml:space="preserve"> comprised of an ARB </w:t>
      </w:r>
      <w:r w:rsidR="00DE546D" w:rsidRPr="003A5C34">
        <w:t>(</w:t>
      </w:r>
      <w:r w:rsidRPr="003A5C34">
        <w:t>valsartan), and an angiotensin-receptor neprilysin inhibitor (ARNI, sacubitril). Valsartan acts by blocking the action of angiotensin II, leading to vasodilation and reduced blood pressure. Sacubitril inhibits neprilysi</w:t>
      </w:r>
      <w:r w:rsidR="00ED5AAB" w:rsidRPr="003A5C34">
        <w:t>n</w:t>
      </w:r>
      <w:r w:rsidRPr="003A5C34">
        <w:t xml:space="preserve">, which also promotes vasodilation, natriuresis and diuresis, increased glomerular filtration rate and renal blood flow, inhibition of renin and aldosterone release, reduction of sympathetic activity and anti-hypertrophic and anti-fibrotic </w:t>
      </w:r>
      <w:r w:rsidRPr="003A5C34">
        <w:lastRenderedPageBreak/>
        <w:t>effects. Neprilysin inhibition alone has not demonstrated clinically meaningful reductions in blood pressure, thus sacubitril is only available in combination with valsartan. Sacubitril must not be combined with an ACE inhibitor as this combination was associated with serious angioedema in clinical trials.</w:t>
      </w:r>
    </w:p>
    <w:p w14:paraId="21670636" w14:textId="77777777" w:rsidR="00A405B2" w:rsidRPr="00F90A91" w:rsidRDefault="00A405B2" w:rsidP="00A405B2">
      <w:pPr>
        <w:pStyle w:val="ListParagraph"/>
        <w:ind w:left="709"/>
        <w:rPr>
          <w:rFonts w:asciiTheme="minorHAnsi" w:hAnsiTheme="minorHAnsi"/>
          <w:i/>
        </w:rPr>
      </w:pPr>
      <w:r w:rsidRPr="00525B39">
        <w:rPr>
          <w:rFonts w:asciiTheme="minorHAnsi" w:hAnsiTheme="minorHAnsi"/>
          <w:i/>
        </w:rPr>
        <w:t>For more detail on PBAC’s view, see section 7 PBAC outcome.</w:t>
      </w:r>
    </w:p>
    <w:p w14:paraId="08660D67" w14:textId="77777777" w:rsidR="00A405B2" w:rsidRPr="003A5C34" w:rsidRDefault="00A405B2" w:rsidP="00A405B2">
      <w:pPr>
        <w:pStyle w:val="ExecSumBodyText"/>
        <w:numPr>
          <w:ilvl w:val="0"/>
          <w:numId w:val="0"/>
        </w:numPr>
        <w:ind w:left="709"/>
      </w:pPr>
    </w:p>
    <w:p w14:paraId="4E1CDC58" w14:textId="77777777" w:rsidR="00B50DB8" w:rsidRPr="00407F2D" w:rsidRDefault="00B50DB8" w:rsidP="004E18E9">
      <w:pPr>
        <w:pStyle w:val="2-SectionHeading"/>
      </w:pPr>
      <w:bookmarkStart w:id="8" w:name="_Toc51070685"/>
      <w:r w:rsidRPr="00407F2D">
        <w:t>Comparator</w:t>
      </w:r>
      <w:bookmarkEnd w:id="8"/>
    </w:p>
    <w:p w14:paraId="443DF116" w14:textId="77777777" w:rsidR="00473565" w:rsidRPr="005226CA" w:rsidRDefault="00AC50D0" w:rsidP="00D640D8">
      <w:pPr>
        <w:pStyle w:val="ExecSumBodyText"/>
        <w:tabs>
          <w:tab w:val="left" w:pos="709"/>
        </w:tabs>
        <w:ind w:left="709" w:hanging="709"/>
        <w:rPr>
          <w:snapToGrid/>
          <w:lang w:val="en-US"/>
        </w:rPr>
      </w:pPr>
      <w:r>
        <w:t xml:space="preserve">The submission nominated enalapril (as a proxy for all ACE-inhibitors) as the main comparator. </w:t>
      </w:r>
      <w:r w:rsidR="00F4653A">
        <w:t xml:space="preserve">The main arguments provided in support of this nomination were that enalapril was accepted as the main comparator in the previous PBAC considerations of sacubitril/valsartan in March, July and August 2016; and it is the comparator in the </w:t>
      </w:r>
      <w:r w:rsidR="00F4653A" w:rsidRPr="005226CA">
        <w:t xml:space="preserve">key clinical trial included in this submission (PIONEER-HF). This was appropriate. </w:t>
      </w:r>
    </w:p>
    <w:p w14:paraId="1756C005" w14:textId="77777777" w:rsidR="00473565" w:rsidRPr="005226CA" w:rsidRDefault="00F4653A" w:rsidP="00D640D8">
      <w:pPr>
        <w:pStyle w:val="ExecSumBodyText"/>
        <w:tabs>
          <w:tab w:val="left" w:pos="709"/>
        </w:tabs>
        <w:ind w:left="709" w:hanging="709"/>
        <w:rPr>
          <w:snapToGrid/>
          <w:lang w:val="en-US"/>
        </w:rPr>
      </w:pPr>
      <w:r w:rsidRPr="005226CA">
        <w:t>The submission stated that ARBs were also considered to be key secondary comparators in the previous PBAC consideration. No evidence of comparative efficacy with stand-alone ARB therapy was presented in this submission.</w:t>
      </w:r>
      <w:r w:rsidR="00E311EF" w:rsidRPr="005226CA">
        <w:rPr>
          <w:snapToGrid/>
          <w:lang w:val="en-US"/>
        </w:rPr>
        <w:t xml:space="preserve"> </w:t>
      </w:r>
    </w:p>
    <w:p w14:paraId="76115049" w14:textId="77777777" w:rsidR="00A405B2" w:rsidRPr="00A405B2" w:rsidRDefault="00ED5AAB" w:rsidP="00A405B2">
      <w:pPr>
        <w:pStyle w:val="ExecSumBodyText"/>
        <w:tabs>
          <w:tab w:val="left" w:pos="709"/>
        </w:tabs>
        <w:ind w:left="709" w:hanging="709"/>
        <w:rPr>
          <w:snapToGrid/>
          <w:lang w:val="en-US"/>
        </w:rPr>
      </w:pPr>
      <w:r w:rsidRPr="005226CA">
        <w:rPr>
          <w:snapToGrid/>
          <w:lang w:val="en-US"/>
        </w:rPr>
        <w:t xml:space="preserve">Dapagliflozin is being considered for listing for the treatment of heart failure with reduced ejection fraction at </w:t>
      </w:r>
      <w:r w:rsidR="00287BBE">
        <w:rPr>
          <w:snapToGrid/>
          <w:lang w:val="en-US"/>
        </w:rPr>
        <w:t xml:space="preserve">this same </w:t>
      </w:r>
      <w:r w:rsidR="00BF7B61" w:rsidRPr="005226CA">
        <w:rPr>
          <w:snapToGrid/>
          <w:lang w:val="en-US"/>
        </w:rPr>
        <w:t>meeting</w:t>
      </w:r>
      <w:r w:rsidRPr="005226CA">
        <w:rPr>
          <w:snapToGrid/>
          <w:lang w:val="en-US"/>
        </w:rPr>
        <w:t>.</w:t>
      </w:r>
    </w:p>
    <w:p w14:paraId="114203DF" w14:textId="77777777" w:rsidR="00A405B2" w:rsidRPr="00F90A91" w:rsidRDefault="00A405B2" w:rsidP="00A405B2">
      <w:pPr>
        <w:pStyle w:val="ListParagraph"/>
        <w:ind w:left="709"/>
        <w:rPr>
          <w:rFonts w:asciiTheme="minorHAnsi" w:hAnsiTheme="minorHAnsi"/>
          <w:i/>
        </w:rPr>
      </w:pPr>
      <w:r w:rsidRPr="00525B39">
        <w:rPr>
          <w:rFonts w:asciiTheme="minorHAnsi" w:hAnsiTheme="minorHAnsi"/>
          <w:i/>
        </w:rPr>
        <w:t>For more detail on PBAC’s view, see section 7 PBAC outcome.</w:t>
      </w:r>
    </w:p>
    <w:p w14:paraId="2C9B4586" w14:textId="77777777" w:rsidR="00A405B2" w:rsidRPr="005226CA" w:rsidRDefault="00A405B2" w:rsidP="00A405B2">
      <w:pPr>
        <w:pStyle w:val="ExecSumBodyText"/>
        <w:numPr>
          <w:ilvl w:val="0"/>
          <w:numId w:val="0"/>
        </w:numPr>
        <w:tabs>
          <w:tab w:val="left" w:pos="709"/>
        </w:tabs>
        <w:ind w:left="709"/>
        <w:rPr>
          <w:snapToGrid/>
          <w:lang w:val="en-US"/>
        </w:rPr>
      </w:pPr>
    </w:p>
    <w:p w14:paraId="5BC6F268" w14:textId="77777777" w:rsidR="00223D5A" w:rsidRPr="00407F2D" w:rsidRDefault="00223D5A" w:rsidP="00223D5A">
      <w:pPr>
        <w:pStyle w:val="2-SectionHeading"/>
        <w:numPr>
          <w:ilvl w:val="0"/>
          <w:numId w:val="1"/>
        </w:numPr>
      </w:pPr>
      <w:bookmarkStart w:id="9" w:name="_Toc51070686"/>
      <w:bookmarkStart w:id="10" w:name="_Toc22897640"/>
      <w:r>
        <w:t>C</w:t>
      </w:r>
      <w:r w:rsidRPr="00407F2D">
        <w:t>onsideration of the evidence</w:t>
      </w:r>
      <w:bookmarkEnd w:id="9"/>
    </w:p>
    <w:p w14:paraId="7A4E599E" w14:textId="77777777" w:rsidR="00A405B2" w:rsidRPr="00836F75" w:rsidRDefault="00A405B2" w:rsidP="00267FDC">
      <w:pPr>
        <w:widowControl w:val="0"/>
        <w:spacing w:before="240" w:line="276" w:lineRule="auto"/>
        <w:outlineLvl w:val="1"/>
        <w:rPr>
          <w:rFonts w:asciiTheme="minorHAnsi" w:hAnsiTheme="minorHAnsi"/>
          <w:b/>
          <w:bCs/>
          <w:i/>
          <w:snapToGrid w:val="0"/>
          <w:sz w:val="28"/>
          <w:szCs w:val="28"/>
        </w:rPr>
      </w:pPr>
      <w:bookmarkStart w:id="11" w:name="_Toc51070687"/>
      <w:r w:rsidRPr="00836F75">
        <w:rPr>
          <w:rFonts w:asciiTheme="minorHAnsi" w:hAnsiTheme="minorHAnsi"/>
          <w:b/>
          <w:bCs/>
          <w:i/>
          <w:snapToGrid w:val="0"/>
          <w:sz w:val="28"/>
          <w:szCs w:val="28"/>
        </w:rPr>
        <w:t>Sponsor hearing</w:t>
      </w:r>
    </w:p>
    <w:p w14:paraId="2AD0FA6F" w14:textId="77777777" w:rsidR="00A405B2" w:rsidRPr="00836F75" w:rsidRDefault="00A405B2" w:rsidP="00A405B2">
      <w:pPr>
        <w:widowControl w:val="0"/>
        <w:numPr>
          <w:ilvl w:val="1"/>
          <w:numId w:val="1"/>
        </w:numPr>
        <w:spacing w:after="120"/>
        <w:ind w:left="720"/>
        <w:rPr>
          <w:rFonts w:asciiTheme="minorHAnsi" w:hAnsiTheme="minorHAnsi"/>
          <w:bCs/>
          <w:snapToGrid w:val="0"/>
        </w:rPr>
      </w:pPr>
      <w:r w:rsidRPr="00836F75">
        <w:rPr>
          <w:rFonts w:asciiTheme="minorHAnsi" w:hAnsiTheme="minorHAnsi"/>
          <w:bCs/>
          <w:snapToGrid w:val="0"/>
        </w:rPr>
        <w:t>The</w:t>
      </w:r>
      <w:r w:rsidR="003538C3">
        <w:rPr>
          <w:rFonts w:asciiTheme="minorHAnsi" w:hAnsiTheme="minorHAnsi"/>
          <w:bCs/>
          <w:snapToGrid w:val="0"/>
        </w:rPr>
        <w:t>re was no hearing for this item</w:t>
      </w:r>
      <w:r w:rsidRPr="00836F75">
        <w:rPr>
          <w:rFonts w:asciiTheme="minorHAnsi" w:hAnsiTheme="minorHAnsi"/>
          <w:bCs/>
          <w:snapToGrid w:val="0"/>
        </w:rPr>
        <w:t>.</w:t>
      </w:r>
    </w:p>
    <w:p w14:paraId="2E244DDD" w14:textId="77777777" w:rsidR="00A405B2" w:rsidRPr="00836F75" w:rsidRDefault="00A405B2" w:rsidP="00267FDC">
      <w:pPr>
        <w:widowControl w:val="0"/>
        <w:spacing w:before="240" w:line="276" w:lineRule="auto"/>
        <w:outlineLvl w:val="1"/>
        <w:rPr>
          <w:rFonts w:asciiTheme="minorHAnsi" w:hAnsiTheme="minorHAnsi"/>
          <w:b/>
          <w:bCs/>
          <w:i/>
          <w:snapToGrid w:val="0"/>
          <w:sz w:val="28"/>
          <w:szCs w:val="28"/>
        </w:rPr>
      </w:pPr>
      <w:r w:rsidRPr="00836F75">
        <w:rPr>
          <w:rFonts w:asciiTheme="minorHAnsi" w:hAnsiTheme="minorHAnsi"/>
          <w:b/>
          <w:bCs/>
          <w:i/>
          <w:snapToGrid w:val="0"/>
          <w:sz w:val="28"/>
          <w:szCs w:val="28"/>
        </w:rPr>
        <w:t>Consumer comments</w:t>
      </w:r>
    </w:p>
    <w:p w14:paraId="41CBF372" w14:textId="77777777" w:rsidR="00A405B2" w:rsidRPr="00836F75" w:rsidRDefault="00A405B2" w:rsidP="00A405B2">
      <w:pPr>
        <w:widowControl w:val="0"/>
        <w:numPr>
          <w:ilvl w:val="1"/>
          <w:numId w:val="1"/>
        </w:numPr>
        <w:spacing w:after="120"/>
        <w:ind w:left="720"/>
        <w:rPr>
          <w:rFonts w:asciiTheme="minorHAnsi" w:hAnsiTheme="minorHAnsi"/>
          <w:bCs/>
          <w:snapToGrid w:val="0"/>
        </w:rPr>
      </w:pPr>
      <w:r w:rsidRPr="00836F75">
        <w:rPr>
          <w:rFonts w:asciiTheme="minorHAnsi" w:hAnsiTheme="minorHAnsi"/>
          <w:bCs/>
          <w:snapToGrid w:val="0"/>
        </w:rPr>
        <w:t>The PBAC noted that no consumer comme</w:t>
      </w:r>
      <w:r w:rsidR="003538C3">
        <w:rPr>
          <w:rFonts w:asciiTheme="minorHAnsi" w:hAnsiTheme="minorHAnsi"/>
          <w:bCs/>
          <w:snapToGrid w:val="0"/>
        </w:rPr>
        <w:t>nts were received for this item</w:t>
      </w:r>
      <w:r w:rsidRPr="00836F75">
        <w:rPr>
          <w:rFonts w:asciiTheme="minorHAnsi" w:hAnsiTheme="minorHAnsi"/>
          <w:bCs/>
          <w:snapToGrid w:val="0"/>
        </w:rPr>
        <w:t>.</w:t>
      </w:r>
    </w:p>
    <w:p w14:paraId="4847464A" w14:textId="77777777" w:rsidR="00B60939" w:rsidRPr="00C9624D" w:rsidRDefault="00B60939" w:rsidP="002E4F02">
      <w:pPr>
        <w:pStyle w:val="3-SubsectionHeading"/>
      </w:pPr>
      <w:r w:rsidRPr="00C9624D">
        <w:t xml:space="preserve">Clinical </w:t>
      </w:r>
      <w:bookmarkEnd w:id="10"/>
      <w:r w:rsidR="007502F0">
        <w:t>trials</w:t>
      </w:r>
      <w:bookmarkEnd w:id="11"/>
    </w:p>
    <w:p w14:paraId="7160519B" w14:textId="77777777" w:rsidR="00ED5AAB" w:rsidRPr="00ED5AAB" w:rsidRDefault="007502F0" w:rsidP="00D640D8">
      <w:pPr>
        <w:pStyle w:val="ExecSumBodyText"/>
        <w:spacing w:after="0"/>
        <w:ind w:left="709" w:hanging="709"/>
        <w:rPr>
          <w:color w:val="0066FF"/>
        </w:rPr>
      </w:pPr>
      <w:r w:rsidRPr="007502F0">
        <w:rPr>
          <w:snapToGrid/>
          <w:lang w:val="en-US"/>
        </w:rPr>
        <w:t>The submission was based</w:t>
      </w:r>
      <w:r w:rsidR="00ED5AAB">
        <w:rPr>
          <w:snapToGrid/>
          <w:lang w:val="en-US"/>
        </w:rPr>
        <w:t xml:space="preserve"> on</w:t>
      </w:r>
      <w:r w:rsidRPr="007502F0">
        <w:rPr>
          <w:snapToGrid/>
          <w:lang w:val="en-US"/>
        </w:rPr>
        <w:t xml:space="preserve">: </w:t>
      </w:r>
    </w:p>
    <w:p w14:paraId="1727A784" w14:textId="77777777" w:rsidR="00ED5AAB" w:rsidRPr="00ED5AAB" w:rsidRDefault="007502F0" w:rsidP="00F7293E">
      <w:pPr>
        <w:pStyle w:val="ExecSumBodyText"/>
        <w:numPr>
          <w:ilvl w:val="1"/>
          <w:numId w:val="5"/>
        </w:numPr>
        <w:spacing w:after="0"/>
        <w:ind w:hanging="295"/>
        <w:rPr>
          <w:color w:val="0066FF"/>
        </w:rPr>
      </w:pPr>
      <w:r w:rsidRPr="007502F0">
        <w:rPr>
          <w:snapToGrid/>
          <w:lang w:val="en-US"/>
        </w:rPr>
        <w:t>one head-to-head randomised trial comparing sacubitril/valsartan to e</w:t>
      </w:r>
      <w:r w:rsidR="00ED5AAB">
        <w:rPr>
          <w:snapToGrid/>
          <w:lang w:val="en-US"/>
        </w:rPr>
        <w:t>nalapril (PIONEER-HF);</w:t>
      </w:r>
    </w:p>
    <w:p w14:paraId="67521E56" w14:textId="77777777" w:rsidR="00ED5AAB" w:rsidRPr="00ED5AAB" w:rsidRDefault="007502F0" w:rsidP="00F7293E">
      <w:pPr>
        <w:pStyle w:val="ExecSumBodyText"/>
        <w:numPr>
          <w:ilvl w:val="1"/>
          <w:numId w:val="5"/>
        </w:numPr>
        <w:spacing w:after="0"/>
        <w:ind w:hanging="295"/>
        <w:rPr>
          <w:color w:val="0066FF"/>
        </w:rPr>
      </w:pPr>
      <w:r w:rsidRPr="007502F0">
        <w:rPr>
          <w:snapToGrid/>
          <w:lang w:val="en-US"/>
        </w:rPr>
        <w:t>a pre-specified subgroup analysis of efficacy in ACE-inhibitor/ARB-naïve and experienced patients from the</w:t>
      </w:r>
      <w:r w:rsidR="00ED5AAB">
        <w:rPr>
          <w:snapToGrid/>
          <w:lang w:val="en-US"/>
        </w:rPr>
        <w:t xml:space="preserve"> PIONEER-HF trial;</w:t>
      </w:r>
    </w:p>
    <w:p w14:paraId="5462A999" w14:textId="77777777" w:rsidR="00ED5AAB" w:rsidRPr="00ED5AAB" w:rsidRDefault="007502F0" w:rsidP="00F7293E">
      <w:pPr>
        <w:pStyle w:val="ExecSumBodyText"/>
        <w:numPr>
          <w:ilvl w:val="1"/>
          <w:numId w:val="5"/>
        </w:numPr>
        <w:spacing w:after="0"/>
        <w:ind w:hanging="295"/>
        <w:rPr>
          <w:color w:val="0066FF"/>
        </w:rPr>
      </w:pPr>
      <w:r w:rsidRPr="007502F0">
        <w:rPr>
          <w:snapToGrid/>
          <w:lang w:val="en-US"/>
        </w:rPr>
        <w:t>a randomised safety study of sacubitril/valsartan administered either pre- or post-hospital discharge, with subgroup analysis in ACE-inhibitor/ARB-naïve and experienced patients (TRANSITION); and</w:t>
      </w:r>
    </w:p>
    <w:p w14:paraId="6811430C" w14:textId="77777777" w:rsidR="00ED5AAB" w:rsidRPr="00ED5AAB" w:rsidRDefault="007502F0" w:rsidP="00F7293E">
      <w:pPr>
        <w:pStyle w:val="ExecSumBodyText"/>
        <w:numPr>
          <w:ilvl w:val="1"/>
          <w:numId w:val="5"/>
        </w:numPr>
        <w:spacing w:after="0"/>
        <w:ind w:hanging="295"/>
        <w:rPr>
          <w:color w:val="0066FF"/>
        </w:rPr>
      </w:pPr>
      <w:r w:rsidRPr="007502F0">
        <w:rPr>
          <w:snapToGrid/>
          <w:lang w:val="en-US"/>
        </w:rPr>
        <w:t xml:space="preserve">a supplementary </w:t>
      </w:r>
      <w:r w:rsidR="003F2B1D" w:rsidRPr="00FC2BFA">
        <w:rPr>
          <w:i/>
          <w:snapToGrid/>
          <w:lang w:val="en-US"/>
        </w:rPr>
        <w:t xml:space="preserve">observational </w:t>
      </w:r>
      <w:r w:rsidRPr="007502F0">
        <w:rPr>
          <w:snapToGrid/>
          <w:lang w:val="en-US"/>
        </w:rPr>
        <w:t xml:space="preserve">study comparing the efficacy of treatment with sacubitril/valsartan and enalapril in a retrospective cohort analysis, with a </w:t>
      </w:r>
      <w:r w:rsidRPr="007502F0">
        <w:rPr>
          <w:snapToGrid/>
          <w:lang w:val="en-US"/>
        </w:rPr>
        <w:lastRenderedPageBreak/>
        <w:t>subgroup analysis of patients with or without previous ACE-inhibitor/ARB treatment (Tan 2020).</w:t>
      </w:r>
      <w:r>
        <w:rPr>
          <w:snapToGrid/>
          <w:lang w:val="en-US"/>
        </w:rPr>
        <w:t xml:space="preserve"> </w:t>
      </w:r>
    </w:p>
    <w:p w14:paraId="794615D9" w14:textId="77777777" w:rsidR="007F1017" w:rsidRPr="005226CA" w:rsidRDefault="00DC66DF" w:rsidP="00ED5AAB">
      <w:pPr>
        <w:pStyle w:val="ExecSumBodyText"/>
        <w:numPr>
          <w:ilvl w:val="0"/>
          <w:numId w:val="0"/>
        </w:numPr>
        <w:ind w:left="709"/>
        <w:rPr>
          <w:color w:val="0066FF"/>
        </w:rPr>
      </w:pPr>
      <w:r w:rsidRPr="005226CA">
        <w:rPr>
          <w:snapToGrid/>
          <w:lang w:val="en-US"/>
        </w:rPr>
        <w:t xml:space="preserve">These studies </w:t>
      </w:r>
      <w:r w:rsidR="007502F0" w:rsidRPr="005226CA">
        <w:rPr>
          <w:snapToGrid/>
          <w:lang w:val="en-US"/>
        </w:rPr>
        <w:t>were published after the previous consideration of sacubitril/valsartan</w:t>
      </w:r>
      <w:r w:rsidRPr="005226CA">
        <w:rPr>
          <w:snapToGrid/>
          <w:lang w:val="en-US"/>
        </w:rPr>
        <w:t xml:space="preserve"> </w:t>
      </w:r>
      <w:r w:rsidR="00473565" w:rsidRPr="005226CA">
        <w:rPr>
          <w:snapToGrid/>
          <w:lang w:val="en-US"/>
        </w:rPr>
        <w:t xml:space="preserve">(which was based on data from PARADIGM-HF) </w:t>
      </w:r>
      <w:r w:rsidRPr="005226CA">
        <w:rPr>
          <w:snapToGrid/>
          <w:lang w:val="en-US"/>
        </w:rPr>
        <w:t>and have not been previously considered by the PBAC</w:t>
      </w:r>
      <w:r w:rsidR="007502F0" w:rsidRPr="005226CA">
        <w:rPr>
          <w:snapToGrid/>
          <w:lang w:val="en-US"/>
        </w:rPr>
        <w:t>.</w:t>
      </w:r>
      <w:r w:rsidR="00D45FF2" w:rsidRPr="005226CA">
        <w:rPr>
          <w:snapToGrid/>
          <w:lang w:val="en-US"/>
        </w:rPr>
        <w:t xml:space="preserve"> The submission did not provide evidence in support of extending the current sacubitril/valsartan restriction for patients with LVEF 41%-49%.</w:t>
      </w:r>
      <w:r w:rsidR="007502F0" w:rsidRPr="005226CA">
        <w:rPr>
          <w:snapToGrid/>
          <w:lang w:val="en-US"/>
        </w:rPr>
        <w:t xml:space="preserve"> </w:t>
      </w:r>
      <w:r w:rsidR="00A73134" w:rsidRPr="005226CA">
        <w:rPr>
          <w:snapToGrid/>
          <w:lang w:val="en-US"/>
        </w:rPr>
        <w:t xml:space="preserve"> </w:t>
      </w:r>
      <w:r w:rsidR="00BC591F" w:rsidRPr="005226CA">
        <w:rPr>
          <w:color w:val="0066FF"/>
        </w:rPr>
        <w:t xml:space="preserve"> </w:t>
      </w:r>
    </w:p>
    <w:p w14:paraId="10C114A7" w14:textId="77777777" w:rsidR="00862502" w:rsidRDefault="00A73134" w:rsidP="00D640D8">
      <w:pPr>
        <w:pStyle w:val="ExecSumBodyText"/>
        <w:ind w:left="709" w:hanging="709"/>
      </w:pPr>
      <w:r w:rsidRPr="005226CA">
        <w:rPr>
          <w:snapToGrid/>
          <w:lang w:val="en-US"/>
        </w:rPr>
        <w:t xml:space="preserve">Details of the </w:t>
      </w:r>
      <w:r w:rsidR="00D5243B" w:rsidRPr="005226CA">
        <w:rPr>
          <w:snapToGrid/>
          <w:lang w:val="en-US"/>
        </w:rPr>
        <w:t>studies</w:t>
      </w:r>
      <w:r w:rsidRPr="005226CA">
        <w:rPr>
          <w:snapToGrid/>
          <w:lang w:val="en-US"/>
        </w:rPr>
        <w:t xml:space="preserve"> presented in the submission are provided in the table below.</w:t>
      </w:r>
      <w:r w:rsidR="00BC591F" w:rsidRPr="005226CA">
        <w:rPr>
          <w:snapToGrid/>
          <w:lang w:val="en-US"/>
        </w:rPr>
        <w:t xml:space="preserve"> </w:t>
      </w:r>
      <w:r w:rsidR="0035343D" w:rsidRPr="005226CA">
        <w:t>The clinical trial reports for the included studies were not provided with the submission, nor were they provided following a request to the sponsor during the evaluation.</w:t>
      </w:r>
      <w:r w:rsidR="001801A7">
        <w:t xml:space="preserve">  The absence of this data means that the evaluation was necessarily more limited and verification was more limited.  </w:t>
      </w:r>
      <w:r w:rsidR="001801A7" w:rsidRPr="003A5C34">
        <w:t>The ESC noted that the PBAC would need to take this into consideration when making a determination of the submission.</w:t>
      </w:r>
    </w:p>
    <w:p w14:paraId="5A421705" w14:textId="77777777" w:rsidR="008E0D3C" w:rsidRPr="002E4F02" w:rsidRDefault="00D640D8" w:rsidP="00230DB1">
      <w:pPr>
        <w:pStyle w:val="TableFigureCaption"/>
      </w:pPr>
      <w:r>
        <w:t>Table 2</w:t>
      </w:r>
      <w:r w:rsidR="008E0D3C" w:rsidRPr="002E4F02">
        <w:t>:</w:t>
      </w:r>
      <w:r w:rsidR="00BC591F" w:rsidRPr="002E4F02">
        <w:t xml:space="preserve"> </w:t>
      </w:r>
      <w:r w:rsidR="008E0D3C" w:rsidRPr="002E4F02">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7502F0" w:rsidRPr="00B41614" w14:paraId="452CFC69" w14:textId="77777777" w:rsidTr="005E77ED">
        <w:trPr>
          <w:tblHeader/>
        </w:trPr>
        <w:tc>
          <w:tcPr>
            <w:tcW w:w="796" w:type="pct"/>
            <w:vAlign w:val="center"/>
          </w:tcPr>
          <w:p w14:paraId="3479F82E" w14:textId="77777777" w:rsidR="007502F0" w:rsidRPr="00B41614" w:rsidRDefault="007502F0" w:rsidP="005E77ED">
            <w:pPr>
              <w:pStyle w:val="Tableheadingrow"/>
            </w:pPr>
            <w:r w:rsidRPr="00B41614">
              <w:t>Trial ID</w:t>
            </w:r>
          </w:p>
        </w:tc>
        <w:tc>
          <w:tcPr>
            <w:tcW w:w="3027" w:type="pct"/>
            <w:vAlign w:val="center"/>
          </w:tcPr>
          <w:p w14:paraId="4632BCA0" w14:textId="77777777" w:rsidR="007502F0" w:rsidRPr="00B41614" w:rsidRDefault="007502F0" w:rsidP="005E77ED">
            <w:pPr>
              <w:pStyle w:val="Tableheadingrow"/>
            </w:pPr>
            <w:r w:rsidRPr="00B41614">
              <w:t>Protocol title/ Publication title</w:t>
            </w:r>
          </w:p>
        </w:tc>
        <w:tc>
          <w:tcPr>
            <w:tcW w:w="1177" w:type="pct"/>
            <w:vAlign w:val="center"/>
          </w:tcPr>
          <w:p w14:paraId="237B1DA5" w14:textId="77777777" w:rsidR="007502F0" w:rsidRPr="00B41614" w:rsidRDefault="007502F0" w:rsidP="005E77ED">
            <w:pPr>
              <w:pStyle w:val="Tableheadingrow"/>
            </w:pPr>
            <w:r w:rsidRPr="00B41614">
              <w:t>Publication citation</w:t>
            </w:r>
          </w:p>
        </w:tc>
      </w:tr>
      <w:tr w:rsidR="007502F0" w:rsidRPr="00CB38A8" w14:paraId="4E51D693" w14:textId="77777777" w:rsidTr="005E77ED">
        <w:tc>
          <w:tcPr>
            <w:tcW w:w="796" w:type="pct"/>
            <w:tcBorders>
              <w:top w:val="nil"/>
              <w:bottom w:val="nil"/>
            </w:tcBorders>
            <w:vAlign w:val="center"/>
          </w:tcPr>
          <w:p w14:paraId="69DC2E32" w14:textId="77777777" w:rsidR="007502F0" w:rsidRPr="00CB38A8" w:rsidRDefault="007502F0" w:rsidP="005E77ED">
            <w:pPr>
              <w:pStyle w:val="TableText"/>
            </w:pPr>
          </w:p>
        </w:tc>
        <w:tc>
          <w:tcPr>
            <w:tcW w:w="3027" w:type="pct"/>
            <w:tcBorders>
              <w:top w:val="nil"/>
              <w:bottom w:val="nil"/>
            </w:tcBorders>
            <w:vAlign w:val="center"/>
          </w:tcPr>
          <w:p w14:paraId="3EE51D24" w14:textId="77777777" w:rsidR="007502F0" w:rsidRPr="00E34A35" w:rsidRDefault="007502F0" w:rsidP="005E77ED">
            <w:pPr>
              <w:pStyle w:val="TableText"/>
              <w:rPr>
                <w:szCs w:val="18"/>
              </w:rPr>
            </w:pPr>
            <w:r>
              <w:rPr>
                <w:szCs w:val="18"/>
              </w:rPr>
              <w:t>Velazquez EJ, Morrow DA et al. Angiotensin-neprilysin inhibition in acute decompensated heart failure.</w:t>
            </w:r>
          </w:p>
        </w:tc>
        <w:tc>
          <w:tcPr>
            <w:tcW w:w="1177" w:type="pct"/>
            <w:tcBorders>
              <w:top w:val="nil"/>
              <w:bottom w:val="nil"/>
            </w:tcBorders>
            <w:vAlign w:val="center"/>
          </w:tcPr>
          <w:p w14:paraId="769BB3E9" w14:textId="77777777" w:rsidR="007502F0" w:rsidRPr="00E34A35" w:rsidRDefault="007502F0" w:rsidP="005E77ED">
            <w:pPr>
              <w:pStyle w:val="TableText"/>
              <w:rPr>
                <w:szCs w:val="18"/>
              </w:rPr>
            </w:pPr>
            <w:r>
              <w:rPr>
                <w:i/>
                <w:szCs w:val="18"/>
              </w:rPr>
              <w:t>NEJM</w:t>
            </w:r>
            <w:r>
              <w:rPr>
                <w:szCs w:val="18"/>
              </w:rPr>
              <w:t xml:space="preserve"> </w:t>
            </w:r>
            <w:r w:rsidRPr="00E34A35">
              <w:rPr>
                <w:szCs w:val="18"/>
              </w:rPr>
              <w:t>201</w:t>
            </w:r>
            <w:r>
              <w:rPr>
                <w:szCs w:val="18"/>
              </w:rPr>
              <w:t>9</w:t>
            </w:r>
            <w:r w:rsidRPr="00E34A35">
              <w:rPr>
                <w:szCs w:val="18"/>
              </w:rPr>
              <w:t>; 3</w:t>
            </w:r>
            <w:r>
              <w:rPr>
                <w:szCs w:val="18"/>
              </w:rPr>
              <w:t>80</w:t>
            </w:r>
            <w:r w:rsidRPr="00E34A35">
              <w:rPr>
                <w:szCs w:val="18"/>
              </w:rPr>
              <w:t>:</w:t>
            </w:r>
            <w:r>
              <w:rPr>
                <w:szCs w:val="18"/>
              </w:rPr>
              <w:t>539-548</w:t>
            </w:r>
          </w:p>
        </w:tc>
      </w:tr>
      <w:tr w:rsidR="007502F0" w:rsidRPr="00CB38A8" w14:paraId="1FC325C0" w14:textId="77777777" w:rsidTr="005E77ED">
        <w:tc>
          <w:tcPr>
            <w:tcW w:w="796" w:type="pct"/>
            <w:tcBorders>
              <w:top w:val="nil"/>
              <w:bottom w:val="nil"/>
            </w:tcBorders>
            <w:vAlign w:val="center"/>
          </w:tcPr>
          <w:p w14:paraId="34A192A8" w14:textId="77777777" w:rsidR="007502F0" w:rsidRDefault="007502F0" w:rsidP="005E77ED">
            <w:pPr>
              <w:pStyle w:val="TableText"/>
            </w:pPr>
            <w:r>
              <w:t>PIONEER HF</w:t>
            </w:r>
          </w:p>
        </w:tc>
        <w:tc>
          <w:tcPr>
            <w:tcW w:w="3027" w:type="pct"/>
            <w:tcBorders>
              <w:top w:val="nil"/>
              <w:bottom w:val="nil"/>
            </w:tcBorders>
            <w:vAlign w:val="center"/>
          </w:tcPr>
          <w:p w14:paraId="3583F4EC" w14:textId="77777777" w:rsidR="007502F0" w:rsidRDefault="007502F0" w:rsidP="005E77ED">
            <w:pPr>
              <w:pStyle w:val="TableText"/>
              <w:rPr>
                <w:szCs w:val="18"/>
              </w:rPr>
            </w:pPr>
            <w:r>
              <w:rPr>
                <w:szCs w:val="18"/>
              </w:rPr>
              <w:t>Ambrosy AP et al. Angiotensin receptor-neprilysin inhibition in acute decompensated heart failure based on prior exposure to a conventional renin-angiotensin system antagonist. A prespecified subgroup analysis of the PIONEER-HF trial.</w:t>
            </w:r>
          </w:p>
        </w:tc>
        <w:tc>
          <w:tcPr>
            <w:tcW w:w="1177" w:type="pct"/>
            <w:tcBorders>
              <w:top w:val="nil"/>
              <w:bottom w:val="nil"/>
            </w:tcBorders>
            <w:vAlign w:val="center"/>
          </w:tcPr>
          <w:p w14:paraId="2257DCED" w14:textId="77777777" w:rsidR="007502F0" w:rsidRDefault="007502F0" w:rsidP="005E77ED">
            <w:pPr>
              <w:pStyle w:val="TableText"/>
              <w:rPr>
                <w:i/>
                <w:szCs w:val="18"/>
              </w:rPr>
            </w:pPr>
            <w:r>
              <w:rPr>
                <w:szCs w:val="18"/>
              </w:rPr>
              <w:t>Presented at American College of Cardiology Annual Meeting 2019; March 16-18, New Orleans.</w:t>
            </w:r>
          </w:p>
        </w:tc>
      </w:tr>
      <w:tr w:rsidR="007502F0" w:rsidRPr="00CB38A8" w14:paraId="560CE469" w14:textId="77777777" w:rsidTr="007502F0">
        <w:tc>
          <w:tcPr>
            <w:tcW w:w="796" w:type="pct"/>
            <w:tcBorders>
              <w:top w:val="nil"/>
              <w:bottom w:val="single" w:sz="4" w:space="0" w:color="auto"/>
            </w:tcBorders>
            <w:vAlign w:val="center"/>
          </w:tcPr>
          <w:p w14:paraId="1C8BEC54" w14:textId="77777777" w:rsidR="007502F0" w:rsidRPr="00CB38A8" w:rsidRDefault="007502F0" w:rsidP="005E77ED">
            <w:pPr>
              <w:pStyle w:val="TableText"/>
            </w:pPr>
          </w:p>
        </w:tc>
        <w:tc>
          <w:tcPr>
            <w:tcW w:w="3027" w:type="pct"/>
            <w:tcBorders>
              <w:top w:val="nil"/>
              <w:bottom w:val="single" w:sz="4" w:space="0" w:color="auto"/>
            </w:tcBorders>
            <w:vAlign w:val="center"/>
          </w:tcPr>
          <w:p w14:paraId="3EF6011F" w14:textId="77777777" w:rsidR="007502F0" w:rsidRPr="00AB6248" w:rsidRDefault="007502F0" w:rsidP="005E77ED">
            <w:pPr>
              <w:pStyle w:val="TableText"/>
              <w:rPr>
                <w:szCs w:val="18"/>
                <w:lang w:val="en-US"/>
              </w:rPr>
            </w:pPr>
            <w:r>
              <w:rPr>
                <w:szCs w:val="18"/>
                <w:lang w:val="en-US"/>
              </w:rPr>
              <w:t>Morrow DA, Velazquez EJ et al. Clinical outcomes in patients with acute decompensated heart failure randomly assigned to sacubitril/valsartan or enalapril in the PIONEER-HF trial.</w:t>
            </w:r>
          </w:p>
        </w:tc>
        <w:tc>
          <w:tcPr>
            <w:tcW w:w="1177" w:type="pct"/>
            <w:tcBorders>
              <w:top w:val="nil"/>
              <w:bottom w:val="single" w:sz="4" w:space="0" w:color="auto"/>
            </w:tcBorders>
            <w:vAlign w:val="center"/>
          </w:tcPr>
          <w:p w14:paraId="7E95DB59" w14:textId="77777777" w:rsidR="007502F0" w:rsidRPr="001233BE" w:rsidRDefault="007502F0" w:rsidP="005E77ED">
            <w:pPr>
              <w:pStyle w:val="TableText"/>
              <w:rPr>
                <w:i/>
                <w:szCs w:val="18"/>
                <w:lang w:val="en-US"/>
              </w:rPr>
            </w:pPr>
            <w:r>
              <w:rPr>
                <w:i/>
                <w:szCs w:val="18"/>
                <w:lang w:val="en-US"/>
              </w:rPr>
              <w:t>Circulation</w:t>
            </w:r>
            <w:r>
              <w:rPr>
                <w:szCs w:val="18"/>
                <w:lang w:val="en-US"/>
              </w:rPr>
              <w:t xml:space="preserve"> 2019; 139(19):2285-2288</w:t>
            </w:r>
          </w:p>
        </w:tc>
      </w:tr>
      <w:tr w:rsidR="007502F0" w:rsidRPr="00CB38A8" w14:paraId="7B693402" w14:textId="77777777" w:rsidTr="007502F0">
        <w:tc>
          <w:tcPr>
            <w:tcW w:w="796" w:type="pct"/>
            <w:tcBorders>
              <w:top w:val="single" w:sz="4" w:space="0" w:color="auto"/>
              <w:bottom w:val="single" w:sz="4" w:space="0" w:color="auto"/>
            </w:tcBorders>
            <w:vAlign w:val="center"/>
          </w:tcPr>
          <w:p w14:paraId="47A36C62" w14:textId="77777777" w:rsidR="007502F0" w:rsidRPr="00CB38A8" w:rsidRDefault="007502F0" w:rsidP="005E77ED">
            <w:pPr>
              <w:pStyle w:val="TableText"/>
            </w:pPr>
            <w:r>
              <w:t>TRANSITION</w:t>
            </w:r>
          </w:p>
        </w:tc>
        <w:tc>
          <w:tcPr>
            <w:tcW w:w="3027" w:type="pct"/>
            <w:tcBorders>
              <w:top w:val="single" w:sz="4" w:space="0" w:color="auto"/>
              <w:bottom w:val="single" w:sz="4" w:space="0" w:color="auto"/>
            </w:tcBorders>
            <w:vAlign w:val="center"/>
          </w:tcPr>
          <w:p w14:paraId="6381B614" w14:textId="77777777" w:rsidR="007502F0" w:rsidRPr="00E34A35" w:rsidRDefault="007502F0" w:rsidP="005E77ED">
            <w:pPr>
              <w:pStyle w:val="TableText"/>
              <w:rPr>
                <w:szCs w:val="18"/>
              </w:rPr>
            </w:pPr>
            <w:r>
              <w:rPr>
                <w:szCs w:val="18"/>
              </w:rPr>
              <w:t>Wachter R et al. Initiation of sacubitril/valsartan in haemodynamically stabilised heart failure patients in hospital or early after discharge: Primary results of the randomised TRANSITION study.</w:t>
            </w:r>
          </w:p>
        </w:tc>
        <w:tc>
          <w:tcPr>
            <w:tcW w:w="1177" w:type="pct"/>
            <w:tcBorders>
              <w:top w:val="single" w:sz="4" w:space="0" w:color="auto"/>
              <w:bottom w:val="single" w:sz="4" w:space="0" w:color="auto"/>
            </w:tcBorders>
            <w:vAlign w:val="center"/>
          </w:tcPr>
          <w:p w14:paraId="02330C3D" w14:textId="77777777" w:rsidR="007502F0" w:rsidRPr="00CB38A8" w:rsidRDefault="007502F0" w:rsidP="005E77ED">
            <w:pPr>
              <w:pStyle w:val="TableText"/>
              <w:rPr>
                <w:i/>
              </w:rPr>
            </w:pPr>
            <w:r>
              <w:rPr>
                <w:i/>
              </w:rPr>
              <w:t>Eur J Heart Fail</w:t>
            </w:r>
            <w:r>
              <w:t xml:space="preserve"> 2019; 21(8):998-1007</w:t>
            </w:r>
          </w:p>
        </w:tc>
      </w:tr>
      <w:tr w:rsidR="007502F0" w:rsidRPr="00CB38A8" w14:paraId="22733D0D" w14:textId="77777777" w:rsidTr="005E77ED">
        <w:tc>
          <w:tcPr>
            <w:tcW w:w="796" w:type="pct"/>
            <w:tcBorders>
              <w:top w:val="nil"/>
              <w:bottom w:val="single" w:sz="4" w:space="0" w:color="auto"/>
            </w:tcBorders>
            <w:vAlign w:val="center"/>
          </w:tcPr>
          <w:p w14:paraId="0DFD253F" w14:textId="77777777" w:rsidR="007502F0" w:rsidRDefault="007502F0" w:rsidP="005E77ED">
            <w:pPr>
              <w:pStyle w:val="TableText"/>
            </w:pPr>
            <w:r>
              <w:t>Tan 2020</w:t>
            </w:r>
          </w:p>
        </w:tc>
        <w:tc>
          <w:tcPr>
            <w:tcW w:w="3027" w:type="pct"/>
            <w:tcBorders>
              <w:top w:val="nil"/>
              <w:bottom w:val="single" w:sz="4" w:space="0" w:color="auto"/>
            </w:tcBorders>
            <w:vAlign w:val="center"/>
          </w:tcPr>
          <w:p w14:paraId="438A9750" w14:textId="77777777" w:rsidR="007502F0" w:rsidRDefault="007502F0" w:rsidP="005E77ED">
            <w:pPr>
              <w:pStyle w:val="TableText"/>
              <w:rPr>
                <w:szCs w:val="18"/>
              </w:rPr>
            </w:pPr>
            <w:r>
              <w:rPr>
                <w:szCs w:val="18"/>
              </w:rPr>
              <w:t>Tan NY, Sangaralingham LR et al. Comparative effectiveness of sacubitril-valsartan versus ACE/ARB therapy in heart failure with reduced ejection fraction.</w:t>
            </w:r>
          </w:p>
        </w:tc>
        <w:tc>
          <w:tcPr>
            <w:tcW w:w="1177" w:type="pct"/>
            <w:tcBorders>
              <w:top w:val="nil"/>
              <w:bottom w:val="single" w:sz="4" w:space="0" w:color="auto"/>
            </w:tcBorders>
            <w:vAlign w:val="center"/>
          </w:tcPr>
          <w:p w14:paraId="36DB9F18" w14:textId="77777777" w:rsidR="007502F0" w:rsidRDefault="007502F0" w:rsidP="005E77ED">
            <w:pPr>
              <w:pStyle w:val="TableText"/>
              <w:rPr>
                <w:i/>
              </w:rPr>
            </w:pPr>
            <w:r>
              <w:rPr>
                <w:i/>
              </w:rPr>
              <w:t>JACC: Heart Failure</w:t>
            </w:r>
            <w:r>
              <w:t xml:space="preserve"> 2020; 8(1):43-54</w:t>
            </w:r>
          </w:p>
        </w:tc>
      </w:tr>
    </w:tbl>
    <w:p w14:paraId="39F9F3B0" w14:textId="77777777" w:rsidR="008E0D3C" w:rsidRPr="00B1011F" w:rsidRDefault="007502F0" w:rsidP="00EC5836">
      <w:pPr>
        <w:pStyle w:val="TableFigureFooter"/>
        <w:rPr>
          <w:sz w:val="20"/>
        </w:rPr>
      </w:pPr>
      <w:r>
        <w:t>Source: Created during the evaluation from publications cited in Section 2 pp29-30 of the submission.</w:t>
      </w:r>
    </w:p>
    <w:p w14:paraId="45068A38" w14:textId="77777777" w:rsidR="007F1017" w:rsidRPr="00EC5836" w:rsidRDefault="008F120A" w:rsidP="00D640D8">
      <w:pPr>
        <w:pStyle w:val="ExecSumBodyText"/>
        <w:ind w:left="709" w:hanging="709"/>
        <w:rPr>
          <w:color w:val="0066FF"/>
        </w:rPr>
      </w:pPr>
      <w:r w:rsidRPr="00B50DB8">
        <w:t xml:space="preserve">The key features of the </w:t>
      </w:r>
      <w:r w:rsidR="00621ADA">
        <w:t>included evidence</w:t>
      </w:r>
      <w:r w:rsidRPr="00B50DB8">
        <w:t xml:space="preserve"> are summarised in the table below.</w:t>
      </w:r>
      <w:r w:rsidR="00BC591F">
        <w:t xml:space="preserve"> </w:t>
      </w:r>
    </w:p>
    <w:p w14:paraId="26F153AC" w14:textId="77777777" w:rsidR="007F1017" w:rsidRPr="00EC5836" w:rsidRDefault="007F1017" w:rsidP="00230DB1">
      <w:pPr>
        <w:pStyle w:val="TableFigureCaption"/>
      </w:pPr>
      <w:r w:rsidRPr="00EC5836">
        <w:lastRenderedPageBreak/>
        <w:t xml:space="preserve">Table </w:t>
      </w:r>
      <w:r w:rsidR="00D640D8">
        <w:t>3</w:t>
      </w:r>
      <w:r w:rsidRPr="00EC5836">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8"/>
        <w:gridCol w:w="559"/>
        <w:gridCol w:w="1986"/>
        <w:gridCol w:w="808"/>
        <w:gridCol w:w="1885"/>
        <w:gridCol w:w="2501"/>
      </w:tblGrid>
      <w:tr w:rsidR="007502F0" w:rsidRPr="00B41614" w14:paraId="2FB1C41B" w14:textId="77777777" w:rsidTr="00867809">
        <w:trPr>
          <w:cantSplit/>
          <w:tblHeader/>
        </w:trPr>
        <w:tc>
          <w:tcPr>
            <w:tcW w:w="709" w:type="pct"/>
            <w:shd w:val="clear" w:color="auto" w:fill="auto"/>
            <w:vAlign w:val="center"/>
          </w:tcPr>
          <w:p w14:paraId="1323B259" w14:textId="77777777" w:rsidR="007502F0" w:rsidRPr="00B41614" w:rsidRDefault="007502F0" w:rsidP="001E34DF">
            <w:pPr>
              <w:pStyle w:val="Tableheadingrow"/>
            </w:pPr>
            <w:r w:rsidRPr="00B41614">
              <w:t>Trial</w:t>
            </w:r>
          </w:p>
        </w:tc>
        <w:tc>
          <w:tcPr>
            <w:tcW w:w="310" w:type="pct"/>
            <w:shd w:val="clear" w:color="auto" w:fill="auto"/>
            <w:vAlign w:val="center"/>
          </w:tcPr>
          <w:p w14:paraId="5B7DB109" w14:textId="77777777" w:rsidR="007502F0" w:rsidRPr="00B41614" w:rsidRDefault="007502F0" w:rsidP="00EC5836">
            <w:pPr>
              <w:pStyle w:val="Tableheadingrow"/>
              <w:jc w:val="center"/>
            </w:pPr>
            <w:r w:rsidRPr="00B41614">
              <w:t>N</w:t>
            </w:r>
          </w:p>
        </w:tc>
        <w:tc>
          <w:tcPr>
            <w:tcW w:w="1101" w:type="pct"/>
            <w:shd w:val="clear" w:color="auto" w:fill="auto"/>
            <w:vAlign w:val="center"/>
          </w:tcPr>
          <w:p w14:paraId="7FFD82A7" w14:textId="77777777" w:rsidR="007502F0" w:rsidRPr="00B41614" w:rsidRDefault="007502F0" w:rsidP="00EC5836">
            <w:pPr>
              <w:pStyle w:val="Tableheadingrow"/>
              <w:jc w:val="center"/>
            </w:pPr>
            <w:r w:rsidRPr="00B41614">
              <w:t>Design/ duration</w:t>
            </w:r>
          </w:p>
        </w:tc>
        <w:tc>
          <w:tcPr>
            <w:tcW w:w="448" w:type="pct"/>
            <w:shd w:val="clear" w:color="auto" w:fill="auto"/>
            <w:vAlign w:val="center"/>
          </w:tcPr>
          <w:p w14:paraId="3B8A3F72" w14:textId="77777777" w:rsidR="007502F0" w:rsidRPr="00B41614" w:rsidRDefault="007502F0" w:rsidP="00EC5836">
            <w:pPr>
              <w:pStyle w:val="Tableheadingrow"/>
              <w:jc w:val="center"/>
            </w:pPr>
            <w:r w:rsidRPr="00B41614">
              <w:t>Risk of bias</w:t>
            </w:r>
          </w:p>
        </w:tc>
        <w:tc>
          <w:tcPr>
            <w:tcW w:w="1045" w:type="pct"/>
            <w:shd w:val="clear" w:color="auto" w:fill="auto"/>
            <w:vAlign w:val="center"/>
          </w:tcPr>
          <w:p w14:paraId="41B0DF24" w14:textId="77777777" w:rsidR="007502F0" w:rsidRPr="00B41614" w:rsidRDefault="007502F0" w:rsidP="00EC5836">
            <w:pPr>
              <w:pStyle w:val="Tableheadingrow"/>
              <w:jc w:val="center"/>
            </w:pPr>
            <w:r w:rsidRPr="00B41614">
              <w:t>Patient population</w:t>
            </w:r>
          </w:p>
        </w:tc>
        <w:tc>
          <w:tcPr>
            <w:tcW w:w="1387" w:type="pct"/>
            <w:shd w:val="clear" w:color="auto" w:fill="auto"/>
            <w:vAlign w:val="center"/>
          </w:tcPr>
          <w:p w14:paraId="396D430B" w14:textId="77777777" w:rsidR="007502F0" w:rsidRPr="00B41614" w:rsidRDefault="0045075D" w:rsidP="0045075D">
            <w:pPr>
              <w:pStyle w:val="Tableheadingrow"/>
              <w:jc w:val="center"/>
            </w:pPr>
            <w:r>
              <w:t xml:space="preserve">Key </w:t>
            </w:r>
            <w:r w:rsidR="00ED5AAB">
              <w:t>Outcomes</w:t>
            </w:r>
          </w:p>
        </w:tc>
      </w:tr>
      <w:tr w:rsidR="007502F0" w:rsidRPr="00E2771E" w14:paraId="0883F830" w14:textId="77777777" w:rsidTr="00867809">
        <w:trPr>
          <w:cantSplit/>
        </w:trPr>
        <w:tc>
          <w:tcPr>
            <w:tcW w:w="709" w:type="pct"/>
            <w:shd w:val="clear" w:color="auto" w:fill="auto"/>
            <w:vAlign w:val="center"/>
          </w:tcPr>
          <w:p w14:paraId="51BD01BF" w14:textId="77777777" w:rsidR="007502F0" w:rsidRPr="00E2771E" w:rsidRDefault="00B16AAA" w:rsidP="00EC5836">
            <w:pPr>
              <w:pStyle w:val="TableText"/>
              <w:rPr>
                <w:lang w:val="en-US"/>
              </w:rPr>
            </w:pPr>
            <w:r>
              <w:rPr>
                <w:lang w:val="en-US"/>
              </w:rPr>
              <w:t>PIONEER-HF</w:t>
            </w:r>
          </w:p>
        </w:tc>
        <w:tc>
          <w:tcPr>
            <w:tcW w:w="310" w:type="pct"/>
            <w:shd w:val="clear" w:color="auto" w:fill="auto"/>
            <w:vAlign w:val="center"/>
          </w:tcPr>
          <w:p w14:paraId="5AF8D03B" w14:textId="77777777" w:rsidR="007502F0" w:rsidRPr="00E2771E" w:rsidRDefault="00867809" w:rsidP="00EC5836">
            <w:pPr>
              <w:pStyle w:val="TableText"/>
              <w:jc w:val="center"/>
              <w:rPr>
                <w:lang w:val="en-US"/>
              </w:rPr>
            </w:pPr>
            <w:r>
              <w:rPr>
                <w:lang w:val="en-US"/>
              </w:rPr>
              <w:t>887</w:t>
            </w:r>
          </w:p>
        </w:tc>
        <w:tc>
          <w:tcPr>
            <w:tcW w:w="1101" w:type="pct"/>
            <w:shd w:val="clear" w:color="auto" w:fill="auto"/>
            <w:vAlign w:val="center"/>
          </w:tcPr>
          <w:p w14:paraId="16594B17" w14:textId="77777777" w:rsidR="007502F0" w:rsidRPr="00E2771E" w:rsidRDefault="00867809" w:rsidP="00867809">
            <w:pPr>
              <w:pStyle w:val="TableText"/>
              <w:jc w:val="center"/>
              <w:rPr>
                <w:lang w:val="en-US"/>
              </w:rPr>
            </w:pPr>
            <w:r>
              <w:rPr>
                <w:lang w:val="en-US"/>
              </w:rPr>
              <w:t>Phase 3b/4 multicentre, double blind, active controlled, parallel group RCT (8 weeks)</w:t>
            </w:r>
          </w:p>
        </w:tc>
        <w:tc>
          <w:tcPr>
            <w:tcW w:w="448" w:type="pct"/>
            <w:shd w:val="clear" w:color="auto" w:fill="auto"/>
            <w:vAlign w:val="center"/>
          </w:tcPr>
          <w:p w14:paraId="7AA27B28" w14:textId="77777777" w:rsidR="007502F0" w:rsidRPr="00123902" w:rsidRDefault="00B16AAA" w:rsidP="00EC5836">
            <w:pPr>
              <w:pStyle w:val="TableText"/>
              <w:jc w:val="center"/>
              <w:rPr>
                <w:i/>
                <w:lang w:val="en-US"/>
              </w:rPr>
            </w:pPr>
            <w:r>
              <w:rPr>
                <w:i/>
                <w:lang w:val="en-US"/>
              </w:rPr>
              <w:t>Low</w:t>
            </w:r>
          </w:p>
        </w:tc>
        <w:tc>
          <w:tcPr>
            <w:tcW w:w="1045" w:type="pct"/>
            <w:shd w:val="clear" w:color="auto" w:fill="auto"/>
            <w:vAlign w:val="center"/>
          </w:tcPr>
          <w:p w14:paraId="465BAA83" w14:textId="77777777" w:rsidR="007502F0" w:rsidRPr="00E2771E" w:rsidRDefault="00867809" w:rsidP="0045075D">
            <w:pPr>
              <w:pStyle w:val="TableText"/>
              <w:jc w:val="center"/>
              <w:rPr>
                <w:lang w:val="en-US"/>
              </w:rPr>
            </w:pPr>
            <w:r>
              <w:rPr>
                <w:lang w:val="en-US"/>
              </w:rPr>
              <w:t>Adults hospitali</w:t>
            </w:r>
            <w:r w:rsidR="0045075D">
              <w:rPr>
                <w:lang w:val="en-US"/>
              </w:rPr>
              <w:t>s</w:t>
            </w:r>
            <w:r>
              <w:rPr>
                <w:lang w:val="en-US"/>
              </w:rPr>
              <w:t xml:space="preserve">ed with primary diagnosis of acute decompensated </w:t>
            </w:r>
            <w:r w:rsidR="0045075D">
              <w:rPr>
                <w:lang w:val="en-US"/>
              </w:rPr>
              <w:t>HF</w:t>
            </w:r>
            <w:r>
              <w:rPr>
                <w:lang w:val="en-US"/>
              </w:rPr>
              <w:t>, LVEF</w:t>
            </w:r>
            <w:r w:rsidRPr="001F43B4">
              <w:t>≤</w:t>
            </w:r>
            <w:r>
              <w:t>40%</w:t>
            </w:r>
            <w:r>
              <w:rPr>
                <w:lang w:val="en-US"/>
              </w:rPr>
              <w:t xml:space="preserve"> </w:t>
            </w:r>
          </w:p>
        </w:tc>
        <w:tc>
          <w:tcPr>
            <w:tcW w:w="1387" w:type="pct"/>
            <w:shd w:val="clear" w:color="auto" w:fill="auto"/>
            <w:vAlign w:val="center"/>
          </w:tcPr>
          <w:p w14:paraId="45A93C88" w14:textId="77777777" w:rsidR="007502F0" w:rsidRPr="00E2771E" w:rsidRDefault="0045075D" w:rsidP="0045075D">
            <w:pPr>
              <w:pStyle w:val="TableText"/>
              <w:jc w:val="center"/>
              <w:rPr>
                <w:lang w:val="en-US"/>
              </w:rPr>
            </w:pPr>
            <w:r>
              <w:t>Change from baseline in</w:t>
            </w:r>
            <w:r w:rsidRPr="001F43B4">
              <w:t xml:space="preserve"> NT-proBNP concentration</w:t>
            </w:r>
            <w:r>
              <w:t xml:space="preserve">, </w:t>
            </w:r>
            <w:r w:rsidRPr="0045075D">
              <w:t xml:space="preserve">death, rehospitalisation for heart failure, implantation of </w:t>
            </w:r>
            <w:r>
              <w:t>LVAD</w:t>
            </w:r>
            <w:r w:rsidRPr="0045075D">
              <w:t xml:space="preserve">, inclusion on </w:t>
            </w:r>
            <w:r>
              <w:t>heart transplant list</w:t>
            </w:r>
          </w:p>
        </w:tc>
      </w:tr>
      <w:tr w:rsidR="007502F0" w:rsidRPr="00E2771E" w14:paraId="6EC224AE" w14:textId="77777777" w:rsidTr="00867809">
        <w:trPr>
          <w:cantSplit/>
        </w:trPr>
        <w:tc>
          <w:tcPr>
            <w:tcW w:w="709" w:type="pct"/>
            <w:shd w:val="clear" w:color="auto" w:fill="auto"/>
            <w:vAlign w:val="center"/>
          </w:tcPr>
          <w:p w14:paraId="49D5078E" w14:textId="77777777" w:rsidR="007502F0" w:rsidRPr="00E2771E" w:rsidRDefault="00B16AAA" w:rsidP="00EC5836">
            <w:pPr>
              <w:pStyle w:val="TableText"/>
              <w:rPr>
                <w:lang w:val="en-US"/>
              </w:rPr>
            </w:pPr>
            <w:r>
              <w:rPr>
                <w:lang w:val="en-US"/>
              </w:rPr>
              <w:t>TRANSITION</w:t>
            </w:r>
          </w:p>
        </w:tc>
        <w:tc>
          <w:tcPr>
            <w:tcW w:w="310" w:type="pct"/>
            <w:shd w:val="clear" w:color="auto" w:fill="auto"/>
            <w:vAlign w:val="center"/>
          </w:tcPr>
          <w:p w14:paraId="0C8F9C52" w14:textId="77777777" w:rsidR="007502F0" w:rsidRPr="00E2771E" w:rsidRDefault="00867809" w:rsidP="00EC5836">
            <w:pPr>
              <w:pStyle w:val="TableText"/>
              <w:jc w:val="center"/>
              <w:rPr>
                <w:lang w:val="en-US"/>
              </w:rPr>
            </w:pPr>
            <w:r>
              <w:rPr>
                <w:lang w:val="en-US"/>
              </w:rPr>
              <w:t>1002</w:t>
            </w:r>
          </w:p>
        </w:tc>
        <w:tc>
          <w:tcPr>
            <w:tcW w:w="1101" w:type="pct"/>
            <w:shd w:val="clear" w:color="auto" w:fill="auto"/>
            <w:vAlign w:val="center"/>
          </w:tcPr>
          <w:p w14:paraId="7C6C9F12" w14:textId="77777777" w:rsidR="007502F0" w:rsidRPr="00E2771E" w:rsidRDefault="00867809" w:rsidP="00ED5AAB">
            <w:pPr>
              <w:pStyle w:val="TableText"/>
              <w:jc w:val="center"/>
              <w:rPr>
                <w:lang w:val="en-US"/>
              </w:rPr>
            </w:pPr>
            <w:r>
              <w:rPr>
                <w:lang w:val="en-US"/>
              </w:rPr>
              <w:t>Phase 4, multicentre, open-label, parallel group randomi</w:t>
            </w:r>
            <w:r w:rsidR="00ED5AAB">
              <w:rPr>
                <w:lang w:val="en-US"/>
              </w:rPr>
              <w:t>s</w:t>
            </w:r>
            <w:r>
              <w:rPr>
                <w:lang w:val="en-US"/>
              </w:rPr>
              <w:t>ed controlled safety and biomarker study (10 weeks)</w:t>
            </w:r>
          </w:p>
        </w:tc>
        <w:tc>
          <w:tcPr>
            <w:tcW w:w="448" w:type="pct"/>
            <w:shd w:val="clear" w:color="auto" w:fill="auto"/>
            <w:vAlign w:val="center"/>
          </w:tcPr>
          <w:p w14:paraId="6E1F78F6" w14:textId="77777777" w:rsidR="007502F0" w:rsidRPr="00123902" w:rsidRDefault="00B16AAA" w:rsidP="00EC5836">
            <w:pPr>
              <w:pStyle w:val="TableText"/>
              <w:jc w:val="center"/>
              <w:rPr>
                <w:i/>
                <w:lang w:val="en-US"/>
              </w:rPr>
            </w:pPr>
            <w:r>
              <w:rPr>
                <w:i/>
                <w:lang w:val="en-US"/>
              </w:rPr>
              <w:t>High</w:t>
            </w:r>
          </w:p>
        </w:tc>
        <w:tc>
          <w:tcPr>
            <w:tcW w:w="1045" w:type="pct"/>
            <w:shd w:val="clear" w:color="auto" w:fill="auto"/>
            <w:vAlign w:val="center"/>
          </w:tcPr>
          <w:p w14:paraId="48706649" w14:textId="77777777" w:rsidR="007502F0" w:rsidRPr="00E2771E" w:rsidRDefault="0045075D" w:rsidP="0045075D">
            <w:pPr>
              <w:pStyle w:val="TableText"/>
              <w:jc w:val="center"/>
              <w:rPr>
                <w:lang w:val="en-US"/>
              </w:rPr>
            </w:pPr>
            <w:r>
              <w:rPr>
                <w:lang w:val="en-US"/>
              </w:rPr>
              <w:t>Adults hospitalised with acute decompensated HF (new or exacerbation of chronic HF), LVEF</w:t>
            </w:r>
            <w:r w:rsidRPr="001F43B4">
              <w:t>≤</w:t>
            </w:r>
            <w:r>
              <w:t>40%, NYHA Class II-IV</w:t>
            </w:r>
          </w:p>
        </w:tc>
        <w:tc>
          <w:tcPr>
            <w:tcW w:w="1387" w:type="pct"/>
            <w:shd w:val="clear" w:color="auto" w:fill="auto"/>
            <w:vAlign w:val="center"/>
          </w:tcPr>
          <w:p w14:paraId="1B10CE2C" w14:textId="77777777" w:rsidR="007502F0" w:rsidRPr="00E2771E" w:rsidRDefault="0045075D" w:rsidP="0045075D">
            <w:pPr>
              <w:pStyle w:val="TableText"/>
              <w:jc w:val="center"/>
              <w:rPr>
                <w:lang w:val="en-US"/>
              </w:rPr>
            </w:pPr>
            <w:r>
              <w:rPr>
                <w:lang w:val="en-US"/>
              </w:rPr>
              <w:t>% patients achieving target</w:t>
            </w:r>
            <w:r w:rsidRPr="00097001">
              <w:t xml:space="preserve"> sacubitril/valsartan dose of 97/103mg twice daily at the end </w:t>
            </w:r>
            <w:r>
              <w:t>of week 10 after randomisation; adverse events</w:t>
            </w:r>
          </w:p>
        </w:tc>
      </w:tr>
      <w:tr w:rsidR="007502F0" w:rsidRPr="00E2771E" w14:paraId="5D38A4AF" w14:textId="77777777" w:rsidTr="00867809">
        <w:trPr>
          <w:cantSplit/>
        </w:trPr>
        <w:tc>
          <w:tcPr>
            <w:tcW w:w="709" w:type="pct"/>
            <w:shd w:val="clear" w:color="auto" w:fill="auto"/>
            <w:vAlign w:val="center"/>
          </w:tcPr>
          <w:p w14:paraId="290617FB" w14:textId="77777777" w:rsidR="007502F0" w:rsidRPr="00E2771E" w:rsidRDefault="00B16AAA" w:rsidP="00EC5836">
            <w:pPr>
              <w:pStyle w:val="TableText"/>
              <w:rPr>
                <w:lang w:val="en-US"/>
              </w:rPr>
            </w:pPr>
            <w:r>
              <w:rPr>
                <w:lang w:val="en-US"/>
              </w:rPr>
              <w:t>Tan 2020</w:t>
            </w:r>
          </w:p>
        </w:tc>
        <w:tc>
          <w:tcPr>
            <w:tcW w:w="310" w:type="pct"/>
            <w:shd w:val="clear" w:color="auto" w:fill="auto"/>
            <w:vAlign w:val="center"/>
          </w:tcPr>
          <w:p w14:paraId="69D2B9E5" w14:textId="77777777" w:rsidR="007502F0" w:rsidRPr="00E2771E" w:rsidRDefault="00867809" w:rsidP="00EC5836">
            <w:pPr>
              <w:pStyle w:val="TableText"/>
              <w:jc w:val="center"/>
              <w:rPr>
                <w:lang w:val="en-US"/>
              </w:rPr>
            </w:pPr>
            <w:r>
              <w:rPr>
                <w:lang w:val="en-US"/>
              </w:rPr>
              <w:t>15,786</w:t>
            </w:r>
          </w:p>
        </w:tc>
        <w:tc>
          <w:tcPr>
            <w:tcW w:w="1101" w:type="pct"/>
            <w:shd w:val="clear" w:color="auto" w:fill="auto"/>
            <w:vAlign w:val="center"/>
          </w:tcPr>
          <w:p w14:paraId="54326B7E" w14:textId="77777777" w:rsidR="007502F0" w:rsidRPr="00E2771E" w:rsidRDefault="00867809" w:rsidP="00EC5836">
            <w:pPr>
              <w:pStyle w:val="TableText"/>
              <w:jc w:val="center"/>
              <w:rPr>
                <w:lang w:val="en-US"/>
              </w:rPr>
            </w:pPr>
            <w:r>
              <w:rPr>
                <w:lang w:val="en-US"/>
              </w:rPr>
              <w:t xml:space="preserve">Retrospective cohort </w:t>
            </w:r>
            <w:r w:rsidR="00557D2C">
              <w:rPr>
                <w:lang w:val="en-US"/>
              </w:rPr>
              <w:t xml:space="preserve">matched-pairs </w:t>
            </w:r>
            <w:r>
              <w:rPr>
                <w:lang w:val="en-US"/>
              </w:rPr>
              <w:t>study of medical claims data (approx. 2.5 years)</w:t>
            </w:r>
          </w:p>
        </w:tc>
        <w:tc>
          <w:tcPr>
            <w:tcW w:w="448" w:type="pct"/>
            <w:shd w:val="clear" w:color="auto" w:fill="auto"/>
            <w:vAlign w:val="center"/>
          </w:tcPr>
          <w:p w14:paraId="2D52B0CB" w14:textId="77777777" w:rsidR="007502F0" w:rsidRPr="00123902" w:rsidRDefault="00B16AAA" w:rsidP="00EC5836">
            <w:pPr>
              <w:pStyle w:val="TableText"/>
              <w:jc w:val="center"/>
              <w:rPr>
                <w:i/>
                <w:lang w:val="en-US"/>
              </w:rPr>
            </w:pPr>
            <w:r>
              <w:rPr>
                <w:i/>
                <w:lang w:val="en-US"/>
              </w:rPr>
              <w:t>High</w:t>
            </w:r>
          </w:p>
        </w:tc>
        <w:tc>
          <w:tcPr>
            <w:tcW w:w="1045" w:type="pct"/>
            <w:shd w:val="clear" w:color="auto" w:fill="auto"/>
            <w:vAlign w:val="center"/>
          </w:tcPr>
          <w:p w14:paraId="5855246D" w14:textId="77777777" w:rsidR="007502F0" w:rsidRPr="00E2771E" w:rsidRDefault="00557D2C" w:rsidP="00557D2C">
            <w:pPr>
              <w:pStyle w:val="TableText"/>
              <w:jc w:val="center"/>
              <w:rPr>
                <w:lang w:val="en-US"/>
              </w:rPr>
            </w:pPr>
            <w:r w:rsidRPr="00045322">
              <w:t xml:space="preserve">Adults with prior diagnosis of systolic heart failure, </w:t>
            </w:r>
            <w:r>
              <w:t>LVEF &lt;45%</w:t>
            </w:r>
            <w:r w:rsidRPr="00045322">
              <w:t>.</w:t>
            </w:r>
          </w:p>
        </w:tc>
        <w:tc>
          <w:tcPr>
            <w:tcW w:w="1387" w:type="pct"/>
            <w:shd w:val="clear" w:color="auto" w:fill="auto"/>
            <w:vAlign w:val="center"/>
          </w:tcPr>
          <w:p w14:paraId="55634AC7" w14:textId="77777777" w:rsidR="007502F0" w:rsidRPr="00E2771E" w:rsidRDefault="00557D2C" w:rsidP="00EC5836">
            <w:pPr>
              <w:pStyle w:val="TableText"/>
              <w:jc w:val="center"/>
              <w:rPr>
                <w:lang w:val="en-US"/>
              </w:rPr>
            </w:pPr>
            <w:r>
              <w:t xml:space="preserve">Composite outcome of all-cause-mortality or all-cause </w:t>
            </w:r>
            <w:r w:rsidRPr="00045322">
              <w:t>hospitalisation</w:t>
            </w:r>
          </w:p>
        </w:tc>
      </w:tr>
    </w:tbl>
    <w:p w14:paraId="6112B918" w14:textId="77777777" w:rsidR="00867809" w:rsidRDefault="00045017" w:rsidP="00867809">
      <w:pPr>
        <w:pStyle w:val="TableFigureFooter"/>
      </w:pPr>
      <w:r>
        <w:t xml:space="preserve">Source: </w:t>
      </w:r>
      <w:r w:rsidR="00B16AAA" w:rsidRPr="005230C0">
        <w:t>Section 2.1, pp30-32; Section 2.2.3, pp43-44 of the submission</w:t>
      </w:r>
      <w:r w:rsidR="00867809">
        <w:t>; PIONEER-HF and TRANSITION publications</w:t>
      </w:r>
      <w:r>
        <w:t>.</w:t>
      </w:r>
    </w:p>
    <w:p w14:paraId="2653C0A9" w14:textId="77777777" w:rsidR="00867809" w:rsidRDefault="00867809" w:rsidP="00867809">
      <w:pPr>
        <w:pStyle w:val="TableFigureFooter"/>
      </w:pPr>
      <w:r>
        <w:t>Abbreviations: ACE, angiotensin-converting enzyme; ARB, angiotensin II receptor blocker;</w:t>
      </w:r>
      <w:r w:rsidR="0045075D">
        <w:t xml:space="preserve"> HF, heart failure;</w:t>
      </w:r>
      <w:r>
        <w:t xml:space="preserve"> </w:t>
      </w:r>
      <w:r w:rsidR="0045075D">
        <w:t xml:space="preserve">LVAD, left ventricular assist device; </w:t>
      </w:r>
      <w:r>
        <w:t xml:space="preserve">LVEF, left ventricular ejection fraction; </w:t>
      </w:r>
      <w:r w:rsidRPr="00CC70ED">
        <w:t>NT-proBNP, N-terminal pro b-type natriuretic peptide</w:t>
      </w:r>
      <w:r>
        <w:t xml:space="preserve">; </w:t>
      </w:r>
      <w:r w:rsidR="0045075D">
        <w:t xml:space="preserve">NYHA, New York Heart Association; </w:t>
      </w:r>
      <w:r>
        <w:t>RCT, randomised controlled trial</w:t>
      </w:r>
    </w:p>
    <w:p w14:paraId="7612DF4B" w14:textId="77777777" w:rsidR="00FF71C4" w:rsidRPr="005226CA" w:rsidRDefault="00FF71C4" w:rsidP="00D640D8">
      <w:pPr>
        <w:pStyle w:val="ExecSumBodyText"/>
        <w:ind w:left="709" w:hanging="709"/>
      </w:pPr>
      <w:r w:rsidRPr="00FF71C4">
        <w:t>The PIONEER-HR trial compared 8 weeks of treatment with sacubitril/valsartan or enalapril in patients hospitalised with acute decompensate</w:t>
      </w:r>
      <w:r>
        <w:t>d</w:t>
      </w:r>
      <w:r w:rsidRPr="00FF71C4">
        <w:t xml:space="preserve"> heart failure</w:t>
      </w:r>
      <w:r>
        <w:t xml:space="preserve">, with </w:t>
      </w:r>
      <w:r w:rsidRPr="00FF71C4">
        <w:t xml:space="preserve">LVEF </w:t>
      </w:r>
      <w:r w:rsidRPr="001F43B4">
        <w:t>≤</w:t>
      </w:r>
      <w:r>
        <w:t xml:space="preserve">40%. </w:t>
      </w:r>
      <w:r w:rsidR="00BB1717">
        <w:t xml:space="preserve">The trial included pre-specified subgroup comparisons of </w:t>
      </w:r>
      <w:r>
        <w:t>ACE-inhibitor/ARB-naïve</w:t>
      </w:r>
      <w:r w:rsidR="00BB1717">
        <w:t xml:space="preserve"> and -experienced</w:t>
      </w:r>
      <w:r>
        <w:t xml:space="preserve"> patients</w:t>
      </w:r>
      <w:r w:rsidRPr="005226CA">
        <w:t xml:space="preserve">. </w:t>
      </w:r>
      <w:r w:rsidR="00236891" w:rsidRPr="005226CA">
        <w:t xml:space="preserve">Patients in the treatment-experienced subgroup were older, more likely to have a prior diagnosis of heart failure before the index hospitalisation date, and were more likely to be receiving other treatments for heart failure compared to the ACE-inhibitor/ARB-naïve subgroup). </w:t>
      </w:r>
      <w:r w:rsidRPr="005226CA">
        <w:t xml:space="preserve">Clinical endpoints in the PIONEER-HF trial were exploratory only, </w:t>
      </w:r>
      <w:r w:rsidR="003F2B1D">
        <w:t>while</w:t>
      </w:r>
      <w:r w:rsidR="003F2B1D" w:rsidRPr="005226CA">
        <w:t xml:space="preserve"> </w:t>
      </w:r>
      <w:r w:rsidRPr="005226CA">
        <w:t>results were not adjusted for multiple comparisons.</w:t>
      </w:r>
      <w:r w:rsidR="00CF1BF9" w:rsidRPr="005226CA">
        <w:t xml:space="preserve"> Data for the subgroup analysis were obtained from a conference poster, and limited information was available for the subgroup analysis methodology.</w:t>
      </w:r>
      <w:r w:rsidR="003F2B1D">
        <w:t xml:space="preserve">  </w:t>
      </w:r>
      <w:r w:rsidR="003F2B1D" w:rsidRPr="003A5C34">
        <w:t xml:space="preserve">The </w:t>
      </w:r>
      <w:r w:rsidR="003C0B06" w:rsidRPr="003A5C34">
        <w:t>Pre-Sub-Committee Response</w:t>
      </w:r>
      <w:r w:rsidR="003F2B1D" w:rsidRPr="003A5C34">
        <w:t xml:space="preserve"> </w:t>
      </w:r>
      <w:r w:rsidR="003C0B06" w:rsidRPr="003A5C34">
        <w:t>(</w:t>
      </w:r>
      <w:r w:rsidR="003F2B1D" w:rsidRPr="003A5C34">
        <w:t>PSCR</w:t>
      </w:r>
      <w:r w:rsidR="003C0B06" w:rsidRPr="003A5C34">
        <w:t>)</w:t>
      </w:r>
      <w:r w:rsidR="003F2B1D" w:rsidRPr="003A5C34">
        <w:t xml:space="preserve"> </w:t>
      </w:r>
      <w:r w:rsidR="003C0B06" w:rsidRPr="003A5C34">
        <w:t xml:space="preserve">stated </w:t>
      </w:r>
      <w:r w:rsidR="003F2B1D" w:rsidRPr="003A5C34">
        <w:t>that no further data on the subgroup analysis would be forthcoming.</w:t>
      </w:r>
      <w:r w:rsidR="001801A7" w:rsidRPr="003A5C34">
        <w:t xml:space="preserve">  The ESC felt that this was inappropriate and greatly limited the weight that could be placed on this data.</w:t>
      </w:r>
      <w:r w:rsidR="00E077FA">
        <w:t xml:space="preserve">  However, the pre-PBAC response did include a reference to this analysis being subsequently published in the Journal of the American College of Cardiology (Ambrosy, 2020).</w:t>
      </w:r>
      <w:r w:rsidR="001801A7">
        <w:rPr>
          <w:i/>
        </w:rPr>
        <w:t xml:space="preserve"> </w:t>
      </w:r>
    </w:p>
    <w:p w14:paraId="4D0D4086" w14:textId="77777777" w:rsidR="009512E1" w:rsidRPr="005226CA" w:rsidRDefault="00A334C5" w:rsidP="00D640D8">
      <w:pPr>
        <w:pStyle w:val="ExecSumBodyText"/>
        <w:ind w:left="709" w:hanging="709"/>
      </w:pPr>
      <w:r w:rsidRPr="005226CA">
        <w:t xml:space="preserve">The TRANSITION trial compared initiation of sacubitril/valsartan in patients either pre- or post-discharge from hospitalisation for acute decompensated heart failure. Results from this study were included in the submission to compare safety outcomes in ACE-inhibitor/ARB-naïve or experienced patients. </w:t>
      </w:r>
    </w:p>
    <w:p w14:paraId="10712D53" w14:textId="77777777" w:rsidR="00C565F3" w:rsidRPr="005226CA" w:rsidRDefault="009512E1" w:rsidP="00D640D8">
      <w:pPr>
        <w:pStyle w:val="ExecSumBodyText"/>
        <w:ind w:left="709" w:hanging="709"/>
      </w:pPr>
      <w:r w:rsidRPr="005226CA">
        <w:t xml:space="preserve">The retrospective cohort study </w:t>
      </w:r>
      <w:r w:rsidR="00870981" w:rsidRPr="005226CA">
        <w:t xml:space="preserve">(Tan 2020) </w:t>
      </w:r>
      <w:r w:rsidRPr="005226CA">
        <w:t xml:space="preserve">used prescribing claims data from a US database for sacubitril/valsartan or an ACE-inhibitor/ARB, in patients with a diagnosis of heart failure. </w:t>
      </w:r>
      <w:r w:rsidR="00D45FF2" w:rsidRPr="005226CA">
        <w:t>Patients were matched based on clinical characteristics and prior treatments, and subgroup results were available based on ACE-inhibitor/ARB experience</w:t>
      </w:r>
      <w:r w:rsidR="00DF3A0E" w:rsidRPr="005226CA">
        <w:t>.</w:t>
      </w:r>
    </w:p>
    <w:p w14:paraId="60E4780E" w14:textId="77777777" w:rsidR="00FC5F9F" w:rsidRPr="005226CA" w:rsidRDefault="00FC5F9F" w:rsidP="00D640D8">
      <w:pPr>
        <w:pStyle w:val="ExecSumBodyText"/>
        <w:ind w:left="709" w:hanging="709"/>
      </w:pPr>
      <w:r w:rsidRPr="005226CA">
        <w:lastRenderedPageBreak/>
        <w:t xml:space="preserve">To support the requested change to the PBS restriction to allow initiation of sacubitril/valsartan prior to maximal doses of a beta-blocker the submission briefly described the results of an open-label, blinded-endpoint study (CIBIS III) that compared initiation of treatment with a beta-blocker (bisoprolol 1.25 mg daily titrated to 10 mg daily for 6 months) followed by addition of an ACE-inhibitor (enalapril 2.5 mg twice daily titrated to 10 mg twice daily for 6-24 months), or the reverse. The CIBIS III study included clinically-stable adults aged at least 65 years, with NYHA class II or III, and LVEF </w:t>
      </w:r>
      <w:r w:rsidR="007D49DA" w:rsidRPr="007D49DA">
        <w:rPr>
          <w:u w:val="single"/>
        </w:rPr>
        <w:t>&lt;</w:t>
      </w:r>
      <w:r w:rsidRPr="005226CA">
        <w:t>35%.</w:t>
      </w:r>
    </w:p>
    <w:p w14:paraId="37DEA60D" w14:textId="77777777" w:rsidR="00E13992" w:rsidRPr="003A5C34" w:rsidRDefault="00E13992" w:rsidP="00D640D8">
      <w:pPr>
        <w:pStyle w:val="ExecSumBodyText"/>
        <w:ind w:left="709" w:hanging="709"/>
      </w:pPr>
      <w:r w:rsidRPr="005226CA">
        <w:t>The submission stated that there were no published data available for treatment of patients with LVEF between 41% and 49%. During the evaluation, a published pooled analysis was found (Solomon 2020)</w:t>
      </w:r>
      <w:r w:rsidR="00FC5F9F" w:rsidRPr="005226CA">
        <w:t>, that</w:t>
      </w:r>
      <w:r w:rsidRPr="005226CA">
        <w:t xml:space="preserve"> combined 8399 randomised patients from the key sacubitril/valsartan versus enalapril clinical trial (PARADIGM-HF) with 4796 patients from PARAGON-HF, a similarly-designed study of sacubitril/valsartan versus valsartan, which recruited patients with LVEF of 45% or greater. Although these results do not </w:t>
      </w:r>
      <w:r w:rsidR="00E077FA">
        <w:t xml:space="preserve">precisely </w:t>
      </w:r>
      <w:r w:rsidRPr="005226CA">
        <w:t xml:space="preserve">match the expanded restriction, </w:t>
      </w:r>
      <w:r w:rsidR="007D49DA" w:rsidRPr="003A5C34">
        <w:t>the</w:t>
      </w:r>
      <w:r w:rsidR="003C0B06" w:rsidRPr="003A5C34">
        <w:t xml:space="preserve"> ESC </w:t>
      </w:r>
      <w:r w:rsidR="001801A7" w:rsidRPr="003A5C34">
        <w:t xml:space="preserve">noting that </w:t>
      </w:r>
      <w:r w:rsidR="003C0B06" w:rsidRPr="003A5C34">
        <w:t>the</w:t>
      </w:r>
      <w:r w:rsidR="007D49DA" w:rsidRPr="003A5C34">
        <w:t xml:space="preserve"> PARAGON-HF trial targeted a patient population with HFpEF</w:t>
      </w:r>
      <w:r w:rsidR="009864DD" w:rsidRPr="003A5C34">
        <w:t>,</w:t>
      </w:r>
      <w:r w:rsidR="003C0B06" w:rsidRPr="003A5C34">
        <w:t xml:space="preserve"> </w:t>
      </w:r>
      <w:r w:rsidRPr="003A5C34">
        <w:t>they are currently the best available evidence in this subgroup.</w:t>
      </w:r>
    </w:p>
    <w:p w14:paraId="739508F3" w14:textId="77777777" w:rsidR="00305E50" w:rsidRPr="003A5C34" w:rsidRDefault="00305E50" w:rsidP="00305E50">
      <w:pPr>
        <w:pStyle w:val="ExecSumBodyText"/>
        <w:ind w:left="709" w:hanging="709"/>
      </w:pPr>
      <w:r w:rsidRPr="003A5C34">
        <w:t>The ESC noted the submission did not provide a literature search</w:t>
      </w:r>
      <w:r w:rsidR="003D6C4B" w:rsidRPr="003A5C34">
        <w:t xml:space="preserve"> or</w:t>
      </w:r>
      <w:r w:rsidRPr="003A5C34">
        <w:t xml:space="preserve"> clinical study reports</w:t>
      </w:r>
      <w:r w:rsidR="003D6C4B" w:rsidRPr="003A5C34">
        <w:t>,</w:t>
      </w:r>
      <w:r w:rsidRPr="003A5C34">
        <w:t xml:space="preserve"> and that other information generally required for a major submission was missing</w:t>
      </w:r>
      <w:r w:rsidR="003D6C4B" w:rsidRPr="003A5C34">
        <w:t>.</w:t>
      </w:r>
      <w:r w:rsidRPr="003A5C34">
        <w:t xml:space="preserve"> </w:t>
      </w:r>
      <w:r w:rsidR="003D6C4B" w:rsidRPr="003A5C34">
        <w:t>T</w:t>
      </w:r>
      <w:r w:rsidRPr="003A5C34">
        <w:t xml:space="preserve">his greatly impeded the Sub-Committee’s ability to formulate advice for the PBAC. Furthermore, the ESC considered that the evidence presented was of limited applicability to the requested expanded listing </w:t>
      </w:r>
      <w:r w:rsidR="003D6C4B" w:rsidRPr="003A5C34">
        <w:t>and</w:t>
      </w:r>
      <w:r w:rsidRPr="003A5C34">
        <w:t xml:space="preserve"> relied heavily on subgroup analyses which had not been adjusted for multiple comparisons. </w:t>
      </w:r>
      <w:r w:rsidR="001801A7" w:rsidRPr="003A5C34">
        <w:t xml:space="preserve"> </w:t>
      </w:r>
      <w:r w:rsidRPr="003A5C34">
        <w:t>As such, the ESC considered the submission was largely uninformative for decision-making.</w:t>
      </w:r>
    </w:p>
    <w:p w14:paraId="37855660" w14:textId="77777777" w:rsidR="00B60939" w:rsidRDefault="00B60939" w:rsidP="00EC5836">
      <w:pPr>
        <w:pStyle w:val="3-SubsectionHeading"/>
      </w:pPr>
      <w:bookmarkStart w:id="12" w:name="_Toc22897641"/>
      <w:bookmarkStart w:id="13" w:name="_Toc51070688"/>
      <w:r w:rsidRPr="00C9624D">
        <w:t>Comparative effectiveness</w:t>
      </w:r>
      <w:bookmarkEnd w:id="12"/>
      <w:bookmarkEnd w:id="13"/>
    </w:p>
    <w:p w14:paraId="114F83B5" w14:textId="77777777" w:rsidR="00E13992" w:rsidRDefault="00E13992" w:rsidP="00E13992">
      <w:pPr>
        <w:pStyle w:val="5-SubSubSubHead"/>
      </w:pPr>
      <w:r>
        <w:t>Whole trial results</w:t>
      </w:r>
    </w:p>
    <w:p w14:paraId="327C80A2" w14:textId="77777777" w:rsidR="00DA3167" w:rsidRPr="000462E1" w:rsidRDefault="00E13992" w:rsidP="000462E1">
      <w:pPr>
        <w:pStyle w:val="ExecSumBodyText"/>
        <w:ind w:left="709" w:hanging="709"/>
        <w:rPr>
          <w:snapToGrid/>
          <w:lang w:val="en-US"/>
        </w:rPr>
      </w:pPr>
      <w:r w:rsidRPr="000462E1">
        <w:rPr>
          <w:snapToGrid/>
          <w:lang w:val="en-US"/>
        </w:rPr>
        <w:t>The primary outcome of the PIONEER-HF trial was time averaged proportional change in</w:t>
      </w:r>
      <w:r w:rsidR="000462E1" w:rsidRPr="000462E1">
        <w:rPr>
          <w:snapToGrid/>
          <w:lang w:val="en-US"/>
        </w:rPr>
        <w:t xml:space="preserve"> N-terminal pro b-type Natriuretic Peptide</w:t>
      </w:r>
      <w:r w:rsidRPr="000462E1">
        <w:rPr>
          <w:snapToGrid/>
          <w:lang w:val="en-US"/>
        </w:rPr>
        <w:t xml:space="preserve"> </w:t>
      </w:r>
      <w:r w:rsidR="000462E1" w:rsidRPr="000462E1">
        <w:rPr>
          <w:snapToGrid/>
          <w:lang w:val="en-US"/>
        </w:rPr>
        <w:t>(</w:t>
      </w:r>
      <w:r w:rsidRPr="000462E1">
        <w:rPr>
          <w:snapToGrid/>
          <w:lang w:val="en-US"/>
        </w:rPr>
        <w:t>NT-proBNP</w:t>
      </w:r>
      <w:r w:rsidR="000462E1" w:rsidRPr="000462E1">
        <w:rPr>
          <w:snapToGrid/>
          <w:lang w:val="en-US"/>
        </w:rPr>
        <w:t>)</w:t>
      </w:r>
      <w:r w:rsidRPr="000462E1">
        <w:rPr>
          <w:snapToGrid/>
          <w:lang w:val="en-US"/>
        </w:rPr>
        <w:t xml:space="preserve"> from baseline to weeks 4 and 8. NT-proBNP is a surrogate outcome for clinical outcomes in heart failure, whereby reductions in NT-proBNP have been associated with a lower risk of CV mortality or hospitalisation for worsening heart failure. Sacubitril/valsartan was associated with a statistically significantly greater reduction in NT-proBNP compared with enalapril</w:t>
      </w:r>
      <w:r w:rsidR="00E70035" w:rsidRPr="000462E1">
        <w:rPr>
          <w:snapToGrid/>
          <w:lang w:val="en-US"/>
        </w:rPr>
        <w:t xml:space="preserve"> (see table below).</w:t>
      </w:r>
    </w:p>
    <w:p w14:paraId="6D5FA46F" w14:textId="77777777" w:rsidR="00E13992" w:rsidRPr="0042047F" w:rsidRDefault="00E13992" w:rsidP="00E13992">
      <w:pPr>
        <w:pStyle w:val="TableFigureCaption"/>
      </w:pPr>
      <w:r w:rsidRPr="0042047F">
        <w:t xml:space="preserve">Table </w:t>
      </w:r>
      <w:r w:rsidR="00E70035">
        <w:t>4</w:t>
      </w:r>
      <w:r>
        <w:t>:</w:t>
      </w:r>
      <w:r w:rsidRPr="0042047F">
        <w:t xml:space="preserve"> Results </w:t>
      </w:r>
      <w:r>
        <w:t>of change from baseline in NT-proBNP – PIONEER-HF whole trial population</w:t>
      </w:r>
      <w:r w:rsidRPr="0042047F">
        <w:t xml:space="preserve"> </w:t>
      </w:r>
    </w:p>
    <w:tbl>
      <w:tblPr>
        <w:tblStyle w:val="TableGrid"/>
        <w:tblW w:w="0" w:type="auto"/>
        <w:tblLook w:val="04A0" w:firstRow="1" w:lastRow="0" w:firstColumn="1" w:lastColumn="0" w:noHBand="0" w:noVBand="1"/>
        <w:tblCaption w:val="Table 4: Results of change from baseline in NT-proBNP – PIONEER-HF whole trial population "/>
      </w:tblPr>
      <w:tblGrid>
        <w:gridCol w:w="1271"/>
        <w:gridCol w:w="2581"/>
        <w:gridCol w:w="2582"/>
        <w:gridCol w:w="2582"/>
      </w:tblGrid>
      <w:tr w:rsidR="00E13992" w:rsidRPr="006B7763" w14:paraId="262CC631" w14:textId="77777777" w:rsidTr="009B72C6">
        <w:trPr>
          <w:tblHeader/>
        </w:trPr>
        <w:tc>
          <w:tcPr>
            <w:tcW w:w="1271" w:type="dxa"/>
            <w:tcBorders>
              <w:bottom w:val="single" w:sz="4" w:space="0" w:color="auto"/>
            </w:tcBorders>
          </w:tcPr>
          <w:p w14:paraId="09343183" w14:textId="77777777" w:rsidR="00E13992" w:rsidRPr="006B7763" w:rsidRDefault="00E13992" w:rsidP="00A4028A">
            <w:pPr>
              <w:rPr>
                <w:rFonts w:ascii="Arial Narrow" w:hAnsi="Arial Narrow"/>
                <w:sz w:val="20"/>
              </w:rPr>
            </w:pPr>
          </w:p>
        </w:tc>
        <w:tc>
          <w:tcPr>
            <w:tcW w:w="2581" w:type="dxa"/>
            <w:tcBorders>
              <w:bottom w:val="single" w:sz="4" w:space="0" w:color="auto"/>
            </w:tcBorders>
            <w:vAlign w:val="center"/>
          </w:tcPr>
          <w:p w14:paraId="325C1361" w14:textId="77777777" w:rsidR="00E13992" w:rsidRPr="002E7270" w:rsidRDefault="00E13992" w:rsidP="00E13992">
            <w:pPr>
              <w:jc w:val="center"/>
              <w:rPr>
                <w:rFonts w:ascii="Arial Narrow" w:hAnsi="Arial Narrow"/>
                <w:b/>
                <w:sz w:val="20"/>
              </w:rPr>
            </w:pPr>
            <w:r w:rsidRPr="002E7270">
              <w:rPr>
                <w:rFonts w:ascii="Arial Narrow" w:hAnsi="Arial Narrow"/>
                <w:b/>
                <w:sz w:val="20"/>
              </w:rPr>
              <w:t>Sacubitril/valsartan</w:t>
            </w:r>
            <w:r>
              <w:rPr>
                <w:rFonts w:ascii="Arial Narrow" w:hAnsi="Arial Narrow"/>
                <w:b/>
                <w:sz w:val="20"/>
              </w:rPr>
              <w:t xml:space="preserve"> </w:t>
            </w:r>
            <w:r w:rsidRPr="002E7270">
              <w:rPr>
                <w:rFonts w:ascii="Arial Narrow" w:hAnsi="Arial Narrow"/>
                <w:b/>
                <w:sz w:val="20"/>
              </w:rPr>
              <w:t>N=440</w:t>
            </w:r>
          </w:p>
        </w:tc>
        <w:tc>
          <w:tcPr>
            <w:tcW w:w="2582" w:type="dxa"/>
            <w:tcBorders>
              <w:bottom w:val="single" w:sz="4" w:space="0" w:color="auto"/>
            </w:tcBorders>
            <w:vAlign w:val="center"/>
          </w:tcPr>
          <w:p w14:paraId="11605133" w14:textId="77777777" w:rsidR="00E13992" w:rsidRPr="002E7270" w:rsidRDefault="00E13992" w:rsidP="00E13992">
            <w:pPr>
              <w:jc w:val="center"/>
              <w:rPr>
                <w:rFonts w:ascii="Arial Narrow" w:hAnsi="Arial Narrow"/>
                <w:b/>
                <w:sz w:val="20"/>
              </w:rPr>
            </w:pPr>
            <w:r w:rsidRPr="002E7270">
              <w:rPr>
                <w:rFonts w:ascii="Arial Narrow" w:hAnsi="Arial Narrow"/>
                <w:b/>
                <w:sz w:val="20"/>
              </w:rPr>
              <w:t>Enalapril</w:t>
            </w:r>
            <w:r>
              <w:rPr>
                <w:rFonts w:ascii="Arial Narrow" w:hAnsi="Arial Narrow"/>
                <w:b/>
                <w:sz w:val="20"/>
              </w:rPr>
              <w:t xml:space="preserve"> </w:t>
            </w:r>
            <w:r w:rsidRPr="002E7270">
              <w:rPr>
                <w:rFonts w:ascii="Arial Narrow" w:hAnsi="Arial Narrow"/>
                <w:b/>
                <w:sz w:val="20"/>
              </w:rPr>
              <w:t>N=441</w:t>
            </w:r>
          </w:p>
        </w:tc>
        <w:tc>
          <w:tcPr>
            <w:tcW w:w="2582" w:type="dxa"/>
            <w:tcBorders>
              <w:bottom w:val="single" w:sz="4" w:space="0" w:color="auto"/>
            </w:tcBorders>
            <w:vAlign w:val="center"/>
          </w:tcPr>
          <w:p w14:paraId="3717C6A7" w14:textId="77777777" w:rsidR="00E13992" w:rsidRPr="002E7270" w:rsidRDefault="00E13992" w:rsidP="00A4028A">
            <w:pPr>
              <w:jc w:val="center"/>
              <w:rPr>
                <w:rFonts w:ascii="Arial Narrow" w:hAnsi="Arial Narrow"/>
                <w:b/>
                <w:sz w:val="20"/>
              </w:rPr>
            </w:pPr>
            <w:r w:rsidRPr="002E7270">
              <w:rPr>
                <w:rFonts w:ascii="Arial Narrow" w:hAnsi="Arial Narrow"/>
                <w:b/>
                <w:sz w:val="20"/>
              </w:rPr>
              <w:t>Ratio of change (95% CI)</w:t>
            </w:r>
          </w:p>
        </w:tc>
      </w:tr>
      <w:tr w:rsidR="00E13992" w:rsidRPr="006B7763" w14:paraId="168398BE" w14:textId="77777777" w:rsidTr="00526987">
        <w:tc>
          <w:tcPr>
            <w:tcW w:w="1271" w:type="dxa"/>
            <w:tcBorders>
              <w:bottom w:val="single" w:sz="4" w:space="0" w:color="auto"/>
            </w:tcBorders>
          </w:tcPr>
          <w:p w14:paraId="1EBC1142" w14:textId="77777777" w:rsidR="00E13992" w:rsidRPr="006B7763" w:rsidRDefault="00E13992" w:rsidP="00A4028A">
            <w:pPr>
              <w:rPr>
                <w:rFonts w:ascii="Arial Narrow" w:hAnsi="Arial Narrow"/>
                <w:sz w:val="20"/>
              </w:rPr>
            </w:pPr>
            <w:r w:rsidRPr="006B7763">
              <w:rPr>
                <w:rFonts w:ascii="Arial Narrow" w:hAnsi="Arial Narrow"/>
                <w:sz w:val="20"/>
              </w:rPr>
              <w:t>% change</w:t>
            </w:r>
          </w:p>
        </w:tc>
        <w:tc>
          <w:tcPr>
            <w:tcW w:w="2581" w:type="dxa"/>
            <w:tcBorders>
              <w:bottom w:val="single" w:sz="4" w:space="0" w:color="auto"/>
            </w:tcBorders>
          </w:tcPr>
          <w:p w14:paraId="2FEEC115" w14:textId="77777777" w:rsidR="00E13992" w:rsidRPr="006B7763" w:rsidRDefault="00E13992" w:rsidP="00A4028A">
            <w:pPr>
              <w:jc w:val="center"/>
              <w:rPr>
                <w:rFonts w:ascii="Arial Narrow" w:hAnsi="Arial Narrow"/>
                <w:sz w:val="20"/>
              </w:rPr>
            </w:pPr>
            <w:r w:rsidRPr="006B7763">
              <w:rPr>
                <w:rFonts w:ascii="Arial Narrow" w:hAnsi="Arial Narrow"/>
                <w:sz w:val="20"/>
              </w:rPr>
              <w:t>-46.7%</w:t>
            </w:r>
          </w:p>
        </w:tc>
        <w:tc>
          <w:tcPr>
            <w:tcW w:w="2582" w:type="dxa"/>
            <w:tcBorders>
              <w:bottom w:val="single" w:sz="4" w:space="0" w:color="auto"/>
            </w:tcBorders>
          </w:tcPr>
          <w:p w14:paraId="75720DA1" w14:textId="77777777" w:rsidR="00E13992" w:rsidRPr="006B7763" w:rsidRDefault="00E13992" w:rsidP="00A4028A">
            <w:pPr>
              <w:jc w:val="center"/>
              <w:rPr>
                <w:rFonts w:ascii="Arial Narrow" w:hAnsi="Arial Narrow"/>
                <w:sz w:val="20"/>
              </w:rPr>
            </w:pPr>
            <w:r w:rsidRPr="006B7763">
              <w:rPr>
                <w:rFonts w:ascii="Arial Narrow" w:hAnsi="Arial Narrow"/>
                <w:sz w:val="20"/>
              </w:rPr>
              <w:t>-25.3%</w:t>
            </w:r>
          </w:p>
        </w:tc>
        <w:tc>
          <w:tcPr>
            <w:tcW w:w="2582" w:type="dxa"/>
            <w:tcBorders>
              <w:bottom w:val="single" w:sz="4" w:space="0" w:color="auto"/>
            </w:tcBorders>
          </w:tcPr>
          <w:p w14:paraId="3381D2E0" w14:textId="77777777" w:rsidR="00E13992" w:rsidRPr="006B7763" w:rsidRDefault="00E13992" w:rsidP="00A4028A">
            <w:pPr>
              <w:jc w:val="center"/>
              <w:rPr>
                <w:rFonts w:ascii="Arial Narrow" w:hAnsi="Arial Narrow"/>
                <w:sz w:val="20"/>
              </w:rPr>
            </w:pPr>
            <w:r w:rsidRPr="006B7763">
              <w:rPr>
                <w:rFonts w:ascii="Arial Narrow" w:hAnsi="Arial Narrow"/>
                <w:sz w:val="20"/>
              </w:rPr>
              <w:t>0.71 (0.63,0.81)</w:t>
            </w:r>
          </w:p>
        </w:tc>
      </w:tr>
    </w:tbl>
    <w:p w14:paraId="518781CC" w14:textId="77777777" w:rsidR="00E13992" w:rsidRDefault="00E13992" w:rsidP="00E13992">
      <w:pPr>
        <w:pStyle w:val="TableFigureFooter"/>
      </w:pPr>
      <w:r>
        <w:t>Source: Section 2.2.1, p35 of the submission</w:t>
      </w:r>
    </w:p>
    <w:p w14:paraId="568B419B" w14:textId="77777777" w:rsidR="00E13992" w:rsidRDefault="00E13992" w:rsidP="00E13992">
      <w:pPr>
        <w:pStyle w:val="TableFigureFooter"/>
      </w:pPr>
      <w:r>
        <w:t xml:space="preserve">Abbreviations: </w:t>
      </w:r>
      <w:r w:rsidRPr="00CC70ED">
        <w:t>NT-proBNP, N-terminal pro b-type natriuretic peptide</w:t>
      </w:r>
    </w:p>
    <w:p w14:paraId="3760B0A0" w14:textId="77777777" w:rsidR="00E13992" w:rsidRPr="00E13992" w:rsidRDefault="00E13992" w:rsidP="00E70035">
      <w:pPr>
        <w:pStyle w:val="ExecSumBodyText"/>
        <w:ind w:left="709" w:hanging="709"/>
      </w:pPr>
      <w:r w:rsidRPr="00E13992">
        <w:rPr>
          <w:snapToGrid/>
          <w:lang w:val="en-US"/>
        </w:rPr>
        <w:t>Result</w:t>
      </w:r>
      <w:r w:rsidR="00870981">
        <w:rPr>
          <w:snapToGrid/>
          <w:lang w:val="en-US"/>
        </w:rPr>
        <w:t>s</w:t>
      </w:r>
      <w:r w:rsidRPr="00E13992">
        <w:rPr>
          <w:snapToGrid/>
          <w:lang w:val="en-US"/>
        </w:rPr>
        <w:t xml:space="preserve"> of the exploratory clinical outcomes for the whole trial population of PIONEER-HF are presented</w:t>
      </w:r>
      <w:r>
        <w:rPr>
          <w:snapToGrid/>
          <w:lang w:val="en-US"/>
        </w:rPr>
        <w:t xml:space="preserve"> in the table</w:t>
      </w:r>
      <w:r w:rsidRPr="00E13992">
        <w:rPr>
          <w:snapToGrid/>
          <w:lang w:val="en-US"/>
        </w:rPr>
        <w:t xml:space="preserve"> below.</w:t>
      </w:r>
    </w:p>
    <w:p w14:paraId="1364B163" w14:textId="77777777" w:rsidR="00E13992" w:rsidRPr="0042047F" w:rsidRDefault="00E13992" w:rsidP="00E13992">
      <w:pPr>
        <w:pStyle w:val="TableFigureCaption"/>
      </w:pPr>
      <w:r w:rsidRPr="0042047F">
        <w:lastRenderedPageBreak/>
        <w:t xml:space="preserve">Table </w:t>
      </w:r>
      <w:r w:rsidR="00E70035">
        <w:t>5</w:t>
      </w:r>
      <w:r w:rsidRPr="0042047F">
        <w:t xml:space="preserve">: Results of </w:t>
      </w:r>
      <w:r>
        <w:t>exploratory clinical outcomes – PIONEER-HF whole trial population</w:t>
      </w:r>
      <w:r w:rsidRPr="0042047F">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9"/>
        <w:gridCol w:w="1852"/>
        <w:gridCol w:w="1713"/>
        <w:gridCol w:w="2063"/>
      </w:tblGrid>
      <w:tr w:rsidR="00E13992" w:rsidRPr="00B84117" w14:paraId="5CFDF4BD" w14:textId="77777777" w:rsidTr="00A4028A">
        <w:trPr>
          <w:tblHeader/>
        </w:trPr>
        <w:tc>
          <w:tcPr>
            <w:tcW w:w="1879" w:type="pct"/>
            <w:vAlign w:val="center"/>
          </w:tcPr>
          <w:p w14:paraId="18F5CC7A" w14:textId="77777777" w:rsidR="00E13992" w:rsidRPr="00B84117" w:rsidRDefault="00E13992" w:rsidP="00A4028A">
            <w:pPr>
              <w:pStyle w:val="Tableheadingrow"/>
            </w:pPr>
            <w:r>
              <w:t>Outcome, n (%)</w:t>
            </w:r>
          </w:p>
        </w:tc>
        <w:tc>
          <w:tcPr>
            <w:tcW w:w="1027" w:type="pct"/>
            <w:vAlign w:val="center"/>
          </w:tcPr>
          <w:p w14:paraId="28B22FED" w14:textId="77777777" w:rsidR="00E13992" w:rsidRDefault="00E13992" w:rsidP="00A4028A">
            <w:pPr>
              <w:pStyle w:val="Tableheadingrow"/>
              <w:jc w:val="center"/>
            </w:pPr>
            <w:r>
              <w:t>Sacubitril/valsartan</w:t>
            </w:r>
          </w:p>
          <w:p w14:paraId="56E55523" w14:textId="77777777" w:rsidR="00E13992" w:rsidRPr="00B84117" w:rsidRDefault="00E13992" w:rsidP="00A4028A">
            <w:pPr>
              <w:pStyle w:val="Tableheadingrow"/>
              <w:jc w:val="center"/>
            </w:pPr>
            <w:r>
              <w:t>N=440</w:t>
            </w:r>
          </w:p>
        </w:tc>
        <w:tc>
          <w:tcPr>
            <w:tcW w:w="950" w:type="pct"/>
            <w:vAlign w:val="center"/>
          </w:tcPr>
          <w:p w14:paraId="370008D7" w14:textId="77777777" w:rsidR="00E13992" w:rsidRDefault="00E13992" w:rsidP="00A4028A">
            <w:pPr>
              <w:pStyle w:val="Tableheadingrow"/>
              <w:jc w:val="center"/>
            </w:pPr>
            <w:r>
              <w:t>Enalapril</w:t>
            </w:r>
          </w:p>
          <w:p w14:paraId="175FF3E1" w14:textId="77777777" w:rsidR="00E13992" w:rsidRPr="00B84117" w:rsidRDefault="00E13992" w:rsidP="00A4028A">
            <w:pPr>
              <w:pStyle w:val="Tableheadingrow"/>
              <w:jc w:val="center"/>
            </w:pPr>
            <w:r>
              <w:t>N=441</w:t>
            </w:r>
          </w:p>
        </w:tc>
        <w:tc>
          <w:tcPr>
            <w:tcW w:w="1144" w:type="pct"/>
            <w:vAlign w:val="center"/>
          </w:tcPr>
          <w:p w14:paraId="571BB50F" w14:textId="77777777" w:rsidR="00E13992" w:rsidRPr="00B84117" w:rsidRDefault="00E13992" w:rsidP="00A4028A">
            <w:pPr>
              <w:pStyle w:val="Tableheadingrow"/>
              <w:jc w:val="center"/>
            </w:pPr>
            <w:r>
              <w:t>Hazard ratio</w:t>
            </w:r>
            <w:r w:rsidRPr="00B84117">
              <w:t xml:space="preserve"> (95% CI)</w:t>
            </w:r>
          </w:p>
        </w:tc>
      </w:tr>
      <w:tr w:rsidR="00E13992" w:rsidRPr="00B1011F" w14:paraId="5DFBA57C" w14:textId="77777777" w:rsidTr="00A4028A">
        <w:tc>
          <w:tcPr>
            <w:tcW w:w="1879" w:type="pct"/>
            <w:vAlign w:val="center"/>
          </w:tcPr>
          <w:p w14:paraId="15A2CCE8" w14:textId="77777777" w:rsidR="00E13992" w:rsidRPr="00B1011F" w:rsidRDefault="00E13992" w:rsidP="00A4028A">
            <w:pPr>
              <w:pStyle w:val="TableText"/>
            </w:pPr>
            <w:r>
              <w:t>Composite of clinical events</w:t>
            </w:r>
          </w:p>
        </w:tc>
        <w:tc>
          <w:tcPr>
            <w:tcW w:w="1027" w:type="pct"/>
            <w:vAlign w:val="center"/>
          </w:tcPr>
          <w:p w14:paraId="219B9662" w14:textId="77777777" w:rsidR="00E13992" w:rsidRPr="00B1011F" w:rsidRDefault="00E13992" w:rsidP="00A4028A">
            <w:pPr>
              <w:pStyle w:val="TableText"/>
              <w:jc w:val="center"/>
            </w:pPr>
            <w:r>
              <w:t>249 (56.6)</w:t>
            </w:r>
          </w:p>
        </w:tc>
        <w:tc>
          <w:tcPr>
            <w:tcW w:w="950" w:type="pct"/>
            <w:vAlign w:val="center"/>
          </w:tcPr>
          <w:p w14:paraId="68E4E69F" w14:textId="77777777" w:rsidR="00E13992" w:rsidRPr="00B1011F" w:rsidRDefault="00E13992" w:rsidP="00A4028A">
            <w:pPr>
              <w:pStyle w:val="TableText"/>
              <w:jc w:val="center"/>
            </w:pPr>
            <w:r>
              <w:t>264 (59.9)</w:t>
            </w:r>
          </w:p>
        </w:tc>
        <w:tc>
          <w:tcPr>
            <w:tcW w:w="1144" w:type="pct"/>
            <w:vAlign w:val="center"/>
          </w:tcPr>
          <w:p w14:paraId="3070445E" w14:textId="77777777" w:rsidR="00E13992" w:rsidRPr="00B1011F" w:rsidRDefault="00E13992" w:rsidP="00A4028A">
            <w:pPr>
              <w:pStyle w:val="TableText"/>
              <w:jc w:val="center"/>
            </w:pPr>
            <w:r>
              <w:t>0.93 (0.78, 1.10)</w:t>
            </w:r>
          </w:p>
        </w:tc>
      </w:tr>
      <w:tr w:rsidR="00E13992" w:rsidRPr="00B1011F" w14:paraId="06B3CC5C" w14:textId="77777777" w:rsidTr="00A4028A">
        <w:tc>
          <w:tcPr>
            <w:tcW w:w="1879" w:type="pct"/>
            <w:vAlign w:val="center"/>
          </w:tcPr>
          <w:p w14:paraId="1A087000" w14:textId="77777777" w:rsidR="00E13992" w:rsidRPr="00B1011F" w:rsidRDefault="00E13992" w:rsidP="00A4028A">
            <w:pPr>
              <w:pStyle w:val="TableText"/>
              <w:ind w:left="169"/>
            </w:pPr>
            <w:r>
              <w:t>Death</w:t>
            </w:r>
          </w:p>
        </w:tc>
        <w:tc>
          <w:tcPr>
            <w:tcW w:w="1027" w:type="pct"/>
            <w:vAlign w:val="center"/>
          </w:tcPr>
          <w:p w14:paraId="50BD5D55" w14:textId="77777777" w:rsidR="00E13992" w:rsidRPr="00B1011F" w:rsidRDefault="00E13992" w:rsidP="00A4028A">
            <w:pPr>
              <w:pStyle w:val="TableText"/>
              <w:jc w:val="center"/>
            </w:pPr>
            <w:r>
              <w:t>10 (2.3)</w:t>
            </w:r>
          </w:p>
        </w:tc>
        <w:tc>
          <w:tcPr>
            <w:tcW w:w="950" w:type="pct"/>
            <w:vAlign w:val="center"/>
          </w:tcPr>
          <w:p w14:paraId="0BB25B9A" w14:textId="77777777" w:rsidR="00E13992" w:rsidRPr="00B1011F" w:rsidRDefault="00E13992" w:rsidP="00A4028A">
            <w:pPr>
              <w:pStyle w:val="TableText"/>
              <w:jc w:val="center"/>
            </w:pPr>
            <w:r>
              <w:t>15 (3.4)</w:t>
            </w:r>
          </w:p>
        </w:tc>
        <w:tc>
          <w:tcPr>
            <w:tcW w:w="1144" w:type="pct"/>
            <w:vAlign w:val="center"/>
          </w:tcPr>
          <w:p w14:paraId="5470CEA1" w14:textId="77777777" w:rsidR="00E13992" w:rsidRPr="00B1011F" w:rsidRDefault="00E13992" w:rsidP="00A4028A">
            <w:pPr>
              <w:pStyle w:val="TableText"/>
              <w:jc w:val="center"/>
            </w:pPr>
            <w:r>
              <w:t>0.66 (0.30, 1.48)</w:t>
            </w:r>
          </w:p>
        </w:tc>
      </w:tr>
      <w:tr w:rsidR="00E13992" w:rsidRPr="00B1011F" w14:paraId="0EBDA8BB" w14:textId="77777777" w:rsidTr="00A4028A">
        <w:tc>
          <w:tcPr>
            <w:tcW w:w="1879" w:type="pct"/>
            <w:vAlign w:val="center"/>
          </w:tcPr>
          <w:p w14:paraId="3AB39F0B" w14:textId="77777777" w:rsidR="00E13992" w:rsidRPr="00B1011F" w:rsidRDefault="00E13992" w:rsidP="00A4028A">
            <w:pPr>
              <w:pStyle w:val="TableText"/>
              <w:ind w:left="169"/>
            </w:pPr>
            <w:r>
              <w:t>Rehospitalisation for heart failure</w:t>
            </w:r>
          </w:p>
        </w:tc>
        <w:tc>
          <w:tcPr>
            <w:tcW w:w="1027" w:type="pct"/>
            <w:vAlign w:val="center"/>
          </w:tcPr>
          <w:p w14:paraId="17E936A0" w14:textId="77777777" w:rsidR="00E13992" w:rsidRPr="00B1011F" w:rsidRDefault="00E13992" w:rsidP="00A4028A">
            <w:pPr>
              <w:pStyle w:val="TableText"/>
              <w:jc w:val="center"/>
            </w:pPr>
            <w:r>
              <w:t>35 (8.0)</w:t>
            </w:r>
          </w:p>
        </w:tc>
        <w:tc>
          <w:tcPr>
            <w:tcW w:w="950" w:type="pct"/>
            <w:vAlign w:val="center"/>
          </w:tcPr>
          <w:p w14:paraId="68E1527E" w14:textId="77777777" w:rsidR="00E13992" w:rsidRPr="00B1011F" w:rsidRDefault="00E13992" w:rsidP="00A4028A">
            <w:pPr>
              <w:pStyle w:val="TableText"/>
              <w:jc w:val="center"/>
            </w:pPr>
            <w:r>
              <w:t>61 (13.8)</w:t>
            </w:r>
          </w:p>
        </w:tc>
        <w:tc>
          <w:tcPr>
            <w:tcW w:w="1144" w:type="pct"/>
            <w:vAlign w:val="center"/>
          </w:tcPr>
          <w:p w14:paraId="272698B9" w14:textId="77777777" w:rsidR="00E13992" w:rsidRPr="004E4772" w:rsidRDefault="00E13992" w:rsidP="00A4028A">
            <w:pPr>
              <w:pStyle w:val="TableText"/>
              <w:jc w:val="center"/>
              <w:rPr>
                <w:b/>
              </w:rPr>
            </w:pPr>
            <w:r w:rsidRPr="004E4772">
              <w:rPr>
                <w:b/>
              </w:rPr>
              <w:t>0.56 (0.37, 0.84)</w:t>
            </w:r>
          </w:p>
        </w:tc>
      </w:tr>
      <w:tr w:rsidR="00E13992" w:rsidRPr="00B1011F" w14:paraId="6B67CBC7" w14:textId="77777777" w:rsidTr="00A4028A">
        <w:tc>
          <w:tcPr>
            <w:tcW w:w="1879" w:type="pct"/>
            <w:vAlign w:val="center"/>
          </w:tcPr>
          <w:p w14:paraId="1CFED844" w14:textId="77777777" w:rsidR="00E13992" w:rsidRPr="00B1011F" w:rsidRDefault="00E13992" w:rsidP="00A4028A">
            <w:pPr>
              <w:pStyle w:val="TableText"/>
              <w:ind w:left="169"/>
            </w:pPr>
            <w:r>
              <w:t>Implantation of LVAD</w:t>
            </w:r>
          </w:p>
        </w:tc>
        <w:tc>
          <w:tcPr>
            <w:tcW w:w="1027" w:type="pct"/>
            <w:vAlign w:val="center"/>
          </w:tcPr>
          <w:p w14:paraId="77BB635E" w14:textId="77777777" w:rsidR="00E13992" w:rsidRPr="00B1011F" w:rsidRDefault="00E13992" w:rsidP="00A4028A">
            <w:pPr>
              <w:pStyle w:val="TableText"/>
              <w:jc w:val="center"/>
            </w:pPr>
            <w:r>
              <w:t>1 (0.2)</w:t>
            </w:r>
          </w:p>
        </w:tc>
        <w:tc>
          <w:tcPr>
            <w:tcW w:w="950" w:type="pct"/>
            <w:vAlign w:val="center"/>
          </w:tcPr>
          <w:p w14:paraId="6AE015F7" w14:textId="77777777" w:rsidR="00E13992" w:rsidRPr="00B1011F" w:rsidRDefault="00E13992" w:rsidP="00A4028A">
            <w:pPr>
              <w:pStyle w:val="TableText"/>
              <w:jc w:val="center"/>
            </w:pPr>
            <w:r>
              <w:t>1 (0.2)</w:t>
            </w:r>
          </w:p>
        </w:tc>
        <w:tc>
          <w:tcPr>
            <w:tcW w:w="1144" w:type="pct"/>
            <w:vAlign w:val="center"/>
          </w:tcPr>
          <w:p w14:paraId="31B798A5" w14:textId="77777777" w:rsidR="00E13992" w:rsidRPr="00B1011F" w:rsidRDefault="00E13992" w:rsidP="00A4028A">
            <w:pPr>
              <w:pStyle w:val="TableText"/>
              <w:jc w:val="center"/>
            </w:pPr>
            <w:r>
              <w:t>0.99 (0.06, 15.97)</w:t>
            </w:r>
          </w:p>
        </w:tc>
      </w:tr>
      <w:tr w:rsidR="00E13992" w:rsidRPr="00B1011F" w14:paraId="56A31D91" w14:textId="77777777" w:rsidTr="00A4028A">
        <w:tc>
          <w:tcPr>
            <w:tcW w:w="1879" w:type="pct"/>
            <w:vAlign w:val="center"/>
          </w:tcPr>
          <w:p w14:paraId="08018955" w14:textId="77777777" w:rsidR="00E13992" w:rsidRPr="00B1011F" w:rsidRDefault="00E13992" w:rsidP="00A4028A">
            <w:pPr>
              <w:pStyle w:val="TableText"/>
              <w:ind w:left="169"/>
            </w:pPr>
            <w:r>
              <w:t>Inclusion on heart transplant list</w:t>
            </w:r>
          </w:p>
        </w:tc>
        <w:tc>
          <w:tcPr>
            <w:tcW w:w="1027" w:type="pct"/>
            <w:vAlign w:val="center"/>
          </w:tcPr>
          <w:p w14:paraId="3DFE350E" w14:textId="77777777" w:rsidR="00E13992" w:rsidRPr="00B1011F" w:rsidRDefault="00E13992" w:rsidP="00A4028A">
            <w:pPr>
              <w:pStyle w:val="TableText"/>
              <w:jc w:val="center"/>
            </w:pPr>
            <w:r>
              <w:t>0</w:t>
            </w:r>
          </w:p>
        </w:tc>
        <w:tc>
          <w:tcPr>
            <w:tcW w:w="950" w:type="pct"/>
            <w:vAlign w:val="center"/>
          </w:tcPr>
          <w:p w14:paraId="5C46363F" w14:textId="77777777" w:rsidR="00E13992" w:rsidRPr="00B1011F" w:rsidRDefault="00E13992" w:rsidP="00A4028A">
            <w:pPr>
              <w:pStyle w:val="TableText"/>
              <w:jc w:val="center"/>
            </w:pPr>
            <w:r>
              <w:t>0</w:t>
            </w:r>
          </w:p>
        </w:tc>
        <w:tc>
          <w:tcPr>
            <w:tcW w:w="1144" w:type="pct"/>
            <w:vAlign w:val="center"/>
          </w:tcPr>
          <w:p w14:paraId="0C9BF8C4" w14:textId="77777777" w:rsidR="00E13992" w:rsidRPr="00B1011F" w:rsidRDefault="00E13992" w:rsidP="00A4028A">
            <w:pPr>
              <w:pStyle w:val="TableText"/>
              <w:jc w:val="center"/>
            </w:pPr>
            <w:r>
              <w:t>NA</w:t>
            </w:r>
          </w:p>
        </w:tc>
      </w:tr>
      <w:tr w:rsidR="00E13992" w:rsidRPr="00B1011F" w14:paraId="181E8377" w14:textId="77777777" w:rsidTr="00A4028A">
        <w:tc>
          <w:tcPr>
            <w:tcW w:w="1879" w:type="pct"/>
            <w:vAlign w:val="center"/>
          </w:tcPr>
          <w:p w14:paraId="4AB21D84" w14:textId="77777777" w:rsidR="00E13992" w:rsidRPr="00B1011F" w:rsidRDefault="00E13992" w:rsidP="00A4028A">
            <w:pPr>
              <w:pStyle w:val="TableText"/>
              <w:ind w:left="169"/>
            </w:pPr>
            <w:r>
              <w:t>Unplanned outpatient visit – IV diuretics</w:t>
            </w:r>
          </w:p>
        </w:tc>
        <w:tc>
          <w:tcPr>
            <w:tcW w:w="1027" w:type="pct"/>
            <w:vAlign w:val="center"/>
          </w:tcPr>
          <w:p w14:paraId="2E2322A0" w14:textId="77777777" w:rsidR="00E13992" w:rsidRPr="00B1011F" w:rsidRDefault="00E13992" w:rsidP="00A4028A">
            <w:pPr>
              <w:pStyle w:val="TableText"/>
              <w:jc w:val="center"/>
            </w:pPr>
            <w:r>
              <w:t>2 (0.5)</w:t>
            </w:r>
          </w:p>
        </w:tc>
        <w:tc>
          <w:tcPr>
            <w:tcW w:w="950" w:type="pct"/>
            <w:vAlign w:val="center"/>
          </w:tcPr>
          <w:p w14:paraId="14F42D84" w14:textId="77777777" w:rsidR="00E13992" w:rsidRPr="00B1011F" w:rsidRDefault="00E13992" w:rsidP="00A4028A">
            <w:pPr>
              <w:pStyle w:val="TableText"/>
              <w:jc w:val="center"/>
            </w:pPr>
            <w:r>
              <w:t>2 (0.5)</w:t>
            </w:r>
          </w:p>
        </w:tc>
        <w:tc>
          <w:tcPr>
            <w:tcW w:w="1144" w:type="pct"/>
            <w:vAlign w:val="center"/>
          </w:tcPr>
          <w:p w14:paraId="7682EF2D" w14:textId="77777777" w:rsidR="00E13992" w:rsidRPr="00B1011F" w:rsidRDefault="00E13992" w:rsidP="00A4028A">
            <w:pPr>
              <w:pStyle w:val="TableText"/>
              <w:jc w:val="center"/>
            </w:pPr>
            <w:r>
              <w:t>1.00 (0.14, 7.07)</w:t>
            </w:r>
          </w:p>
        </w:tc>
      </w:tr>
      <w:tr w:rsidR="00E13992" w:rsidRPr="00B1011F" w14:paraId="3AE9F580" w14:textId="77777777" w:rsidTr="00A4028A">
        <w:tc>
          <w:tcPr>
            <w:tcW w:w="1879" w:type="pct"/>
            <w:vAlign w:val="center"/>
          </w:tcPr>
          <w:p w14:paraId="65A63848" w14:textId="77777777" w:rsidR="00E13992" w:rsidRPr="00B1011F" w:rsidRDefault="00E13992" w:rsidP="00A4028A">
            <w:pPr>
              <w:pStyle w:val="TableText"/>
              <w:ind w:left="169"/>
            </w:pPr>
            <w:r>
              <w:t>Additional heart failure drug</w:t>
            </w:r>
          </w:p>
        </w:tc>
        <w:tc>
          <w:tcPr>
            <w:tcW w:w="1027" w:type="pct"/>
            <w:vAlign w:val="center"/>
          </w:tcPr>
          <w:p w14:paraId="34CA0A02" w14:textId="77777777" w:rsidR="00E13992" w:rsidRPr="00B1011F" w:rsidRDefault="00E13992" w:rsidP="00A4028A">
            <w:pPr>
              <w:pStyle w:val="TableText"/>
              <w:jc w:val="center"/>
            </w:pPr>
            <w:r>
              <w:t>78 (17.7)</w:t>
            </w:r>
          </w:p>
        </w:tc>
        <w:tc>
          <w:tcPr>
            <w:tcW w:w="950" w:type="pct"/>
            <w:vAlign w:val="center"/>
          </w:tcPr>
          <w:p w14:paraId="45EEBF20" w14:textId="77777777" w:rsidR="00E13992" w:rsidRPr="00B1011F" w:rsidRDefault="00E13992" w:rsidP="00A4028A">
            <w:pPr>
              <w:pStyle w:val="TableText"/>
              <w:jc w:val="center"/>
            </w:pPr>
            <w:r>
              <w:t>84 (19.0)</w:t>
            </w:r>
          </w:p>
        </w:tc>
        <w:tc>
          <w:tcPr>
            <w:tcW w:w="1144" w:type="pct"/>
            <w:vAlign w:val="center"/>
          </w:tcPr>
          <w:p w14:paraId="732704A4" w14:textId="77777777" w:rsidR="00E13992" w:rsidRPr="00B1011F" w:rsidRDefault="00E13992" w:rsidP="00A4028A">
            <w:pPr>
              <w:pStyle w:val="TableText"/>
              <w:jc w:val="center"/>
            </w:pPr>
            <w:r>
              <w:t>0.92 (0.67, 1.25)</w:t>
            </w:r>
          </w:p>
        </w:tc>
      </w:tr>
      <w:tr w:rsidR="00E13992" w:rsidRPr="00B1011F" w14:paraId="5CD7FB3A" w14:textId="77777777" w:rsidTr="00A4028A">
        <w:tc>
          <w:tcPr>
            <w:tcW w:w="1879" w:type="pct"/>
            <w:vAlign w:val="center"/>
          </w:tcPr>
          <w:p w14:paraId="3C7BF4F6" w14:textId="77777777" w:rsidR="00E13992" w:rsidRPr="00B1011F" w:rsidRDefault="00E13992" w:rsidP="00A4028A">
            <w:pPr>
              <w:pStyle w:val="TableText"/>
              <w:ind w:left="169"/>
            </w:pPr>
            <w:r>
              <w:t>Increase diuretic dose &gt;50%</w:t>
            </w:r>
          </w:p>
        </w:tc>
        <w:tc>
          <w:tcPr>
            <w:tcW w:w="1027" w:type="pct"/>
            <w:vAlign w:val="center"/>
          </w:tcPr>
          <w:p w14:paraId="7A714373" w14:textId="77777777" w:rsidR="00E13992" w:rsidRPr="00B1011F" w:rsidRDefault="00E13992" w:rsidP="00A4028A">
            <w:pPr>
              <w:pStyle w:val="TableText"/>
              <w:jc w:val="center"/>
            </w:pPr>
            <w:r>
              <w:t>218 (49.5)</w:t>
            </w:r>
          </w:p>
        </w:tc>
        <w:tc>
          <w:tcPr>
            <w:tcW w:w="950" w:type="pct"/>
            <w:vAlign w:val="center"/>
          </w:tcPr>
          <w:p w14:paraId="66359AEC" w14:textId="77777777" w:rsidR="00E13992" w:rsidRPr="00B1011F" w:rsidRDefault="00E13992" w:rsidP="00A4028A">
            <w:pPr>
              <w:pStyle w:val="TableText"/>
              <w:jc w:val="center"/>
            </w:pPr>
            <w:r>
              <w:t>222 (50.3)</w:t>
            </w:r>
          </w:p>
        </w:tc>
        <w:tc>
          <w:tcPr>
            <w:tcW w:w="1144" w:type="pct"/>
            <w:vAlign w:val="center"/>
          </w:tcPr>
          <w:p w14:paraId="31852B39" w14:textId="77777777" w:rsidR="00E13992" w:rsidRPr="00B1011F" w:rsidRDefault="00E13992" w:rsidP="00A4028A">
            <w:pPr>
              <w:pStyle w:val="TableText"/>
              <w:jc w:val="center"/>
            </w:pPr>
            <w:r>
              <w:t>0.98 (0.81, 1.18)</w:t>
            </w:r>
          </w:p>
        </w:tc>
      </w:tr>
      <w:tr w:rsidR="00E13992" w:rsidRPr="00B1011F" w14:paraId="04C30B01" w14:textId="77777777" w:rsidTr="00A4028A">
        <w:tc>
          <w:tcPr>
            <w:tcW w:w="1879" w:type="pct"/>
            <w:vAlign w:val="center"/>
          </w:tcPr>
          <w:p w14:paraId="64CDD1E2" w14:textId="77777777" w:rsidR="00E13992" w:rsidRPr="00B1011F" w:rsidRDefault="00E13992" w:rsidP="00A4028A">
            <w:pPr>
              <w:pStyle w:val="TableText"/>
            </w:pPr>
            <w:r>
              <w:t>Composite of serious clinical events (death, rehospitalisation for heart failure, LVAD implant, inclusion on heart transplant list)</w:t>
            </w:r>
          </w:p>
        </w:tc>
        <w:tc>
          <w:tcPr>
            <w:tcW w:w="1027" w:type="pct"/>
            <w:vAlign w:val="center"/>
          </w:tcPr>
          <w:p w14:paraId="46F9C7EF" w14:textId="77777777" w:rsidR="00E13992" w:rsidRPr="00B1011F" w:rsidRDefault="00E13992" w:rsidP="00A4028A">
            <w:pPr>
              <w:pStyle w:val="TableText"/>
              <w:jc w:val="center"/>
            </w:pPr>
            <w:r>
              <w:t>41 (9.3)</w:t>
            </w:r>
          </w:p>
        </w:tc>
        <w:tc>
          <w:tcPr>
            <w:tcW w:w="950" w:type="pct"/>
            <w:vAlign w:val="center"/>
          </w:tcPr>
          <w:p w14:paraId="7777E6D3" w14:textId="77777777" w:rsidR="00E13992" w:rsidRPr="00B1011F" w:rsidRDefault="00E13992" w:rsidP="00A4028A">
            <w:pPr>
              <w:pStyle w:val="TableText"/>
              <w:jc w:val="center"/>
            </w:pPr>
            <w:r>
              <w:t>74 (16.8)</w:t>
            </w:r>
          </w:p>
        </w:tc>
        <w:tc>
          <w:tcPr>
            <w:tcW w:w="1144" w:type="pct"/>
            <w:vAlign w:val="center"/>
          </w:tcPr>
          <w:p w14:paraId="4DDF2609" w14:textId="77777777" w:rsidR="00E13992" w:rsidRPr="004E4772" w:rsidRDefault="00E13992" w:rsidP="00A4028A">
            <w:pPr>
              <w:pStyle w:val="TableText"/>
              <w:jc w:val="center"/>
              <w:rPr>
                <w:b/>
              </w:rPr>
            </w:pPr>
            <w:r w:rsidRPr="004E4772">
              <w:rPr>
                <w:b/>
              </w:rPr>
              <w:t>0.54 (0.37, 0.79)</w:t>
            </w:r>
          </w:p>
        </w:tc>
      </w:tr>
      <w:tr w:rsidR="00E13992" w:rsidRPr="00B1011F" w14:paraId="2C770B94" w14:textId="77777777" w:rsidTr="00A4028A">
        <w:tc>
          <w:tcPr>
            <w:tcW w:w="1879" w:type="pct"/>
            <w:vAlign w:val="center"/>
          </w:tcPr>
          <w:p w14:paraId="4989CFC6" w14:textId="77777777" w:rsidR="00E13992" w:rsidRDefault="00E13992" w:rsidP="00A4028A">
            <w:pPr>
              <w:pStyle w:val="TableText"/>
            </w:pPr>
            <w:r>
              <w:t>Post-hoc composite outcome (cardiovascular death or rehospitalisation for heart failure)</w:t>
            </w:r>
          </w:p>
        </w:tc>
        <w:tc>
          <w:tcPr>
            <w:tcW w:w="1027" w:type="pct"/>
            <w:vAlign w:val="center"/>
          </w:tcPr>
          <w:p w14:paraId="46F4B16D" w14:textId="77777777" w:rsidR="00E13992" w:rsidRDefault="00E13992" w:rsidP="00A4028A">
            <w:pPr>
              <w:pStyle w:val="TableText"/>
              <w:jc w:val="center"/>
            </w:pPr>
            <w:r>
              <w:t>NR (9.2)</w:t>
            </w:r>
          </w:p>
        </w:tc>
        <w:tc>
          <w:tcPr>
            <w:tcW w:w="950" w:type="pct"/>
            <w:vAlign w:val="center"/>
          </w:tcPr>
          <w:p w14:paraId="34477BEA" w14:textId="77777777" w:rsidR="00E13992" w:rsidRDefault="00E13992" w:rsidP="00A4028A">
            <w:pPr>
              <w:pStyle w:val="TableText"/>
              <w:jc w:val="center"/>
            </w:pPr>
            <w:r>
              <w:t>NR (15.2)</w:t>
            </w:r>
          </w:p>
        </w:tc>
        <w:tc>
          <w:tcPr>
            <w:tcW w:w="1144" w:type="pct"/>
            <w:vAlign w:val="center"/>
          </w:tcPr>
          <w:p w14:paraId="35698744" w14:textId="77777777" w:rsidR="00E13992" w:rsidRPr="004E4772" w:rsidRDefault="00E13992" w:rsidP="00A4028A">
            <w:pPr>
              <w:pStyle w:val="TableText"/>
              <w:jc w:val="center"/>
              <w:rPr>
                <w:b/>
              </w:rPr>
            </w:pPr>
            <w:r>
              <w:rPr>
                <w:b/>
              </w:rPr>
              <w:t>0.58 (0.39-0.87)</w:t>
            </w:r>
          </w:p>
        </w:tc>
      </w:tr>
    </w:tbl>
    <w:p w14:paraId="6E03F85E" w14:textId="77777777" w:rsidR="00E13992" w:rsidRPr="00E13992" w:rsidRDefault="00E13992" w:rsidP="00E13992">
      <w:pPr>
        <w:pStyle w:val="TableFigureFooter"/>
      </w:pPr>
      <w:r>
        <w:t>Source: Figure 2.4, p36 of the submission</w:t>
      </w:r>
    </w:p>
    <w:p w14:paraId="295C128E" w14:textId="77777777" w:rsidR="00E13992" w:rsidRPr="00E13992" w:rsidRDefault="00E13992" w:rsidP="00E13992">
      <w:pPr>
        <w:pStyle w:val="TableFigureFooter"/>
      </w:pPr>
      <w:r w:rsidRPr="00E13992">
        <w:t>Abbreviations: CI, confidence interval; LVAD, left ventricular assist device; n, number of participants with event; N, total participants in group. Bold indicates statistically significant results.</w:t>
      </w:r>
    </w:p>
    <w:p w14:paraId="4C409459" w14:textId="77777777" w:rsidR="00E13992" w:rsidRPr="00E13992" w:rsidRDefault="00E13992" w:rsidP="00E70035">
      <w:pPr>
        <w:pStyle w:val="ExecSumBodyText"/>
        <w:ind w:left="709" w:hanging="709"/>
        <w:rPr>
          <w:color w:val="0066FF"/>
        </w:rPr>
      </w:pPr>
      <w:r>
        <w:t>There</w:t>
      </w:r>
      <w:r w:rsidRPr="00E97D07">
        <w:t xml:space="preserve"> w</w:t>
      </w:r>
      <w:r>
        <w:t>as</w:t>
      </w:r>
      <w:r w:rsidRPr="00E97D07">
        <w:t xml:space="preserve"> no stati</w:t>
      </w:r>
      <w:r>
        <w:t>stically significant difference</w:t>
      </w:r>
      <w:r w:rsidRPr="00E97D07">
        <w:t xml:space="preserve"> between sacubitril/valsartan and enalapril for t</w:t>
      </w:r>
      <w:r>
        <w:t>he composite endpoint of clinical events, but there were statistically significant differences reported for the composite outcome of serious clinical events, for the post hoc composite outcome of cardiovascular death or rehospitalisation for heart failure, and for rehospitalisation for heart failure</w:t>
      </w:r>
      <w:r w:rsidRPr="005226CA">
        <w:t>.  Results for clinical outcomes in the PIONEER-HF trial should be interpreted with caution, given they are exploratory outcomes that have not been adjusted for multiple comparisons.</w:t>
      </w:r>
    </w:p>
    <w:p w14:paraId="6487EE1A" w14:textId="77777777" w:rsidR="002B3FFA" w:rsidRPr="002B3FFA" w:rsidRDefault="002B3FFA" w:rsidP="002B3FFA">
      <w:pPr>
        <w:pStyle w:val="ExecSumBodyText"/>
        <w:ind w:left="709" w:hanging="709"/>
      </w:pPr>
      <w:r w:rsidRPr="002B3FFA">
        <w:t>The submission claimed that the whole-trial results for the post-hoc composite outcome of cardiovascular death or rehospitalisation for heart failure from the PIONEER-HF trial (HR 0.58, 95% CI 0.39-0.87) were consistent with results for the same outcome previously observed in the PARADIGM-HF trial (HR 0.80, 95% CI 0.73, 0.87).</w:t>
      </w:r>
      <w:r>
        <w:t xml:space="preserve"> </w:t>
      </w:r>
      <w:r w:rsidRPr="005226CA">
        <w:t>The patient populations and treatment durations in these trials were different (PIONEER-HF subjects were hospitalised with acute heart failure, treatment duration 8 weeks; while PARADIGM-HF patients were not required to be hospitalised, median treatment duration 27 months)</w:t>
      </w:r>
      <w:r w:rsidR="005A329D" w:rsidRPr="005226CA">
        <w:t>, limiting the comparability of these results.</w:t>
      </w:r>
    </w:p>
    <w:p w14:paraId="4DC63822" w14:textId="77777777" w:rsidR="00E13992" w:rsidRDefault="00E13992" w:rsidP="00E70035">
      <w:pPr>
        <w:pStyle w:val="ExecSumBodyText"/>
        <w:ind w:left="709" w:hanging="709"/>
      </w:pPr>
      <w:r w:rsidRPr="0012680A">
        <w:t xml:space="preserve">Results from the retrospective cohort study (Tan 2020) for the primary composite outcome of all-cause mortality or all-cause hospitalisation are presented in </w:t>
      </w:r>
      <w:r>
        <w:t>the table below</w:t>
      </w:r>
      <w:r w:rsidRPr="0012680A">
        <w:t>. The submission noted that all-cause hospitalisations were used as the primary outcome to avoid any discrepancies in hospital coding.</w:t>
      </w:r>
    </w:p>
    <w:p w14:paraId="48643E47" w14:textId="77777777" w:rsidR="00E13992" w:rsidRPr="0042047F" w:rsidRDefault="00E13992" w:rsidP="00E13992">
      <w:pPr>
        <w:pStyle w:val="TableFigureCaption"/>
      </w:pPr>
      <w:r>
        <w:lastRenderedPageBreak/>
        <w:t xml:space="preserve">Table </w:t>
      </w:r>
      <w:r w:rsidR="00E70035">
        <w:t>6</w:t>
      </w:r>
      <w:r>
        <w:t>: Key clinical outcomes from retrospective matched cohort study (Tan 2020), all matched patients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1277"/>
        <w:gridCol w:w="1417"/>
        <w:gridCol w:w="1134"/>
        <w:gridCol w:w="1419"/>
        <w:gridCol w:w="1506"/>
      </w:tblGrid>
      <w:tr w:rsidR="00E13992" w:rsidRPr="00B84117" w14:paraId="11E10410" w14:textId="77777777" w:rsidTr="00A4028A">
        <w:trPr>
          <w:trHeight w:val="365"/>
          <w:tblHeader/>
        </w:trPr>
        <w:tc>
          <w:tcPr>
            <w:tcW w:w="1255" w:type="pct"/>
            <w:vMerge w:val="restart"/>
            <w:vAlign w:val="center"/>
          </w:tcPr>
          <w:p w14:paraId="48B60009" w14:textId="77777777" w:rsidR="00E13992" w:rsidRPr="00B84117" w:rsidRDefault="00E13992" w:rsidP="00A4028A">
            <w:pPr>
              <w:pStyle w:val="Tableheadingrow"/>
            </w:pPr>
            <w:r>
              <w:t>Outcome</w:t>
            </w:r>
          </w:p>
        </w:tc>
        <w:tc>
          <w:tcPr>
            <w:tcW w:w="1494" w:type="pct"/>
            <w:gridSpan w:val="2"/>
          </w:tcPr>
          <w:p w14:paraId="092C35BC" w14:textId="77777777" w:rsidR="00E13992" w:rsidRDefault="00E13992" w:rsidP="00A4028A">
            <w:pPr>
              <w:pStyle w:val="Tableheadingrow"/>
              <w:jc w:val="center"/>
            </w:pPr>
            <w:r>
              <w:t>Sacubitril/valsartan</w:t>
            </w:r>
          </w:p>
          <w:p w14:paraId="00162652" w14:textId="77777777" w:rsidR="00E13992" w:rsidRPr="00B84117" w:rsidRDefault="00E13992" w:rsidP="00A4028A">
            <w:pPr>
              <w:pStyle w:val="Tableheadingrow"/>
              <w:jc w:val="center"/>
            </w:pPr>
            <w:r>
              <w:t>N=7893</w:t>
            </w:r>
          </w:p>
        </w:tc>
        <w:tc>
          <w:tcPr>
            <w:tcW w:w="1416" w:type="pct"/>
            <w:gridSpan w:val="2"/>
          </w:tcPr>
          <w:p w14:paraId="6CC8D407" w14:textId="77777777" w:rsidR="00E13992" w:rsidRDefault="00E13992" w:rsidP="00A4028A">
            <w:pPr>
              <w:pStyle w:val="Tableheadingrow"/>
              <w:jc w:val="center"/>
            </w:pPr>
            <w:r>
              <w:t>ACE-inhibitor/ARB</w:t>
            </w:r>
          </w:p>
          <w:p w14:paraId="6F7B123E" w14:textId="77777777" w:rsidR="00E13992" w:rsidRPr="00B84117" w:rsidRDefault="00E13992" w:rsidP="00A4028A">
            <w:pPr>
              <w:pStyle w:val="Tableheadingrow"/>
              <w:jc w:val="center"/>
            </w:pPr>
            <w:r>
              <w:t>N=7893</w:t>
            </w:r>
          </w:p>
        </w:tc>
        <w:tc>
          <w:tcPr>
            <w:tcW w:w="835" w:type="pct"/>
            <w:vAlign w:val="center"/>
          </w:tcPr>
          <w:p w14:paraId="5F77CC2F" w14:textId="77777777" w:rsidR="00E13992" w:rsidRPr="00B84117" w:rsidRDefault="00E13992" w:rsidP="00A4028A">
            <w:pPr>
              <w:pStyle w:val="Tableheadingrow"/>
              <w:jc w:val="center"/>
            </w:pPr>
            <w:r>
              <w:t>Hazard ratio</w:t>
            </w:r>
            <w:r w:rsidRPr="00B84117">
              <w:t xml:space="preserve"> (95% CI)</w:t>
            </w:r>
          </w:p>
        </w:tc>
      </w:tr>
      <w:tr w:rsidR="00E13992" w:rsidRPr="00B84117" w14:paraId="797BFC4D" w14:textId="77777777" w:rsidTr="00A4028A">
        <w:trPr>
          <w:tblHeader/>
        </w:trPr>
        <w:tc>
          <w:tcPr>
            <w:tcW w:w="1255" w:type="pct"/>
            <w:vMerge/>
            <w:vAlign w:val="center"/>
          </w:tcPr>
          <w:p w14:paraId="00659D41" w14:textId="77777777" w:rsidR="00E13992" w:rsidRDefault="00E13992" w:rsidP="00A4028A">
            <w:pPr>
              <w:pStyle w:val="Tableheadingrow"/>
            </w:pPr>
          </w:p>
        </w:tc>
        <w:tc>
          <w:tcPr>
            <w:tcW w:w="708" w:type="pct"/>
          </w:tcPr>
          <w:p w14:paraId="554E6602" w14:textId="77777777" w:rsidR="00E13992" w:rsidRDefault="00E13992" w:rsidP="00A4028A">
            <w:pPr>
              <w:pStyle w:val="Tableheadingrow"/>
              <w:jc w:val="center"/>
            </w:pPr>
            <w:r>
              <w:t>n (%)</w:t>
            </w:r>
          </w:p>
        </w:tc>
        <w:tc>
          <w:tcPr>
            <w:tcW w:w="786" w:type="pct"/>
            <w:vAlign w:val="center"/>
          </w:tcPr>
          <w:p w14:paraId="3BAC38B0" w14:textId="77777777" w:rsidR="00E13992" w:rsidRDefault="00E13992" w:rsidP="00A4028A">
            <w:pPr>
              <w:pStyle w:val="Tableheadingrow"/>
              <w:jc w:val="center"/>
            </w:pPr>
            <w:r>
              <w:t>Per 100 pt yrs</w:t>
            </w:r>
          </w:p>
        </w:tc>
        <w:tc>
          <w:tcPr>
            <w:tcW w:w="629" w:type="pct"/>
          </w:tcPr>
          <w:p w14:paraId="5907979F" w14:textId="77777777" w:rsidR="00E13992" w:rsidRDefault="00E13992" w:rsidP="00A4028A">
            <w:pPr>
              <w:pStyle w:val="Tableheadingrow"/>
              <w:jc w:val="center"/>
            </w:pPr>
            <w:r>
              <w:t>n (%)</w:t>
            </w:r>
          </w:p>
        </w:tc>
        <w:tc>
          <w:tcPr>
            <w:tcW w:w="787" w:type="pct"/>
            <w:vAlign w:val="center"/>
          </w:tcPr>
          <w:p w14:paraId="135086E1" w14:textId="77777777" w:rsidR="00E13992" w:rsidRDefault="00E13992" w:rsidP="00A4028A">
            <w:pPr>
              <w:pStyle w:val="Tableheadingrow"/>
              <w:jc w:val="center"/>
            </w:pPr>
            <w:r>
              <w:t>Per 100 pt yrs</w:t>
            </w:r>
          </w:p>
        </w:tc>
        <w:tc>
          <w:tcPr>
            <w:tcW w:w="835" w:type="pct"/>
            <w:vAlign w:val="center"/>
          </w:tcPr>
          <w:p w14:paraId="13533098" w14:textId="77777777" w:rsidR="00E13992" w:rsidRDefault="00E13992" w:rsidP="00A4028A">
            <w:pPr>
              <w:pStyle w:val="Tableheadingrow"/>
              <w:jc w:val="center"/>
            </w:pPr>
          </w:p>
        </w:tc>
      </w:tr>
      <w:tr w:rsidR="00E13992" w:rsidRPr="00B1011F" w14:paraId="19515BD9" w14:textId="77777777" w:rsidTr="00A4028A">
        <w:tc>
          <w:tcPr>
            <w:tcW w:w="1255" w:type="pct"/>
            <w:vAlign w:val="center"/>
          </w:tcPr>
          <w:p w14:paraId="248B01F2" w14:textId="77777777" w:rsidR="00E13992" w:rsidRPr="00B1011F" w:rsidRDefault="00E13992" w:rsidP="00A4028A">
            <w:pPr>
              <w:pStyle w:val="TableText"/>
            </w:pPr>
            <w:r>
              <w:t>All-cause mortality or hospitalisation</w:t>
            </w:r>
          </w:p>
        </w:tc>
        <w:tc>
          <w:tcPr>
            <w:tcW w:w="708" w:type="pct"/>
            <w:vAlign w:val="center"/>
          </w:tcPr>
          <w:p w14:paraId="03D67104" w14:textId="77777777" w:rsidR="00E13992" w:rsidRDefault="00E13992" w:rsidP="00A4028A">
            <w:pPr>
              <w:pStyle w:val="TableText"/>
              <w:jc w:val="center"/>
            </w:pPr>
            <w:r>
              <w:t>1764 (22.3)</w:t>
            </w:r>
          </w:p>
        </w:tc>
        <w:tc>
          <w:tcPr>
            <w:tcW w:w="786" w:type="pct"/>
            <w:vAlign w:val="center"/>
          </w:tcPr>
          <w:p w14:paraId="54BA6099" w14:textId="77777777" w:rsidR="00E13992" w:rsidRPr="00B1011F" w:rsidRDefault="00E13992" w:rsidP="00A4028A">
            <w:pPr>
              <w:pStyle w:val="TableText"/>
              <w:jc w:val="center"/>
            </w:pPr>
            <w:r>
              <w:t>51.74</w:t>
            </w:r>
          </w:p>
        </w:tc>
        <w:tc>
          <w:tcPr>
            <w:tcW w:w="629" w:type="pct"/>
            <w:vAlign w:val="center"/>
          </w:tcPr>
          <w:p w14:paraId="0D18A5A0" w14:textId="77777777" w:rsidR="00E13992" w:rsidRDefault="00E13992" w:rsidP="00A4028A">
            <w:pPr>
              <w:pStyle w:val="TableText"/>
              <w:jc w:val="center"/>
            </w:pPr>
            <w:r>
              <w:t>2110 (26.7)</w:t>
            </w:r>
          </w:p>
        </w:tc>
        <w:tc>
          <w:tcPr>
            <w:tcW w:w="787" w:type="pct"/>
            <w:vAlign w:val="center"/>
          </w:tcPr>
          <w:p w14:paraId="0596AF04" w14:textId="77777777" w:rsidR="00E13992" w:rsidRPr="00B1011F" w:rsidRDefault="00E13992" w:rsidP="00A4028A">
            <w:pPr>
              <w:pStyle w:val="TableText"/>
              <w:jc w:val="center"/>
            </w:pPr>
            <w:r>
              <w:t>60.12</w:t>
            </w:r>
          </w:p>
        </w:tc>
        <w:tc>
          <w:tcPr>
            <w:tcW w:w="835" w:type="pct"/>
            <w:vAlign w:val="center"/>
          </w:tcPr>
          <w:p w14:paraId="00C4CF4D" w14:textId="77777777" w:rsidR="00E13992" w:rsidRPr="00C53DC1" w:rsidRDefault="00E13992" w:rsidP="00A4028A">
            <w:pPr>
              <w:pStyle w:val="TableText"/>
              <w:jc w:val="center"/>
              <w:rPr>
                <w:b/>
              </w:rPr>
            </w:pPr>
            <w:r w:rsidRPr="00C53DC1">
              <w:rPr>
                <w:b/>
              </w:rPr>
              <w:t>0.86 (0.81, 0.91)</w:t>
            </w:r>
          </w:p>
        </w:tc>
      </w:tr>
      <w:tr w:rsidR="00E13992" w:rsidRPr="00B1011F" w14:paraId="66423E7B" w14:textId="77777777" w:rsidTr="00A4028A">
        <w:tc>
          <w:tcPr>
            <w:tcW w:w="1255" w:type="pct"/>
            <w:vAlign w:val="center"/>
          </w:tcPr>
          <w:p w14:paraId="613D4103" w14:textId="77777777" w:rsidR="00E13992" w:rsidRPr="00B1011F" w:rsidRDefault="00E13992" w:rsidP="00A4028A">
            <w:pPr>
              <w:pStyle w:val="TableText"/>
            </w:pPr>
            <w:r>
              <w:t>All-cause hospitalisation</w:t>
            </w:r>
          </w:p>
        </w:tc>
        <w:tc>
          <w:tcPr>
            <w:tcW w:w="708" w:type="pct"/>
            <w:vAlign w:val="center"/>
          </w:tcPr>
          <w:p w14:paraId="05F409BD" w14:textId="77777777" w:rsidR="00E13992" w:rsidRDefault="00E13992" w:rsidP="00A4028A">
            <w:pPr>
              <w:pStyle w:val="TableText"/>
              <w:jc w:val="center"/>
            </w:pPr>
            <w:r>
              <w:t>1716 (21.8)</w:t>
            </w:r>
          </w:p>
        </w:tc>
        <w:tc>
          <w:tcPr>
            <w:tcW w:w="786" w:type="pct"/>
            <w:vAlign w:val="center"/>
          </w:tcPr>
          <w:p w14:paraId="7E265A31" w14:textId="77777777" w:rsidR="00E13992" w:rsidRPr="00B1011F" w:rsidRDefault="00E13992" w:rsidP="00A4028A">
            <w:pPr>
              <w:pStyle w:val="TableText"/>
              <w:jc w:val="center"/>
            </w:pPr>
            <w:r>
              <w:t>50.30</w:t>
            </w:r>
          </w:p>
        </w:tc>
        <w:tc>
          <w:tcPr>
            <w:tcW w:w="629" w:type="pct"/>
            <w:vAlign w:val="center"/>
          </w:tcPr>
          <w:p w14:paraId="205F1565" w14:textId="77777777" w:rsidR="00E13992" w:rsidRDefault="00E13992" w:rsidP="00A4028A">
            <w:pPr>
              <w:pStyle w:val="TableText"/>
              <w:jc w:val="center"/>
            </w:pPr>
            <w:r>
              <w:t>2060 (26.1)</w:t>
            </w:r>
          </w:p>
        </w:tc>
        <w:tc>
          <w:tcPr>
            <w:tcW w:w="787" w:type="pct"/>
            <w:vAlign w:val="center"/>
          </w:tcPr>
          <w:p w14:paraId="7AC48673" w14:textId="77777777" w:rsidR="00E13992" w:rsidRPr="00B1011F" w:rsidRDefault="00E13992" w:rsidP="00A4028A">
            <w:pPr>
              <w:pStyle w:val="TableText"/>
              <w:jc w:val="center"/>
            </w:pPr>
            <w:r>
              <w:t>58.66</w:t>
            </w:r>
          </w:p>
        </w:tc>
        <w:tc>
          <w:tcPr>
            <w:tcW w:w="835" w:type="pct"/>
            <w:vAlign w:val="center"/>
          </w:tcPr>
          <w:p w14:paraId="6066E3E9" w14:textId="77777777" w:rsidR="00E13992" w:rsidRPr="00C53DC1" w:rsidRDefault="00E13992" w:rsidP="00A4028A">
            <w:pPr>
              <w:pStyle w:val="TableText"/>
              <w:jc w:val="center"/>
              <w:rPr>
                <w:b/>
              </w:rPr>
            </w:pPr>
            <w:r w:rsidRPr="00C53DC1">
              <w:rPr>
                <w:b/>
              </w:rPr>
              <w:t>0.86 (0.80, 0.91)</w:t>
            </w:r>
          </w:p>
        </w:tc>
      </w:tr>
      <w:tr w:rsidR="00E13992" w:rsidRPr="00B1011F" w14:paraId="7073C164" w14:textId="77777777" w:rsidTr="00A4028A">
        <w:tc>
          <w:tcPr>
            <w:tcW w:w="1255" w:type="pct"/>
            <w:vAlign w:val="center"/>
          </w:tcPr>
          <w:p w14:paraId="1663D08C" w14:textId="77777777" w:rsidR="00E13992" w:rsidRPr="00B1011F" w:rsidRDefault="00E13992" w:rsidP="00A4028A">
            <w:pPr>
              <w:pStyle w:val="TableText"/>
            </w:pPr>
            <w:r>
              <w:t>All-cause mortality</w:t>
            </w:r>
          </w:p>
        </w:tc>
        <w:tc>
          <w:tcPr>
            <w:tcW w:w="708" w:type="pct"/>
            <w:vAlign w:val="center"/>
          </w:tcPr>
          <w:p w14:paraId="0E4458DD" w14:textId="77777777" w:rsidR="00E13992" w:rsidRDefault="00E13992" w:rsidP="00A4028A">
            <w:pPr>
              <w:pStyle w:val="TableText"/>
              <w:jc w:val="center"/>
            </w:pPr>
            <w:r>
              <w:t>170 (2.2)</w:t>
            </w:r>
          </w:p>
        </w:tc>
        <w:tc>
          <w:tcPr>
            <w:tcW w:w="786" w:type="pct"/>
            <w:vAlign w:val="center"/>
          </w:tcPr>
          <w:p w14:paraId="6F11CD21" w14:textId="77777777" w:rsidR="00E13992" w:rsidRPr="00B1011F" w:rsidRDefault="00E13992" w:rsidP="00A4028A">
            <w:pPr>
              <w:pStyle w:val="TableText"/>
              <w:jc w:val="center"/>
            </w:pPr>
            <w:r>
              <w:t>4.31</w:t>
            </w:r>
          </w:p>
        </w:tc>
        <w:tc>
          <w:tcPr>
            <w:tcW w:w="629" w:type="pct"/>
            <w:vAlign w:val="center"/>
          </w:tcPr>
          <w:p w14:paraId="18F769B2" w14:textId="77777777" w:rsidR="00E13992" w:rsidRDefault="00E13992" w:rsidP="00A4028A">
            <w:pPr>
              <w:pStyle w:val="TableText"/>
              <w:jc w:val="center"/>
            </w:pPr>
            <w:r>
              <w:t>229 (2.9)</w:t>
            </w:r>
          </w:p>
        </w:tc>
        <w:tc>
          <w:tcPr>
            <w:tcW w:w="787" w:type="pct"/>
            <w:vAlign w:val="center"/>
          </w:tcPr>
          <w:p w14:paraId="669E8B22" w14:textId="77777777" w:rsidR="00E13992" w:rsidRPr="00B1011F" w:rsidRDefault="00E13992" w:rsidP="00A4028A">
            <w:pPr>
              <w:pStyle w:val="TableText"/>
              <w:jc w:val="center"/>
            </w:pPr>
            <w:r>
              <w:t>5.36</w:t>
            </w:r>
          </w:p>
        </w:tc>
        <w:tc>
          <w:tcPr>
            <w:tcW w:w="835" w:type="pct"/>
            <w:vAlign w:val="center"/>
          </w:tcPr>
          <w:p w14:paraId="6B4C7D67" w14:textId="77777777" w:rsidR="00E13992" w:rsidRPr="004E4772" w:rsidRDefault="00E13992" w:rsidP="00A4028A">
            <w:pPr>
              <w:pStyle w:val="TableText"/>
              <w:jc w:val="center"/>
              <w:rPr>
                <w:b/>
              </w:rPr>
            </w:pPr>
            <w:r>
              <w:rPr>
                <w:b/>
              </w:rPr>
              <w:t>0.80 (0.65, 0.97)</w:t>
            </w:r>
          </w:p>
        </w:tc>
      </w:tr>
      <w:tr w:rsidR="00E13992" w:rsidRPr="00B1011F" w14:paraId="66900A3C" w14:textId="77777777" w:rsidTr="00A4028A">
        <w:tc>
          <w:tcPr>
            <w:tcW w:w="1255" w:type="pct"/>
            <w:vAlign w:val="center"/>
          </w:tcPr>
          <w:p w14:paraId="23CF059A" w14:textId="77777777" w:rsidR="00E13992" w:rsidRPr="00B1011F" w:rsidRDefault="00E13992" w:rsidP="00A4028A">
            <w:pPr>
              <w:pStyle w:val="TableText"/>
            </w:pPr>
            <w:r>
              <w:t>Heart failure hospitalisation</w:t>
            </w:r>
          </w:p>
        </w:tc>
        <w:tc>
          <w:tcPr>
            <w:tcW w:w="708" w:type="pct"/>
            <w:vAlign w:val="center"/>
          </w:tcPr>
          <w:p w14:paraId="5816AA8D" w14:textId="77777777" w:rsidR="00E13992" w:rsidRDefault="00E13992" w:rsidP="00A4028A">
            <w:pPr>
              <w:pStyle w:val="TableText"/>
              <w:jc w:val="center"/>
            </w:pPr>
            <w:r>
              <w:t>646 (17.2)</w:t>
            </w:r>
          </w:p>
        </w:tc>
        <w:tc>
          <w:tcPr>
            <w:tcW w:w="786" w:type="pct"/>
            <w:vAlign w:val="center"/>
          </w:tcPr>
          <w:p w14:paraId="7899D99B" w14:textId="77777777" w:rsidR="00E13992" w:rsidRPr="00B1011F" w:rsidRDefault="00E13992" w:rsidP="00A4028A">
            <w:pPr>
              <w:pStyle w:val="TableText"/>
              <w:jc w:val="center"/>
            </w:pPr>
            <w:r>
              <w:t>17.16</w:t>
            </w:r>
          </w:p>
        </w:tc>
        <w:tc>
          <w:tcPr>
            <w:tcW w:w="629" w:type="pct"/>
            <w:vAlign w:val="center"/>
          </w:tcPr>
          <w:p w14:paraId="413E0F36" w14:textId="77777777" w:rsidR="00E13992" w:rsidRDefault="00E13992" w:rsidP="00A4028A">
            <w:pPr>
              <w:pStyle w:val="TableText"/>
              <w:jc w:val="center"/>
            </w:pPr>
            <w:r>
              <w:t>648 (15.9)</w:t>
            </w:r>
          </w:p>
        </w:tc>
        <w:tc>
          <w:tcPr>
            <w:tcW w:w="787" w:type="pct"/>
            <w:vAlign w:val="center"/>
          </w:tcPr>
          <w:p w14:paraId="04DA66DC" w14:textId="77777777" w:rsidR="00E13992" w:rsidRPr="00B1011F" w:rsidRDefault="00E13992" w:rsidP="00A4028A">
            <w:pPr>
              <w:pStyle w:val="TableText"/>
              <w:jc w:val="center"/>
            </w:pPr>
            <w:r>
              <w:t>15.93</w:t>
            </w:r>
          </w:p>
        </w:tc>
        <w:tc>
          <w:tcPr>
            <w:tcW w:w="835" w:type="pct"/>
            <w:vAlign w:val="center"/>
          </w:tcPr>
          <w:p w14:paraId="49A8AA09" w14:textId="77777777" w:rsidR="00E13992" w:rsidRPr="00B1011F" w:rsidRDefault="00E13992" w:rsidP="00A4028A">
            <w:pPr>
              <w:pStyle w:val="TableText"/>
              <w:jc w:val="center"/>
            </w:pPr>
            <w:r>
              <w:t>1.07 (0.96, 1.19)</w:t>
            </w:r>
          </w:p>
        </w:tc>
      </w:tr>
    </w:tbl>
    <w:p w14:paraId="3EE5A060" w14:textId="77777777" w:rsidR="00E13992" w:rsidRPr="00B1011F" w:rsidRDefault="00E13992" w:rsidP="00E13992">
      <w:pPr>
        <w:pStyle w:val="TableFigureFooter"/>
        <w:rPr>
          <w:sz w:val="20"/>
        </w:rPr>
      </w:pPr>
      <w:r>
        <w:t>Source: Figures 1-4, Tan 2020 publication</w:t>
      </w:r>
    </w:p>
    <w:p w14:paraId="0A465107" w14:textId="77777777" w:rsidR="00E13992" w:rsidRPr="00E13992" w:rsidRDefault="00E13992" w:rsidP="00E13992">
      <w:pPr>
        <w:pStyle w:val="TableFigureFooter"/>
      </w:pPr>
      <w:r w:rsidRPr="00E13992">
        <w:t>Abbreviations: ARB, angiotensin II receptor blocker; CI, confidence interval; HR, hazard ratio; Per 100 pt yrs, event rate per 100 patient-years</w:t>
      </w:r>
    </w:p>
    <w:p w14:paraId="469F3E54" w14:textId="77777777" w:rsidR="00E13992" w:rsidRPr="005A329D" w:rsidRDefault="00E13992" w:rsidP="00E70035">
      <w:pPr>
        <w:pStyle w:val="ExecSumBodyText"/>
        <w:ind w:left="709" w:hanging="709"/>
      </w:pPr>
      <w:r>
        <w:t xml:space="preserve">Compared to ACE-inhibitors/ARBs, sacubitril/valsartan was associated with a lower risk of all-cause mortality or hospitalisation, or a composite of both outcomes, for the whole study matched population. However, there was no difference between treatment groups for heart failure hospitalisation. The authors argued that the use of codes to identify heart failure hospitalisation had previously been identified as problematic and may have contributed to these findings. </w:t>
      </w:r>
      <w:r w:rsidRPr="005226CA">
        <w:t>Results should be interpreted with caution given the observational nature of the study.</w:t>
      </w:r>
    </w:p>
    <w:p w14:paraId="6626EC9D" w14:textId="77777777" w:rsidR="005A329D" w:rsidRPr="002B3FFA" w:rsidRDefault="005A329D" w:rsidP="005A329D">
      <w:pPr>
        <w:pStyle w:val="ExecSumBodyText"/>
        <w:ind w:left="709" w:hanging="709"/>
      </w:pPr>
      <w:r w:rsidRPr="002B3FFA">
        <w:t xml:space="preserve">The submission claimed that the </w:t>
      </w:r>
      <w:r>
        <w:t>study</w:t>
      </w:r>
      <w:r w:rsidRPr="002B3FFA">
        <w:t xml:space="preserve"> results for the composite outcome of </w:t>
      </w:r>
      <w:r>
        <w:t xml:space="preserve">all-cause death or all-cause hospitalisation from Tan (2020) (HR 0.81, 95% CI 0.81, 0.91) </w:t>
      </w:r>
      <w:r w:rsidRPr="002B3FFA">
        <w:t xml:space="preserve">were consistent with results for </w:t>
      </w:r>
      <w:r>
        <w:t xml:space="preserve">the composite outcome of </w:t>
      </w:r>
      <w:r w:rsidRPr="002B3FFA">
        <w:t>cardiovascular death or rehospitalisation for heart failure  previously observed in the PARADIGM-HF trial (HR 0.80, 95% CI 0.73, 0.87).</w:t>
      </w:r>
      <w:r>
        <w:t xml:space="preserve"> </w:t>
      </w:r>
      <w:r w:rsidRPr="005226CA">
        <w:t>The outcomes assessed in these studies were different and results cannot be compared.</w:t>
      </w:r>
    </w:p>
    <w:p w14:paraId="7E50238A" w14:textId="77777777" w:rsidR="00B34FE2" w:rsidRPr="00E13992" w:rsidRDefault="00A0235E" w:rsidP="00E70035">
      <w:pPr>
        <w:pStyle w:val="ExecSumBodyText"/>
        <w:ind w:left="709" w:hanging="709"/>
      </w:pPr>
      <w:r w:rsidRPr="00A0235E">
        <w:rPr>
          <w:snapToGrid/>
          <w:lang w:val="en-US"/>
        </w:rPr>
        <w:t>No quality of life or functional outcomes were reported in any of the included studies.</w:t>
      </w:r>
    </w:p>
    <w:p w14:paraId="63706389" w14:textId="77777777" w:rsidR="00E13992" w:rsidRDefault="00E13992" w:rsidP="00E13992">
      <w:pPr>
        <w:pStyle w:val="5-SubSubSubHead"/>
      </w:pPr>
      <w:r w:rsidRPr="005D0FC6">
        <w:t>Subgroup analyses to inform ACE-inhibitor/ARB</w:t>
      </w:r>
      <w:r>
        <w:t xml:space="preserve">-naïve </w:t>
      </w:r>
      <w:r w:rsidRPr="005D0FC6">
        <w:t>population</w:t>
      </w:r>
    </w:p>
    <w:p w14:paraId="69A76917" w14:textId="77777777" w:rsidR="00E13992" w:rsidRPr="00E13992" w:rsidRDefault="00E13992" w:rsidP="00E70035">
      <w:pPr>
        <w:pStyle w:val="ExecSumBodyText"/>
        <w:ind w:left="709" w:hanging="709"/>
      </w:pPr>
      <w:r w:rsidRPr="00FC0DDF">
        <w:t xml:space="preserve">The submission provided results from a pre-specified subgroup analysis from the PIONEER-HF trial, comparing treatments groups based on prior use of ACE-inhibitors/ARBs, aligning the trial population with one of the requested expansions to current PBS restrictions. </w:t>
      </w:r>
      <w:r w:rsidRPr="005226CA">
        <w:t>The complement to this subgroup would be eligible for treatment with sacubitril/valsartan based on the current restriction.</w:t>
      </w:r>
      <w:r w:rsidRPr="00E13992">
        <w:rPr>
          <w:i/>
        </w:rPr>
        <w:t xml:space="preserve"> </w:t>
      </w:r>
    </w:p>
    <w:p w14:paraId="56778DE4" w14:textId="77777777" w:rsidR="009D19CE" w:rsidRDefault="009D19CE">
      <w:pPr>
        <w:jc w:val="left"/>
        <w:rPr>
          <w:rFonts w:ascii="Arial Narrow" w:eastAsiaTheme="majorEastAsia" w:hAnsi="Arial Narrow" w:cstheme="majorBidi"/>
          <w:b/>
          <w:bCs/>
          <w:sz w:val="20"/>
        </w:rPr>
      </w:pPr>
      <w:r>
        <w:br w:type="page"/>
      </w:r>
    </w:p>
    <w:p w14:paraId="438B4B4E" w14:textId="77777777" w:rsidR="00E13992" w:rsidRPr="00080909" w:rsidRDefault="00E13992" w:rsidP="00E13992">
      <w:pPr>
        <w:pStyle w:val="TableFigureCaption"/>
      </w:pPr>
      <w:r w:rsidRPr="00080909">
        <w:lastRenderedPageBreak/>
        <w:t xml:space="preserve">Table </w:t>
      </w:r>
      <w:r w:rsidR="00E70035">
        <w:t>7</w:t>
      </w:r>
      <w:r w:rsidRPr="00080909">
        <w:t>:</w:t>
      </w:r>
      <w:r>
        <w:t xml:space="preserve"> Pre-specified subgroup analysis of exploratory clinical outcomes – PIONEER-HF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1009"/>
        <w:gridCol w:w="978"/>
        <w:gridCol w:w="1559"/>
        <w:gridCol w:w="1009"/>
        <w:gridCol w:w="982"/>
        <w:gridCol w:w="1644"/>
      </w:tblGrid>
      <w:tr w:rsidR="00E13992" w:rsidRPr="00080909" w14:paraId="140A9177" w14:textId="77777777" w:rsidTr="00A4028A">
        <w:trPr>
          <w:tblHeader/>
        </w:trPr>
        <w:tc>
          <w:tcPr>
            <w:tcW w:w="1836" w:type="dxa"/>
            <w:vMerge w:val="restart"/>
            <w:vAlign w:val="center"/>
          </w:tcPr>
          <w:p w14:paraId="51D4C341" w14:textId="77777777" w:rsidR="00E13992" w:rsidRDefault="00E13992" w:rsidP="00A4028A">
            <w:pPr>
              <w:pStyle w:val="Tableheadingrow"/>
            </w:pPr>
            <w:r>
              <w:t>Outcome (n, %)</w:t>
            </w:r>
          </w:p>
        </w:tc>
        <w:tc>
          <w:tcPr>
            <w:tcW w:w="3546" w:type="dxa"/>
            <w:gridSpan w:val="3"/>
            <w:vAlign w:val="center"/>
          </w:tcPr>
          <w:p w14:paraId="6A537F3C" w14:textId="77777777" w:rsidR="00E13992" w:rsidRDefault="00E13992" w:rsidP="00A4028A">
            <w:pPr>
              <w:pStyle w:val="Tableheadingrow"/>
              <w:jc w:val="center"/>
            </w:pPr>
            <w:r>
              <w:t>ACE-inhibitor/ARB-naive</w:t>
            </w:r>
          </w:p>
        </w:tc>
        <w:tc>
          <w:tcPr>
            <w:tcW w:w="3635" w:type="dxa"/>
            <w:gridSpan w:val="3"/>
          </w:tcPr>
          <w:p w14:paraId="20450CD9" w14:textId="77777777" w:rsidR="00E13992" w:rsidRDefault="00E13992" w:rsidP="00A4028A">
            <w:pPr>
              <w:pStyle w:val="Tableheadingrow"/>
              <w:jc w:val="center"/>
            </w:pPr>
            <w:r>
              <w:t>ACE-inhibitor/ARB experienced</w:t>
            </w:r>
          </w:p>
        </w:tc>
      </w:tr>
      <w:tr w:rsidR="00E13992" w:rsidRPr="00080909" w14:paraId="64706702" w14:textId="77777777" w:rsidTr="00A4028A">
        <w:trPr>
          <w:tblHeader/>
        </w:trPr>
        <w:tc>
          <w:tcPr>
            <w:tcW w:w="1836" w:type="dxa"/>
            <w:vMerge/>
            <w:vAlign w:val="center"/>
          </w:tcPr>
          <w:p w14:paraId="747B3148" w14:textId="77777777" w:rsidR="00E13992" w:rsidRPr="00080909" w:rsidRDefault="00E13992" w:rsidP="00A4028A">
            <w:pPr>
              <w:pStyle w:val="Tableheadingrow"/>
            </w:pPr>
          </w:p>
        </w:tc>
        <w:tc>
          <w:tcPr>
            <w:tcW w:w="1009" w:type="dxa"/>
            <w:vAlign w:val="center"/>
          </w:tcPr>
          <w:p w14:paraId="351E9A0F" w14:textId="77777777" w:rsidR="00E13992" w:rsidRDefault="00E13992" w:rsidP="00A4028A">
            <w:pPr>
              <w:pStyle w:val="Tableheadingrow"/>
              <w:jc w:val="center"/>
            </w:pPr>
            <w:r>
              <w:t>Sacubitril/</w:t>
            </w:r>
          </w:p>
          <w:p w14:paraId="7208F183" w14:textId="77777777" w:rsidR="00E13992" w:rsidRDefault="00E13992" w:rsidP="00A4028A">
            <w:pPr>
              <w:pStyle w:val="Tableheadingrow"/>
              <w:jc w:val="center"/>
            </w:pPr>
            <w:r>
              <w:t>valsartan</w:t>
            </w:r>
          </w:p>
          <w:p w14:paraId="5C26140B" w14:textId="77777777" w:rsidR="00E13992" w:rsidRPr="00080909" w:rsidRDefault="00E13992" w:rsidP="00A4028A">
            <w:pPr>
              <w:pStyle w:val="Tableheadingrow"/>
              <w:jc w:val="center"/>
            </w:pPr>
            <w:r>
              <w:t>N=232</w:t>
            </w:r>
          </w:p>
        </w:tc>
        <w:tc>
          <w:tcPr>
            <w:tcW w:w="978" w:type="dxa"/>
            <w:vAlign w:val="center"/>
          </w:tcPr>
          <w:p w14:paraId="3BDBC1BD" w14:textId="77777777" w:rsidR="00E13992" w:rsidRDefault="00E13992" w:rsidP="00A4028A">
            <w:pPr>
              <w:pStyle w:val="Tableheadingrow"/>
              <w:jc w:val="center"/>
            </w:pPr>
            <w:r>
              <w:t>Enalapril</w:t>
            </w:r>
          </w:p>
          <w:p w14:paraId="78A43E08" w14:textId="77777777" w:rsidR="00E13992" w:rsidRPr="00080909" w:rsidRDefault="00E13992" w:rsidP="00A4028A">
            <w:pPr>
              <w:pStyle w:val="Tableheadingrow"/>
              <w:jc w:val="center"/>
            </w:pPr>
            <w:r>
              <w:t>N=227</w:t>
            </w:r>
          </w:p>
        </w:tc>
        <w:tc>
          <w:tcPr>
            <w:tcW w:w="1559" w:type="dxa"/>
            <w:vAlign w:val="center"/>
          </w:tcPr>
          <w:p w14:paraId="4FECB8F5" w14:textId="77777777" w:rsidR="00E13992" w:rsidRPr="00080909" w:rsidRDefault="00E13992" w:rsidP="00A4028A">
            <w:pPr>
              <w:pStyle w:val="Tableheadingrow"/>
              <w:jc w:val="center"/>
            </w:pPr>
            <w:r>
              <w:t>HR (95% CI)</w:t>
            </w:r>
          </w:p>
        </w:tc>
        <w:tc>
          <w:tcPr>
            <w:tcW w:w="1009" w:type="dxa"/>
            <w:vAlign w:val="center"/>
          </w:tcPr>
          <w:p w14:paraId="4780792D" w14:textId="77777777" w:rsidR="00E13992" w:rsidRDefault="00E13992" w:rsidP="00A4028A">
            <w:pPr>
              <w:pStyle w:val="Tableheadingrow"/>
              <w:jc w:val="center"/>
            </w:pPr>
            <w:r>
              <w:t>Sacubitril/</w:t>
            </w:r>
          </w:p>
          <w:p w14:paraId="26B59BF3" w14:textId="77777777" w:rsidR="00E13992" w:rsidRDefault="00E13992" w:rsidP="00A4028A">
            <w:pPr>
              <w:pStyle w:val="Tableheadingrow"/>
              <w:jc w:val="center"/>
            </w:pPr>
            <w:r>
              <w:t>valsartan</w:t>
            </w:r>
          </w:p>
          <w:p w14:paraId="202C82A2" w14:textId="77777777" w:rsidR="00E13992" w:rsidRDefault="00E13992" w:rsidP="00A4028A">
            <w:pPr>
              <w:pStyle w:val="Tableheadingrow"/>
              <w:jc w:val="center"/>
            </w:pPr>
            <w:r>
              <w:t>N=208</w:t>
            </w:r>
          </w:p>
        </w:tc>
        <w:tc>
          <w:tcPr>
            <w:tcW w:w="982" w:type="dxa"/>
            <w:vAlign w:val="center"/>
          </w:tcPr>
          <w:p w14:paraId="669C5405" w14:textId="77777777" w:rsidR="00E13992" w:rsidRDefault="00E13992" w:rsidP="00A4028A">
            <w:pPr>
              <w:pStyle w:val="Tableheadingrow"/>
              <w:jc w:val="center"/>
            </w:pPr>
            <w:r>
              <w:t>Enalapril</w:t>
            </w:r>
          </w:p>
          <w:p w14:paraId="1650357C" w14:textId="77777777" w:rsidR="00E13992" w:rsidRDefault="00E13992" w:rsidP="00A4028A">
            <w:pPr>
              <w:pStyle w:val="Tableheadingrow"/>
              <w:jc w:val="center"/>
            </w:pPr>
            <w:r>
              <w:t>N=214</w:t>
            </w:r>
          </w:p>
        </w:tc>
        <w:tc>
          <w:tcPr>
            <w:tcW w:w="1644" w:type="dxa"/>
            <w:vAlign w:val="center"/>
          </w:tcPr>
          <w:p w14:paraId="1E209E94" w14:textId="77777777" w:rsidR="00E13992" w:rsidRDefault="00E13992" w:rsidP="00A4028A">
            <w:pPr>
              <w:pStyle w:val="Tableheadingrow"/>
              <w:jc w:val="center"/>
            </w:pPr>
            <w:r>
              <w:t>HR (95% CI)</w:t>
            </w:r>
          </w:p>
        </w:tc>
      </w:tr>
      <w:tr w:rsidR="00E13992" w14:paraId="752E7CB1" w14:textId="77777777" w:rsidTr="00A4028A">
        <w:tc>
          <w:tcPr>
            <w:tcW w:w="1836" w:type="dxa"/>
            <w:vAlign w:val="center"/>
          </w:tcPr>
          <w:p w14:paraId="472CB05C" w14:textId="77777777" w:rsidR="00E13992" w:rsidRDefault="00E13992" w:rsidP="00A4028A">
            <w:pPr>
              <w:pStyle w:val="TableText"/>
            </w:pPr>
            <w:r>
              <w:t>Death</w:t>
            </w:r>
          </w:p>
        </w:tc>
        <w:tc>
          <w:tcPr>
            <w:tcW w:w="1009" w:type="dxa"/>
            <w:vAlign w:val="center"/>
          </w:tcPr>
          <w:p w14:paraId="1876A433" w14:textId="77777777" w:rsidR="00E13992" w:rsidRDefault="00E13992" w:rsidP="00A4028A">
            <w:pPr>
              <w:pStyle w:val="TableText"/>
              <w:jc w:val="center"/>
            </w:pPr>
            <w:r>
              <w:t>4 (1.7)</w:t>
            </w:r>
          </w:p>
        </w:tc>
        <w:tc>
          <w:tcPr>
            <w:tcW w:w="978" w:type="dxa"/>
            <w:vAlign w:val="center"/>
          </w:tcPr>
          <w:p w14:paraId="1A85E5C9" w14:textId="77777777" w:rsidR="00E13992" w:rsidRDefault="00E13992" w:rsidP="00A4028A">
            <w:pPr>
              <w:pStyle w:val="TableText"/>
              <w:jc w:val="center"/>
            </w:pPr>
            <w:r>
              <w:t>7 (3.1)</w:t>
            </w:r>
          </w:p>
        </w:tc>
        <w:tc>
          <w:tcPr>
            <w:tcW w:w="1559" w:type="dxa"/>
            <w:vAlign w:val="center"/>
          </w:tcPr>
          <w:p w14:paraId="1DCD1EC6" w14:textId="77777777" w:rsidR="00E13992" w:rsidRDefault="00E13992" w:rsidP="00A4028A">
            <w:pPr>
              <w:pStyle w:val="TableText"/>
              <w:jc w:val="center"/>
            </w:pPr>
            <w:r>
              <w:t>0.54 (0.16, 1.85)</w:t>
            </w:r>
          </w:p>
        </w:tc>
        <w:tc>
          <w:tcPr>
            <w:tcW w:w="1009" w:type="dxa"/>
            <w:vAlign w:val="center"/>
          </w:tcPr>
          <w:p w14:paraId="612241BB" w14:textId="77777777" w:rsidR="00E13992" w:rsidRDefault="00E13992" w:rsidP="00A4028A">
            <w:pPr>
              <w:pStyle w:val="TableText"/>
              <w:jc w:val="center"/>
            </w:pPr>
            <w:r>
              <w:t>6 (2.9)</w:t>
            </w:r>
          </w:p>
        </w:tc>
        <w:tc>
          <w:tcPr>
            <w:tcW w:w="982" w:type="dxa"/>
            <w:vAlign w:val="center"/>
          </w:tcPr>
          <w:p w14:paraId="7A409EC9" w14:textId="77777777" w:rsidR="00E13992" w:rsidRDefault="00E13992" w:rsidP="00A4028A">
            <w:pPr>
              <w:pStyle w:val="TableText"/>
              <w:jc w:val="center"/>
            </w:pPr>
            <w:r>
              <w:t>8 (3.7)</w:t>
            </w:r>
          </w:p>
        </w:tc>
        <w:tc>
          <w:tcPr>
            <w:tcW w:w="1644" w:type="dxa"/>
            <w:vAlign w:val="center"/>
          </w:tcPr>
          <w:p w14:paraId="1C188EE4" w14:textId="77777777" w:rsidR="00E13992" w:rsidRDefault="00E13992" w:rsidP="00A4028A">
            <w:pPr>
              <w:pStyle w:val="TableText"/>
              <w:jc w:val="center"/>
            </w:pPr>
            <w:r>
              <w:t>0.80 (0.28, 2.29)</w:t>
            </w:r>
          </w:p>
        </w:tc>
      </w:tr>
      <w:tr w:rsidR="00E13992" w14:paraId="524FC325" w14:textId="77777777" w:rsidTr="00A4028A">
        <w:tc>
          <w:tcPr>
            <w:tcW w:w="1836" w:type="dxa"/>
            <w:vAlign w:val="center"/>
          </w:tcPr>
          <w:p w14:paraId="13729787" w14:textId="77777777" w:rsidR="00E13992" w:rsidRDefault="00E13992" w:rsidP="00A4028A">
            <w:pPr>
              <w:pStyle w:val="TableText"/>
            </w:pPr>
            <w:r>
              <w:t>HF rehospitalisation</w:t>
            </w:r>
          </w:p>
        </w:tc>
        <w:tc>
          <w:tcPr>
            <w:tcW w:w="1009" w:type="dxa"/>
            <w:vAlign w:val="center"/>
          </w:tcPr>
          <w:p w14:paraId="2E2BC806" w14:textId="77777777" w:rsidR="00E13992" w:rsidRPr="00013F94" w:rsidRDefault="00E13992" w:rsidP="00A4028A">
            <w:pPr>
              <w:pStyle w:val="TableText"/>
              <w:jc w:val="center"/>
              <w:rPr>
                <w:b/>
              </w:rPr>
            </w:pPr>
            <w:r w:rsidRPr="00013F94">
              <w:rPr>
                <w:b/>
              </w:rPr>
              <w:t>14 (6.0)</w:t>
            </w:r>
          </w:p>
        </w:tc>
        <w:tc>
          <w:tcPr>
            <w:tcW w:w="978" w:type="dxa"/>
            <w:vAlign w:val="center"/>
          </w:tcPr>
          <w:p w14:paraId="60A54793" w14:textId="77777777" w:rsidR="00E13992" w:rsidRPr="00013F94" w:rsidRDefault="00E13992" w:rsidP="00A4028A">
            <w:pPr>
              <w:pStyle w:val="TableText"/>
              <w:jc w:val="center"/>
              <w:rPr>
                <w:b/>
              </w:rPr>
            </w:pPr>
            <w:r w:rsidRPr="00013F94">
              <w:rPr>
                <w:b/>
              </w:rPr>
              <w:t>25 (11.0)</w:t>
            </w:r>
          </w:p>
        </w:tc>
        <w:tc>
          <w:tcPr>
            <w:tcW w:w="1559" w:type="dxa"/>
            <w:vAlign w:val="center"/>
          </w:tcPr>
          <w:p w14:paraId="3FB7B17D" w14:textId="77777777" w:rsidR="00E13992" w:rsidRPr="00013F94" w:rsidRDefault="00E13992" w:rsidP="00A4028A">
            <w:pPr>
              <w:pStyle w:val="TableText"/>
              <w:jc w:val="center"/>
              <w:rPr>
                <w:b/>
              </w:rPr>
            </w:pPr>
            <w:r w:rsidRPr="00013F94">
              <w:rPr>
                <w:b/>
              </w:rPr>
              <w:t>0.52 (0.27, 0.99)</w:t>
            </w:r>
          </w:p>
        </w:tc>
        <w:tc>
          <w:tcPr>
            <w:tcW w:w="1009" w:type="dxa"/>
            <w:vAlign w:val="center"/>
          </w:tcPr>
          <w:p w14:paraId="0520CF25" w14:textId="77777777" w:rsidR="00E13992" w:rsidRDefault="00E13992" w:rsidP="00A4028A">
            <w:pPr>
              <w:pStyle w:val="TableText"/>
              <w:jc w:val="center"/>
            </w:pPr>
            <w:r>
              <w:t>21 (10.1)</w:t>
            </w:r>
          </w:p>
        </w:tc>
        <w:tc>
          <w:tcPr>
            <w:tcW w:w="982" w:type="dxa"/>
            <w:vAlign w:val="center"/>
          </w:tcPr>
          <w:p w14:paraId="56B783E6" w14:textId="77777777" w:rsidR="00E13992" w:rsidRDefault="00E13992" w:rsidP="00A4028A">
            <w:pPr>
              <w:pStyle w:val="TableText"/>
              <w:jc w:val="center"/>
            </w:pPr>
            <w:r>
              <w:t>36 (16.8)</w:t>
            </w:r>
          </w:p>
        </w:tc>
        <w:tc>
          <w:tcPr>
            <w:tcW w:w="1644" w:type="dxa"/>
            <w:vAlign w:val="center"/>
          </w:tcPr>
          <w:p w14:paraId="594BF701" w14:textId="77777777" w:rsidR="00E13992" w:rsidRDefault="00E13992" w:rsidP="00A4028A">
            <w:pPr>
              <w:pStyle w:val="TableText"/>
              <w:jc w:val="center"/>
            </w:pPr>
            <w:r>
              <w:t>0.60 (0.35, 1.03)</w:t>
            </w:r>
          </w:p>
        </w:tc>
      </w:tr>
      <w:tr w:rsidR="00E13992" w14:paraId="6FAE86B2" w14:textId="77777777" w:rsidTr="00A4028A">
        <w:tc>
          <w:tcPr>
            <w:tcW w:w="1836" w:type="dxa"/>
            <w:vAlign w:val="center"/>
          </w:tcPr>
          <w:p w14:paraId="58FE3DDA" w14:textId="77777777" w:rsidR="00E13992" w:rsidRDefault="00E13992" w:rsidP="00A4028A">
            <w:pPr>
              <w:pStyle w:val="TableText"/>
            </w:pPr>
            <w:r>
              <w:t>LVAD implantation</w:t>
            </w:r>
          </w:p>
        </w:tc>
        <w:tc>
          <w:tcPr>
            <w:tcW w:w="1009" w:type="dxa"/>
            <w:vAlign w:val="center"/>
          </w:tcPr>
          <w:p w14:paraId="2C97C51D" w14:textId="77777777" w:rsidR="00E13992" w:rsidRDefault="00E13992" w:rsidP="00A4028A">
            <w:pPr>
              <w:pStyle w:val="TableText"/>
              <w:jc w:val="center"/>
            </w:pPr>
            <w:r>
              <w:t>0 (0)</w:t>
            </w:r>
          </w:p>
        </w:tc>
        <w:tc>
          <w:tcPr>
            <w:tcW w:w="978" w:type="dxa"/>
            <w:vAlign w:val="center"/>
          </w:tcPr>
          <w:p w14:paraId="5571B91C" w14:textId="77777777" w:rsidR="00E13992" w:rsidRDefault="00E13992" w:rsidP="00A4028A">
            <w:pPr>
              <w:pStyle w:val="TableText"/>
              <w:jc w:val="center"/>
            </w:pPr>
            <w:r>
              <w:t>1 (0.4)</w:t>
            </w:r>
          </w:p>
        </w:tc>
        <w:tc>
          <w:tcPr>
            <w:tcW w:w="1559" w:type="dxa"/>
            <w:vAlign w:val="center"/>
          </w:tcPr>
          <w:p w14:paraId="06D73D45" w14:textId="77777777" w:rsidR="00E13992" w:rsidRDefault="00E13992" w:rsidP="00A4028A">
            <w:pPr>
              <w:pStyle w:val="TableText"/>
              <w:jc w:val="center"/>
            </w:pPr>
            <w:r>
              <w:t>NA</w:t>
            </w:r>
          </w:p>
        </w:tc>
        <w:tc>
          <w:tcPr>
            <w:tcW w:w="1009" w:type="dxa"/>
            <w:vAlign w:val="center"/>
          </w:tcPr>
          <w:p w14:paraId="0A56283B" w14:textId="77777777" w:rsidR="00E13992" w:rsidRDefault="00E13992" w:rsidP="00A4028A">
            <w:pPr>
              <w:pStyle w:val="TableText"/>
              <w:jc w:val="center"/>
            </w:pPr>
            <w:r>
              <w:t>1 (0.5)</w:t>
            </w:r>
          </w:p>
        </w:tc>
        <w:tc>
          <w:tcPr>
            <w:tcW w:w="982" w:type="dxa"/>
            <w:vAlign w:val="center"/>
          </w:tcPr>
          <w:p w14:paraId="265220B3" w14:textId="77777777" w:rsidR="00E13992" w:rsidRDefault="00E13992" w:rsidP="00A4028A">
            <w:pPr>
              <w:pStyle w:val="TableText"/>
              <w:jc w:val="center"/>
            </w:pPr>
            <w:r>
              <w:t>0 (0)</w:t>
            </w:r>
          </w:p>
        </w:tc>
        <w:tc>
          <w:tcPr>
            <w:tcW w:w="1644" w:type="dxa"/>
            <w:vAlign w:val="center"/>
          </w:tcPr>
          <w:p w14:paraId="37BD2E85" w14:textId="77777777" w:rsidR="00E13992" w:rsidRDefault="00E13992" w:rsidP="00A4028A">
            <w:pPr>
              <w:pStyle w:val="TableText"/>
              <w:jc w:val="center"/>
            </w:pPr>
            <w:r>
              <w:t>NA</w:t>
            </w:r>
          </w:p>
        </w:tc>
      </w:tr>
      <w:tr w:rsidR="00E13992" w14:paraId="72803088" w14:textId="77777777" w:rsidTr="00A4028A">
        <w:tc>
          <w:tcPr>
            <w:tcW w:w="1836" w:type="dxa"/>
            <w:vAlign w:val="center"/>
          </w:tcPr>
          <w:p w14:paraId="15724776" w14:textId="77777777" w:rsidR="00E13992" w:rsidRDefault="00E13992" w:rsidP="00A4028A">
            <w:pPr>
              <w:pStyle w:val="TableText"/>
            </w:pPr>
            <w:r>
              <w:t>Cardiac transplant</w:t>
            </w:r>
          </w:p>
        </w:tc>
        <w:tc>
          <w:tcPr>
            <w:tcW w:w="1009" w:type="dxa"/>
            <w:vAlign w:val="center"/>
          </w:tcPr>
          <w:p w14:paraId="5C2C49D0" w14:textId="77777777" w:rsidR="00E13992" w:rsidRDefault="00E13992" w:rsidP="00A4028A">
            <w:pPr>
              <w:pStyle w:val="TableText"/>
              <w:jc w:val="center"/>
            </w:pPr>
            <w:r>
              <w:t>0 (0)</w:t>
            </w:r>
          </w:p>
        </w:tc>
        <w:tc>
          <w:tcPr>
            <w:tcW w:w="978" w:type="dxa"/>
            <w:vAlign w:val="center"/>
          </w:tcPr>
          <w:p w14:paraId="2A18A980" w14:textId="77777777" w:rsidR="00E13992" w:rsidRDefault="00E13992" w:rsidP="00A4028A">
            <w:pPr>
              <w:pStyle w:val="TableText"/>
              <w:jc w:val="center"/>
            </w:pPr>
            <w:r>
              <w:t>0 (0)</w:t>
            </w:r>
          </w:p>
        </w:tc>
        <w:tc>
          <w:tcPr>
            <w:tcW w:w="1559" w:type="dxa"/>
            <w:vAlign w:val="center"/>
          </w:tcPr>
          <w:p w14:paraId="0F2B4D6C" w14:textId="77777777" w:rsidR="00E13992" w:rsidRDefault="00E13992" w:rsidP="00A4028A">
            <w:pPr>
              <w:pStyle w:val="TableText"/>
              <w:jc w:val="center"/>
            </w:pPr>
            <w:r>
              <w:t>NA</w:t>
            </w:r>
          </w:p>
        </w:tc>
        <w:tc>
          <w:tcPr>
            <w:tcW w:w="1009" w:type="dxa"/>
            <w:vAlign w:val="center"/>
          </w:tcPr>
          <w:p w14:paraId="0B45EB60" w14:textId="77777777" w:rsidR="00E13992" w:rsidRDefault="00E13992" w:rsidP="00A4028A">
            <w:pPr>
              <w:pStyle w:val="TableText"/>
              <w:jc w:val="center"/>
            </w:pPr>
            <w:r>
              <w:t>0 (0)</w:t>
            </w:r>
          </w:p>
        </w:tc>
        <w:tc>
          <w:tcPr>
            <w:tcW w:w="982" w:type="dxa"/>
            <w:vAlign w:val="center"/>
          </w:tcPr>
          <w:p w14:paraId="14636BC3" w14:textId="77777777" w:rsidR="00E13992" w:rsidRDefault="00E13992" w:rsidP="00A4028A">
            <w:pPr>
              <w:pStyle w:val="TableText"/>
              <w:jc w:val="center"/>
            </w:pPr>
            <w:r>
              <w:t>0 (0)</w:t>
            </w:r>
          </w:p>
        </w:tc>
        <w:tc>
          <w:tcPr>
            <w:tcW w:w="1644" w:type="dxa"/>
            <w:vAlign w:val="center"/>
          </w:tcPr>
          <w:p w14:paraId="4529DFEC" w14:textId="77777777" w:rsidR="00E13992" w:rsidRDefault="00E13992" w:rsidP="00A4028A">
            <w:pPr>
              <w:pStyle w:val="TableText"/>
              <w:jc w:val="center"/>
            </w:pPr>
            <w:r>
              <w:t>NA</w:t>
            </w:r>
          </w:p>
        </w:tc>
      </w:tr>
      <w:tr w:rsidR="00E13992" w14:paraId="0B9659F8" w14:textId="77777777" w:rsidTr="00A4028A">
        <w:tc>
          <w:tcPr>
            <w:tcW w:w="1836" w:type="dxa"/>
            <w:vAlign w:val="center"/>
          </w:tcPr>
          <w:p w14:paraId="3AD2BC68" w14:textId="77777777" w:rsidR="00E13992" w:rsidRDefault="00E13992" w:rsidP="00A4028A">
            <w:pPr>
              <w:pStyle w:val="TableText"/>
            </w:pPr>
            <w:r>
              <w:t>Composite of serious clinical events</w:t>
            </w:r>
          </w:p>
        </w:tc>
        <w:tc>
          <w:tcPr>
            <w:tcW w:w="1009" w:type="dxa"/>
            <w:vAlign w:val="center"/>
          </w:tcPr>
          <w:p w14:paraId="4192A3F1" w14:textId="77777777" w:rsidR="00E13992" w:rsidRPr="00013F94" w:rsidRDefault="00E13992" w:rsidP="00A4028A">
            <w:pPr>
              <w:pStyle w:val="TableText"/>
              <w:jc w:val="center"/>
              <w:rPr>
                <w:b/>
              </w:rPr>
            </w:pPr>
            <w:r w:rsidRPr="00013F94">
              <w:rPr>
                <w:b/>
              </w:rPr>
              <w:t>17 (7.3)</w:t>
            </w:r>
          </w:p>
        </w:tc>
        <w:tc>
          <w:tcPr>
            <w:tcW w:w="978" w:type="dxa"/>
            <w:vAlign w:val="center"/>
          </w:tcPr>
          <w:p w14:paraId="31A83D4D" w14:textId="77777777" w:rsidR="00E13992" w:rsidRPr="00013F94" w:rsidRDefault="00E13992" w:rsidP="00A4028A">
            <w:pPr>
              <w:pStyle w:val="TableText"/>
              <w:jc w:val="center"/>
              <w:rPr>
                <w:b/>
              </w:rPr>
            </w:pPr>
            <w:r w:rsidRPr="00013F94">
              <w:rPr>
                <w:b/>
              </w:rPr>
              <w:t>30 (13.2)</w:t>
            </w:r>
          </w:p>
        </w:tc>
        <w:tc>
          <w:tcPr>
            <w:tcW w:w="1559" w:type="dxa"/>
            <w:vAlign w:val="center"/>
          </w:tcPr>
          <w:p w14:paraId="1E448A44" w14:textId="77777777" w:rsidR="00E13992" w:rsidRPr="00013F94" w:rsidRDefault="00E13992" w:rsidP="00A4028A">
            <w:pPr>
              <w:pStyle w:val="TableText"/>
              <w:jc w:val="center"/>
              <w:rPr>
                <w:b/>
              </w:rPr>
            </w:pPr>
            <w:r w:rsidRPr="00013F94">
              <w:rPr>
                <w:b/>
              </w:rPr>
              <w:t>0.52 (0.29, 0.95)</w:t>
            </w:r>
          </w:p>
        </w:tc>
        <w:tc>
          <w:tcPr>
            <w:tcW w:w="1009" w:type="dxa"/>
            <w:vAlign w:val="center"/>
          </w:tcPr>
          <w:p w14:paraId="46791DA2" w14:textId="77777777" w:rsidR="00E13992" w:rsidRPr="00DF77B1" w:rsidRDefault="00E13992" w:rsidP="00A4028A">
            <w:pPr>
              <w:pStyle w:val="TableText"/>
              <w:jc w:val="center"/>
              <w:rPr>
                <w:b/>
              </w:rPr>
            </w:pPr>
            <w:r w:rsidRPr="00DF77B1">
              <w:rPr>
                <w:b/>
              </w:rPr>
              <w:t>24 (11.5)</w:t>
            </w:r>
          </w:p>
        </w:tc>
        <w:tc>
          <w:tcPr>
            <w:tcW w:w="982" w:type="dxa"/>
            <w:vAlign w:val="center"/>
          </w:tcPr>
          <w:p w14:paraId="2F729BE8" w14:textId="77777777" w:rsidR="00E13992" w:rsidRPr="00DF77B1" w:rsidRDefault="00E13992" w:rsidP="00A4028A">
            <w:pPr>
              <w:pStyle w:val="TableText"/>
              <w:jc w:val="center"/>
              <w:rPr>
                <w:b/>
              </w:rPr>
            </w:pPr>
            <w:r w:rsidRPr="00DF77B1">
              <w:rPr>
                <w:b/>
              </w:rPr>
              <w:t>44 (20.6)</w:t>
            </w:r>
          </w:p>
        </w:tc>
        <w:tc>
          <w:tcPr>
            <w:tcW w:w="1644" w:type="dxa"/>
            <w:vAlign w:val="center"/>
          </w:tcPr>
          <w:p w14:paraId="5AD3D4C4" w14:textId="77777777" w:rsidR="00E13992" w:rsidRPr="00DF77B1" w:rsidRDefault="00E13992" w:rsidP="00A4028A">
            <w:pPr>
              <w:pStyle w:val="TableText"/>
              <w:jc w:val="center"/>
              <w:rPr>
                <w:b/>
              </w:rPr>
            </w:pPr>
            <w:r w:rsidRPr="00DF77B1">
              <w:rPr>
                <w:b/>
              </w:rPr>
              <w:t>0.56 (0.34, 0.93)</w:t>
            </w:r>
          </w:p>
        </w:tc>
      </w:tr>
    </w:tbl>
    <w:p w14:paraId="22062EC0" w14:textId="77777777" w:rsidR="00E13992" w:rsidRPr="00E13992" w:rsidRDefault="00E13992" w:rsidP="00E13992">
      <w:pPr>
        <w:pStyle w:val="TableFigureFooter"/>
      </w:pPr>
      <w:r>
        <w:t>Source: Figure 2.8, p39 of the submission.</w:t>
      </w:r>
    </w:p>
    <w:p w14:paraId="623C434E" w14:textId="77777777" w:rsidR="00E13992" w:rsidRPr="00E13992" w:rsidRDefault="00E13992" w:rsidP="00E13992">
      <w:pPr>
        <w:pStyle w:val="TableFigureFooter"/>
      </w:pPr>
      <w:r w:rsidRPr="00E13992">
        <w:t>Abbreviations: ACE, angiotensin converting enzyme; ARB, angiotensin II receptor blocker; CI, confidence interval; HF, heart failure; LVAD, left ventricular assist device</w:t>
      </w:r>
    </w:p>
    <w:p w14:paraId="3CEEF315" w14:textId="77777777" w:rsidR="00E13992" w:rsidRDefault="00E13992" w:rsidP="00E70035">
      <w:pPr>
        <w:pStyle w:val="ExecSumBodyText"/>
        <w:ind w:left="709" w:hanging="709"/>
      </w:pPr>
      <w:r w:rsidRPr="00B45AF9">
        <w:t>For the composite outcome of serious clinical events (death, heart failure rehospitalisation, LVAD implantation, cardiac transplantation)</w:t>
      </w:r>
      <w:r>
        <w:t>,</w:t>
      </w:r>
      <w:r w:rsidRPr="00B45AF9">
        <w:t xml:space="preserve"> there were statistically </w:t>
      </w:r>
      <w:r w:rsidRPr="00B879F7">
        <w:t>significant differences in favour of sacubitril/valsartan over enalapril in both the ACE-inhibitor/ARB-naïve and -experienced subgroups.</w:t>
      </w:r>
      <w:r>
        <w:t xml:space="preserve"> </w:t>
      </w:r>
      <w:r w:rsidR="005A329D" w:rsidRPr="00236891">
        <w:t xml:space="preserve">The study authors stated that confidence intervals were not adjusted for multiple comparisons. </w:t>
      </w:r>
      <w:r w:rsidRPr="00236891">
        <w:t xml:space="preserve">The relative magnitude of the difference between treatments </w:t>
      </w:r>
      <w:r w:rsidR="005A329D" w:rsidRPr="00236891">
        <w:t>for both subgroups was consistent with the whole trial results.</w:t>
      </w:r>
      <w:r w:rsidR="005A329D" w:rsidRPr="005A329D">
        <w:rPr>
          <w:i/>
        </w:rPr>
        <w:t xml:space="preserve"> </w:t>
      </w:r>
      <w:r w:rsidR="005A329D" w:rsidRPr="005226CA">
        <w:t>However, these results should be interpreted with caution due to heterogeneity between subgroup populations</w:t>
      </w:r>
      <w:r w:rsidR="00C40C29" w:rsidRPr="005226CA">
        <w:t xml:space="preserve"> (patients in the treatment-experienced subgroup were older, more likely to have a prior diagnosis of heart failure before the index hospitalisation date, and were more likely to be receiving other treatments for heart failure compared to the ACE-inhibitor/ARB-naïve subgroup),</w:t>
      </w:r>
      <w:r w:rsidR="005A329D" w:rsidRPr="005226CA">
        <w:t xml:space="preserve"> and a lack of available results of any testing for treatment interaction.</w:t>
      </w:r>
      <w:r w:rsidR="005A329D" w:rsidRPr="005A329D">
        <w:rPr>
          <w:i/>
        </w:rPr>
        <w:t xml:space="preserve"> </w:t>
      </w:r>
      <w:r w:rsidRPr="005A329D">
        <w:rPr>
          <w:i/>
        </w:rPr>
        <w:t xml:space="preserve"> </w:t>
      </w:r>
    </w:p>
    <w:p w14:paraId="35F04E1D" w14:textId="77777777" w:rsidR="00E13992" w:rsidRDefault="00E13992" w:rsidP="00E70035">
      <w:pPr>
        <w:pStyle w:val="ExecSumBodyText"/>
        <w:ind w:left="709" w:hanging="709"/>
      </w:pPr>
      <w:r>
        <w:t xml:space="preserve">The retrospective cohort study (Tan 2020) also presented a subgroup analyses for ACE-inhibitor/ARB-naïve or -experienced </w:t>
      </w:r>
      <w:r w:rsidRPr="0065600A">
        <w:t>subgroups. The study found similar relative treatment effects in patients who did or did not recently take</w:t>
      </w:r>
      <w:r>
        <w:t xml:space="preserve"> an ACE-inhibitor/ARB for all key outcomes; with statistically significant differences between sacubitril/valsartan and ACE-inhibitor/ARB treatment groups for hospitalisations, and the composite outcome of all-cause mortality and hospitalisations.</w:t>
      </w:r>
    </w:p>
    <w:p w14:paraId="5EF16E13" w14:textId="77777777" w:rsidR="00BF72E2" w:rsidRDefault="00BF72E2" w:rsidP="00E70035">
      <w:pPr>
        <w:pStyle w:val="ExecSumBodyText"/>
        <w:ind w:left="709" w:hanging="709"/>
      </w:pPr>
      <w:r w:rsidRPr="00C0061E">
        <w:t>The ESC</w:t>
      </w:r>
      <w:r w:rsidR="00896388" w:rsidRPr="00C0061E">
        <w:t xml:space="preserve"> </w:t>
      </w:r>
      <w:r w:rsidR="000B4B30" w:rsidRPr="00C0061E">
        <w:t>considered</w:t>
      </w:r>
      <w:r w:rsidR="00896388" w:rsidRPr="00C0061E">
        <w:t xml:space="preserve"> </w:t>
      </w:r>
      <w:r w:rsidR="000B4B30" w:rsidRPr="00C0061E">
        <w:t>w</w:t>
      </w:r>
      <w:r w:rsidR="00896388" w:rsidRPr="00C0061E">
        <w:t xml:space="preserve">hile it was reasonable to </w:t>
      </w:r>
      <w:r w:rsidR="00BD2B93" w:rsidRPr="00C0061E">
        <w:t>conclude that sacubitril/valsar</w:t>
      </w:r>
      <w:r w:rsidR="00896388" w:rsidRPr="00C0061E">
        <w:t xml:space="preserve">tan would likely be effective for </w:t>
      </w:r>
      <w:r w:rsidR="007E58C5" w:rsidRPr="00C0061E">
        <w:t>ACE inhibitor/ARB-</w:t>
      </w:r>
      <w:r w:rsidR="00896388" w:rsidRPr="00C0061E">
        <w:t>naïve HF patients, it was difficult to draw comparative conclusions due to the quality of available evidence.</w:t>
      </w:r>
      <w:r w:rsidR="00BA367D">
        <w:t xml:space="preserve"> </w:t>
      </w:r>
    </w:p>
    <w:p w14:paraId="6F18A9F0" w14:textId="77777777" w:rsidR="00BA367D" w:rsidRPr="00C0061E" w:rsidRDefault="00BA367D" w:rsidP="00E70035">
      <w:pPr>
        <w:pStyle w:val="ExecSumBodyText"/>
        <w:ind w:left="709" w:hanging="709"/>
      </w:pPr>
      <w:r>
        <w:t xml:space="preserve">The Pre-PBAC Response argued that many patients who are currently treated with ACE inhibitors or ARBs are not adequately managed on current treatment, and the evidence presented in the PARADIGM-HF trial demonstrated the superiority of sacubitril/valsartan over ACE inhibitors (enalapril) in patients with reduced ejection fraction. The Pre-PBAC Response further argued therefore that as superiority has been adequately demonstrated, it must follow that patients who remain on ACE inhibitors or ARBs are receiving sub-optimal treatment and noted the letter of support from clinicians noted it, ‘goes against clinical judgement to wait for the patient to be hospitalised before commencing sacubitril/valsartan’. </w:t>
      </w:r>
      <w:r w:rsidR="009A7257">
        <w:t xml:space="preserve">The PBAC disagreed and </w:t>
      </w:r>
      <w:r w:rsidR="009A7257">
        <w:lastRenderedPageBreak/>
        <w:t xml:space="preserve">considered the evidence presented did not </w:t>
      </w:r>
      <w:r w:rsidR="008C0FD1">
        <w:t xml:space="preserve">support the claim </w:t>
      </w:r>
      <w:r w:rsidR="009A7257">
        <w:t xml:space="preserve">that all patients on ACE inhibitors are inadequately treated. </w:t>
      </w:r>
    </w:p>
    <w:p w14:paraId="203C50A1" w14:textId="77777777" w:rsidR="00E13992" w:rsidRDefault="00E13992" w:rsidP="00E13992">
      <w:pPr>
        <w:pStyle w:val="5-SubSubSubHead"/>
      </w:pPr>
      <w:r>
        <w:t>A</w:t>
      </w:r>
      <w:r w:rsidRPr="005D0FC6">
        <w:t>nalys</w:t>
      </w:r>
      <w:r w:rsidR="000F5C69">
        <w:t>e</w:t>
      </w:r>
      <w:r w:rsidRPr="005D0FC6">
        <w:t xml:space="preserve">s to inform </w:t>
      </w:r>
      <w:r>
        <w:t xml:space="preserve">LVEF 41%-49% </w:t>
      </w:r>
      <w:r w:rsidRPr="005D0FC6">
        <w:t>population</w:t>
      </w:r>
    </w:p>
    <w:p w14:paraId="44EDEE74" w14:textId="77777777" w:rsidR="00D86231" w:rsidRPr="005226CA" w:rsidRDefault="00FC5F9F" w:rsidP="00E70035">
      <w:pPr>
        <w:pStyle w:val="ExecSumBodyText"/>
        <w:ind w:left="709" w:hanging="709"/>
      </w:pPr>
      <w:r w:rsidRPr="005226CA">
        <w:t>Results of the pooled analysis of sacubitril/valsar</w:t>
      </w:r>
      <w:r w:rsidR="00870981" w:rsidRPr="005226CA">
        <w:t>t</w:t>
      </w:r>
      <w:r w:rsidRPr="005226CA">
        <w:t>an versus enalapril or valsartan (Solomon 2020), grouped by ejection fraction categories, are presented in the table below.</w:t>
      </w:r>
    </w:p>
    <w:p w14:paraId="76E1BA4B" w14:textId="77777777" w:rsidR="00FC5F9F" w:rsidRPr="005226CA" w:rsidRDefault="00E70035" w:rsidP="00FC5F9F">
      <w:pPr>
        <w:pStyle w:val="TableFigureCaption"/>
      </w:pPr>
      <w:r w:rsidRPr="005226CA">
        <w:t>Table 8</w:t>
      </w:r>
      <w:r w:rsidR="00FC5F9F" w:rsidRPr="005226CA">
        <w:t xml:space="preserve">: Treatment effect (sacubitril/valsartan vs enalapril or valsartan) for </w:t>
      </w:r>
      <w:r w:rsidR="00905C98" w:rsidRPr="005226CA">
        <w:t>LVEF</w:t>
      </w:r>
      <w:r w:rsidR="00FC5F9F" w:rsidRPr="005226CA">
        <w:t xml:space="preserve"> categories ≤ 40%, &gt;40% to 50% and &gt;50%, Solomon 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20"/>
        <w:gridCol w:w="1920"/>
        <w:gridCol w:w="1921"/>
      </w:tblGrid>
      <w:tr w:rsidR="00FC5F9F" w:rsidRPr="00C55774" w14:paraId="70C6DEFE" w14:textId="77777777" w:rsidTr="00A4028A">
        <w:tc>
          <w:tcPr>
            <w:tcW w:w="3256" w:type="dxa"/>
            <w:vAlign w:val="center"/>
          </w:tcPr>
          <w:p w14:paraId="4CB4CD80" w14:textId="77777777" w:rsidR="00FC5F9F" w:rsidRPr="00C55774" w:rsidRDefault="00FC5F9F" w:rsidP="00A4028A">
            <w:pPr>
              <w:pStyle w:val="Tableheadingrow"/>
              <w:rPr>
                <w:i/>
              </w:rPr>
            </w:pPr>
            <w:r w:rsidRPr="00C55774">
              <w:rPr>
                <w:i/>
              </w:rPr>
              <w:t>Outcome</w:t>
            </w:r>
          </w:p>
        </w:tc>
        <w:tc>
          <w:tcPr>
            <w:tcW w:w="1920" w:type="dxa"/>
            <w:vAlign w:val="center"/>
          </w:tcPr>
          <w:p w14:paraId="4F3C83E3" w14:textId="77777777" w:rsidR="00FC5F9F" w:rsidRPr="00C55774" w:rsidRDefault="00905C98" w:rsidP="00A4028A">
            <w:pPr>
              <w:pStyle w:val="Tableheadingrow"/>
              <w:jc w:val="center"/>
              <w:rPr>
                <w:i/>
              </w:rPr>
            </w:pPr>
            <w:r w:rsidRPr="00C55774">
              <w:rPr>
                <w:i/>
              </w:rPr>
              <w:t>LV</w:t>
            </w:r>
            <w:r w:rsidR="00FC5F9F" w:rsidRPr="00C55774">
              <w:rPr>
                <w:i/>
              </w:rPr>
              <w:t>EF ≤ 40%</w:t>
            </w:r>
          </w:p>
          <w:p w14:paraId="5F9C73E1" w14:textId="77777777" w:rsidR="00FC5F9F" w:rsidRPr="00C55774" w:rsidRDefault="00FC5F9F" w:rsidP="00A4028A">
            <w:pPr>
              <w:pStyle w:val="Tableheadingrow"/>
              <w:jc w:val="center"/>
              <w:rPr>
                <w:i/>
              </w:rPr>
            </w:pPr>
            <w:r w:rsidRPr="00C55774">
              <w:rPr>
                <w:i/>
              </w:rPr>
              <w:t>n=8397</w:t>
            </w:r>
          </w:p>
        </w:tc>
        <w:tc>
          <w:tcPr>
            <w:tcW w:w="1920" w:type="dxa"/>
            <w:vAlign w:val="center"/>
          </w:tcPr>
          <w:p w14:paraId="10166578" w14:textId="77777777" w:rsidR="00FC5F9F" w:rsidRPr="00C55774" w:rsidRDefault="00905C98" w:rsidP="00A4028A">
            <w:pPr>
              <w:pStyle w:val="Tableheadingrow"/>
              <w:jc w:val="center"/>
              <w:rPr>
                <w:i/>
              </w:rPr>
            </w:pPr>
            <w:r w:rsidRPr="00C55774">
              <w:rPr>
                <w:i/>
              </w:rPr>
              <w:t>LV</w:t>
            </w:r>
            <w:r w:rsidR="00FC5F9F" w:rsidRPr="00C55774">
              <w:rPr>
                <w:i/>
              </w:rPr>
              <w:t>EF &gt;40% to 50%</w:t>
            </w:r>
            <w:r w:rsidR="00C55774" w:rsidRPr="00C55774">
              <w:rPr>
                <w:i/>
              </w:rPr>
              <w:t xml:space="preserve"> </w:t>
            </w:r>
            <w:r w:rsidR="00C55774" w:rsidRPr="00C55774">
              <w:rPr>
                <w:i/>
                <w:vertAlign w:val="superscript"/>
              </w:rPr>
              <w:t>a</w:t>
            </w:r>
          </w:p>
          <w:p w14:paraId="463F6132" w14:textId="77777777" w:rsidR="00FC5F9F" w:rsidRPr="00C55774" w:rsidRDefault="00FC5F9F" w:rsidP="00A4028A">
            <w:pPr>
              <w:pStyle w:val="Tableheadingrow"/>
              <w:jc w:val="center"/>
              <w:rPr>
                <w:i/>
              </w:rPr>
            </w:pPr>
            <w:r w:rsidRPr="00C55774">
              <w:rPr>
                <w:i/>
              </w:rPr>
              <w:t>n=730</w:t>
            </w:r>
          </w:p>
        </w:tc>
        <w:tc>
          <w:tcPr>
            <w:tcW w:w="1921" w:type="dxa"/>
            <w:vAlign w:val="center"/>
          </w:tcPr>
          <w:p w14:paraId="08808246" w14:textId="77777777" w:rsidR="00FC5F9F" w:rsidRPr="00C55774" w:rsidRDefault="00905C98" w:rsidP="00A4028A">
            <w:pPr>
              <w:pStyle w:val="Tableheadingrow"/>
              <w:jc w:val="center"/>
              <w:rPr>
                <w:i/>
              </w:rPr>
            </w:pPr>
            <w:r w:rsidRPr="00C55774">
              <w:rPr>
                <w:i/>
              </w:rPr>
              <w:t>LV</w:t>
            </w:r>
            <w:r w:rsidR="00FC5F9F" w:rsidRPr="00C55774">
              <w:rPr>
                <w:i/>
              </w:rPr>
              <w:t>EF &gt; 50%</w:t>
            </w:r>
          </w:p>
          <w:p w14:paraId="4512795E" w14:textId="77777777" w:rsidR="00FC5F9F" w:rsidRPr="00C55774" w:rsidRDefault="00FC5F9F" w:rsidP="00A4028A">
            <w:pPr>
              <w:pStyle w:val="Tableheadingrow"/>
              <w:jc w:val="center"/>
              <w:rPr>
                <w:i/>
              </w:rPr>
            </w:pPr>
            <w:r w:rsidRPr="00C55774">
              <w:rPr>
                <w:i/>
              </w:rPr>
              <w:t>n=4067</w:t>
            </w:r>
          </w:p>
        </w:tc>
      </w:tr>
      <w:tr w:rsidR="00FC5F9F" w:rsidRPr="00C55774" w14:paraId="0CCF096B" w14:textId="77777777" w:rsidTr="00A4028A">
        <w:tc>
          <w:tcPr>
            <w:tcW w:w="9017" w:type="dxa"/>
            <w:gridSpan w:val="4"/>
            <w:vAlign w:val="center"/>
          </w:tcPr>
          <w:p w14:paraId="186599EE" w14:textId="77777777" w:rsidR="00FC5F9F" w:rsidRPr="00C55774" w:rsidRDefault="00FC5F9F" w:rsidP="00A4028A">
            <w:pPr>
              <w:pStyle w:val="TableText"/>
              <w:rPr>
                <w:i/>
              </w:rPr>
            </w:pPr>
            <w:r w:rsidRPr="00C55774">
              <w:rPr>
                <w:i/>
              </w:rPr>
              <w:t>First HF hospitalisation or CV death</w:t>
            </w:r>
          </w:p>
        </w:tc>
      </w:tr>
      <w:tr w:rsidR="00FC5F9F" w:rsidRPr="00C55774" w14:paraId="0897EF05" w14:textId="77777777" w:rsidTr="00A4028A">
        <w:tc>
          <w:tcPr>
            <w:tcW w:w="3256" w:type="dxa"/>
            <w:vAlign w:val="center"/>
          </w:tcPr>
          <w:p w14:paraId="7DA90C0F" w14:textId="77777777" w:rsidR="00FC5F9F" w:rsidRPr="00C55774" w:rsidRDefault="00FC5F9F" w:rsidP="00A4028A">
            <w:pPr>
              <w:pStyle w:val="TableText"/>
              <w:ind w:left="311"/>
              <w:rPr>
                <w:i/>
              </w:rPr>
            </w:pPr>
            <w:r w:rsidRPr="00C55774">
              <w:rPr>
                <w:i/>
              </w:rPr>
              <w:t>Events, n</w:t>
            </w:r>
          </w:p>
        </w:tc>
        <w:tc>
          <w:tcPr>
            <w:tcW w:w="1920" w:type="dxa"/>
            <w:vAlign w:val="center"/>
          </w:tcPr>
          <w:p w14:paraId="59409282" w14:textId="77777777" w:rsidR="00FC5F9F" w:rsidRPr="00C55774" w:rsidRDefault="00FC5F9F" w:rsidP="00A4028A">
            <w:pPr>
              <w:pStyle w:val="TableText"/>
              <w:jc w:val="center"/>
              <w:rPr>
                <w:i/>
              </w:rPr>
            </w:pPr>
            <w:r w:rsidRPr="00C55774">
              <w:rPr>
                <w:i/>
              </w:rPr>
              <w:t>2031</w:t>
            </w:r>
          </w:p>
        </w:tc>
        <w:tc>
          <w:tcPr>
            <w:tcW w:w="1920" w:type="dxa"/>
            <w:vAlign w:val="center"/>
          </w:tcPr>
          <w:p w14:paraId="1D417732" w14:textId="77777777" w:rsidR="00FC5F9F" w:rsidRPr="00C55774" w:rsidRDefault="00FC5F9F" w:rsidP="00A4028A">
            <w:pPr>
              <w:pStyle w:val="TableText"/>
              <w:jc w:val="center"/>
              <w:rPr>
                <w:i/>
              </w:rPr>
            </w:pPr>
            <w:r w:rsidRPr="00C55774">
              <w:rPr>
                <w:i/>
              </w:rPr>
              <w:t>214</w:t>
            </w:r>
          </w:p>
        </w:tc>
        <w:tc>
          <w:tcPr>
            <w:tcW w:w="1921" w:type="dxa"/>
            <w:vAlign w:val="center"/>
          </w:tcPr>
          <w:p w14:paraId="73867734" w14:textId="77777777" w:rsidR="00FC5F9F" w:rsidRPr="00C55774" w:rsidRDefault="00FC5F9F" w:rsidP="00A4028A">
            <w:pPr>
              <w:pStyle w:val="TableText"/>
              <w:jc w:val="center"/>
              <w:rPr>
                <w:i/>
              </w:rPr>
            </w:pPr>
            <w:r w:rsidRPr="00C55774">
              <w:rPr>
                <w:i/>
              </w:rPr>
              <w:t>869</w:t>
            </w:r>
          </w:p>
        </w:tc>
      </w:tr>
      <w:tr w:rsidR="00FC5F9F" w:rsidRPr="00C55774" w14:paraId="1E7B9169" w14:textId="77777777" w:rsidTr="00A4028A">
        <w:tc>
          <w:tcPr>
            <w:tcW w:w="3256" w:type="dxa"/>
            <w:vAlign w:val="center"/>
          </w:tcPr>
          <w:p w14:paraId="47B9404C" w14:textId="77777777" w:rsidR="00FC5F9F" w:rsidRPr="00C55774" w:rsidRDefault="00FC5F9F" w:rsidP="00A4028A">
            <w:pPr>
              <w:pStyle w:val="TableText"/>
              <w:ind w:left="311"/>
              <w:rPr>
                <w:i/>
              </w:rPr>
            </w:pPr>
            <w:r w:rsidRPr="00C55774">
              <w:rPr>
                <w:i/>
              </w:rPr>
              <w:t>Hazard Ratio (95% CI)</w:t>
            </w:r>
          </w:p>
        </w:tc>
        <w:tc>
          <w:tcPr>
            <w:tcW w:w="1920" w:type="dxa"/>
            <w:vAlign w:val="center"/>
          </w:tcPr>
          <w:p w14:paraId="28E48744" w14:textId="77777777" w:rsidR="00FC5F9F" w:rsidRPr="00C55774" w:rsidRDefault="00FC5F9F" w:rsidP="00A4028A">
            <w:pPr>
              <w:pStyle w:val="TableText"/>
              <w:jc w:val="center"/>
              <w:rPr>
                <w:b/>
                <w:i/>
              </w:rPr>
            </w:pPr>
            <w:r w:rsidRPr="00C55774">
              <w:rPr>
                <w:b/>
                <w:i/>
              </w:rPr>
              <w:t>0.80 (0.73, 0.87)</w:t>
            </w:r>
          </w:p>
        </w:tc>
        <w:tc>
          <w:tcPr>
            <w:tcW w:w="1920" w:type="dxa"/>
            <w:vAlign w:val="center"/>
          </w:tcPr>
          <w:p w14:paraId="62260581" w14:textId="77777777" w:rsidR="00FC5F9F" w:rsidRPr="00C55774" w:rsidRDefault="00FC5F9F" w:rsidP="00A4028A">
            <w:pPr>
              <w:pStyle w:val="TableText"/>
              <w:jc w:val="center"/>
              <w:rPr>
                <w:i/>
              </w:rPr>
            </w:pPr>
            <w:r w:rsidRPr="00C55774">
              <w:rPr>
                <w:i/>
              </w:rPr>
              <w:t>0.85 (0.65, 1.12)</w:t>
            </w:r>
          </w:p>
        </w:tc>
        <w:tc>
          <w:tcPr>
            <w:tcW w:w="1921" w:type="dxa"/>
            <w:vAlign w:val="center"/>
          </w:tcPr>
          <w:p w14:paraId="67AE22D7" w14:textId="77777777" w:rsidR="00FC5F9F" w:rsidRPr="00C55774" w:rsidRDefault="00FC5F9F" w:rsidP="00A4028A">
            <w:pPr>
              <w:pStyle w:val="TableText"/>
              <w:jc w:val="center"/>
              <w:rPr>
                <w:i/>
              </w:rPr>
            </w:pPr>
            <w:r w:rsidRPr="00C55774">
              <w:rPr>
                <w:i/>
              </w:rPr>
              <w:t>0.94 (0.82, 1.08)</w:t>
            </w:r>
          </w:p>
        </w:tc>
      </w:tr>
      <w:tr w:rsidR="00FC5F9F" w:rsidRPr="00C55774" w14:paraId="0882C938" w14:textId="77777777" w:rsidTr="00A4028A">
        <w:tc>
          <w:tcPr>
            <w:tcW w:w="9017" w:type="dxa"/>
            <w:gridSpan w:val="4"/>
            <w:vAlign w:val="center"/>
          </w:tcPr>
          <w:p w14:paraId="058633ED" w14:textId="77777777" w:rsidR="00FC5F9F" w:rsidRPr="00C55774" w:rsidRDefault="00FC5F9F" w:rsidP="00A4028A">
            <w:pPr>
              <w:pStyle w:val="TableText"/>
              <w:rPr>
                <w:i/>
              </w:rPr>
            </w:pPr>
            <w:r w:rsidRPr="00C55774">
              <w:rPr>
                <w:i/>
              </w:rPr>
              <w:t>First HF hospitalisation</w:t>
            </w:r>
          </w:p>
        </w:tc>
      </w:tr>
      <w:tr w:rsidR="00FC5F9F" w:rsidRPr="00C55774" w14:paraId="45FD73E2" w14:textId="77777777" w:rsidTr="00A4028A">
        <w:tc>
          <w:tcPr>
            <w:tcW w:w="3256" w:type="dxa"/>
            <w:vAlign w:val="center"/>
          </w:tcPr>
          <w:p w14:paraId="1C6E0CB6" w14:textId="77777777" w:rsidR="00FC5F9F" w:rsidRPr="00C55774" w:rsidRDefault="00FC5F9F" w:rsidP="00A4028A">
            <w:pPr>
              <w:pStyle w:val="TableText"/>
              <w:ind w:left="311"/>
              <w:rPr>
                <w:i/>
              </w:rPr>
            </w:pPr>
            <w:r w:rsidRPr="00C55774">
              <w:rPr>
                <w:i/>
              </w:rPr>
              <w:t>Events, n</w:t>
            </w:r>
          </w:p>
        </w:tc>
        <w:tc>
          <w:tcPr>
            <w:tcW w:w="1920" w:type="dxa"/>
            <w:vAlign w:val="center"/>
          </w:tcPr>
          <w:p w14:paraId="44EA71C4" w14:textId="77777777" w:rsidR="00FC5F9F" w:rsidRPr="00C55774" w:rsidRDefault="00FC5F9F" w:rsidP="00A4028A">
            <w:pPr>
              <w:pStyle w:val="TableText"/>
              <w:jc w:val="center"/>
              <w:rPr>
                <w:i/>
              </w:rPr>
            </w:pPr>
            <w:r w:rsidRPr="00C55774">
              <w:rPr>
                <w:i/>
              </w:rPr>
              <w:t>1195</w:t>
            </w:r>
          </w:p>
        </w:tc>
        <w:tc>
          <w:tcPr>
            <w:tcW w:w="1920" w:type="dxa"/>
            <w:vAlign w:val="center"/>
          </w:tcPr>
          <w:p w14:paraId="711B4943" w14:textId="77777777" w:rsidR="00FC5F9F" w:rsidRPr="00C55774" w:rsidRDefault="00FC5F9F" w:rsidP="00A4028A">
            <w:pPr>
              <w:pStyle w:val="TableText"/>
              <w:jc w:val="center"/>
              <w:rPr>
                <w:i/>
              </w:rPr>
            </w:pPr>
            <w:r w:rsidRPr="00C55774">
              <w:rPr>
                <w:i/>
              </w:rPr>
              <w:t>146</w:t>
            </w:r>
          </w:p>
        </w:tc>
        <w:tc>
          <w:tcPr>
            <w:tcW w:w="1921" w:type="dxa"/>
            <w:vAlign w:val="center"/>
          </w:tcPr>
          <w:p w14:paraId="3ED6801B" w14:textId="77777777" w:rsidR="00FC5F9F" w:rsidRPr="00C55774" w:rsidRDefault="00FC5F9F" w:rsidP="00A4028A">
            <w:pPr>
              <w:pStyle w:val="TableText"/>
              <w:jc w:val="center"/>
              <w:rPr>
                <w:i/>
              </w:rPr>
            </w:pPr>
            <w:r w:rsidRPr="00C55774">
              <w:rPr>
                <w:i/>
              </w:rPr>
              <w:t>692</w:t>
            </w:r>
          </w:p>
        </w:tc>
      </w:tr>
      <w:tr w:rsidR="00FC5F9F" w:rsidRPr="00C55774" w14:paraId="38529FE9" w14:textId="77777777" w:rsidTr="00A4028A">
        <w:tc>
          <w:tcPr>
            <w:tcW w:w="3256" w:type="dxa"/>
            <w:vAlign w:val="center"/>
          </w:tcPr>
          <w:p w14:paraId="27538A68" w14:textId="77777777" w:rsidR="00FC5F9F" w:rsidRPr="00C55774" w:rsidRDefault="00FC5F9F" w:rsidP="00A4028A">
            <w:pPr>
              <w:pStyle w:val="TableText"/>
              <w:ind w:left="311"/>
              <w:rPr>
                <w:i/>
              </w:rPr>
            </w:pPr>
            <w:r w:rsidRPr="00C55774">
              <w:rPr>
                <w:i/>
              </w:rPr>
              <w:t>Hazard Ratio (95% CI)</w:t>
            </w:r>
          </w:p>
        </w:tc>
        <w:tc>
          <w:tcPr>
            <w:tcW w:w="1920" w:type="dxa"/>
            <w:vAlign w:val="center"/>
          </w:tcPr>
          <w:p w14:paraId="4AF1816F" w14:textId="77777777" w:rsidR="00FC5F9F" w:rsidRPr="00C55774" w:rsidRDefault="00FC5F9F" w:rsidP="00A4028A">
            <w:pPr>
              <w:pStyle w:val="TableText"/>
              <w:jc w:val="center"/>
              <w:rPr>
                <w:b/>
                <w:i/>
              </w:rPr>
            </w:pPr>
            <w:r w:rsidRPr="00C55774">
              <w:rPr>
                <w:b/>
                <w:i/>
              </w:rPr>
              <w:t>0.79 (0.71, 0.89)</w:t>
            </w:r>
          </w:p>
        </w:tc>
        <w:tc>
          <w:tcPr>
            <w:tcW w:w="1920" w:type="dxa"/>
            <w:vAlign w:val="center"/>
          </w:tcPr>
          <w:p w14:paraId="2DFF6E5F" w14:textId="77777777" w:rsidR="00FC5F9F" w:rsidRPr="00C55774" w:rsidRDefault="00FC5F9F" w:rsidP="00A4028A">
            <w:pPr>
              <w:pStyle w:val="TableText"/>
              <w:jc w:val="center"/>
              <w:rPr>
                <w:i/>
              </w:rPr>
            </w:pPr>
            <w:r w:rsidRPr="00C55774">
              <w:rPr>
                <w:i/>
              </w:rPr>
              <w:t>0.81 (0.59, 1.13)</w:t>
            </w:r>
          </w:p>
        </w:tc>
        <w:tc>
          <w:tcPr>
            <w:tcW w:w="1921" w:type="dxa"/>
            <w:vAlign w:val="center"/>
          </w:tcPr>
          <w:p w14:paraId="3B39ED55" w14:textId="77777777" w:rsidR="00FC5F9F" w:rsidRPr="00C55774" w:rsidRDefault="00FC5F9F" w:rsidP="00A4028A">
            <w:pPr>
              <w:pStyle w:val="TableText"/>
              <w:jc w:val="center"/>
              <w:rPr>
                <w:i/>
              </w:rPr>
            </w:pPr>
            <w:r w:rsidRPr="00C55774">
              <w:rPr>
                <w:i/>
              </w:rPr>
              <w:t>0.93 (0.80, 1.08)</w:t>
            </w:r>
          </w:p>
        </w:tc>
      </w:tr>
      <w:tr w:rsidR="00FC5F9F" w:rsidRPr="00C55774" w14:paraId="68BA1569" w14:textId="77777777" w:rsidTr="00A4028A">
        <w:tc>
          <w:tcPr>
            <w:tcW w:w="9017" w:type="dxa"/>
            <w:gridSpan w:val="4"/>
            <w:vAlign w:val="center"/>
          </w:tcPr>
          <w:p w14:paraId="54CD72CD" w14:textId="77777777" w:rsidR="00FC5F9F" w:rsidRPr="00C55774" w:rsidRDefault="00FC5F9F" w:rsidP="00A4028A">
            <w:pPr>
              <w:pStyle w:val="TableText"/>
              <w:rPr>
                <w:i/>
              </w:rPr>
            </w:pPr>
            <w:r w:rsidRPr="00C55774">
              <w:rPr>
                <w:i/>
              </w:rPr>
              <w:t>CV death</w:t>
            </w:r>
          </w:p>
        </w:tc>
      </w:tr>
      <w:tr w:rsidR="00FC5F9F" w:rsidRPr="00C55774" w14:paraId="7309B898" w14:textId="77777777" w:rsidTr="00A4028A">
        <w:tc>
          <w:tcPr>
            <w:tcW w:w="3256" w:type="dxa"/>
            <w:vAlign w:val="center"/>
          </w:tcPr>
          <w:p w14:paraId="45D44F69" w14:textId="77777777" w:rsidR="00FC5F9F" w:rsidRPr="00C55774" w:rsidRDefault="00FC5F9F" w:rsidP="00A4028A">
            <w:pPr>
              <w:pStyle w:val="TableText"/>
              <w:ind w:left="311"/>
              <w:rPr>
                <w:i/>
              </w:rPr>
            </w:pPr>
            <w:r w:rsidRPr="00C55774">
              <w:rPr>
                <w:i/>
              </w:rPr>
              <w:t>Events, n</w:t>
            </w:r>
          </w:p>
        </w:tc>
        <w:tc>
          <w:tcPr>
            <w:tcW w:w="1920" w:type="dxa"/>
            <w:vAlign w:val="center"/>
          </w:tcPr>
          <w:p w14:paraId="7CF7490E" w14:textId="77777777" w:rsidR="00FC5F9F" w:rsidRPr="00C55774" w:rsidRDefault="00FC5F9F" w:rsidP="00A4028A">
            <w:pPr>
              <w:pStyle w:val="TableText"/>
              <w:jc w:val="center"/>
              <w:rPr>
                <w:i/>
              </w:rPr>
            </w:pPr>
            <w:r w:rsidRPr="00C55774">
              <w:rPr>
                <w:i/>
              </w:rPr>
              <w:t>1251</w:t>
            </w:r>
          </w:p>
        </w:tc>
        <w:tc>
          <w:tcPr>
            <w:tcW w:w="1920" w:type="dxa"/>
            <w:vAlign w:val="center"/>
          </w:tcPr>
          <w:p w14:paraId="35BA9D17" w14:textId="77777777" w:rsidR="00FC5F9F" w:rsidRPr="00C55774" w:rsidRDefault="00FC5F9F" w:rsidP="00A4028A">
            <w:pPr>
              <w:pStyle w:val="TableText"/>
              <w:jc w:val="center"/>
              <w:rPr>
                <w:i/>
              </w:rPr>
            </w:pPr>
            <w:r w:rsidRPr="00C55774">
              <w:rPr>
                <w:i/>
              </w:rPr>
              <w:t>100</w:t>
            </w:r>
          </w:p>
        </w:tc>
        <w:tc>
          <w:tcPr>
            <w:tcW w:w="1921" w:type="dxa"/>
            <w:vAlign w:val="center"/>
          </w:tcPr>
          <w:p w14:paraId="532950B3" w14:textId="77777777" w:rsidR="00FC5F9F" w:rsidRPr="00C55774" w:rsidRDefault="00FC5F9F" w:rsidP="00A4028A">
            <w:pPr>
              <w:pStyle w:val="TableText"/>
              <w:jc w:val="center"/>
              <w:rPr>
                <w:i/>
              </w:rPr>
            </w:pPr>
            <w:r w:rsidRPr="00C55774">
              <w:rPr>
                <w:i/>
              </w:rPr>
              <w:t>316</w:t>
            </w:r>
          </w:p>
        </w:tc>
      </w:tr>
      <w:tr w:rsidR="00FC5F9F" w:rsidRPr="00C55774" w14:paraId="257E4111" w14:textId="77777777" w:rsidTr="00A4028A">
        <w:tc>
          <w:tcPr>
            <w:tcW w:w="3256" w:type="dxa"/>
            <w:vAlign w:val="center"/>
          </w:tcPr>
          <w:p w14:paraId="56FB89B1" w14:textId="77777777" w:rsidR="00FC5F9F" w:rsidRPr="00C55774" w:rsidRDefault="00FC5F9F" w:rsidP="00A4028A">
            <w:pPr>
              <w:pStyle w:val="TableText"/>
              <w:ind w:left="311"/>
              <w:rPr>
                <w:i/>
              </w:rPr>
            </w:pPr>
            <w:r w:rsidRPr="00C55774">
              <w:rPr>
                <w:i/>
              </w:rPr>
              <w:t>Hazard Ratio (95% CI)</w:t>
            </w:r>
          </w:p>
        </w:tc>
        <w:tc>
          <w:tcPr>
            <w:tcW w:w="1920" w:type="dxa"/>
            <w:vAlign w:val="center"/>
          </w:tcPr>
          <w:p w14:paraId="0ADE297D" w14:textId="77777777" w:rsidR="00FC5F9F" w:rsidRPr="00C55774" w:rsidRDefault="00FC5F9F" w:rsidP="00A4028A">
            <w:pPr>
              <w:pStyle w:val="TableText"/>
              <w:jc w:val="center"/>
              <w:rPr>
                <w:b/>
                <w:i/>
              </w:rPr>
            </w:pPr>
            <w:r w:rsidRPr="00C55774">
              <w:rPr>
                <w:b/>
                <w:i/>
              </w:rPr>
              <w:t>0.80 (0.71, 0.89)</w:t>
            </w:r>
          </w:p>
        </w:tc>
        <w:tc>
          <w:tcPr>
            <w:tcW w:w="1920" w:type="dxa"/>
            <w:vAlign w:val="center"/>
          </w:tcPr>
          <w:p w14:paraId="07EA6041" w14:textId="77777777" w:rsidR="00FC5F9F" w:rsidRPr="00C55774" w:rsidRDefault="00FC5F9F" w:rsidP="00A4028A">
            <w:pPr>
              <w:pStyle w:val="TableText"/>
              <w:jc w:val="center"/>
              <w:rPr>
                <w:i/>
              </w:rPr>
            </w:pPr>
            <w:r w:rsidRPr="00C55774">
              <w:rPr>
                <w:i/>
              </w:rPr>
              <w:t>0.98 (0.66, 1.46)</w:t>
            </w:r>
          </w:p>
        </w:tc>
        <w:tc>
          <w:tcPr>
            <w:tcW w:w="1921" w:type="dxa"/>
            <w:vAlign w:val="center"/>
          </w:tcPr>
          <w:p w14:paraId="457B47CC" w14:textId="77777777" w:rsidR="00FC5F9F" w:rsidRPr="00C55774" w:rsidRDefault="00FC5F9F" w:rsidP="00A4028A">
            <w:pPr>
              <w:pStyle w:val="TableText"/>
              <w:jc w:val="center"/>
              <w:rPr>
                <w:i/>
              </w:rPr>
            </w:pPr>
            <w:r w:rsidRPr="00C55774">
              <w:rPr>
                <w:i/>
              </w:rPr>
              <w:t>0.96 (0.77, 1.20)</w:t>
            </w:r>
          </w:p>
        </w:tc>
      </w:tr>
      <w:tr w:rsidR="00FC5F9F" w:rsidRPr="00C55774" w14:paraId="59EDEFE8" w14:textId="77777777" w:rsidTr="00A4028A">
        <w:tc>
          <w:tcPr>
            <w:tcW w:w="9017" w:type="dxa"/>
            <w:gridSpan w:val="4"/>
            <w:vAlign w:val="center"/>
          </w:tcPr>
          <w:p w14:paraId="7792E87D" w14:textId="77777777" w:rsidR="00FC5F9F" w:rsidRPr="00C55774" w:rsidRDefault="00FC5F9F" w:rsidP="00A4028A">
            <w:pPr>
              <w:pStyle w:val="TableText"/>
              <w:rPr>
                <w:i/>
              </w:rPr>
            </w:pPr>
            <w:r w:rsidRPr="00C55774">
              <w:rPr>
                <w:i/>
              </w:rPr>
              <w:t>Total HF hospitalisation and CV death</w:t>
            </w:r>
          </w:p>
        </w:tc>
      </w:tr>
      <w:tr w:rsidR="00FC5F9F" w:rsidRPr="00C55774" w14:paraId="5A03DCF5" w14:textId="77777777" w:rsidTr="00A4028A">
        <w:tc>
          <w:tcPr>
            <w:tcW w:w="3256" w:type="dxa"/>
            <w:vAlign w:val="center"/>
          </w:tcPr>
          <w:p w14:paraId="181971B9" w14:textId="77777777" w:rsidR="00FC5F9F" w:rsidRPr="00C55774" w:rsidRDefault="00FC5F9F" w:rsidP="00A4028A">
            <w:pPr>
              <w:pStyle w:val="TableText"/>
              <w:ind w:left="311"/>
              <w:rPr>
                <w:i/>
              </w:rPr>
            </w:pPr>
            <w:r w:rsidRPr="00C55774">
              <w:rPr>
                <w:i/>
              </w:rPr>
              <w:t>Events, n</w:t>
            </w:r>
          </w:p>
        </w:tc>
        <w:tc>
          <w:tcPr>
            <w:tcW w:w="1920" w:type="dxa"/>
            <w:vAlign w:val="center"/>
          </w:tcPr>
          <w:p w14:paraId="232C82E7" w14:textId="77777777" w:rsidR="00FC5F9F" w:rsidRPr="00C55774" w:rsidRDefault="00FC5F9F" w:rsidP="00A4028A">
            <w:pPr>
              <w:pStyle w:val="TableText"/>
              <w:jc w:val="center"/>
              <w:rPr>
                <w:i/>
              </w:rPr>
            </w:pPr>
            <w:r w:rsidRPr="00C55774">
              <w:rPr>
                <w:i/>
              </w:rPr>
              <w:t>3179</w:t>
            </w:r>
          </w:p>
        </w:tc>
        <w:tc>
          <w:tcPr>
            <w:tcW w:w="1920" w:type="dxa"/>
            <w:vAlign w:val="center"/>
          </w:tcPr>
          <w:p w14:paraId="7DA69056" w14:textId="77777777" w:rsidR="00FC5F9F" w:rsidRPr="00C55774" w:rsidRDefault="00FC5F9F" w:rsidP="00A4028A">
            <w:pPr>
              <w:pStyle w:val="TableText"/>
              <w:jc w:val="center"/>
              <w:rPr>
                <w:i/>
              </w:rPr>
            </w:pPr>
            <w:r w:rsidRPr="00C55774">
              <w:rPr>
                <w:i/>
              </w:rPr>
              <w:t>354</w:t>
            </w:r>
          </w:p>
        </w:tc>
        <w:tc>
          <w:tcPr>
            <w:tcW w:w="1921" w:type="dxa"/>
            <w:vAlign w:val="center"/>
          </w:tcPr>
          <w:p w14:paraId="79FC2AD3" w14:textId="77777777" w:rsidR="00FC5F9F" w:rsidRPr="00C55774" w:rsidRDefault="00FC5F9F" w:rsidP="00A4028A">
            <w:pPr>
              <w:pStyle w:val="TableText"/>
              <w:jc w:val="center"/>
              <w:rPr>
                <w:i/>
              </w:rPr>
            </w:pPr>
            <w:r w:rsidRPr="00C55774">
              <w:rPr>
                <w:i/>
              </w:rPr>
              <w:t>1549</w:t>
            </w:r>
          </w:p>
        </w:tc>
      </w:tr>
      <w:tr w:rsidR="00FC5F9F" w:rsidRPr="00C55774" w14:paraId="4DC933FC" w14:textId="77777777" w:rsidTr="00A4028A">
        <w:tc>
          <w:tcPr>
            <w:tcW w:w="3256" w:type="dxa"/>
            <w:vAlign w:val="center"/>
          </w:tcPr>
          <w:p w14:paraId="61408A07" w14:textId="77777777" w:rsidR="00FC5F9F" w:rsidRPr="00C55774" w:rsidRDefault="00FC5F9F" w:rsidP="00A4028A">
            <w:pPr>
              <w:pStyle w:val="TableText"/>
              <w:ind w:left="311"/>
              <w:rPr>
                <w:i/>
              </w:rPr>
            </w:pPr>
            <w:r w:rsidRPr="00C55774">
              <w:rPr>
                <w:i/>
              </w:rPr>
              <w:t>Hazard Ratio (95% CI)</w:t>
            </w:r>
          </w:p>
        </w:tc>
        <w:tc>
          <w:tcPr>
            <w:tcW w:w="1920" w:type="dxa"/>
            <w:vAlign w:val="center"/>
          </w:tcPr>
          <w:p w14:paraId="03FC2562" w14:textId="77777777" w:rsidR="00FC5F9F" w:rsidRPr="00C55774" w:rsidRDefault="00FC5F9F" w:rsidP="00A4028A">
            <w:pPr>
              <w:pStyle w:val="TableText"/>
              <w:jc w:val="center"/>
              <w:rPr>
                <w:b/>
                <w:i/>
              </w:rPr>
            </w:pPr>
            <w:r w:rsidRPr="00C55774">
              <w:rPr>
                <w:b/>
                <w:i/>
              </w:rPr>
              <w:t>0.79 (0.71, 0.87)</w:t>
            </w:r>
          </w:p>
        </w:tc>
        <w:tc>
          <w:tcPr>
            <w:tcW w:w="1920" w:type="dxa"/>
            <w:vAlign w:val="center"/>
          </w:tcPr>
          <w:p w14:paraId="7B32D739" w14:textId="77777777" w:rsidR="00FC5F9F" w:rsidRPr="00C55774" w:rsidRDefault="00FC5F9F" w:rsidP="00A4028A">
            <w:pPr>
              <w:pStyle w:val="TableText"/>
              <w:jc w:val="center"/>
              <w:rPr>
                <w:i/>
              </w:rPr>
            </w:pPr>
            <w:r w:rsidRPr="00C55774">
              <w:rPr>
                <w:i/>
              </w:rPr>
              <w:t>0.80 (0.59, 1.08)</w:t>
            </w:r>
          </w:p>
        </w:tc>
        <w:tc>
          <w:tcPr>
            <w:tcW w:w="1921" w:type="dxa"/>
            <w:vAlign w:val="center"/>
          </w:tcPr>
          <w:p w14:paraId="68778F81" w14:textId="77777777" w:rsidR="00FC5F9F" w:rsidRPr="00C55774" w:rsidRDefault="00FC5F9F" w:rsidP="00A4028A">
            <w:pPr>
              <w:pStyle w:val="TableText"/>
              <w:jc w:val="center"/>
              <w:rPr>
                <w:i/>
              </w:rPr>
            </w:pPr>
            <w:r w:rsidRPr="00C55774">
              <w:rPr>
                <w:i/>
              </w:rPr>
              <w:t>0.90 (0.76, 1.06)</w:t>
            </w:r>
          </w:p>
        </w:tc>
      </w:tr>
      <w:tr w:rsidR="00FC5F9F" w:rsidRPr="00C55774" w14:paraId="2B0AD486" w14:textId="77777777" w:rsidTr="00A4028A">
        <w:tc>
          <w:tcPr>
            <w:tcW w:w="9017" w:type="dxa"/>
            <w:gridSpan w:val="4"/>
            <w:vAlign w:val="center"/>
          </w:tcPr>
          <w:p w14:paraId="3ADC2882" w14:textId="77777777" w:rsidR="00FC5F9F" w:rsidRPr="00C55774" w:rsidRDefault="00FC5F9F" w:rsidP="00A4028A">
            <w:pPr>
              <w:pStyle w:val="TableText"/>
              <w:rPr>
                <w:i/>
              </w:rPr>
            </w:pPr>
            <w:r w:rsidRPr="00C55774">
              <w:rPr>
                <w:i/>
              </w:rPr>
              <w:t>Total HF hospitalisation</w:t>
            </w:r>
          </w:p>
        </w:tc>
      </w:tr>
      <w:tr w:rsidR="00FC5F9F" w:rsidRPr="00C55774" w14:paraId="05C74E6A" w14:textId="77777777" w:rsidTr="00A4028A">
        <w:tc>
          <w:tcPr>
            <w:tcW w:w="3256" w:type="dxa"/>
            <w:vAlign w:val="center"/>
          </w:tcPr>
          <w:p w14:paraId="5987F597" w14:textId="77777777" w:rsidR="00FC5F9F" w:rsidRPr="00C55774" w:rsidRDefault="00FC5F9F" w:rsidP="00A4028A">
            <w:pPr>
              <w:pStyle w:val="TableText"/>
              <w:ind w:left="311"/>
              <w:rPr>
                <w:i/>
              </w:rPr>
            </w:pPr>
            <w:r w:rsidRPr="00C55774">
              <w:rPr>
                <w:i/>
              </w:rPr>
              <w:t>Events, n</w:t>
            </w:r>
          </w:p>
        </w:tc>
        <w:tc>
          <w:tcPr>
            <w:tcW w:w="1920" w:type="dxa"/>
            <w:vAlign w:val="center"/>
          </w:tcPr>
          <w:p w14:paraId="4FE584AF" w14:textId="77777777" w:rsidR="00FC5F9F" w:rsidRPr="00C55774" w:rsidRDefault="00FC5F9F" w:rsidP="00A4028A">
            <w:pPr>
              <w:pStyle w:val="TableText"/>
              <w:jc w:val="center"/>
              <w:rPr>
                <w:i/>
              </w:rPr>
            </w:pPr>
            <w:r w:rsidRPr="00C55774">
              <w:rPr>
                <w:i/>
              </w:rPr>
              <w:t>1928</w:t>
            </w:r>
          </w:p>
        </w:tc>
        <w:tc>
          <w:tcPr>
            <w:tcW w:w="1920" w:type="dxa"/>
            <w:vAlign w:val="center"/>
          </w:tcPr>
          <w:p w14:paraId="33201DD1" w14:textId="77777777" w:rsidR="00FC5F9F" w:rsidRPr="00C55774" w:rsidRDefault="00FC5F9F" w:rsidP="00A4028A">
            <w:pPr>
              <w:pStyle w:val="TableText"/>
              <w:jc w:val="center"/>
              <w:rPr>
                <w:i/>
              </w:rPr>
            </w:pPr>
            <w:r w:rsidRPr="00C55774">
              <w:rPr>
                <w:i/>
              </w:rPr>
              <w:t>254</w:t>
            </w:r>
          </w:p>
        </w:tc>
        <w:tc>
          <w:tcPr>
            <w:tcW w:w="1921" w:type="dxa"/>
            <w:vAlign w:val="center"/>
          </w:tcPr>
          <w:p w14:paraId="7224B882" w14:textId="77777777" w:rsidR="00FC5F9F" w:rsidRPr="00C55774" w:rsidRDefault="00FC5F9F" w:rsidP="00A4028A">
            <w:pPr>
              <w:pStyle w:val="TableText"/>
              <w:jc w:val="center"/>
              <w:rPr>
                <w:i/>
              </w:rPr>
            </w:pPr>
            <w:r w:rsidRPr="00C55774">
              <w:rPr>
                <w:i/>
              </w:rPr>
              <w:t>1233</w:t>
            </w:r>
          </w:p>
        </w:tc>
      </w:tr>
      <w:tr w:rsidR="00FC5F9F" w:rsidRPr="00C55774" w14:paraId="4829771C" w14:textId="77777777" w:rsidTr="00A4028A">
        <w:tc>
          <w:tcPr>
            <w:tcW w:w="3256" w:type="dxa"/>
            <w:vAlign w:val="center"/>
          </w:tcPr>
          <w:p w14:paraId="4A17DD4C" w14:textId="77777777" w:rsidR="00FC5F9F" w:rsidRPr="00C55774" w:rsidRDefault="00FC5F9F" w:rsidP="00A4028A">
            <w:pPr>
              <w:pStyle w:val="TableText"/>
              <w:ind w:left="311"/>
              <w:rPr>
                <w:i/>
              </w:rPr>
            </w:pPr>
            <w:r w:rsidRPr="00C55774">
              <w:rPr>
                <w:i/>
              </w:rPr>
              <w:t>Hazard Ratio (95% CI)</w:t>
            </w:r>
          </w:p>
        </w:tc>
        <w:tc>
          <w:tcPr>
            <w:tcW w:w="1920" w:type="dxa"/>
            <w:vAlign w:val="center"/>
          </w:tcPr>
          <w:p w14:paraId="10918D92" w14:textId="77777777" w:rsidR="00FC5F9F" w:rsidRPr="00C55774" w:rsidRDefault="00FC5F9F" w:rsidP="00A4028A">
            <w:pPr>
              <w:pStyle w:val="TableText"/>
              <w:jc w:val="center"/>
              <w:rPr>
                <w:b/>
                <w:i/>
              </w:rPr>
            </w:pPr>
            <w:r w:rsidRPr="00C55774">
              <w:rPr>
                <w:b/>
                <w:i/>
              </w:rPr>
              <w:t>0.78 (0.68, 0.90)</w:t>
            </w:r>
          </w:p>
        </w:tc>
        <w:tc>
          <w:tcPr>
            <w:tcW w:w="1920" w:type="dxa"/>
            <w:vAlign w:val="center"/>
          </w:tcPr>
          <w:p w14:paraId="3AF0CF2A" w14:textId="77777777" w:rsidR="00FC5F9F" w:rsidRPr="00C55774" w:rsidRDefault="00FC5F9F" w:rsidP="00A4028A">
            <w:pPr>
              <w:pStyle w:val="TableText"/>
              <w:jc w:val="center"/>
              <w:rPr>
                <w:i/>
              </w:rPr>
            </w:pPr>
            <w:r w:rsidRPr="00C55774">
              <w:rPr>
                <w:i/>
              </w:rPr>
              <w:t>0.73 (0.50, 1.07)</w:t>
            </w:r>
          </w:p>
        </w:tc>
        <w:tc>
          <w:tcPr>
            <w:tcW w:w="1921" w:type="dxa"/>
            <w:vAlign w:val="center"/>
          </w:tcPr>
          <w:p w14:paraId="43484FC8" w14:textId="77777777" w:rsidR="00FC5F9F" w:rsidRPr="00C55774" w:rsidRDefault="00FC5F9F" w:rsidP="00A4028A">
            <w:pPr>
              <w:pStyle w:val="TableText"/>
              <w:jc w:val="center"/>
              <w:rPr>
                <w:i/>
              </w:rPr>
            </w:pPr>
            <w:r w:rsidRPr="00C55774">
              <w:rPr>
                <w:i/>
              </w:rPr>
              <w:t>0.88 (0.73, 1.06)</w:t>
            </w:r>
          </w:p>
        </w:tc>
      </w:tr>
    </w:tbl>
    <w:p w14:paraId="79CB43A3" w14:textId="77777777" w:rsidR="00FC5F9F" w:rsidRPr="00C55774" w:rsidRDefault="00FC5F9F" w:rsidP="00FC5F9F">
      <w:pPr>
        <w:pStyle w:val="TableFigureFooter"/>
        <w:rPr>
          <w:i/>
        </w:rPr>
      </w:pPr>
      <w:r w:rsidRPr="00C55774">
        <w:rPr>
          <w:i/>
        </w:rPr>
        <w:t>Source: Supplemental Table 1, Solomon 2020</w:t>
      </w:r>
    </w:p>
    <w:p w14:paraId="05EEB596" w14:textId="77777777" w:rsidR="00FC5F9F" w:rsidRPr="00C55774" w:rsidRDefault="00FC5F9F" w:rsidP="00FC5F9F">
      <w:pPr>
        <w:pStyle w:val="TableFigureFooter"/>
        <w:rPr>
          <w:i/>
        </w:rPr>
      </w:pPr>
      <w:r w:rsidRPr="00C55774">
        <w:rPr>
          <w:i/>
        </w:rPr>
        <w:t>Abbreviations: CV, cardiovascular; HF, heart failure; LVEF, left ventricular ejection fraction</w:t>
      </w:r>
    </w:p>
    <w:p w14:paraId="31B8E83A" w14:textId="77777777" w:rsidR="00C55774" w:rsidRPr="00C55774" w:rsidRDefault="00C55774" w:rsidP="00FC5F9F">
      <w:pPr>
        <w:pStyle w:val="TableFigureFooter"/>
        <w:rPr>
          <w:i/>
        </w:rPr>
      </w:pPr>
      <w:r w:rsidRPr="00C55774">
        <w:rPr>
          <w:i/>
          <w:vertAlign w:val="superscript"/>
        </w:rPr>
        <w:t>a</w:t>
      </w:r>
      <w:r w:rsidRPr="00C55774">
        <w:rPr>
          <w:i/>
        </w:rPr>
        <w:t xml:space="preserve"> The </w:t>
      </w:r>
      <w:r w:rsidR="00CF1BF9">
        <w:rPr>
          <w:i/>
        </w:rPr>
        <w:t xml:space="preserve">PARADIGM-HF trial included patients with LVEF ≤40%, and the </w:t>
      </w:r>
      <w:r w:rsidRPr="00C55774">
        <w:rPr>
          <w:i/>
        </w:rPr>
        <w:t xml:space="preserve">PARAGON-HF trial included patients with LVEF </w:t>
      </w:r>
      <w:r w:rsidR="00CF1BF9">
        <w:rPr>
          <w:i/>
        </w:rPr>
        <w:t>≥</w:t>
      </w:r>
      <w:r w:rsidRPr="00C55774">
        <w:rPr>
          <w:i/>
        </w:rPr>
        <w:t>45%, meaning no patients with LVEF</w:t>
      </w:r>
      <w:r w:rsidR="00CF1BF9">
        <w:rPr>
          <w:i/>
        </w:rPr>
        <w:t xml:space="preserve"> measured</w:t>
      </w:r>
      <w:r w:rsidRPr="00C55774">
        <w:rPr>
          <w:i/>
        </w:rPr>
        <w:t xml:space="preserve"> between 41% and 44% were included in this </w:t>
      </w:r>
      <w:r w:rsidR="00CF1BF9">
        <w:rPr>
          <w:i/>
        </w:rPr>
        <w:t xml:space="preserve">pooled </w:t>
      </w:r>
      <w:r w:rsidRPr="00C55774">
        <w:rPr>
          <w:i/>
        </w:rPr>
        <w:t xml:space="preserve">analysis. However, the study authors </w:t>
      </w:r>
      <w:r w:rsidR="00CF1BF9">
        <w:rPr>
          <w:i/>
        </w:rPr>
        <w:t>argued that because of the imprec</w:t>
      </w:r>
      <w:r w:rsidR="005C79D2">
        <w:rPr>
          <w:i/>
        </w:rPr>
        <w:t>ise nature of LVEF measurement,</w:t>
      </w:r>
      <w:r w:rsidRPr="00C55774">
        <w:rPr>
          <w:i/>
        </w:rPr>
        <w:t xml:space="preserve"> </w:t>
      </w:r>
      <w:r w:rsidR="00CF1BF9">
        <w:rPr>
          <w:i/>
        </w:rPr>
        <w:t xml:space="preserve">participants were likely enrolled outside these bounds such that this mid-range of LVEF would have been </w:t>
      </w:r>
      <w:r w:rsidR="005C79D2">
        <w:rPr>
          <w:i/>
        </w:rPr>
        <w:t>well represented</w:t>
      </w:r>
      <w:r w:rsidR="00CF1BF9">
        <w:rPr>
          <w:i/>
        </w:rPr>
        <w:t xml:space="preserve"> in the pooled analysis.</w:t>
      </w:r>
      <w:r w:rsidR="005C79D2">
        <w:rPr>
          <w:i/>
        </w:rPr>
        <w:t xml:space="preserve"> The study authors also stated that many LVEF assessments in their analysis were rounded to the nearest 5%</w:t>
      </w:r>
      <w:r w:rsidR="008B0464">
        <w:rPr>
          <w:i/>
        </w:rPr>
        <w:t>, which suggests semi-quantitative estimation by site investigators and reflects real-world clinical practice.</w:t>
      </w:r>
    </w:p>
    <w:p w14:paraId="1DB1BD68" w14:textId="77777777" w:rsidR="00034B14" w:rsidRDefault="00FC5F9F" w:rsidP="00E70035">
      <w:pPr>
        <w:pStyle w:val="ExecSumBodyText"/>
        <w:ind w:left="709" w:hanging="709"/>
      </w:pPr>
      <w:r w:rsidRPr="005226CA">
        <w:t xml:space="preserve">There were no statistically significant differences between treatments for patients with </w:t>
      </w:r>
      <w:r w:rsidR="00905C98" w:rsidRPr="005226CA">
        <w:t>LV</w:t>
      </w:r>
      <w:r w:rsidRPr="005226CA">
        <w:t>EF &gt;40% to 50% for any of the reported clinical outcomes. However, point estimates were similar to those with ejection fraction ≤40%, with smaller patient numbers in this group potentially influencing the outcome of the statistical analysis. The study authors suggested that patients with ejection fraction lower than normal, which includes patients with “mid-range” ejection fraction or borderline ejection fraction, would likely benefit from sacubitril/valsartan compared with a</w:t>
      </w:r>
      <w:r w:rsidR="00C55774" w:rsidRPr="005226CA">
        <w:t>n ACE-inhibitor or ARB</w:t>
      </w:r>
      <w:r w:rsidRPr="005226CA">
        <w:t>.</w:t>
      </w:r>
      <w:r w:rsidR="00896388">
        <w:t xml:space="preserve"> </w:t>
      </w:r>
    </w:p>
    <w:p w14:paraId="46BC0B6F" w14:textId="77777777" w:rsidR="00FC5F9F" w:rsidRDefault="007E58C5" w:rsidP="00E70035">
      <w:pPr>
        <w:pStyle w:val="ExecSumBodyText"/>
        <w:ind w:left="709" w:hanging="709"/>
      </w:pPr>
      <w:r w:rsidRPr="00C0061E">
        <w:t>Due the limited available evidence, the ESC considered the comparative effectiveness of sacubitril/valsartan in the LVEF 40%-49% population compared to both an LVEF &lt;40% population and enalapril in the LVEF 40%-49% population was uncertain.</w:t>
      </w:r>
    </w:p>
    <w:p w14:paraId="370F7432" w14:textId="77777777" w:rsidR="009A7257" w:rsidRPr="00C0061E" w:rsidRDefault="009A7257" w:rsidP="00E70035">
      <w:pPr>
        <w:pStyle w:val="ExecSumBodyText"/>
        <w:ind w:left="709" w:hanging="709"/>
      </w:pPr>
      <w:r>
        <w:t xml:space="preserve">The Pre-PBAC Response argued the requested change to the LVEF threshold was consistent with CSANZ guidelines and that the margin of error in echocardiogram measurement meant some patients with a true LVEF of </w:t>
      </w:r>
      <w:r>
        <w:rPr>
          <w:rFonts w:cstheme="minorHAnsi"/>
        </w:rPr>
        <w:t>≤</w:t>
      </w:r>
      <w:r>
        <w:t>40%</w:t>
      </w:r>
      <w:r w:rsidR="00B668D0">
        <w:t xml:space="preserve">, who should be eligible </w:t>
      </w:r>
      <w:r w:rsidR="00B668D0">
        <w:lastRenderedPageBreak/>
        <w:t>for treatment with sacubitril/valsartan,</w:t>
      </w:r>
      <w:r>
        <w:t xml:space="preserve"> would </w:t>
      </w:r>
      <w:r w:rsidR="00B668D0">
        <w:t>be ineligible for treatment. The PBAC considered that</w:t>
      </w:r>
      <w:r w:rsidR="008C0FD1">
        <w:t>,</w:t>
      </w:r>
      <w:r w:rsidR="00B668D0">
        <w:t xml:space="preserve"> while there may be a margin of error with respect to measurement of ejection fraction</w:t>
      </w:r>
      <w:r w:rsidR="008C0FD1">
        <w:t>,</w:t>
      </w:r>
      <w:r w:rsidR="00B668D0">
        <w:t xml:space="preserve"> the argument was insufficient to justify such a change to the listing of sacubitril/valsartan</w:t>
      </w:r>
      <w:r w:rsidR="008C0FD1">
        <w:t>.</w:t>
      </w:r>
      <w:r w:rsidR="00B668D0">
        <w:t xml:space="preserve"> </w:t>
      </w:r>
      <w:r w:rsidR="00E077FA">
        <w:t xml:space="preserve">The PBAC also noted that this same margin of error would have been present in assessing eligibility for inclusion in the PARADIGM-HF Trial and therefore the argument is not relevant.  </w:t>
      </w:r>
      <w:r w:rsidR="008C0FD1">
        <w:t>The PBAC</w:t>
      </w:r>
      <w:r w:rsidR="00B668D0">
        <w:t xml:space="preserve"> reiterated </w:t>
      </w:r>
      <w:r w:rsidR="008C0FD1">
        <w:t xml:space="preserve">that </w:t>
      </w:r>
      <w:r w:rsidR="00B668D0">
        <w:t>such a request must be supported by adequate clinical data and economic analysis to demonstrate effectiveness and cost effectiveness in the requested population.</w:t>
      </w:r>
    </w:p>
    <w:p w14:paraId="66E977F4" w14:textId="77777777" w:rsidR="000F5C69" w:rsidRDefault="000F5C69" w:rsidP="000F5C69">
      <w:pPr>
        <w:pStyle w:val="5-SubSubSubHead"/>
      </w:pPr>
      <w:r>
        <w:t>A</w:t>
      </w:r>
      <w:r w:rsidRPr="005D0FC6">
        <w:t xml:space="preserve">nalyses to inform </w:t>
      </w:r>
      <w:r>
        <w:t xml:space="preserve">beta-blocker </w:t>
      </w:r>
      <w:r w:rsidRPr="005D0FC6">
        <w:t>population</w:t>
      </w:r>
    </w:p>
    <w:p w14:paraId="25ABCB05" w14:textId="77777777" w:rsidR="00FC5F9F" w:rsidRPr="00FC5F9F" w:rsidRDefault="000F5C69" w:rsidP="00E70035">
      <w:pPr>
        <w:pStyle w:val="ExecSumBodyText"/>
        <w:ind w:left="709" w:hanging="709"/>
      </w:pPr>
      <w:r>
        <w:t xml:space="preserve">The CIBIS III study found no differences in terms of efficacy and safety between patients who initiated treatment with an ACE-inhibitor first, or those who initiated treatment with a beta-blocker first,  including the primary endpoint of time to first event of all-cause mortality or all-cause hospitalisation (178 patients (35.2%) bisoprolol-first; 186 (36.8%) enalapril-first; HR 0.94, 95% CI 0.77, 1.16). </w:t>
      </w:r>
      <w:r w:rsidR="00B97527">
        <w:t xml:space="preserve">In the bisoprolol-first group, last prescribed doses of bisoprolol were significantly higher as compared with the enalapril-first group (p&lt;0.001). In the enalapril-first group, last prescribed doses of enalapril were significantly higher as compared with the bisoprolol-first group (p&lt;0.001). </w:t>
      </w:r>
      <w:r w:rsidR="00B97527" w:rsidRPr="005226CA">
        <w:t xml:space="preserve">These results suggest that the first-initiated therapy is more likely to be up-titrated to the target dose. </w:t>
      </w:r>
      <w:r w:rsidRPr="005226CA">
        <w:t>It is unclear whether the results of this study would be equally applicable to the treatment order of sacubitril/valsartan and a beta-blocker</w:t>
      </w:r>
      <w:r w:rsidR="00B97527" w:rsidRPr="005226CA">
        <w:t>, but results suggest that patients initiated on sacubitril/valsartan prior to a beta-blocker could be less likely to receive the maximum tolerated dose of a beta-blocker than patients who receive treatment in the order currently specified in the PBS restriction</w:t>
      </w:r>
      <w:r w:rsidRPr="005226CA">
        <w:t>.</w:t>
      </w:r>
    </w:p>
    <w:p w14:paraId="4A985090" w14:textId="77777777" w:rsidR="00B60939" w:rsidRPr="00C9624D" w:rsidRDefault="00B60939" w:rsidP="00D86231">
      <w:pPr>
        <w:pStyle w:val="3-SubsectionHeading"/>
      </w:pPr>
      <w:bookmarkStart w:id="14" w:name="_Toc22897642"/>
      <w:bookmarkStart w:id="15" w:name="_Toc51070689"/>
      <w:r w:rsidRPr="00C9624D">
        <w:t>Comparative harms</w:t>
      </w:r>
      <w:bookmarkEnd w:id="14"/>
      <w:bookmarkEnd w:id="15"/>
    </w:p>
    <w:p w14:paraId="505784AB" w14:textId="77777777" w:rsidR="000F5C69" w:rsidRPr="000F5C69" w:rsidRDefault="000F5C69" w:rsidP="00E70035">
      <w:pPr>
        <w:pStyle w:val="ExecSumBodyText"/>
        <w:ind w:left="709" w:hanging="709"/>
      </w:pPr>
      <w:r w:rsidRPr="000F5C69">
        <w:t>Key adverse events in the PIONEER-HF and TRANSITION trials are presented in the table below.</w:t>
      </w:r>
    </w:p>
    <w:p w14:paraId="48898497" w14:textId="77777777" w:rsidR="000F5C69" w:rsidRPr="00080909" w:rsidRDefault="000F5C69" w:rsidP="000F5C69">
      <w:pPr>
        <w:pStyle w:val="TableFigureCaption"/>
      </w:pPr>
      <w:r w:rsidRPr="00080909">
        <w:lastRenderedPageBreak/>
        <w:t xml:space="preserve">Table </w:t>
      </w:r>
      <w:r w:rsidR="00E70035">
        <w:t>9</w:t>
      </w:r>
      <w:r w:rsidRPr="00080909">
        <w:t>:</w:t>
      </w:r>
      <w:r>
        <w:t xml:space="preserve"> </w:t>
      </w:r>
      <w:r w:rsidRPr="00080909">
        <w:t>Summary of key adverse events in the randomised trials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81"/>
        <w:gridCol w:w="1009"/>
        <w:gridCol w:w="982"/>
        <w:gridCol w:w="1635"/>
        <w:gridCol w:w="921"/>
        <w:gridCol w:w="922"/>
        <w:gridCol w:w="1366"/>
      </w:tblGrid>
      <w:tr w:rsidR="000F5C69" w:rsidRPr="00080909" w14:paraId="0D2E577F" w14:textId="77777777" w:rsidTr="00A4028A">
        <w:trPr>
          <w:tblHeader/>
        </w:trPr>
        <w:tc>
          <w:tcPr>
            <w:tcW w:w="2181" w:type="dxa"/>
            <w:vMerge w:val="restart"/>
            <w:vAlign w:val="center"/>
          </w:tcPr>
          <w:p w14:paraId="5EB060FB" w14:textId="77777777" w:rsidR="000F5C69" w:rsidRDefault="000F5C69" w:rsidP="00A4028A">
            <w:pPr>
              <w:pStyle w:val="Tableheadingrow"/>
            </w:pPr>
            <w:r>
              <w:t>Trial ID</w:t>
            </w:r>
          </w:p>
        </w:tc>
        <w:tc>
          <w:tcPr>
            <w:tcW w:w="3626" w:type="dxa"/>
            <w:gridSpan w:val="3"/>
            <w:vAlign w:val="center"/>
          </w:tcPr>
          <w:p w14:paraId="2F856C01" w14:textId="77777777" w:rsidR="000F5C69" w:rsidRDefault="000F5C69" w:rsidP="00A4028A">
            <w:pPr>
              <w:pStyle w:val="Tableheadingrow"/>
              <w:jc w:val="center"/>
            </w:pPr>
            <w:r>
              <w:t>PIONEER-HF</w:t>
            </w:r>
          </w:p>
        </w:tc>
        <w:tc>
          <w:tcPr>
            <w:tcW w:w="3209" w:type="dxa"/>
            <w:gridSpan w:val="3"/>
          </w:tcPr>
          <w:p w14:paraId="2C8D2EA4" w14:textId="77777777" w:rsidR="000F5C69" w:rsidRDefault="000F5C69" w:rsidP="00A4028A">
            <w:pPr>
              <w:pStyle w:val="Tableheadingrow"/>
              <w:jc w:val="center"/>
            </w:pPr>
            <w:r>
              <w:t>TRANSITION</w:t>
            </w:r>
          </w:p>
          <w:p w14:paraId="3F431FF9" w14:textId="77777777" w:rsidR="000F5C69" w:rsidRDefault="000F5C69" w:rsidP="00A4028A">
            <w:pPr>
              <w:pStyle w:val="Tableheadingrow"/>
              <w:jc w:val="center"/>
            </w:pPr>
            <w:r>
              <w:t>Sacubitril/valsartan</w:t>
            </w:r>
          </w:p>
        </w:tc>
      </w:tr>
      <w:tr w:rsidR="000F5C69" w:rsidRPr="00080909" w14:paraId="16616778" w14:textId="77777777" w:rsidTr="00A4028A">
        <w:trPr>
          <w:tblHeader/>
        </w:trPr>
        <w:tc>
          <w:tcPr>
            <w:tcW w:w="2181" w:type="dxa"/>
            <w:vMerge/>
            <w:vAlign w:val="center"/>
          </w:tcPr>
          <w:p w14:paraId="45DF53EA" w14:textId="77777777" w:rsidR="000F5C69" w:rsidRPr="00080909" w:rsidRDefault="000F5C69" w:rsidP="00A4028A">
            <w:pPr>
              <w:pStyle w:val="Tableheadingrow"/>
            </w:pPr>
          </w:p>
        </w:tc>
        <w:tc>
          <w:tcPr>
            <w:tcW w:w="1009" w:type="dxa"/>
            <w:vAlign w:val="center"/>
          </w:tcPr>
          <w:p w14:paraId="23A31B5D" w14:textId="77777777" w:rsidR="000F5C69" w:rsidRDefault="000F5C69" w:rsidP="00A4028A">
            <w:pPr>
              <w:pStyle w:val="Tableheadingrow"/>
              <w:jc w:val="center"/>
            </w:pPr>
            <w:r>
              <w:t>Sacubitril/</w:t>
            </w:r>
          </w:p>
          <w:p w14:paraId="435D9314" w14:textId="77777777" w:rsidR="000F5C69" w:rsidRDefault="000F5C69" w:rsidP="00A4028A">
            <w:pPr>
              <w:pStyle w:val="Tableheadingrow"/>
              <w:jc w:val="center"/>
            </w:pPr>
            <w:r>
              <w:t>valsartan</w:t>
            </w:r>
          </w:p>
          <w:p w14:paraId="77E04D5D" w14:textId="77777777" w:rsidR="000F5C69" w:rsidRDefault="000F5C69" w:rsidP="00A4028A">
            <w:pPr>
              <w:pStyle w:val="Tableheadingrow"/>
              <w:jc w:val="center"/>
            </w:pPr>
            <w:r>
              <w:t>N=440</w:t>
            </w:r>
          </w:p>
          <w:p w14:paraId="7304E696" w14:textId="77777777" w:rsidR="000F5C69" w:rsidRPr="00080909" w:rsidRDefault="000F5C69" w:rsidP="00A4028A">
            <w:pPr>
              <w:pStyle w:val="Tableheadingrow"/>
              <w:jc w:val="center"/>
            </w:pPr>
            <w:r>
              <w:t>n (%)</w:t>
            </w:r>
          </w:p>
        </w:tc>
        <w:tc>
          <w:tcPr>
            <w:tcW w:w="982" w:type="dxa"/>
            <w:vAlign w:val="center"/>
          </w:tcPr>
          <w:p w14:paraId="1E0F07CC" w14:textId="77777777" w:rsidR="000F5C69" w:rsidRDefault="000F5C69" w:rsidP="00A4028A">
            <w:pPr>
              <w:pStyle w:val="Tableheadingrow"/>
              <w:jc w:val="center"/>
            </w:pPr>
            <w:r>
              <w:t>Enalapril</w:t>
            </w:r>
          </w:p>
          <w:p w14:paraId="41AAE7F7" w14:textId="77777777" w:rsidR="000F5C69" w:rsidRDefault="000F5C69" w:rsidP="00A4028A">
            <w:pPr>
              <w:pStyle w:val="Tableheadingrow"/>
              <w:jc w:val="center"/>
            </w:pPr>
            <w:r>
              <w:t>N=441</w:t>
            </w:r>
          </w:p>
          <w:p w14:paraId="5491B3D0" w14:textId="77777777" w:rsidR="000F5C69" w:rsidRPr="00080909" w:rsidRDefault="000F5C69" w:rsidP="00A4028A">
            <w:pPr>
              <w:pStyle w:val="Tableheadingrow"/>
              <w:jc w:val="center"/>
            </w:pPr>
            <w:r>
              <w:t>n (%)</w:t>
            </w:r>
          </w:p>
        </w:tc>
        <w:tc>
          <w:tcPr>
            <w:tcW w:w="1635" w:type="dxa"/>
            <w:vAlign w:val="center"/>
          </w:tcPr>
          <w:p w14:paraId="74AC1E88" w14:textId="77777777" w:rsidR="000F5C69" w:rsidRPr="00080909" w:rsidRDefault="000F5C69" w:rsidP="00A4028A">
            <w:pPr>
              <w:pStyle w:val="Tableheadingrow"/>
              <w:jc w:val="center"/>
            </w:pPr>
            <w:r>
              <w:t>RR (95% CI), unless indicated</w:t>
            </w:r>
          </w:p>
        </w:tc>
        <w:tc>
          <w:tcPr>
            <w:tcW w:w="921" w:type="dxa"/>
          </w:tcPr>
          <w:p w14:paraId="0A1C3DCC" w14:textId="77777777" w:rsidR="000F5C69" w:rsidRDefault="000F5C69" w:rsidP="00A4028A">
            <w:pPr>
              <w:pStyle w:val="Tableheadingrow"/>
              <w:jc w:val="center"/>
            </w:pPr>
            <w:r>
              <w:t>Pre-discharge</w:t>
            </w:r>
          </w:p>
          <w:p w14:paraId="787B6E48" w14:textId="77777777" w:rsidR="000F5C69" w:rsidRDefault="000F5C69" w:rsidP="00A4028A">
            <w:pPr>
              <w:pStyle w:val="Tableheadingrow"/>
              <w:jc w:val="center"/>
            </w:pPr>
            <w:r>
              <w:t>(N=495)</w:t>
            </w:r>
          </w:p>
        </w:tc>
        <w:tc>
          <w:tcPr>
            <w:tcW w:w="922" w:type="dxa"/>
          </w:tcPr>
          <w:p w14:paraId="3242C2AF" w14:textId="77777777" w:rsidR="000F5C69" w:rsidRDefault="000F5C69" w:rsidP="00A4028A">
            <w:pPr>
              <w:pStyle w:val="Tableheadingrow"/>
              <w:jc w:val="center"/>
            </w:pPr>
            <w:r>
              <w:t>Post-discharge</w:t>
            </w:r>
          </w:p>
          <w:p w14:paraId="4633773C" w14:textId="77777777" w:rsidR="000F5C69" w:rsidRDefault="000F5C69" w:rsidP="00A4028A">
            <w:pPr>
              <w:pStyle w:val="Tableheadingrow"/>
              <w:jc w:val="center"/>
            </w:pPr>
            <w:r>
              <w:t>(N=496)</w:t>
            </w:r>
          </w:p>
        </w:tc>
        <w:tc>
          <w:tcPr>
            <w:tcW w:w="1366" w:type="dxa"/>
            <w:vAlign w:val="center"/>
          </w:tcPr>
          <w:p w14:paraId="3F721376" w14:textId="77777777" w:rsidR="000F5C69" w:rsidRDefault="000F5C69" w:rsidP="00A4028A">
            <w:pPr>
              <w:pStyle w:val="Tableheadingrow"/>
              <w:jc w:val="center"/>
            </w:pPr>
            <w:r>
              <w:t>RR (95% CI)</w:t>
            </w:r>
          </w:p>
        </w:tc>
      </w:tr>
      <w:tr w:rsidR="000F5C69" w14:paraId="0094FF80" w14:textId="77777777" w:rsidTr="00A4028A">
        <w:tc>
          <w:tcPr>
            <w:tcW w:w="2181" w:type="dxa"/>
            <w:vAlign w:val="center"/>
          </w:tcPr>
          <w:p w14:paraId="31CB12A7" w14:textId="77777777" w:rsidR="000F5C69" w:rsidRDefault="000F5C69" w:rsidP="00A4028A">
            <w:pPr>
              <w:pStyle w:val="TableText"/>
            </w:pPr>
            <w:r>
              <w:t>Deaths</w:t>
            </w:r>
          </w:p>
        </w:tc>
        <w:tc>
          <w:tcPr>
            <w:tcW w:w="1009" w:type="dxa"/>
            <w:vAlign w:val="center"/>
          </w:tcPr>
          <w:p w14:paraId="56976303" w14:textId="77777777" w:rsidR="000F5C69" w:rsidRDefault="000F5C69" w:rsidP="00A4028A">
            <w:pPr>
              <w:pStyle w:val="TableText"/>
              <w:jc w:val="center"/>
            </w:pPr>
            <w:r>
              <w:t>10 (2.3)</w:t>
            </w:r>
          </w:p>
        </w:tc>
        <w:tc>
          <w:tcPr>
            <w:tcW w:w="982" w:type="dxa"/>
            <w:vAlign w:val="center"/>
          </w:tcPr>
          <w:p w14:paraId="08BE5BD6" w14:textId="77777777" w:rsidR="000F5C69" w:rsidRDefault="000F5C69" w:rsidP="00A4028A">
            <w:pPr>
              <w:pStyle w:val="TableText"/>
              <w:jc w:val="center"/>
            </w:pPr>
            <w:r>
              <w:t>15 (3.4)</w:t>
            </w:r>
          </w:p>
        </w:tc>
        <w:tc>
          <w:tcPr>
            <w:tcW w:w="1635" w:type="dxa"/>
            <w:vAlign w:val="center"/>
          </w:tcPr>
          <w:p w14:paraId="09D5C9E2" w14:textId="77777777" w:rsidR="000F5C69" w:rsidRDefault="000F5C69" w:rsidP="00A4028A">
            <w:pPr>
              <w:pStyle w:val="TableText"/>
              <w:jc w:val="center"/>
            </w:pPr>
            <w:r>
              <w:t>HR 0.66 (0.30, 1.48)</w:t>
            </w:r>
          </w:p>
        </w:tc>
        <w:tc>
          <w:tcPr>
            <w:tcW w:w="921" w:type="dxa"/>
            <w:vAlign w:val="center"/>
          </w:tcPr>
          <w:p w14:paraId="69AE8BDC" w14:textId="77777777" w:rsidR="000F5C69" w:rsidRDefault="000F5C69" w:rsidP="00A4028A">
            <w:pPr>
              <w:pStyle w:val="TableText"/>
              <w:jc w:val="center"/>
            </w:pPr>
            <w:r>
              <w:t>13 (2.6)</w:t>
            </w:r>
          </w:p>
        </w:tc>
        <w:tc>
          <w:tcPr>
            <w:tcW w:w="922" w:type="dxa"/>
            <w:vAlign w:val="center"/>
          </w:tcPr>
          <w:p w14:paraId="68386FEE" w14:textId="77777777" w:rsidR="000F5C69" w:rsidRDefault="000F5C69" w:rsidP="00A4028A">
            <w:pPr>
              <w:pStyle w:val="TableText"/>
              <w:jc w:val="center"/>
            </w:pPr>
            <w:r>
              <w:t>10 (2.0)</w:t>
            </w:r>
          </w:p>
        </w:tc>
        <w:tc>
          <w:tcPr>
            <w:tcW w:w="1366" w:type="dxa"/>
            <w:vAlign w:val="center"/>
          </w:tcPr>
          <w:p w14:paraId="582AE4B6" w14:textId="77777777" w:rsidR="000F5C69" w:rsidRDefault="000F5C69" w:rsidP="00A4028A">
            <w:pPr>
              <w:pStyle w:val="TableText"/>
              <w:jc w:val="center"/>
            </w:pPr>
            <w:r>
              <w:t>1.30 (0.58, 2.94)</w:t>
            </w:r>
          </w:p>
        </w:tc>
      </w:tr>
      <w:tr w:rsidR="000F5C69" w14:paraId="60CF12C2" w14:textId="77777777" w:rsidTr="00A4028A">
        <w:tc>
          <w:tcPr>
            <w:tcW w:w="2181" w:type="dxa"/>
            <w:vAlign w:val="center"/>
          </w:tcPr>
          <w:p w14:paraId="6F1A7BC2" w14:textId="77777777" w:rsidR="000F5C69" w:rsidRDefault="000F5C69" w:rsidP="00A4028A">
            <w:pPr>
              <w:pStyle w:val="TableText"/>
            </w:pPr>
            <w:r>
              <w:t>Adverse events, patients</w:t>
            </w:r>
          </w:p>
        </w:tc>
        <w:tc>
          <w:tcPr>
            <w:tcW w:w="1009" w:type="dxa"/>
            <w:vAlign w:val="center"/>
          </w:tcPr>
          <w:p w14:paraId="660AAC66" w14:textId="77777777" w:rsidR="000F5C69" w:rsidRDefault="000F5C69" w:rsidP="00A4028A">
            <w:pPr>
              <w:pStyle w:val="TableText"/>
              <w:jc w:val="center"/>
            </w:pPr>
            <w:r>
              <w:t>NR</w:t>
            </w:r>
          </w:p>
        </w:tc>
        <w:tc>
          <w:tcPr>
            <w:tcW w:w="982" w:type="dxa"/>
            <w:vAlign w:val="center"/>
          </w:tcPr>
          <w:p w14:paraId="4284B23A" w14:textId="77777777" w:rsidR="000F5C69" w:rsidRDefault="000F5C69" w:rsidP="00A4028A">
            <w:pPr>
              <w:pStyle w:val="TableText"/>
              <w:jc w:val="center"/>
            </w:pPr>
            <w:r>
              <w:t>NR</w:t>
            </w:r>
          </w:p>
        </w:tc>
        <w:tc>
          <w:tcPr>
            <w:tcW w:w="1635" w:type="dxa"/>
            <w:vAlign w:val="center"/>
          </w:tcPr>
          <w:p w14:paraId="77B6277E" w14:textId="77777777" w:rsidR="000F5C69" w:rsidRDefault="000F5C69" w:rsidP="00A4028A">
            <w:pPr>
              <w:pStyle w:val="TableText"/>
              <w:jc w:val="center"/>
            </w:pPr>
            <w:r>
              <w:t>NR</w:t>
            </w:r>
          </w:p>
        </w:tc>
        <w:tc>
          <w:tcPr>
            <w:tcW w:w="921" w:type="dxa"/>
            <w:vAlign w:val="center"/>
          </w:tcPr>
          <w:p w14:paraId="22161778" w14:textId="77777777" w:rsidR="000F5C69" w:rsidRDefault="000F5C69" w:rsidP="00A4028A">
            <w:pPr>
              <w:pStyle w:val="TableText"/>
              <w:jc w:val="center"/>
            </w:pPr>
            <w:r>
              <w:t>342 (69.1)</w:t>
            </w:r>
          </w:p>
        </w:tc>
        <w:tc>
          <w:tcPr>
            <w:tcW w:w="922" w:type="dxa"/>
            <w:vAlign w:val="center"/>
          </w:tcPr>
          <w:p w14:paraId="448F1276" w14:textId="77777777" w:rsidR="000F5C69" w:rsidRDefault="000F5C69" w:rsidP="00A4028A">
            <w:pPr>
              <w:pStyle w:val="TableText"/>
              <w:jc w:val="center"/>
            </w:pPr>
            <w:r>
              <w:t>325 (65.5)</w:t>
            </w:r>
          </w:p>
        </w:tc>
        <w:tc>
          <w:tcPr>
            <w:tcW w:w="1366" w:type="dxa"/>
            <w:vAlign w:val="center"/>
          </w:tcPr>
          <w:p w14:paraId="3FC417BA" w14:textId="77777777" w:rsidR="000F5C69" w:rsidRDefault="000F5C69" w:rsidP="00A4028A">
            <w:pPr>
              <w:pStyle w:val="TableText"/>
              <w:jc w:val="center"/>
            </w:pPr>
            <w:r>
              <w:t>1.05 (0.97, 1.15)</w:t>
            </w:r>
          </w:p>
        </w:tc>
      </w:tr>
      <w:tr w:rsidR="000F5C69" w14:paraId="6BE118E4" w14:textId="77777777" w:rsidTr="00A4028A">
        <w:tc>
          <w:tcPr>
            <w:tcW w:w="2181" w:type="dxa"/>
            <w:vAlign w:val="center"/>
          </w:tcPr>
          <w:p w14:paraId="030F94AA" w14:textId="77777777" w:rsidR="000F5C69" w:rsidRDefault="000F5C69" w:rsidP="00A4028A">
            <w:pPr>
              <w:pStyle w:val="TableText"/>
            </w:pPr>
            <w:r>
              <w:t>SAE, patients</w:t>
            </w:r>
          </w:p>
        </w:tc>
        <w:tc>
          <w:tcPr>
            <w:tcW w:w="1009" w:type="dxa"/>
            <w:vAlign w:val="center"/>
          </w:tcPr>
          <w:p w14:paraId="07C6FEB9" w14:textId="77777777" w:rsidR="000F5C69" w:rsidRDefault="000F5C69" w:rsidP="00A4028A">
            <w:pPr>
              <w:pStyle w:val="TableText"/>
              <w:jc w:val="center"/>
            </w:pPr>
            <w:r>
              <w:t>NR</w:t>
            </w:r>
          </w:p>
        </w:tc>
        <w:tc>
          <w:tcPr>
            <w:tcW w:w="982" w:type="dxa"/>
            <w:vAlign w:val="center"/>
          </w:tcPr>
          <w:p w14:paraId="7826C530" w14:textId="77777777" w:rsidR="000F5C69" w:rsidRDefault="000F5C69" w:rsidP="00A4028A">
            <w:pPr>
              <w:pStyle w:val="TableText"/>
              <w:jc w:val="center"/>
            </w:pPr>
            <w:r>
              <w:t>NR</w:t>
            </w:r>
          </w:p>
        </w:tc>
        <w:tc>
          <w:tcPr>
            <w:tcW w:w="1635" w:type="dxa"/>
            <w:vAlign w:val="center"/>
          </w:tcPr>
          <w:p w14:paraId="0267CC4D" w14:textId="77777777" w:rsidR="000F5C69" w:rsidRDefault="000F5C69" w:rsidP="00A4028A">
            <w:pPr>
              <w:pStyle w:val="TableText"/>
              <w:jc w:val="center"/>
            </w:pPr>
            <w:r>
              <w:t>NR</w:t>
            </w:r>
          </w:p>
        </w:tc>
        <w:tc>
          <w:tcPr>
            <w:tcW w:w="921" w:type="dxa"/>
            <w:vAlign w:val="center"/>
          </w:tcPr>
          <w:p w14:paraId="631552B4" w14:textId="77777777" w:rsidR="000F5C69" w:rsidRDefault="000F5C69" w:rsidP="00A4028A">
            <w:pPr>
              <w:pStyle w:val="TableText"/>
              <w:jc w:val="center"/>
            </w:pPr>
            <w:r>
              <w:t>93 (18.8)</w:t>
            </w:r>
          </w:p>
        </w:tc>
        <w:tc>
          <w:tcPr>
            <w:tcW w:w="922" w:type="dxa"/>
            <w:vAlign w:val="center"/>
          </w:tcPr>
          <w:p w14:paraId="4412AE17" w14:textId="77777777" w:rsidR="000F5C69" w:rsidRDefault="000F5C69" w:rsidP="00A4028A">
            <w:pPr>
              <w:pStyle w:val="TableText"/>
              <w:jc w:val="center"/>
            </w:pPr>
            <w:r>
              <w:t>89 (17.9)</w:t>
            </w:r>
          </w:p>
        </w:tc>
        <w:tc>
          <w:tcPr>
            <w:tcW w:w="1366" w:type="dxa"/>
            <w:vAlign w:val="center"/>
          </w:tcPr>
          <w:p w14:paraId="1BAD8C03" w14:textId="77777777" w:rsidR="000F5C69" w:rsidRDefault="000F5C69" w:rsidP="00A4028A">
            <w:pPr>
              <w:pStyle w:val="TableText"/>
              <w:jc w:val="center"/>
            </w:pPr>
            <w:r>
              <w:t>1.05 (0.81, 1.36)</w:t>
            </w:r>
          </w:p>
        </w:tc>
      </w:tr>
      <w:tr w:rsidR="000F5C69" w14:paraId="73908992" w14:textId="77777777" w:rsidTr="00A4028A">
        <w:tc>
          <w:tcPr>
            <w:tcW w:w="2181" w:type="dxa"/>
            <w:vAlign w:val="center"/>
          </w:tcPr>
          <w:p w14:paraId="3584DFCF" w14:textId="77777777" w:rsidR="000F5C69" w:rsidRDefault="000F5C69" w:rsidP="00A4028A">
            <w:pPr>
              <w:pStyle w:val="TableText"/>
            </w:pPr>
            <w:r>
              <w:t>Discontinuation due to AE</w:t>
            </w:r>
          </w:p>
        </w:tc>
        <w:tc>
          <w:tcPr>
            <w:tcW w:w="1009" w:type="dxa"/>
            <w:vAlign w:val="center"/>
          </w:tcPr>
          <w:p w14:paraId="458AE124" w14:textId="77777777" w:rsidR="000F5C69" w:rsidRDefault="000F5C69" w:rsidP="00A4028A">
            <w:pPr>
              <w:pStyle w:val="TableText"/>
              <w:jc w:val="center"/>
            </w:pPr>
            <w:r>
              <w:t>51 (11.5)</w:t>
            </w:r>
          </w:p>
        </w:tc>
        <w:tc>
          <w:tcPr>
            <w:tcW w:w="982" w:type="dxa"/>
            <w:vAlign w:val="center"/>
          </w:tcPr>
          <w:p w14:paraId="7BEBECDA" w14:textId="77777777" w:rsidR="000F5C69" w:rsidRDefault="000F5C69" w:rsidP="00A4028A">
            <w:pPr>
              <w:pStyle w:val="TableText"/>
              <w:jc w:val="center"/>
            </w:pPr>
            <w:r>
              <w:t>45 (10.1)</w:t>
            </w:r>
          </w:p>
        </w:tc>
        <w:tc>
          <w:tcPr>
            <w:tcW w:w="1635" w:type="dxa"/>
            <w:vAlign w:val="center"/>
          </w:tcPr>
          <w:p w14:paraId="24EA720A" w14:textId="77777777" w:rsidR="000F5C69" w:rsidRDefault="000F5C69" w:rsidP="00A4028A">
            <w:pPr>
              <w:pStyle w:val="TableText"/>
              <w:jc w:val="center"/>
            </w:pPr>
            <w:r>
              <w:t>NR</w:t>
            </w:r>
          </w:p>
        </w:tc>
        <w:tc>
          <w:tcPr>
            <w:tcW w:w="921" w:type="dxa"/>
            <w:vAlign w:val="center"/>
          </w:tcPr>
          <w:p w14:paraId="5125B370" w14:textId="77777777" w:rsidR="000F5C69" w:rsidRDefault="000F5C69" w:rsidP="00A4028A">
            <w:pPr>
              <w:pStyle w:val="TableText"/>
              <w:jc w:val="center"/>
            </w:pPr>
            <w:r>
              <w:t>35 (7.1)</w:t>
            </w:r>
          </w:p>
        </w:tc>
        <w:tc>
          <w:tcPr>
            <w:tcW w:w="922" w:type="dxa"/>
            <w:vAlign w:val="center"/>
          </w:tcPr>
          <w:p w14:paraId="2E61A64E" w14:textId="77777777" w:rsidR="000F5C69" w:rsidRDefault="000F5C69" w:rsidP="00A4028A">
            <w:pPr>
              <w:pStyle w:val="TableText"/>
              <w:jc w:val="center"/>
            </w:pPr>
            <w:r>
              <w:t>28 (5.6)</w:t>
            </w:r>
          </w:p>
        </w:tc>
        <w:tc>
          <w:tcPr>
            <w:tcW w:w="1366" w:type="dxa"/>
            <w:vAlign w:val="center"/>
          </w:tcPr>
          <w:p w14:paraId="7335D746" w14:textId="77777777" w:rsidR="000F5C69" w:rsidRDefault="000F5C69" w:rsidP="00A4028A">
            <w:pPr>
              <w:pStyle w:val="TableText"/>
              <w:jc w:val="center"/>
            </w:pPr>
            <w:r>
              <w:t>1.25 (0.77, 2.03)</w:t>
            </w:r>
          </w:p>
        </w:tc>
      </w:tr>
      <w:tr w:rsidR="000F5C69" w14:paraId="3B591EF2" w14:textId="77777777" w:rsidTr="00A4028A">
        <w:tc>
          <w:tcPr>
            <w:tcW w:w="2181" w:type="dxa"/>
            <w:vAlign w:val="center"/>
          </w:tcPr>
          <w:p w14:paraId="0AFA8AAC" w14:textId="77777777" w:rsidR="000F5C69" w:rsidRDefault="000F5C69" w:rsidP="00A4028A">
            <w:pPr>
              <w:pStyle w:val="TableText"/>
            </w:pPr>
            <w:r>
              <w:t>Discontinuation due to SAE</w:t>
            </w:r>
          </w:p>
        </w:tc>
        <w:tc>
          <w:tcPr>
            <w:tcW w:w="1009" w:type="dxa"/>
            <w:vAlign w:val="center"/>
          </w:tcPr>
          <w:p w14:paraId="48A699DD" w14:textId="77777777" w:rsidR="000F5C69" w:rsidRDefault="000F5C69" w:rsidP="00A4028A">
            <w:pPr>
              <w:pStyle w:val="TableText"/>
              <w:jc w:val="center"/>
            </w:pPr>
            <w:r>
              <w:t>NR</w:t>
            </w:r>
          </w:p>
        </w:tc>
        <w:tc>
          <w:tcPr>
            <w:tcW w:w="982" w:type="dxa"/>
            <w:vAlign w:val="center"/>
          </w:tcPr>
          <w:p w14:paraId="3A6981A9" w14:textId="77777777" w:rsidR="000F5C69" w:rsidRDefault="000F5C69" w:rsidP="00A4028A">
            <w:pPr>
              <w:pStyle w:val="TableText"/>
              <w:jc w:val="center"/>
            </w:pPr>
            <w:r>
              <w:t>NR</w:t>
            </w:r>
          </w:p>
        </w:tc>
        <w:tc>
          <w:tcPr>
            <w:tcW w:w="1635" w:type="dxa"/>
            <w:vAlign w:val="center"/>
          </w:tcPr>
          <w:p w14:paraId="7CA00A15" w14:textId="77777777" w:rsidR="000F5C69" w:rsidRDefault="000F5C69" w:rsidP="00A4028A">
            <w:pPr>
              <w:pStyle w:val="TableText"/>
              <w:jc w:val="center"/>
            </w:pPr>
            <w:r>
              <w:t>NR</w:t>
            </w:r>
          </w:p>
        </w:tc>
        <w:tc>
          <w:tcPr>
            <w:tcW w:w="921" w:type="dxa"/>
            <w:vAlign w:val="center"/>
          </w:tcPr>
          <w:p w14:paraId="22AFB1BB" w14:textId="77777777" w:rsidR="000F5C69" w:rsidRDefault="000F5C69" w:rsidP="00A4028A">
            <w:pPr>
              <w:pStyle w:val="TableText"/>
              <w:jc w:val="center"/>
            </w:pPr>
            <w:r>
              <w:t>17 (3.4)</w:t>
            </w:r>
          </w:p>
        </w:tc>
        <w:tc>
          <w:tcPr>
            <w:tcW w:w="922" w:type="dxa"/>
            <w:vAlign w:val="center"/>
          </w:tcPr>
          <w:p w14:paraId="49420E34" w14:textId="77777777" w:rsidR="000F5C69" w:rsidRDefault="000F5C69" w:rsidP="00A4028A">
            <w:pPr>
              <w:pStyle w:val="TableText"/>
              <w:jc w:val="center"/>
            </w:pPr>
            <w:r>
              <w:t>14 (2.8)</w:t>
            </w:r>
          </w:p>
        </w:tc>
        <w:tc>
          <w:tcPr>
            <w:tcW w:w="1366" w:type="dxa"/>
            <w:vAlign w:val="center"/>
          </w:tcPr>
          <w:p w14:paraId="0627AE5F" w14:textId="77777777" w:rsidR="000F5C69" w:rsidRDefault="000F5C69" w:rsidP="00A4028A">
            <w:pPr>
              <w:pStyle w:val="TableText"/>
              <w:jc w:val="center"/>
            </w:pPr>
            <w:r>
              <w:t>1.22 (0.61, 2.44)</w:t>
            </w:r>
          </w:p>
        </w:tc>
      </w:tr>
      <w:tr w:rsidR="000F5C69" w14:paraId="0AC747CD" w14:textId="77777777" w:rsidTr="00A4028A">
        <w:tc>
          <w:tcPr>
            <w:tcW w:w="9016" w:type="dxa"/>
            <w:gridSpan w:val="7"/>
            <w:vAlign w:val="center"/>
          </w:tcPr>
          <w:p w14:paraId="6504F8BD" w14:textId="77777777" w:rsidR="000F5C69" w:rsidRPr="00F007DF" w:rsidRDefault="000F5C69" w:rsidP="00A4028A">
            <w:pPr>
              <w:pStyle w:val="TableText"/>
              <w:rPr>
                <w:b/>
              </w:rPr>
            </w:pPr>
            <w:r w:rsidRPr="00F007DF">
              <w:rPr>
                <w:b/>
              </w:rPr>
              <w:t>Treatment-emergent adverse events (&gt;5% of patients in either treatment group):</w:t>
            </w:r>
          </w:p>
        </w:tc>
      </w:tr>
      <w:tr w:rsidR="000F5C69" w14:paraId="57A05807" w14:textId="77777777" w:rsidTr="00A4028A">
        <w:tc>
          <w:tcPr>
            <w:tcW w:w="2181" w:type="dxa"/>
            <w:vAlign w:val="center"/>
          </w:tcPr>
          <w:p w14:paraId="1A1A2E7C" w14:textId="77777777" w:rsidR="000F5C69" w:rsidRDefault="000F5C69" w:rsidP="00A4028A">
            <w:pPr>
              <w:pStyle w:val="TableText"/>
            </w:pPr>
            <w:r>
              <w:t>Acute kidney injury</w:t>
            </w:r>
          </w:p>
        </w:tc>
        <w:tc>
          <w:tcPr>
            <w:tcW w:w="1009" w:type="dxa"/>
            <w:vAlign w:val="center"/>
          </w:tcPr>
          <w:p w14:paraId="7976088F" w14:textId="77777777" w:rsidR="000F5C69" w:rsidRPr="00B1011F" w:rsidRDefault="000F5C69" w:rsidP="00A4028A">
            <w:pPr>
              <w:pStyle w:val="TableText"/>
              <w:jc w:val="center"/>
            </w:pPr>
            <w:r>
              <w:t>36 (8.2)</w:t>
            </w:r>
          </w:p>
        </w:tc>
        <w:tc>
          <w:tcPr>
            <w:tcW w:w="982" w:type="dxa"/>
            <w:vAlign w:val="center"/>
          </w:tcPr>
          <w:p w14:paraId="40335B06" w14:textId="77777777" w:rsidR="000F5C69" w:rsidRPr="00B1011F" w:rsidRDefault="000F5C69" w:rsidP="00A4028A">
            <w:pPr>
              <w:pStyle w:val="TableText"/>
              <w:jc w:val="center"/>
            </w:pPr>
            <w:r>
              <w:t>37 (8.5)</w:t>
            </w:r>
          </w:p>
        </w:tc>
        <w:tc>
          <w:tcPr>
            <w:tcW w:w="1635" w:type="dxa"/>
            <w:vAlign w:val="center"/>
          </w:tcPr>
          <w:p w14:paraId="0D37BF70" w14:textId="77777777" w:rsidR="000F5C69" w:rsidRDefault="000F5C69" w:rsidP="00A4028A">
            <w:pPr>
              <w:pStyle w:val="TableText"/>
              <w:jc w:val="center"/>
            </w:pPr>
            <w:r>
              <w:t>NR</w:t>
            </w:r>
          </w:p>
        </w:tc>
        <w:tc>
          <w:tcPr>
            <w:tcW w:w="921" w:type="dxa"/>
          </w:tcPr>
          <w:p w14:paraId="2EB7DF64" w14:textId="77777777" w:rsidR="000F5C69" w:rsidRDefault="000F5C69" w:rsidP="00A4028A">
            <w:pPr>
              <w:pStyle w:val="TableText"/>
              <w:jc w:val="center"/>
            </w:pPr>
            <w:r>
              <w:t>NR</w:t>
            </w:r>
          </w:p>
        </w:tc>
        <w:tc>
          <w:tcPr>
            <w:tcW w:w="922" w:type="dxa"/>
          </w:tcPr>
          <w:p w14:paraId="5F01BF8A" w14:textId="77777777" w:rsidR="000F5C69" w:rsidRDefault="000F5C69" w:rsidP="00A4028A">
            <w:pPr>
              <w:pStyle w:val="TableText"/>
              <w:jc w:val="center"/>
            </w:pPr>
            <w:r>
              <w:t>NR</w:t>
            </w:r>
          </w:p>
        </w:tc>
        <w:tc>
          <w:tcPr>
            <w:tcW w:w="1366" w:type="dxa"/>
            <w:vAlign w:val="center"/>
          </w:tcPr>
          <w:p w14:paraId="611E0485" w14:textId="77777777" w:rsidR="000F5C69" w:rsidRDefault="000F5C69" w:rsidP="00A4028A">
            <w:pPr>
              <w:pStyle w:val="TableText"/>
              <w:jc w:val="center"/>
            </w:pPr>
            <w:r>
              <w:t>NR</w:t>
            </w:r>
          </w:p>
        </w:tc>
      </w:tr>
      <w:tr w:rsidR="000F5C69" w14:paraId="68C49693" w14:textId="77777777" w:rsidTr="00A4028A">
        <w:tc>
          <w:tcPr>
            <w:tcW w:w="2181" w:type="dxa"/>
            <w:vAlign w:val="center"/>
          </w:tcPr>
          <w:p w14:paraId="3D5DEC18" w14:textId="77777777" w:rsidR="000F5C69" w:rsidRDefault="000F5C69" w:rsidP="00A4028A">
            <w:pPr>
              <w:pStyle w:val="TableText"/>
            </w:pPr>
            <w:r>
              <w:t>Blood creatinine increased</w:t>
            </w:r>
          </w:p>
        </w:tc>
        <w:tc>
          <w:tcPr>
            <w:tcW w:w="1009" w:type="dxa"/>
            <w:vAlign w:val="center"/>
          </w:tcPr>
          <w:p w14:paraId="57372F9B" w14:textId="77777777" w:rsidR="000F5C69" w:rsidRPr="00B1011F" w:rsidRDefault="000F5C69" w:rsidP="00A4028A">
            <w:pPr>
              <w:pStyle w:val="TableText"/>
              <w:jc w:val="center"/>
            </w:pPr>
            <w:r>
              <w:t>31 (7.1)</w:t>
            </w:r>
          </w:p>
        </w:tc>
        <w:tc>
          <w:tcPr>
            <w:tcW w:w="982" w:type="dxa"/>
            <w:vAlign w:val="center"/>
          </w:tcPr>
          <w:p w14:paraId="7B2A33CF" w14:textId="77777777" w:rsidR="000F5C69" w:rsidRPr="00B1011F" w:rsidRDefault="000F5C69" w:rsidP="000F5C69">
            <w:pPr>
              <w:pStyle w:val="TableText"/>
              <w:jc w:val="center"/>
            </w:pPr>
            <w:r>
              <w:t>19 (4.4)</w:t>
            </w:r>
          </w:p>
        </w:tc>
        <w:tc>
          <w:tcPr>
            <w:tcW w:w="1635" w:type="dxa"/>
            <w:vAlign w:val="center"/>
          </w:tcPr>
          <w:p w14:paraId="1D12789F" w14:textId="77777777" w:rsidR="000F5C69" w:rsidRDefault="000F5C69" w:rsidP="00A4028A">
            <w:pPr>
              <w:pStyle w:val="TableText"/>
              <w:jc w:val="center"/>
            </w:pPr>
            <w:r>
              <w:t>NR</w:t>
            </w:r>
          </w:p>
        </w:tc>
        <w:tc>
          <w:tcPr>
            <w:tcW w:w="921" w:type="dxa"/>
            <w:vAlign w:val="center"/>
          </w:tcPr>
          <w:p w14:paraId="68AA3F4E" w14:textId="77777777" w:rsidR="000F5C69" w:rsidRDefault="000F5C69" w:rsidP="00A4028A">
            <w:pPr>
              <w:pStyle w:val="TableText"/>
              <w:jc w:val="center"/>
            </w:pPr>
            <w:r>
              <w:t>17 (3.4)</w:t>
            </w:r>
          </w:p>
        </w:tc>
        <w:tc>
          <w:tcPr>
            <w:tcW w:w="922" w:type="dxa"/>
            <w:vAlign w:val="center"/>
          </w:tcPr>
          <w:p w14:paraId="664B817A" w14:textId="77777777" w:rsidR="000F5C69" w:rsidRDefault="000F5C69" w:rsidP="00A4028A">
            <w:pPr>
              <w:pStyle w:val="TableText"/>
              <w:jc w:val="center"/>
            </w:pPr>
            <w:r>
              <w:t>12 (2.4)</w:t>
            </w:r>
          </w:p>
        </w:tc>
        <w:tc>
          <w:tcPr>
            <w:tcW w:w="1366" w:type="dxa"/>
            <w:vAlign w:val="center"/>
          </w:tcPr>
          <w:p w14:paraId="79B325F8" w14:textId="77777777" w:rsidR="000F5C69" w:rsidRDefault="000F5C69" w:rsidP="00A4028A">
            <w:pPr>
              <w:pStyle w:val="TableText"/>
              <w:jc w:val="center"/>
            </w:pPr>
            <w:r>
              <w:t>1.42 (0.69, 2.94)</w:t>
            </w:r>
          </w:p>
        </w:tc>
      </w:tr>
      <w:tr w:rsidR="000F5C69" w14:paraId="6DE8D953" w14:textId="77777777" w:rsidTr="00A4028A">
        <w:tc>
          <w:tcPr>
            <w:tcW w:w="2181" w:type="dxa"/>
            <w:vAlign w:val="center"/>
          </w:tcPr>
          <w:p w14:paraId="58D16C6D" w14:textId="77777777" w:rsidR="000F5C69" w:rsidRDefault="000F5C69" w:rsidP="00A4028A">
            <w:pPr>
              <w:pStyle w:val="TableText"/>
            </w:pPr>
            <w:r>
              <w:t>Renal impairment</w:t>
            </w:r>
          </w:p>
        </w:tc>
        <w:tc>
          <w:tcPr>
            <w:tcW w:w="1009" w:type="dxa"/>
            <w:vAlign w:val="center"/>
          </w:tcPr>
          <w:p w14:paraId="7539886E" w14:textId="77777777" w:rsidR="000F5C69" w:rsidRDefault="000F5C69" w:rsidP="00A4028A">
            <w:pPr>
              <w:pStyle w:val="TableText"/>
              <w:jc w:val="center"/>
            </w:pPr>
            <w:r>
              <w:t>NR</w:t>
            </w:r>
          </w:p>
        </w:tc>
        <w:tc>
          <w:tcPr>
            <w:tcW w:w="982" w:type="dxa"/>
            <w:vAlign w:val="center"/>
          </w:tcPr>
          <w:p w14:paraId="3B33E750" w14:textId="77777777" w:rsidR="000F5C69" w:rsidRDefault="000F5C69" w:rsidP="00A4028A">
            <w:pPr>
              <w:pStyle w:val="TableText"/>
              <w:jc w:val="center"/>
            </w:pPr>
            <w:r>
              <w:t>NR</w:t>
            </w:r>
          </w:p>
        </w:tc>
        <w:tc>
          <w:tcPr>
            <w:tcW w:w="1635" w:type="dxa"/>
            <w:vAlign w:val="center"/>
          </w:tcPr>
          <w:p w14:paraId="513DAB92" w14:textId="77777777" w:rsidR="000F5C69" w:rsidRDefault="000F5C69" w:rsidP="00A4028A">
            <w:pPr>
              <w:pStyle w:val="TableText"/>
              <w:jc w:val="center"/>
            </w:pPr>
            <w:r>
              <w:t>NR</w:t>
            </w:r>
          </w:p>
        </w:tc>
        <w:tc>
          <w:tcPr>
            <w:tcW w:w="921" w:type="dxa"/>
            <w:vAlign w:val="center"/>
          </w:tcPr>
          <w:p w14:paraId="45EBF321" w14:textId="77777777" w:rsidR="000F5C69" w:rsidRDefault="000F5C69" w:rsidP="00A4028A">
            <w:pPr>
              <w:pStyle w:val="TableText"/>
              <w:jc w:val="center"/>
            </w:pPr>
            <w:r>
              <w:t>25 (5.1)</w:t>
            </w:r>
          </w:p>
        </w:tc>
        <w:tc>
          <w:tcPr>
            <w:tcW w:w="922" w:type="dxa"/>
            <w:vAlign w:val="center"/>
          </w:tcPr>
          <w:p w14:paraId="07DB12D5" w14:textId="77777777" w:rsidR="000F5C69" w:rsidRDefault="000F5C69" w:rsidP="00A4028A">
            <w:pPr>
              <w:pStyle w:val="TableText"/>
              <w:jc w:val="center"/>
            </w:pPr>
            <w:r>
              <w:t>16 (3.2)</w:t>
            </w:r>
          </w:p>
        </w:tc>
        <w:tc>
          <w:tcPr>
            <w:tcW w:w="1366" w:type="dxa"/>
            <w:vAlign w:val="center"/>
          </w:tcPr>
          <w:p w14:paraId="7A6E20AF" w14:textId="77777777" w:rsidR="000F5C69" w:rsidRDefault="000F5C69" w:rsidP="00A4028A">
            <w:pPr>
              <w:pStyle w:val="TableText"/>
              <w:jc w:val="center"/>
            </w:pPr>
            <w:r>
              <w:t>1.57 (0.85, 2.90)</w:t>
            </w:r>
          </w:p>
        </w:tc>
      </w:tr>
      <w:tr w:rsidR="000F5C69" w14:paraId="0861B856" w14:textId="77777777" w:rsidTr="00A4028A">
        <w:tc>
          <w:tcPr>
            <w:tcW w:w="2181" w:type="dxa"/>
            <w:vAlign w:val="center"/>
          </w:tcPr>
          <w:p w14:paraId="18E639D2" w14:textId="77777777" w:rsidR="000F5C69" w:rsidRDefault="000F5C69" w:rsidP="00A4028A">
            <w:pPr>
              <w:pStyle w:val="TableText"/>
            </w:pPr>
            <w:r>
              <w:t>Cardiac failure congestive</w:t>
            </w:r>
          </w:p>
        </w:tc>
        <w:tc>
          <w:tcPr>
            <w:tcW w:w="1009" w:type="dxa"/>
            <w:vAlign w:val="center"/>
          </w:tcPr>
          <w:p w14:paraId="5344D9B8" w14:textId="77777777" w:rsidR="000F5C69" w:rsidRPr="00B1011F" w:rsidRDefault="000F5C69" w:rsidP="00A4028A">
            <w:pPr>
              <w:pStyle w:val="TableText"/>
              <w:jc w:val="center"/>
            </w:pPr>
            <w:r>
              <w:t>22 (5.0)</w:t>
            </w:r>
          </w:p>
        </w:tc>
        <w:tc>
          <w:tcPr>
            <w:tcW w:w="982" w:type="dxa"/>
            <w:vAlign w:val="center"/>
          </w:tcPr>
          <w:p w14:paraId="13615D09" w14:textId="77777777" w:rsidR="000F5C69" w:rsidRPr="00B1011F" w:rsidRDefault="000F5C69" w:rsidP="00A4028A">
            <w:pPr>
              <w:pStyle w:val="TableText"/>
              <w:jc w:val="center"/>
            </w:pPr>
            <w:r>
              <w:t>32 (7.3)</w:t>
            </w:r>
          </w:p>
        </w:tc>
        <w:tc>
          <w:tcPr>
            <w:tcW w:w="1635" w:type="dxa"/>
            <w:vAlign w:val="center"/>
          </w:tcPr>
          <w:p w14:paraId="193AD90B" w14:textId="77777777" w:rsidR="000F5C69" w:rsidRDefault="000F5C69" w:rsidP="00A4028A">
            <w:pPr>
              <w:pStyle w:val="TableText"/>
              <w:jc w:val="center"/>
            </w:pPr>
            <w:r>
              <w:t>NR</w:t>
            </w:r>
          </w:p>
        </w:tc>
        <w:tc>
          <w:tcPr>
            <w:tcW w:w="921" w:type="dxa"/>
            <w:vAlign w:val="center"/>
          </w:tcPr>
          <w:p w14:paraId="01A54C5F" w14:textId="77777777" w:rsidR="000F5C69" w:rsidRDefault="000F5C69" w:rsidP="00A4028A">
            <w:pPr>
              <w:pStyle w:val="TableText"/>
              <w:jc w:val="center"/>
            </w:pPr>
            <w:r>
              <w:t>35 (7.1)</w:t>
            </w:r>
          </w:p>
        </w:tc>
        <w:tc>
          <w:tcPr>
            <w:tcW w:w="922" w:type="dxa"/>
            <w:vAlign w:val="center"/>
          </w:tcPr>
          <w:p w14:paraId="3D6F9607" w14:textId="77777777" w:rsidR="000F5C69" w:rsidRDefault="000F5C69" w:rsidP="00A4028A">
            <w:pPr>
              <w:pStyle w:val="TableText"/>
              <w:jc w:val="center"/>
            </w:pPr>
            <w:r>
              <w:t>42 (8.5)</w:t>
            </w:r>
          </w:p>
        </w:tc>
        <w:tc>
          <w:tcPr>
            <w:tcW w:w="1366" w:type="dxa"/>
            <w:vAlign w:val="center"/>
          </w:tcPr>
          <w:p w14:paraId="7CDB6940" w14:textId="77777777" w:rsidR="000F5C69" w:rsidRDefault="000F5C69" w:rsidP="00A4028A">
            <w:pPr>
              <w:pStyle w:val="TableText"/>
              <w:jc w:val="center"/>
            </w:pPr>
            <w:r>
              <w:t>0.84 (0.54, 1.28)</w:t>
            </w:r>
          </w:p>
        </w:tc>
      </w:tr>
      <w:tr w:rsidR="000F5C69" w14:paraId="7EE2CA7E" w14:textId="77777777" w:rsidTr="00A4028A">
        <w:tc>
          <w:tcPr>
            <w:tcW w:w="2181" w:type="dxa"/>
            <w:vAlign w:val="center"/>
          </w:tcPr>
          <w:p w14:paraId="27E966ED" w14:textId="77777777" w:rsidR="000F5C69" w:rsidRDefault="000F5C69" w:rsidP="00A4028A">
            <w:pPr>
              <w:pStyle w:val="TableText"/>
            </w:pPr>
            <w:r>
              <w:t>Dizziness</w:t>
            </w:r>
          </w:p>
        </w:tc>
        <w:tc>
          <w:tcPr>
            <w:tcW w:w="1009" w:type="dxa"/>
            <w:vAlign w:val="center"/>
          </w:tcPr>
          <w:p w14:paraId="401E67F7" w14:textId="77777777" w:rsidR="000F5C69" w:rsidRPr="00B1011F" w:rsidRDefault="000F5C69" w:rsidP="00A4028A">
            <w:pPr>
              <w:pStyle w:val="TableText"/>
              <w:jc w:val="center"/>
            </w:pPr>
            <w:r>
              <w:t>39 (8.9)</w:t>
            </w:r>
          </w:p>
        </w:tc>
        <w:tc>
          <w:tcPr>
            <w:tcW w:w="982" w:type="dxa"/>
            <w:vAlign w:val="center"/>
          </w:tcPr>
          <w:p w14:paraId="69874EB6" w14:textId="77777777" w:rsidR="000F5C69" w:rsidRPr="00B1011F" w:rsidRDefault="000F5C69" w:rsidP="00A4028A">
            <w:pPr>
              <w:pStyle w:val="TableText"/>
              <w:jc w:val="center"/>
            </w:pPr>
            <w:r>
              <w:t>33 (7.6)</w:t>
            </w:r>
          </w:p>
        </w:tc>
        <w:tc>
          <w:tcPr>
            <w:tcW w:w="1635" w:type="dxa"/>
            <w:vAlign w:val="center"/>
          </w:tcPr>
          <w:p w14:paraId="06E3901C" w14:textId="77777777" w:rsidR="000F5C69" w:rsidRDefault="000F5C69" w:rsidP="00A4028A">
            <w:pPr>
              <w:pStyle w:val="TableText"/>
              <w:jc w:val="center"/>
            </w:pPr>
            <w:r>
              <w:t>NR</w:t>
            </w:r>
          </w:p>
        </w:tc>
        <w:tc>
          <w:tcPr>
            <w:tcW w:w="921" w:type="dxa"/>
            <w:vAlign w:val="center"/>
          </w:tcPr>
          <w:p w14:paraId="631C3C8A" w14:textId="77777777" w:rsidR="000F5C69" w:rsidRDefault="000F5C69" w:rsidP="00A4028A">
            <w:pPr>
              <w:pStyle w:val="TableText"/>
              <w:jc w:val="center"/>
            </w:pPr>
            <w:r>
              <w:t>28 (5.7)</w:t>
            </w:r>
          </w:p>
        </w:tc>
        <w:tc>
          <w:tcPr>
            <w:tcW w:w="922" w:type="dxa"/>
            <w:vAlign w:val="center"/>
          </w:tcPr>
          <w:p w14:paraId="4D4B6714" w14:textId="77777777" w:rsidR="000F5C69" w:rsidRDefault="000F5C69" w:rsidP="00A4028A">
            <w:pPr>
              <w:pStyle w:val="TableText"/>
              <w:jc w:val="center"/>
            </w:pPr>
            <w:r>
              <w:t>21 (4.2)</w:t>
            </w:r>
          </w:p>
        </w:tc>
        <w:tc>
          <w:tcPr>
            <w:tcW w:w="1366" w:type="dxa"/>
            <w:vAlign w:val="center"/>
          </w:tcPr>
          <w:p w14:paraId="60BE4826" w14:textId="77777777" w:rsidR="000F5C69" w:rsidRDefault="000F5C69" w:rsidP="00A4028A">
            <w:pPr>
              <w:pStyle w:val="TableText"/>
              <w:jc w:val="center"/>
            </w:pPr>
            <w:r>
              <w:t>1.34 (0.77, 2.32)</w:t>
            </w:r>
          </w:p>
        </w:tc>
      </w:tr>
      <w:tr w:rsidR="000F5C69" w14:paraId="024B6A94" w14:textId="77777777" w:rsidTr="00A4028A">
        <w:tc>
          <w:tcPr>
            <w:tcW w:w="2181" w:type="dxa"/>
            <w:vAlign w:val="center"/>
          </w:tcPr>
          <w:p w14:paraId="5D7F4B2B" w14:textId="77777777" w:rsidR="000F5C69" w:rsidRDefault="000F5C69" w:rsidP="00A4028A">
            <w:pPr>
              <w:pStyle w:val="TableText"/>
            </w:pPr>
            <w:r>
              <w:t>Hyperkalaemia</w:t>
            </w:r>
          </w:p>
        </w:tc>
        <w:tc>
          <w:tcPr>
            <w:tcW w:w="1009" w:type="dxa"/>
            <w:vAlign w:val="center"/>
          </w:tcPr>
          <w:p w14:paraId="77739326" w14:textId="77777777" w:rsidR="000F5C69" w:rsidRPr="00B1011F" w:rsidRDefault="000F5C69" w:rsidP="00A4028A">
            <w:pPr>
              <w:pStyle w:val="TableText"/>
              <w:jc w:val="center"/>
            </w:pPr>
            <w:r>
              <w:t>55 (12.5)</w:t>
            </w:r>
          </w:p>
        </w:tc>
        <w:tc>
          <w:tcPr>
            <w:tcW w:w="982" w:type="dxa"/>
            <w:vAlign w:val="center"/>
          </w:tcPr>
          <w:p w14:paraId="27E1138A" w14:textId="77777777" w:rsidR="000F5C69" w:rsidRPr="00B1011F" w:rsidRDefault="000F5C69" w:rsidP="00A4028A">
            <w:pPr>
              <w:pStyle w:val="TableText"/>
              <w:jc w:val="center"/>
            </w:pPr>
            <w:r>
              <w:t>40 (9.2)</w:t>
            </w:r>
          </w:p>
        </w:tc>
        <w:tc>
          <w:tcPr>
            <w:tcW w:w="1635" w:type="dxa"/>
            <w:vAlign w:val="center"/>
          </w:tcPr>
          <w:p w14:paraId="00B75CFE" w14:textId="77777777" w:rsidR="000F5C69" w:rsidRDefault="000F5C69" w:rsidP="00A4028A">
            <w:pPr>
              <w:pStyle w:val="TableText"/>
              <w:jc w:val="center"/>
            </w:pPr>
            <w:r>
              <w:t>NR</w:t>
            </w:r>
          </w:p>
        </w:tc>
        <w:tc>
          <w:tcPr>
            <w:tcW w:w="921" w:type="dxa"/>
            <w:vAlign w:val="center"/>
          </w:tcPr>
          <w:p w14:paraId="1577372C" w14:textId="77777777" w:rsidR="000F5C69" w:rsidRDefault="000F5C69" w:rsidP="00A4028A">
            <w:pPr>
              <w:pStyle w:val="TableText"/>
              <w:jc w:val="center"/>
            </w:pPr>
            <w:r>
              <w:t>56 (11.3)</w:t>
            </w:r>
          </w:p>
        </w:tc>
        <w:tc>
          <w:tcPr>
            <w:tcW w:w="922" w:type="dxa"/>
            <w:vAlign w:val="center"/>
          </w:tcPr>
          <w:p w14:paraId="198C3D9F" w14:textId="77777777" w:rsidR="000F5C69" w:rsidRDefault="000F5C69" w:rsidP="00A4028A">
            <w:pPr>
              <w:pStyle w:val="TableText"/>
              <w:jc w:val="center"/>
            </w:pPr>
            <w:r>
              <w:t>56 (11.3)</w:t>
            </w:r>
          </w:p>
        </w:tc>
        <w:tc>
          <w:tcPr>
            <w:tcW w:w="1366" w:type="dxa"/>
            <w:vAlign w:val="center"/>
          </w:tcPr>
          <w:p w14:paraId="3424C94D" w14:textId="77777777" w:rsidR="000F5C69" w:rsidRDefault="000F5C69" w:rsidP="00A4028A">
            <w:pPr>
              <w:pStyle w:val="TableText"/>
              <w:jc w:val="center"/>
            </w:pPr>
            <w:r>
              <w:t>1.00 (0.71, 1.42)</w:t>
            </w:r>
          </w:p>
        </w:tc>
      </w:tr>
      <w:tr w:rsidR="000F5C69" w14:paraId="5F4D15C1" w14:textId="77777777" w:rsidTr="00A4028A">
        <w:tc>
          <w:tcPr>
            <w:tcW w:w="2181" w:type="dxa"/>
            <w:vAlign w:val="center"/>
          </w:tcPr>
          <w:p w14:paraId="22445233" w14:textId="77777777" w:rsidR="000F5C69" w:rsidRDefault="000F5C69" w:rsidP="00A4028A">
            <w:pPr>
              <w:pStyle w:val="TableText"/>
            </w:pPr>
            <w:r>
              <w:t>Hypotension</w:t>
            </w:r>
          </w:p>
        </w:tc>
        <w:tc>
          <w:tcPr>
            <w:tcW w:w="1009" w:type="dxa"/>
            <w:vAlign w:val="center"/>
          </w:tcPr>
          <w:p w14:paraId="3212209F" w14:textId="77777777" w:rsidR="000F5C69" w:rsidRDefault="000F5C69" w:rsidP="00A4028A">
            <w:pPr>
              <w:pStyle w:val="TableText"/>
              <w:jc w:val="center"/>
            </w:pPr>
            <w:r>
              <w:t>79 (18.0)</w:t>
            </w:r>
          </w:p>
        </w:tc>
        <w:tc>
          <w:tcPr>
            <w:tcW w:w="982" w:type="dxa"/>
            <w:vAlign w:val="center"/>
          </w:tcPr>
          <w:p w14:paraId="7C7A3B6D" w14:textId="77777777" w:rsidR="000F5C69" w:rsidRDefault="000F5C69" w:rsidP="00A4028A">
            <w:pPr>
              <w:pStyle w:val="TableText"/>
              <w:jc w:val="center"/>
            </w:pPr>
            <w:r>
              <w:t>79 (18.1)</w:t>
            </w:r>
          </w:p>
        </w:tc>
        <w:tc>
          <w:tcPr>
            <w:tcW w:w="1635" w:type="dxa"/>
            <w:vAlign w:val="center"/>
          </w:tcPr>
          <w:p w14:paraId="7846CDFA" w14:textId="77777777" w:rsidR="000F5C69" w:rsidRDefault="000F5C69" w:rsidP="00A4028A">
            <w:pPr>
              <w:pStyle w:val="TableText"/>
              <w:jc w:val="center"/>
            </w:pPr>
            <w:r>
              <w:t>NR</w:t>
            </w:r>
          </w:p>
        </w:tc>
        <w:tc>
          <w:tcPr>
            <w:tcW w:w="921" w:type="dxa"/>
            <w:vAlign w:val="center"/>
          </w:tcPr>
          <w:p w14:paraId="4F58DE57" w14:textId="77777777" w:rsidR="000F5C69" w:rsidRDefault="000F5C69" w:rsidP="00A4028A">
            <w:pPr>
              <w:pStyle w:val="TableText"/>
              <w:jc w:val="center"/>
            </w:pPr>
            <w:r>
              <w:t>63 (12.7)</w:t>
            </w:r>
          </w:p>
        </w:tc>
        <w:tc>
          <w:tcPr>
            <w:tcW w:w="922" w:type="dxa"/>
            <w:vAlign w:val="center"/>
          </w:tcPr>
          <w:p w14:paraId="1F568673" w14:textId="77777777" w:rsidR="000F5C69" w:rsidRDefault="000F5C69" w:rsidP="00A4028A">
            <w:pPr>
              <w:pStyle w:val="TableText"/>
              <w:jc w:val="center"/>
            </w:pPr>
            <w:r>
              <w:t>47 (9.5)</w:t>
            </w:r>
          </w:p>
        </w:tc>
        <w:tc>
          <w:tcPr>
            <w:tcW w:w="1366" w:type="dxa"/>
            <w:vAlign w:val="center"/>
          </w:tcPr>
          <w:p w14:paraId="5570B142" w14:textId="77777777" w:rsidR="000F5C69" w:rsidRDefault="000F5C69" w:rsidP="00A4028A">
            <w:pPr>
              <w:pStyle w:val="TableText"/>
              <w:jc w:val="center"/>
            </w:pPr>
            <w:r>
              <w:t>1.34 (0.94, 1.92)</w:t>
            </w:r>
          </w:p>
        </w:tc>
      </w:tr>
      <w:tr w:rsidR="000F5C69" w14:paraId="1565BC03" w14:textId="77777777" w:rsidTr="00A4028A">
        <w:tc>
          <w:tcPr>
            <w:tcW w:w="9016" w:type="dxa"/>
            <w:gridSpan w:val="7"/>
            <w:vAlign w:val="center"/>
          </w:tcPr>
          <w:p w14:paraId="2B4872B8" w14:textId="77777777" w:rsidR="000F5C69" w:rsidRPr="00F007DF" w:rsidRDefault="000F5C69" w:rsidP="00A4028A">
            <w:pPr>
              <w:pStyle w:val="TableText"/>
              <w:rPr>
                <w:b/>
              </w:rPr>
            </w:pPr>
            <w:r w:rsidRPr="00F007DF">
              <w:rPr>
                <w:b/>
              </w:rPr>
              <w:t>Key safety outcomes</w:t>
            </w:r>
            <w:r>
              <w:rPr>
                <w:b/>
              </w:rPr>
              <w:t>, PIONEER-HF trial</w:t>
            </w:r>
            <w:r w:rsidRPr="00F007DF">
              <w:rPr>
                <w:b/>
              </w:rPr>
              <w:t>:</w:t>
            </w:r>
          </w:p>
        </w:tc>
      </w:tr>
      <w:tr w:rsidR="000F5C69" w14:paraId="588F48A0" w14:textId="77777777" w:rsidTr="00A4028A">
        <w:tc>
          <w:tcPr>
            <w:tcW w:w="2181" w:type="dxa"/>
            <w:vAlign w:val="center"/>
          </w:tcPr>
          <w:p w14:paraId="7AEA7748" w14:textId="77777777" w:rsidR="000F5C69" w:rsidRPr="00F007DF" w:rsidRDefault="000F5C69" w:rsidP="00A4028A">
            <w:pPr>
              <w:pStyle w:val="TableText"/>
              <w:rPr>
                <w:vertAlign w:val="superscript"/>
              </w:rPr>
            </w:pPr>
            <w:r>
              <w:t xml:space="preserve">Worsening renal function </w:t>
            </w:r>
            <w:r>
              <w:rPr>
                <w:vertAlign w:val="superscript"/>
              </w:rPr>
              <w:t>a</w:t>
            </w:r>
          </w:p>
        </w:tc>
        <w:tc>
          <w:tcPr>
            <w:tcW w:w="1009" w:type="dxa"/>
            <w:vAlign w:val="center"/>
          </w:tcPr>
          <w:p w14:paraId="0FEF0E34" w14:textId="77777777" w:rsidR="000F5C69" w:rsidRPr="00B1011F" w:rsidRDefault="000F5C69" w:rsidP="00A4028A">
            <w:pPr>
              <w:pStyle w:val="TableText"/>
              <w:jc w:val="center"/>
            </w:pPr>
            <w:r>
              <w:t>60 (13.6)</w:t>
            </w:r>
          </w:p>
        </w:tc>
        <w:tc>
          <w:tcPr>
            <w:tcW w:w="982" w:type="dxa"/>
            <w:vAlign w:val="center"/>
          </w:tcPr>
          <w:p w14:paraId="61009CE8" w14:textId="77777777" w:rsidR="000F5C69" w:rsidRPr="00B1011F" w:rsidRDefault="000F5C69" w:rsidP="00A4028A">
            <w:pPr>
              <w:pStyle w:val="TableText"/>
              <w:jc w:val="center"/>
            </w:pPr>
            <w:r>
              <w:t>65 (14.7)</w:t>
            </w:r>
          </w:p>
        </w:tc>
        <w:tc>
          <w:tcPr>
            <w:tcW w:w="1635" w:type="dxa"/>
            <w:vAlign w:val="center"/>
          </w:tcPr>
          <w:p w14:paraId="6F905D13" w14:textId="77777777" w:rsidR="000F5C69" w:rsidRDefault="000F5C69" w:rsidP="00A4028A">
            <w:pPr>
              <w:pStyle w:val="TableText"/>
              <w:jc w:val="center"/>
            </w:pPr>
            <w:r>
              <w:t>0.93 (0.67, 1.28)</w:t>
            </w:r>
          </w:p>
        </w:tc>
        <w:tc>
          <w:tcPr>
            <w:tcW w:w="3209" w:type="dxa"/>
            <w:gridSpan w:val="3"/>
            <w:vMerge w:val="restart"/>
            <w:vAlign w:val="center"/>
          </w:tcPr>
          <w:p w14:paraId="104F9838" w14:textId="77777777" w:rsidR="000F5C69" w:rsidRDefault="000F5C69" w:rsidP="00A4028A">
            <w:pPr>
              <w:pStyle w:val="TableText"/>
              <w:jc w:val="center"/>
            </w:pPr>
            <w:r>
              <w:t>NA</w:t>
            </w:r>
          </w:p>
        </w:tc>
      </w:tr>
      <w:tr w:rsidR="000F5C69" w14:paraId="6B0144CB" w14:textId="77777777" w:rsidTr="00A4028A">
        <w:tc>
          <w:tcPr>
            <w:tcW w:w="2181" w:type="dxa"/>
            <w:vAlign w:val="center"/>
          </w:tcPr>
          <w:p w14:paraId="0BE20961" w14:textId="77777777" w:rsidR="000F5C69" w:rsidRPr="007F17E5" w:rsidRDefault="000F5C69" w:rsidP="00A4028A">
            <w:pPr>
              <w:pStyle w:val="TableText"/>
              <w:rPr>
                <w:vertAlign w:val="superscript"/>
              </w:rPr>
            </w:pPr>
            <w:r>
              <w:t xml:space="preserve">Hyperkalaemia </w:t>
            </w:r>
            <w:r>
              <w:rPr>
                <w:vertAlign w:val="superscript"/>
              </w:rPr>
              <w:t>b</w:t>
            </w:r>
          </w:p>
        </w:tc>
        <w:tc>
          <w:tcPr>
            <w:tcW w:w="1009" w:type="dxa"/>
            <w:vAlign w:val="center"/>
          </w:tcPr>
          <w:p w14:paraId="798E8D40" w14:textId="77777777" w:rsidR="000F5C69" w:rsidRPr="00B1011F" w:rsidRDefault="000F5C69" w:rsidP="00A4028A">
            <w:pPr>
              <w:pStyle w:val="TableText"/>
              <w:jc w:val="center"/>
            </w:pPr>
            <w:r>
              <w:t>51 (11.6)</w:t>
            </w:r>
          </w:p>
        </w:tc>
        <w:tc>
          <w:tcPr>
            <w:tcW w:w="982" w:type="dxa"/>
            <w:vAlign w:val="center"/>
          </w:tcPr>
          <w:p w14:paraId="6CCDC73C" w14:textId="77777777" w:rsidR="000F5C69" w:rsidRPr="00B1011F" w:rsidRDefault="000F5C69" w:rsidP="00A4028A">
            <w:pPr>
              <w:pStyle w:val="TableText"/>
              <w:jc w:val="center"/>
            </w:pPr>
            <w:r>
              <w:t>41 (9.3)</w:t>
            </w:r>
          </w:p>
        </w:tc>
        <w:tc>
          <w:tcPr>
            <w:tcW w:w="1635" w:type="dxa"/>
            <w:vAlign w:val="center"/>
          </w:tcPr>
          <w:p w14:paraId="2D6133B9" w14:textId="77777777" w:rsidR="000F5C69" w:rsidRDefault="000F5C69" w:rsidP="00A4028A">
            <w:pPr>
              <w:pStyle w:val="TableText"/>
              <w:jc w:val="center"/>
            </w:pPr>
            <w:r>
              <w:t>1.25 (0.84, 1.84)</w:t>
            </w:r>
          </w:p>
        </w:tc>
        <w:tc>
          <w:tcPr>
            <w:tcW w:w="3209" w:type="dxa"/>
            <w:gridSpan w:val="3"/>
            <w:vMerge/>
          </w:tcPr>
          <w:p w14:paraId="0509FB7B" w14:textId="77777777" w:rsidR="000F5C69" w:rsidRDefault="000F5C69" w:rsidP="00A4028A">
            <w:pPr>
              <w:pStyle w:val="TableText"/>
              <w:jc w:val="center"/>
            </w:pPr>
          </w:p>
        </w:tc>
      </w:tr>
      <w:tr w:rsidR="000F5C69" w14:paraId="39734322" w14:textId="77777777" w:rsidTr="00A4028A">
        <w:tc>
          <w:tcPr>
            <w:tcW w:w="2181" w:type="dxa"/>
            <w:vAlign w:val="center"/>
          </w:tcPr>
          <w:p w14:paraId="2AB918E8" w14:textId="77777777" w:rsidR="000F5C69" w:rsidRDefault="000F5C69" w:rsidP="00A4028A">
            <w:pPr>
              <w:pStyle w:val="TableText"/>
            </w:pPr>
            <w:r>
              <w:t>Symptomatic hypotension</w:t>
            </w:r>
          </w:p>
        </w:tc>
        <w:tc>
          <w:tcPr>
            <w:tcW w:w="1009" w:type="dxa"/>
            <w:vAlign w:val="center"/>
          </w:tcPr>
          <w:p w14:paraId="19FD4B2F" w14:textId="77777777" w:rsidR="000F5C69" w:rsidRPr="00B1011F" w:rsidRDefault="000F5C69" w:rsidP="00A4028A">
            <w:pPr>
              <w:pStyle w:val="TableText"/>
              <w:jc w:val="center"/>
            </w:pPr>
            <w:r>
              <w:t>66 (15.0)</w:t>
            </w:r>
          </w:p>
        </w:tc>
        <w:tc>
          <w:tcPr>
            <w:tcW w:w="982" w:type="dxa"/>
            <w:vAlign w:val="center"/>
          </w:tcPr>
          <w:p w14:paraId="253A07D1" w14:textId="77777777" w:rsidR="000F5C69" w:rsidRPr="00B1011F" w:rsidRDefault="000F5C69" w:rsidP="00A4028A">
            <w:pPr>
              <w:pStyle w:val="TableText"/>
              <w:jc w:val="center"/>
            </w:pPr>
            <w:r>
              <w:t>56 (12.7)</w:t>
            </w:r>
          </w:p>
        </w:tc>
        <w:tc>
          <w:tcPr>
            <w:tcW w:w="1635" w:type="dxa"/>
            <w:vAlign w:val="center"/>
          </w:tcPr>
          <w:p w14:paraId="3E4AAA2D" w14:textId="77777777" w:rsidR="000F5C69" w:rsidRDefault="000F5C69" w:rsidP="00A4028A">
            <w:pPr>
              <w:pStyle w:val="TableText"/>
              <w:jc w:val="center"/>
            </w:pPr>
            <w:r>
              <w:t>1.18 (0.85, 1.64)</w:t>
            </w:r>
          </w:p>
        </w:tc>
        <w:tc>
          <w:tcPr>
            <w:tcW w:w="3209" w:type="dxa"/>
            <w:gridSpan w:val="3"/>
            <w:vMerge/>
          </w:tcPr>
          <w:p w14:paraId="516F649A" w14:textId="77777777" w:rsidR="000F5C69" w:rsidRDefault="000F5C69" w:rsidP="00A4028A">
            <w:pPr>
              <w:pStyle w:val="TableText"/>
              <w:jc w:val="center"/>
            </w:pPr>
          </w:p>
        </w:tc>
      </w:tr>
      <w:tr w:rsidR="000F5C69" w14:paraId="6E6A47A7" w14:textId="77777777" w:rsidTr="00A4028A">
        <w:tc>
          <w:tcPr>
            <w:tcW w:w="2181" w:type="dxa"/>
            <w:vAlign w:val="center"/>
          </w:tcPr>
          <w:p w14:paraId="15E34B5E" w14:textId="77777777" w:rsidR="000F5C69" w:rsidRDefault="000F5C69" w:rsidP="00A4028A">
            <w:pPr>
              <w:pStyle w:val="TableText"/>
            </w:pPr>
            <w:r>
              <w:t>Angioedema</w:t>
            </w:r>
          </w:p>
        </w:tc>
        <w:tc>
          <w:tcPr>
            <w:tcW w:w="1009" w:type="dxa"/>
            <w:vAlign w:val="center"/>
          </w:tcPr>
          <w:p w14:paraId="4BCF0AB9" w14:textId="77777777" w:rsidR="000F5C69" w:rsidRPr="00B1011F" w:rsidRDefault="000F5C69" w:rsidP="00A4028A">
            <w:pPr>
              <w:pStyle w:val="TableText"/>
              <w:jc w:val="center"/>
            </w:pPr>
            <w:r>
              <w:t>1 (0.2)</w:t>
            </w:r>
          </w:p>
        </w:tc>
        <w:tc>
          <w:tcPr>
            <w:tcW w:w="982" w:type="dxa"/>
            <w:vAlign w:val="center"/>
          </w:tcPr>
          <w:p w14:paraId="60DB302D" w14:textId="77777777" w:rsidR="000F5C69" w:rsidRPr="00B1011F" w:rsidRDefault="000F5C69" w:rsidP="00A4028A">
            <w:pPr>
              <w:pStyle w:val="TableText"/>
              <w:jc w:val="center"/>
            </w:pPr>
            <w:r>
              <w:t>6 (1.4)</w:t>
            </w:r>
          </w:p>
        </w:tc>
        <w:tc>
          <w:tcPr>
            <w:tcW w:w="1635" w:type="dxa"/>
            <w:vAlign w:val="center"/>
          </w:tcPr>
          <w:p w14:paraId="53D40770" w14:textId="77777777" w:rsidR="000F5C69" w:rsidRPr="00B1011F" w:rsidRDefault="000F5C69" w:rsidP="00A4028A">
            <w:pPr>
              <w:pStyle w:val="TableText"/>
              <w:jc w:val="center"/>
            </w:pPr>
            <w:r>
              <w:t>0.17 (0.02, 1.38)</w:t>
            </w:r>
          </w:p>
        </w:tc>
        <w:tc>
          <w:tcPr>
            <w:tcW w:w="3209" w:type="dxa"/>
            <w:gridSpan w:val="3"/>
            <w:vMerge/>
          </w:tcPr>
          <w:p w14:paraId="082E2C68" w14:textId="77777777" w:rsidR="000F5C69" w:rsidRDefault="000F5C69" w:rsidP="00A4028A">
            <w:pPr>
              <w:pStyle w:val="TableText"/>
              <w:jc w:val="center"/>
            </w:pPr>
          </w:p>
        </w:tc>
      </w:tr>
    </w:tbl>
    <w:p w14:paraId="7E4BC282" w14:textId="77777777" w:rsidR="000F5C69" w:rsidRPr="00B1011F" w:rsidRDefault="000F5C69" w:rsidP="000F5C69">
      <w:pPr>
        <w:pStyle w:val="TableFigureFooter"/>
        <w:rPr>
          <w:sz w:val="20"/>
        </w:rPr>
      </w:pPr>
      <w:r>
        <w:t>Source: Figure 2.6, p38 of the submission; Table S3, Velazquez 2019 publication, supplementary appendix; TRANSITION publication supplementary appendix.</w:t>
      </w:r>
    </w:p>
    <w:p w14:paraId="3B71E459" w14:textId="77777777" w:rsidR="000F5C69" w:rsidRDefault="000F5C69" w:rsidP="000F5C69">
      <w:pPr>
        <w:pStyle w:val="TableFigureFooter"/>
        <w:rPr>
          <w:rFonts w:eastAsia="Calibri"/>
        </w:rPr>
      </w:pPr>
      <w:r>
        <w:rPr>
          <w:rFonts w:eastAsia="Calibri"/>
        </w:rPr>
        <w:t xml:space="preserve">Abbreviations: AE, adverse event; </w:t>
      </w:r>
      <w:r w:rsidRPr="00B40358">
        <w:rPr>
          <w:rFonts w:eastAsia="Calibri"/>
        </w:rPr>
        <w:t>CI</w:t>
      </w:r>
      <w:r>
        <w:rPr>
          <w:rFonts w:eastAsia="Calibri"/>
        </w:rPr>
        <w:t xml:space="preserve">, </w:t>
      </w:r>
      <w:r w:rsidRPr="00B40358">
        <w:rPr>
          <w:rFonts w:eastAsia="Calibri"/>
        </w:rPr>
        <w:t xml:space="preserve">confidence interval; </w:t>
      </w:r>
      <w:r>
        <w:rPr>
          <w:rFonts w:eastAsia="Calibri"/>
        </w:rPr>
        <w:t xml:space="preserve">HR, hazard ratio; </w:t>
      </w:r>
      <w:r w:rsidRPr="00B40358">
        <w:rPr>
          <w:rFonts w:eastAsia="Calibri"/>
        </w:rPr>
        <w:t>n</w:t>
      </w:r>
      <w:r>
        <w:rPr>
          <w:rFonts w:eastAsia="Calibri"/>
        </w:rPr>
        <w:t>,</w:t>
      </w:r>
      <w:r w:rsidRPr="00B40358">
        <w:rPr>
          <w:rFonts w:eastAsia="Calibri"/>
        </w:rPr>
        <w:t xml:space="preserve"> number of participants reporting data; N</w:t>
      </w:r>
      <w:r>
        <w:rPr>
          <w:rFonts w:eastAsia="Calibri"/>
        </w:rPr>
        <w:t>,</w:t>
      </w:r>
      <w:r w:rsidRPr="00B40358">
        <w:rPr>
          <w:rFonts w:eastAsia="Calibri"/>
        </w:rPr>
        <w:t xml:space="preserve"> total participants in group</w:t>
      </w:r>
      <w:r>
        <w:rPr>
          <w:rFonts w:eastAsia="Calibri"/>
        </w:rPr>
        <w:t>; NR, not reported; RR, relative risk; SAE, serious adverse event</w:t>
      </w:r>
    </w:p>
    <w:p w14:paraId="1B51EC32" w14:textId="77777777" w:rsidR="000F5C69" w:rsidRDefault="000F5C69" w:rsidP="000F5C69">
      <w:pPr>
        <w:pStyle w:val="TableFigureFooter"/>
        <w:rPr>
          <w:rFonts w:eastAsia="Calibri"/>
        </w:rPr>
      </w:pPr>
      <w:r>
        <w:rPr>
          <w:rFonts w:eastAsia="Calibri"/>
          <w:vertAlign w:val="superscript"/>
        </w:rPr>
        <w:t>a</w:t>
      </w:r>
      <w:r>
        <w:rPr>
          <w:rFonts w:eastAsia="Calibri"/>
        </w:rPr>
        <w:t xml:space="preserve"> Worsening renal function was defined as an increase in serum creatinine concentration ≥ 0.5 mg/dL, and decrease in eGFR ≥25%.</w:t>
      </w:r>
    </w:p>
    <w:p w14:paraId="30DF070B" w14:textId="77777777" w:rsidR="000F5C69" w:rsidRDefault="000F5C69" w:rsidP="000F5C69">
      <w:pPr>
        <w:pStyle w:val="TableFigureFooter"/>
      </w:pPr>
      <w:r>
        <w:rPr>
          <w:rFonts w:eastAsia="Calibri"/>
          <w:vertAlign w:val="superscript"/>
        </w:rPr>
        <w:t>b</w:t>
      </w:r>
      <w:r>
        <w:rPr>
          <w:rFonts w:eastAsia="Calibri"/>
        </w:rPr>
        <w:t xml:space="preserve"> For the safety outcome, hyperkalaemia was defined as </w:t>
      </w:r>
      <w:r w:rsidRPr="007F17E5">
        <w:rPr>
          <w:rFonts w:eastAsia="Calibri"/>
        </w:rPr>
        <w:t xml:space="preserve">K+ </w:t>
      </w:r>
      <w:r>
        <w:rPr>
          <w:rFonts w:eastAsia="Calibri"/>
        </w:rPr>
        <w:t>&gt;</w:t>
      </w:r>
      <w:r w:rsidRPr="007F17E5">
        <w:rPr>
          <w:rFonts w:eastAsia="Calibri"/>
        </w:rPr>
        <w:t>5.5 mEq/L</w:t>
      </w:r>
    </w:p>
    <w:p w14:paraId="771DF268" w14:textId="77777777" w:rsidR="00B60939" w:rsidRPr="008B0464" w:rsidRDefault="000F5C69" w:rsidP="00E70035">
      <w:pPr>
        <w:pStyle w:val="ExecSumBodyText"/>
        <w:ind w:left="709" w:hanging="709"/>
        <w:rPr>
          <w:color w:val="0066FF"/>
        </w:rPr>
      </w:pPr>
      <w:r>
        <w:t>There were no significant differences between treatment groups for occurrence of key safety outcomes including renal insufficiency, hyperkalaemia, symptomatic hypotension or angioedema. Approximately 10% of patients in each treatment arm of PIONEER-HF discontinued treatment due to an adverse event.  In the TRANSITION trial, fewer patients discontinued treatment due to adverse events (7.1% in pre-discharge group, 5.6% in post-discharge group), and adverse event rates were relatively consistent between treatment groups. In both trials the most commonly reported adverse events were hyperkalaemia and hypotension.</w:t>
      </w:r>
    </w:p>
    <w:p w14:paraId="52E96F93" w14:textId="77777777" w:rsidR="000F5C69" w:rsidRPr="000F5C69" w:rsidRDefault="000F5C69" w:rsidP="00E70035">
      <w:pPr>
        <w:pStyle w:val="ExecSumBodyText"/>
        <w:ind w:left="709" w:hanging="709"/>
        <w:rPr>
          <w:color w:val="0066FF"/>
        </w:rPr>
      </w:pPr>
      <w:r>
        <w:t>The</w:t>
      </w:r>
      <w:r w:rsidR="005214F3">
        <w:t xml:space="preserve"> results of the retrospective cohort study (Tan 2020) found there</w:t>
      </w:r>
      <w:r>
        <w:t xml:space="preserve"> was a statistically significantly higher rate of hypotension in the sacubitril/valsartan-treated cohort compared to those treated with an ACE-inhibitor/ARB. The submission stated that this was consistent with the safety profile from the key sacubitril/valsartan clinical trial (PARADIGM-HF).</w:t>
      </w:r>
    </w:p>
    <w:p w14:paraId="606A348A" w14:textId="77777777" w:rsidR="000F5C69" w:rsidRPr="000F5C69" w:rsidRDefault="000F5C69" w:rsidP="000F5C69">
      <w:pPr>
        <w:pStyle w:val="5-SubSubSubHead"/>
      </w:pPr>
      <w:r w:rsidRPr="000F5C69">
        <w:t>Subgroup analyses to inform</w:t>
      </w:r>
      <w:r w:rsidR="00236891">
        <w:t xml:space="preserve"> safety in</w:t>
      </w:r>
      <w:r w:rsidRPr="000F5C69">
        <w:t xml:space="preserve"> ACE-inhibitor/ARB-naïve population</w:t>
      </w:r>
    </w:p>
    <w:p w14:paraId="656E7FAD" w14:textId="77777777" w:rsidR="000F5C69" w:rsidRPr="000F5C69" w:rsidRDefault="000F5C69" w:rsidP="00E70035">
      <w:pPr>
        <w:pStyle w:val="ExecSumBodyText"/>
        <w:ind w:left="709" w:hanging="709"/>
      </w:pPr>
      <w:r w:rsidRPr="000F5C69">
        <w:t>Key safety outcomes from PIONEER-HF by prior experience with ACE-inhibitors/ARBs are presented in the table below.</w:t>
      </w:r>
    </w:p>
    <w:p w14:paraId="5B24FF1D" w14:textId="77777777" w:rsidR="000F5C69" w:rsidRPr="00080909" w:rsidRDefault="000F5C69" w:rsidP="000F5C69">
      <w:pPr>
        <w:pStyle w:val="TableFigureCaption"/>
      </w:pPr>
      <w:r w:rsidRPr="00080909">
        <w:lastRenderedPageBreak/>
        <w:t xml:space="preserve">Table </w:t>
      </w:r>
      <w:r w:rsidR="00E55EFD">
        <w:t>10</w:t>
      </w:r>
      <w:r w:rsidRPr="00080909">
        <w:t>:</w:t>
      </w:r>
      <w:r>
        <w:t xml:space="preserve"> Pre-specified subgroup analysis of safety outcomes – PIONEER-HF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2"/>
        <w:gridCol w:w="992"/>
        <w:gridCol w:w="992"/>
        <w:gridCol w:w="1418"/>
        <w:gridCol w:w="1134"/>
        <w:gridCol w:w="992"/>
        <w:gridCol w:w="1366"/>
      </w:tblGrid>
      <w:tr w:rsidR="000F5C69" w:rsidRPr="00080909" w14:paraId="592D82EB" w14:textId="77777777" w:rsidTr="00A4028A">
        <w:trPr>
          <w:tblHeader/>
        </w:trPr>
        <w:tc>
          <w:tcPr>
            <w:tcW w:w="2122" w:type="dxa"/>
            <w:vMerge w:val="restart"/>
            <w:vAlign w:val="center"/>
          </w:tcPr>
          <w:p w14:paraId="355BF1A0" w14:textId="77777777" w:rsidR="000F5C69" w:rsidRDefault="000F5C69" w:rsidP="00A4028A">
            <w:pPr>
              <w:pStyle w:val="Tableheadingrow"/>
            </w:pPr>
            <w:r>
              <w:t>Outcome (n, %)</w:t>
            </w:r>
          </w:p>
        </w:tc>
        <w:tc>
          <w:tcPr>
            <w:tcW w:w="3402" w:type="dxa"/>
            <w:gridSpan w:val="3"/>
            <w:vAlign w:val="center"/>
          </w:tcPr>
          <w:p w14:paraId="235144CB" w14:textId="77777777" w:rsidR="000F5C69" w:rsidRDefault="000F5C69" w:rsidP="00A4028A">
            <w:pPr>
              <w:pStyle w:val="Tableheadingrow"/>
              <w:jc w:val="center"/>
            </w:pPr>
            <w:r>
              <w:t>ACE-inhibitor/ARB-naive</w:t>
            </w:r>
          </w:p>
        </w:tc>
        <w:tc>
          <w:tcPr>
            <w:tcW w:w="3492" w:type="dxa"/>
            <w:gridSpan w:val="3"/>
          </w:tcPr>
          <w:p w14:paraId="7FC8E606" w14:textId="77777777" w:rsidR="000F5C69" w:rsidRDefault="000F5C69" w:rsidP="00A4028A">
            <w:pPr>
              <w:pStyle w:val="Tableheadingrow"/>
              <w:jc w:val="center"/>
            </w:pPr>
            <w:r>
              <w:t>ACE-inhibitor/ARB experienced</w:t>
            </w:r>
          </w:p>
        </w:tc>
      </w:tr>
      <w:tr w:rsidR="000F5C69" w:rsidRPr="00080909" w14:paraId="1A6AE564" w14:textId="77777777" w:rsidTr="00A4028A">
        <w:trPr>
          <w:tblHeader/>
        </w:trPr>
        <w:tc>
          <w:tcPr>
            <w:tcW w:w="2122" w:type="dxa"/>
            <w:vMerge/>
            <w:vAlign w:val="center"/>
          </w:tcPr>
          <w:p w14:paraId="42044C42" w14:textId="77777777" w:rsidR="000F5C69" w:rsidRPr="00080909" w:rsidRDefault="000F5C69" w:rsidP="00A4028A">
            <w:pPr>
              <w:pStyle w:val="Tableheadingrow"/>
            </w:pPr>
          </w:p>
        </w:tc>
        <w:tc>
          <w:tcPr>
            <w:tcW w:w="992" w:type="dxa"/>
            <w:vAlign w:val="center"/>
          </w:tcPr>
          <w:p w14:paraId="39EE667B" w14:textId="77777777" w:rsidR="000F5C69" w:rsidRDefault="000F5C69" w:rsidP="00A4028A">
            <w:pPr>
              <w:pStyle w:val="Tableheadingrow"/>
              <w:jc w:val="center"/>
            </w:pPr>
            <w:r>
              <w:t>Sacubitril/</w:t>
            </w:r>
          </w:p>
          <w:p w14:paraId="09DE42BF" w14:textId="77777777" w:rsidR="000F5C69" w:rsidRDefault="000F5C69" w:rsidP="00A4028A">
            <w:pPr>
              <w:pStyle w:val="Tableheadingrow"/>
              <w:jc w:val="center"/>
            </w:pPr>
            <w:r>
              <w:t>valsartan</w:t>
            </w:r>
          </w:p>
          <w:p w14:paraId="2EB3467F" w14:textId="77777777" w:rsidR="000F5C69" w:rsidRPr="00080909" w:rsidRDefault="000F5C69" w:rsidP="00A4028A">
            <w:pPr>
              <w:pStyle w:val="Tableheadingrow"/>
              <w:jc w:val="center"/>
            </w:pPr>
            <w:r>
              <w:t>N=232</w:t>
            </w:r>
          </w:p>
        </w:tc>
        <w:tc>
          <w:tcPr>
            <w:tcW w:w="992" w:type="dxa"/>
            <w:vAlign w:val="center"/>
          </w:tcPr>
          <w:p w14:paraId="2EA436F3" w14:textId="77777777" w:rsidR="000F5C69" w:rsidRDefault="000F5C69" w:rsidP="00A4028A">
            <w:pPr>
              <w:pStyle w:val="Tableheadingrow"/>
              <w:jc w:val="center"/>
            </w:pPr>
            <w:r>
              <w:t>Enalapril</w:t>
            </w:r>
          </w:p>
          <w:p w14:paraId="6CDCE6AF" w14:textId="77777777" w:rsidR="000F5C69" w:rsidRPr="00080909" w:rsidRDefault="000F5C69" w:rsidP="00A4028A">
            <w:pPr>
              <w:pStyle w:val="Tableheadingrow"/>
              <w:jc w:val="center"/>
            </w:pPr>
            <w:r>
              <w:t>N=227</w:t>
            </w:r>
          </w:p>
        </w:tc>
        <w:tc>
          <w:tcPr>
            <w:tcW w:w="1418" w:type="dxa"/>
            <w:vAlign w:val="center"/>
          </w:tcPr>
          <w:p w14:paraId="718AC2AE" w14:textId="77777777" w:rsidR="000F5C69" w:rsidRPr="00080909" w:rsidRDefault="000F5C69" w:rsidP="00A4028A">
            <w:pPr>
              <w:pStyle w:val="Tableheadingrow"/>
              <w:jc w:val="center"/>
            </w:pPr>
            <w:r>
              <w:t>RR (95% CI)</w:t>
            </w:r>
          </w:p>
        </w:tc>
        <w:tc>
          <w:tcPr>
            <w:tcW w:w="1134" w:type="dxa"/>
            <w:vAlign w:val="center"/>
          </w:tcPr>
          <w:p w14:paraId="735B77D5" w14:textId="77777777" w:rsidR="000F5C69" w:rsidRDefault="000F5C69" w:rsidP="00A4028A">
            <w:pPr>
              <w:pStyle w:val="Tableheadingrow"/>
              <w:jc w:val="center"/>
            </w:pPr>
            <w:r>
              <w:t>Sacubitril/</w:t>
            </w:r>
          </w:p>
          <w:p w14:paraId="17111281" w14:textId="77777777" w:rsidR="000F5C69" w:rsidRDefault="000F5C69" w:rsidP="00A4028A">
            <w:pPr>
              <w:pStyle w:val="Tableheadingrow"/>
              <w:jc w:val="center"/>
            </w:pPr>
            <w:r>
              <w:t>valsartan</w:t>
            </w:r>
          </w:p>
          <w:p w14:paraId="04FF968A" w14:textId="77777777" w:rsidR="000F5C69" w:rsidRDefault="000F5C69" w:rsidP="00A4028A">
            <w:pPr>
              <w:pStyle w:val="Tableheadingrow"/>
              <w:jc w:val="center"/>
            </w:pPr>
            <w:r>
              <w:t>N=208</w:t>
            </w:r>
          </w:p>
        </w:tc>
        <w:tc>
          <w:tcPr>
            <w:tcW w:w="992" w:type="dxa"/>
            <w:vAlign w:val="center"/>
          </w:tcPr>
          <w:p w14:paraId="5C3EDE09" w14:textId="77777777" w:rsidR="000F5C69" w:rsidRDefault="000F5C69" w:rsidP="00A4028A">
            <w:pPr>
              <w:pStyle w:val="Tableheadingrow"/>
              <w:jc w:val="center"/>
            </w:pPr>
            <w:r>
              <w:t>Enalapril</w:t>
            </w:r>
          </w:p>
          <w:p w14:paraId="72D8D80F" w14:textId="77777777" w:rsidR="000F5C69" w:rsidRDefault="000F5C69" w:rsidP="00A4028A">
            <w:pPr>
              <w:pStyle w:val="Tableheadingrow"/>
              <w:jc w:val="center"/>
            </w:pPr>
            <w:r>
              <w:t>N=214</w:t>
            </w:r>
          </w:p>
        </w:tc>
        <w:tc>
          <w:tcPr>
            <w:tcW w:w="1366" w:type="dxa"/>
            <w:vAlign w:val="center"/>
          </w:tcPr>
          <w:p w14:paraId="03E59AA9" w14:textId="77777777" w:rsidR="000F5C69" w:rsidRDefault="000F5C69" w:rsidP="00A4028A">
            <w:pPr>
              <w:pStyle w:val="Tableheadingrow"/>
              <w:jc w:val="center"/>
            </w:pPr>
            <w:r>
              <w:t>RR (95% CI)</w:t>
            </w:r>
          </w:p>
        </w:tc>
      </w:tr>
      <w:tr w:rsidR="000F5C69" w14:paraId="7207E103" w14:textId="77777777" w:rsidTr="00A4028A">
        <w:tc>
          <w:tcPr>
            <w:tcW w:w="2122" w:type="dxa"/>
            <w:vAlign w:val="center"/>
          </w:tcPr>
          <w:p w14:paraId="11EEF650" w14:textId="77777777" w:rsidR="000F5C69" w:rsidRPr="00886A98" w:rsidRDefault="000F5C69" w:rsidP="00A4028A">
            <w:pPr>
              <w:pStyle w:val="TableText"/>
              <w:rPr>
                <w:caps/>
                <w:vertAlign w:val="superscript"/>
              </w:rPr>
            </w:pPr>
            <w:r>
              <w:t xml:space="preserve">Worsening renal function </w:t>
            </w:r>
            <w:r>
              <w:rPr>
                <w:vertAlign w:val="superscript"/>
              </w:rPr>
              <w:t>a</w:t>
            </w:r>
          </w:p>
        </w:tc>
        <w:tc>
          <w:tcPr>
            <w:tcW w:w="992" w:type="dxa"/>
            <w:vAlign w:val="center"/>
          </w:tcPr>
          <w:p w14:paraId="176C0B65" w14:textId="77777777" w:rsidR="000F5C69" w:rsidRDefault="000F5C69" w:rsidP="00A4028A">
            <w:pPr>
              <w:pStyle w:val="TableText"/>
              <w:jc w:val="center"/>
            </w:pPr>
            <w:r>
              <w:t>35 (15.1)</w:t>
            </w:r>
          </w:p>
        </w:tc>
        <w:tc>
          <w:tcPr>
            <w:tcW w:w="992" w:type="dxa"/>
            <w:vAlign w:val="center"/>
          </w:tcPr>
          <w:p w14:paraId="26FDDB3D" w14:textId="77777777" w:rsidR="000F5C69" w:rsidRDefault="000F5C69" w:rsidP="00A4028A">
            <w:pPr>
              <w:pStyle w:val="TableText"/>
              <w:jc w:val="center"/>
            </w:pPr>
            <w:r>
              <w:t>32 (14.1)</w:t>
            </w:r>
          </w:p>
        </w:tc>
        <w:tc>
          <w:tcPr>
            <w:tcW w:w="1418" w:type="dxa"/>
            <w:vAlign w:val="center"/>
          </w:tcPr>
          <w:p w14:paraId="73D079D1" w14:textId="77777777" w:rsidR="000F5C69" w:rsidRDefault="000F5C69" w:rsidP="00A4028A">
            <w:pPr>
              <w:pStyle w:val="TableText"/>
              <w:jc w:val="center"/>
            </w:pPr>
            <w:r>
              <w:t>1.07 (0.69, 1.67)</w:t>
            </w:r>
          </w:p>
        </w:tc>
        <w:tc>
          <w:tcPr>
            <w:tcW w:w="1134" w:type="dxa"/>
            <w:vAlign w:val="center"/>
          </w:tcPr>
          <w:p w14:paraId="1FDE2BC8" w14:textId="77777777" w:rsidR="000F5C69" w:rsidRDefault="000F5C69" w:rsidP="00A4028A">
            <w:pPr>
              <w:pStyle w:val="TableText"/>
              <w:jc w:val="center"/>
            </w:pPr>
            <w:r>
              <w:t>40 (19.2)</w:t>
            </w:r>
          </w:p>
        </w:tc>
        <w:tc>
          <w:tcPr>
            <w:tcW w:w="992" w:type="dxa"/>
            <w:vAlign w:val="center"/>
          </w:tcPr>
          <w:p w14:paraId="29425E04" w14:textId="77777777" w:rsidR="000F5C69" w:rsidRDefault="000F5C69" w:rsidP="00A4028A">
            <w:pPr>
              <w:pStyle w:val="TableText"/>
              <w:jc w:val="center"/>
            </w:pPr>
            <w:r>
              <w:t>43 (20.1)</w:t>
            </w:r>
          </w:p>
        </w:tc>
        <w:tc>
          <w:tcPr>
            <w:tcW w:w="1366" w:type="dxa"/>
            <w:vAlign w:val="center"/>
          </w:tcPr>
          <w:p w14:paraId="721D886E" w14:textId="77777777" w:rsidR="000F5C69" w:rsidRDefault="000F5C69" w:rsidP="00A4028A">
            <w:pPr>
              <w:pStyle w:val="TableText"/>
              <w:jc w:val="center"/>
            </w:pPr>
            <w:r>
              <w:t>0.96 (0.65, 1.41)</w:t>
            </w:r>
          </w:p>
        </w:tc>
      </w:tr>
      <w:tr w:rsidR="000F5C69" w14:paraId="7D056C67" w14:textId="77777777" w:rsidTr="00A4028A">
        <w:tc>
          <w:tcPr>
            <w:tcW w:w="2122" w:type="dxa"/>
            <w:vAlign w:val="center"/>
          </w:tcPr>
          <w:p w14:paraId="33503670" w14:textId="77777777" w:rsidR="000F5C69" w:rsidRPr="00886A98" w:rsidRDefault="000F5C69" w:rsidP="00A4028A">
            <w:pPr>
              <w:pStyle w:val="TableText"/>
              <w:rPr>
                <w:vertAlign w:val="superscript"/>
              </w:rPr>
            </w:pPr>
            <w:r>
              <w:t xml:space="preserve">Hyperkalaemia </w:t>
            </w:r>
            <w:r>
              <w:rPr>
                <w:vertAlign w:val="superscript"/>
              </w:rPr>
              <w:t>b</w:t>
            </w:r>
          </w:p>
        </w:tc>
        <w:tc>
          <w:tcPr>
            <w:tcW w:w="992" w:type="dxa"/>
            <w:vAlign w:val="center"/>
          </w:tcPr>
          <w:p w14:paraId="27453464" w14:textId="77777777" w:rsidR="000F5C69" w:rsidRDefault="000F5C69" w:rsidP="00A4028A">
            <w:pPr>
              <w:pStyle w:val="TableText"/>
              <w:jc w:val="center"/>
            </w:pPr>
            <w:r>
              <w:t>29 (12.5)</w:t>
            </w:r>
          </w:p>
        </w:tc>
        <w:tc>
          <w:tcPr>
            <w:tcW w:w="992" w:type="dxa"/>
            <w:vAlign w:val="center"/>
          </w:tcPr>
          <w:p w14:paraId="24F7A1AB" w14:textId="77777777" w:rsidR="000F5C69" w:rsidRDefault="000F5C69" w:rsidP="00A4028A">
            <w:pPr>
              <w:pStyle w:val="TableText"/>
              <w:jc w:val="center"/>
            </w:pPr>
            <w:r>
              <w:t>22 (9.7)</w:t>
            </w:r>
          </w:p>
        </w:tc>
        <w:tc>
          <w:tcPr>
            <w:tcW w:w="1418" w:type="dxa"/>
            <w:vAlign w:val="center"/>
          </w:tcPr>
          <w:p w14:paraId="4B01DF95" w14:textId="77777777" w:rsidR="000F5C69" w:rsidRDefault="000F5C69" w:rsidP="00A4028A">
            <w:pPr>
              <w:pStyle w:val="TableText"/>
              <w:jc w:val="center"/>
            </w:pPr>
            <w:r>
              <w:t>1.29 (0.76, 2.18)</w:t>
            </w:r>
          </w:p>
        </w:tc>
        <w:tc>
          <w:tcPr>
            <w:tcW w:w="1134" w:type="dxa"/>
            <w:vAlign w:val="center"/>
          </w:tcPr>
          <w:p w14:paraId="21EB3564" w14:textId="77777777" w:rsidR="000F5C69" w:rsidRDefault="000F5C69" w:rsidP="00A4028A">
            <w:pPr>
              <w:pStyle w:val="TableText"/>
              <w:jc w:val="center"/>
            </w:pPr>
            <w:r>
              <w:t>22 (10.6)</w:t>
            </w:r>
          </w:p>
        </w:tc>
        <w:tc>
          <w:tcPr>
            <w:tcW w:w="992" w:type="dxa"/>
            <w:vAlign w:val="center"/>
          </w:tcPr>
          <w:p w14:paraId="576C0422" w14:textId="77777777" w:rsidR="000F5C69" w:rsidRDefault="000F5C69" w:rsidP="00A4028A">
            <w:pPr>
              <w:pStyle w:val="TableText"/>
              <w:jc w:val="center"/>
            </w:pPr>
            <w:r>
              <w:t>19 (8.9)</w:t>
            </w:r>
          </w:p>
        </w:tc>
        <w:tc>
          <w:tcPr>
            <w:tcW w:w="1366" w:type="dxa"/>
            <w:vAlign w:val="center"/>
          </w:tcPr>
          <w:p w14:paraId="65E77F24" w14:textId="77777777" w:rsidR="000F5C69" w:rsidRDefault="000F5C69" w:rsidP="00A4028A">
            <w:pPr>
              <w:pStyle w:val="TableText"/>
              <w:jc w:val="center"/>
            </w:pPr>
            <w:r>
              <w:t>1.19 (0.66, 2.13)</w:t>
            </w:r>
          </w:p>
        </w:tc>
      </w:tr>
      <w:tr w:rsidR="000F5C69" w14:paraId="2D687865" w14:textId="77777777" w:rsidTr="00A4028A">
        <w:tc>
          <w:tcPr>
            <w:tcW w:w="2122" w:type="dxa"/>
            <w:vAlign w:val="center"/>
          </w:tcPr>
          <w:p w14:paraId="541CB3F0" w14:textId="77777777" w:rsidR="000F5C69" w:rsidRDefault="000F5C69" w:rsidP="00A4028A">
            <w:pPr>
              <w:pStyle w:val="TableText"/>
            </w:pPr>
            <w:r>
              <w:t>Symptomatic hypotension</w:t>
            </w:r>
          </w:p>
        </w:tc>
        <w:tc>
          <w:tcPr>
            <w:tcW w:w="992" w:type="dxa"/>
            <w:vAlign w:val="center"/>
          </w:tcPr>
          <w:p w14:paraId="6C2FD63A" w14:textId="77777777" w:rsidR="000F5C69" w:rsidRDefault="000F5C69" w:rsidP="00A4028A">
            <w:pPr>
              <w:pStyle w:val="TableText"/>
              <w:jc w:val="center"/>
            </w:pPr>
            <w:r>
              <w:t>38 (16.4)</w:t>
            </w:r>
          </w:p>
        </w:tc>
        <w:tc>
          <w:tcPr>
            <w:tcW w:w="992" w:type="dxa"/>
            <w:vAlign w:val="center"/>
          </w:tcPr>
          <w:p w14:paraId="023A5953" w14:textId="77777777" w:rsidR="000F5C69" w:rsidRDefault="000F5C69" w:rsidP="00A4028A">
            <w:pPr>
              <w:pStyle w:val="TableText"/>
              <w:jc w:val="center"/>
            </w:pPr>
            <w:r>
              <w:t>29 (12.8)</w:t>
            </w:r>
          </w:p>
        </w:tc>
        <w:tc>
          <w:tcPr>
            <w:tcW w:w="1418" w:type="dxa"/>
            <w:vAlign w:val="center"/>
          </w:tcPr>
          <w:p w14:paraId="13816826" w14:textId="77777777" w:rsidR="000F5C69" w:rsidRDefault="000F5C69" w:rsidP="00A4028A">
            <w:pPr>
              <w:pStyle w:val="TableText"/>
              <w:jc w:val="center"/>
            </w:pPr>
            <w:r>
              <w:t>1.28 (0.82, 2.01)</w:t>
            </w:r>
          </w:p>
        </w:tc>
        <w:tc>
          <w:tcPr>
            <w:tcW w:w="1134" w:type="dxa"/>
            <w:vAlign w:val="center"/>
          </w:tcPr>
          <w:p w14:paraId="6685269D" w14:textId="77777777" w:rsidR="000F5C69" w:rsidRDefault="000F5C69" w:rsidP="00A4028A">
            <w:pPr>
              <w:pStyle w:val="TableText"/>
              <w:jc w:val="center"/>
            </w:pPr>
            <w:r>
              <w:t>28 (12.5)</w:t>
            </w:r>
          </w:p>
        </w:tc>
        <w:tc>
          <w:tcPr>
            <w:tcW w:w="992" w:type="dxa"/>
            <w:vAlign w:val="center"/>
          </w:tcPr>
          <w:p w14:paraId="1D273758" w14:textId="77777777" w:rsidR="000F5C69" w:rsidRDefault="000F5C69" w:rsidP="00A4028A">
            <w:pPr>
              <w:pStyle w:val="TableText"/>
              <w:jc w:val="center"/>
            </w:pPr>
            <w:r>
              <w:t>27 (12.6)</w:t>
            </w:r>
          </w:p>
        </w:tc>
        <w:tc>
          <w:tcPr>
            <w:tcW w:w="1366" w:type="dxa"/>
            <w:vAlign w:val="center"/>
          </w:tcPr>
          <w:p w14:paraId="0482EA70" w14:textId="77777777" w:rsidR="000F5C69" w:rsidRDefault="000F5C69" w:rsidP="00A4028A">
            <w:pPr>
              <w:pStyle w:val="TableText"/>
              <w:jc w:val="center"/>
            </w:pPr>
            <w:r>
              <w:t>1.07 (0.65, 1.75)</w:t>
            </w:r>
          </w:p>
        </w:tc>
      </w:tr>
      <w:tr w:rsidR="000F5C69" w14:paraId="45DE6E68" w14:textId="77777777" w:rsidTr="00A4028A">
        <w:tc>
          <w:tcPr>
            <w:tcW w:w="2122" w:type="dxa"/>
            <w:vAlign w:val="center"/>
          </w:tcPr>
          <w:p w14:paraId="1BDF8CE4" w14:textId="77777777" w:rsidR="000F5C69" w:rsidRPr="00886A98" w:rsidRDefault="000F5C69" w:rsidP="00A4028A">
            <w:pPr>
              <w:pStyle w:val="TableText"/>
              <w:rPr>
                <w:vertAlign w:val="superscript"/>
              </w:rPr>
            </w:pPr>
            <w:r>
              <w:t xml:space="preserve">Angioedema </w:t>
            </w:r>
            <w:r>
              <w:rPr>
                <w:vertAlign w:val="superscript"/>
              </w:rPr>
              <w:t>c</w:t>
            </w:r>
          </w:p>
        </w:tc>
        <w:tc>
          <w:tcPr>
            <w:tcW w:w="992" w:type="dxa"/>
            <w:vAlign w:val="center"/>
          </w:tcPr>
          <w:p w14:paraId="6A2CC444" w14:textId="77777777" w:rsidR="000F5C69" w:rsidRDefault="000F5C69" w:rsidP="00A4028A">
            <w:pPr>
              <w:pStyle w:val="TableText"/>
              <w:jc w:val="center"/>
            </w:pPr>
            <w:r>
              <w:t>1 (0.4)</w:t>
            </w:r>
          </w:p>
        </w:tc>
        <w:tc>
          <w:tcPr>
            <w:tcW w:w="992" w:type="dxa"/>
            <w:vAlign w:val="center"/>
          </w:tcPr>
          <w:p w14:paraId="527262CE" w14:textId="77777777" w:rsidR="000F5C69" w:rsidRDefault="000F5C69" w:rsidP="00A4028A">
            <w:pPr>
              <w:pStyle w:val="TableText"/>
              <w:jc w:val="center"/>
            </w:pPr>
            <w:r>
              <w:t>2 (0.9)</w:t>
            </w:r>
          </w:p>
        </w:tc>
        <w:tc>
          <w:tcPr>
            <w:tcW w:w="1418" w:type="dxa"/>
            <w:vAlign w:val="center"/>
          </w:tcPr>
          <w:p w14:paraId="09456D94" w14:textId="77777777" w:rsidR="000F5C69" w:rsidRDefault="000F5C69" w:rsidP="00A4028A">
            <w:pPr>
              <w:pStyle w:val="TableText"/>
              <w:jc w:val="center"/>
            </w:pPr>
            <w:r>
              <w:t>0.49 (0.04, 5.36)</w:t>
            </w:r>
          </w:p>
        </w:tc>
        <w:tc>
          <w:tcPr>
            <w:tcW w:w="1134" w:type="dxa"/>
            <w:vAlign w:val="center"/>
          </w:tcPr>
          <w:p w14:paraId="47897A17" w14:textId="77777777" w:rsidR="000F5C69" w:rsidRDefault="000F5C69" w:rsidP="00A4028A">
            <w:pPr>
              <w:pStyle w:val="TableText"/>
              <w:jc w:val="center"/>
            </w:pPr>
            <w:r>
              <w:t>0 (0)</w:t>
            </w:r>
          </w:p>
        </w:tc>
        <w:tc>
          <w:tcPr>
            <w:tcW w:w="992" w:type="dxa"/>
            <w:vAlign w:val="center"/>
          </w:tcPr>
          <w:p w14:paraId="001DAE75" w14:textId="77777777" w:rsidR="000F5C69" w:rsidRDefault="000F5C69" w:rsidP="00A4028A">
            <w:pPr>
              <w:pStyle w:val="TableText"/>
              <w:jc w:val="center"/>
            </w:pPr>
            <w:r>
              <w:t>4 (1.9)</w:t>
            </w:r>
          </w:p>
        </w:tc>
        <w:tc>
          <w:tcPr>
            <w:tcW w:w="1366" w:type="dxa"/>
            <w:vAlign w:val="center"/>
          </w:tcPr>
          <w:p w14:paraId="0DBA79C7" w14:textId="77777777" w:rsidR="000F5C69" w:rsidRDefault="000F5C69" w:rsidP="00A4028A">
            <w:pPr>
              <w:pStyle w:val="TableText"/>
              <w:jc w:val="center"/>
            </w:pPr>
            <w:r>
              <w:t>NA</w:t>
            </w:r>
          </w:p>
        </w:tc>
      </w:tr>
    </w:tbl>
    <w:p w14:paraId="013E6CF3" w14:textId="77777777" w:rsidR="000F5C69" w:rsidRPr="000F5C69" w:rsidRDefault="000F5C69" w:rsidP="000F5C69">
      <w:pPr>
        <w:pStyle w:val="TableFigureFooter"/>
        <w:rPr>
          <w:rFonts w:eastAsia="Calibri"/>
        </w:rPr>
      </w:pPr>
      <w:r w:rsidRPr="000F5C69">
        <w:rPr>
          <w:rFonts w:eastAsia="Calibri"/>
        </w:rPr>
        <w:t>Source: Figure 2.8, p39 of the submission.</w:t>
      </w:r>
    </w:p>
    <w:p w14:paraId="52E651CF" w14:textId="77777777" w:rsidR="000F5C69" w:rsidRDefault="000F5C69" w:rsidP="000F5C69">
      <w:pPr>
        <w:pStyle w:val="TableFigureFooter"/>
        <w:rPr>
          <w:rFonts w:eastAsia="Calibri"/>
        </w:rPr>
      </w:pPr>
      <w:r>
        <w:rPr>
          <w:rFonts w:eastAsia="Calibri"/>
        </w:rPr>
        <w:t>Abbreviations: ACE, angiotensin converting enzyme; ARB, angiotensin II receptor blocker; CI, confidence interval; NA, not applicable; RR, relative risk</w:t>
      </w:r>
    </w:p>
    <w:p w14:paraId="68DD607E" w14:textId="77777777" w:rsidR="000F5C69" w:rsidRDefault="000F5C69" w:rsidP="000F5C69">
      <w:pPr>
        <w:pStyle w:val="TableFigureFooter"/>
        <w:rPr>
          <w:rFonts w:eastAsia="Calibri"/>
        </w:rPr>
      </w:pPr>
      <w:r>
        <w:rPr>
          <w:rFonts w:eastAsia="Calibri"/>
          <w:vertAlign w:val="superscript"/>
        </w:rPr>
        <w:t>a</w:t>
      </w:r>
      <w:r>
        <w:rPr>
          <w:rFonts w:eastAsia="Calibri"/>
        </w:rPr>
        <w:t xml:space="preserve"> Worsening renal function was defined as an increase in serum creatinine concentration ≥ 0.5 mg/dL, and decrease in eGFR ≥25%.</w:t>
      </w:r>
    </w:p>
    <w:p w14:paraId="0FCBB577" w14:textId="77777777" w:rsidR="000F5C69" w:rsidRDefault="000F5C69" w:rsidP="000F5C69">
      <w:pPr>
        <w:pStyle w:val="TableFigureFooter"/>
        <w:rPr>
          <w:rFonts w:eastAsia="Calibri"/>
        </w:rPr>
      </w:pPr>
      <w:r>
        <w:rPr>
          <w:rFonts w:eastAsia="Calibri"/>
          <w:vertAlign w:val="superscript"/>
        </w:rPr>
        <w:t>b</w:t>
      </w:r>
      <w:r>
        <w:rPr>
          <w:rFonts w:eastAsia="Calibri"/>
        </w:rPr>
        <w:t xml:space="preserve"> For the safety outcome, hyperkalaemia was defined as </w:t>
      </w:r>
      <w:r w:rsidRPr="007F17E5">
        <w:rPr>
          <w:rFonts w:eastAsia="Calibri"/>
        </w:rPr>
        <w:t xml:space="preserve">K+ </w:t>
      </w:r>
      <w:r>
        <w:rPr>
          <w:rFonts w:eastAsia="Calibri"/>
        </w:rPr>
        <w:t>&gt;</w:t>
      </w:r>
      <w:r w:rsidRPr="007F17E5">
        <w:rPr>
          <w:rFonts w:eastAsia="Calibri"/>
        </w:rPr>
        <w:t>5.5 mEq/</w:t>
      </w:r>
      <w:r>
        <w:rPr>
          <w:rFonts w:eastAsia="Calibri"/>
        </w:rPr>
        <w:t>L</w:t>
      </w:r>
    </w:p>
    <w:p w14:paraId="14FD5B18" w14:textId="77777777" w:rsidR="000F5C69" w:rsidRDefault="000F5C69" w:rsidP="000F5C69">
      <w:pPr>
        <w:pStyle w:val="TableFigureFooter"/>
        <w:rPr>
          <w:rFonts w:eastAsia="Calibri"/>
        </w:rPr>
      </w:pPr>
      <w:r>
        <w:rPr>
          <w:rFonts w:eastAsia="Calibri"/>
          <w:vertAlign w:val="superscript"/>
        </w:rPr>
        <w:t>c</w:t>
      </w:r>
      <w:r w:rsidRPr="000F5C69">
        <w:rPr>
          <w:rFonts w:eastAsia="Calibri"/>
        </w:rPr>
        <w:t xml:space="preserve"> </w:t>
      </w:r>
      <w:r>
        <w:rPr>
          <w:rFonts w:eastAsia="Calibri"/>
        </w:rPr>
        <w:t>Positively-adjudicated angioedema cases only.</w:t>
      </w:r>
    </w:p>
    <w:p w14:paraId="569C586C" w14:textId="77777777" w:rsidR="000F5C69" w:rsidRPr="00EB1C89" w:rsidRDefault="00EB1C89" w:rsidP="00E70035">
      <w:pPr>
        <w:pStyle w:val="ExecSumBodyText"/>
        <w:ind w:left="709" w:hanging="709"/>
        <w:rPr>
          <w:color w:val="0066FF"/>
        </w:rPr>
      </w:pPr>
      <w:r>
        <w:t>There were no significant differences between sacubitril/valsartan and enalapril treatment groups for patients with or without prior use of ACE-inhibitors/ARBs.</w:t>
      </w:r>
    </w:p>
    <w:p w14:paraId="46F9039F" w14:textId="77777777" w:rsidR="00EB1C89" w:rsidRDefault="00EB1C89" w:rsidP="00EB1C89">
      <w:pPr>
        <w:pStyle w:val="5-SubSubSubHead"/>
      </w:pPr>
      <w:r>
        <w:t>A</w:t>
      </w:r>
      <w:r w:rsidRPr="005D0FC6">
        <w:t>nalys</w:t>
      </w:r>
      <w:r>
        <w:t>e</w:t>
      </w:r>
      <w:r w:rsidRPr="005D0FC6">
        <w:t xml:space="preserve">s to inform </w:t>
      </w:r>
      <w:r w:rsidR="00236891">
        <w:t xml:space="preserve">safety in </w:t>
      </w:r>
      <w:r>
        <w:t xml:space="preserve">LVEF 41%-49% </w:t>
      </w:r>
      <w:r w:rsidRPr="005D0FC6">
        <w:t>population</w:t>
      </w:r>
    </w:p>
    <w:p w14:paraId="5A0CC32D" w14:textId="77777777" w:rsidR="00EB1C89" w:rsidRPr="00EB1C89" w:rsidRDefault="00EB1C89" w:rsidP="00E70035">
      <w:pPr>
        <w:pStyle w:val="ExecSumBodyText"/>
        <w:ind w:left="709" w:hanging="709"/>
        <w:rPr>
          <w:color w:val="0066FF"/>
        </w:rPr>
      </w:pPr>
      <w:r>
        <w:t>The Solomon (2020) publication reported that there was no interaction between treatment and LVEF for any of the measured safety endpoints. The study noted greater rates of hypotension and hyperkalaemia in patients with lower ejection fraction.</w:t>
      </w:r>
    </w:p>
    <w:p w14:paraId="36A87C13" w14:textId="77777777" w:rsidR="00EB1C89" w:rsidRPr="000F5C69" w:rsidRDefault="00EB1C89" w:rsidP="00EB1C89">
      <w:pPr>
        <w:pStyle w:val="5-SubSubSubHead"/>
      </w:pPr>
      <w:r>
        <w:t>A</w:t>
      </w:r>
      <w:r w:rsidRPr="005D0FC6">
        <w:t>nalys</w:t>
      </w:r>
      <w:r>
        <w:t>e</w:t>
      </w:r>
      <w:r w:rsidRPr="005D0FC6">
        <w:t>s to inform</w:t>
      </w:r>
      <w:r w:rsidR="00236891">
        <w:t xml:space="preserve"> safety in</w:t>
      </w:r>
      <w:r w:rsidRPr="005D0FC6">
        <w:t xml:space="preserve"> </w:t>
      </w:r>
      <w:r>
        <w:t xml:space="preserve">beta-blocker </w:t>
      </w:r>
      <w:r w:rsidRPr="005D0FC6">
        <w:t>population</w:t>
      </w:r>
    </w:p>
    <w:p w14:paraId="78ACBFDD" w14:textId="77777777" w:rsidR="00EB1C89" w:rsidRPr="00EB1C89" w:rsidRDefault="00EB1C89" w:rsidP="00E70035">
      <w:pPr>
        <w:pStyle w:val="ExecSumBodyText"/>
        <w:ind w:left="709" w:hanging="709"/>
      </w:pPr>
      <w:r>
        <w:t>The CIBIS III publication (Willenheimer 2005) reported that there were no differences in the proportions of patients experiencing adverse events or serious adverse events in the bisoprolol-first group or the enalapril-first group.</w:t>
      </w:r>
    </w:p>
    <w:p w14:paraId="16496EC2" w14:textId="77777777" w:rsidR="00B60939" w:rsidRPr="00C9624D" w:rsidRDefault="00B60939" w:rsidP="00E9094A">
      <w:pPr>
        <w:pStyle w:val="3-SubsectionHeading"/>
      </w:pPr>
      <w:bookmarkStart w:id="16" w:name="_Toc22897644"/>
      <w:bookmarkStart w:id="17" w:name="_Toc51070691"/>
      <w:r w:rsidRPr="00C9624D">
        <w:t>Clinical claim</w:t>
      </w:r>
      <w:bookmarkEnd w:id="16"/>
      <w:bookmarkEnd w:id="17"/>
    </w:p>
    <w:p w14:paraId="1A2ACA7E" w14:textId="77777777" w:rsidR="00236891" w:rsidRPr="005226CA" w:rsidRDefault="005F7588" w:rsidP="00236891">
      <w:pPr>
        <w:pStyle w:val="ExecSumBodyText"/>
        <w:ind w:left="709" w:hanging="709"/>
        <w:rPr>
          <w:rFonts w:eastAsia="Calibri"/>
        </w:rPr>
      </w:pPr>
      <w:r w:rsidRPr="005226CA">
        <w:rPr>
          <w:rFonts w:eastAsia="Calibri"/>
        </w:rPr>
        <w:t xml:space="preserve">The submission described </w:t>
      </w:r>
      <w:r w:rsidR="00E909E8" w:rsidRPr="005226CA">
        <w:rPr>
          <w:rFonts w:eastAsia="Calibri"/>
        </w:rPr>
        <w:t>sacubitril/valsartan</w:t>
      </w:r>
      <w:r w:rsidRPr="005226CA">
        <w:rPr>
          <w:rFonts w:eastAsia="Calibri"/>
        </w:rPr>
        <w:t xml:space="preserve"> as superior in terms of effectiveness compared to</w:t>
      </w:r>
      <w:r w:rsidR="00E909E8" w:rsidRPr="005226CA">
        <w:rPr>
          <w:rFonts w:eastAsia="Calibri"/>
        </w:rPr>
        <w:t xml:space="preserve"> ACE-inhibitors (enalapril)</w:t>
      </w:r>
      <w:r w:rsidRPr="005226CA">
        <w:rPr>
          <w:rFonts w:eastAsia="Calibri"/>
        </w:rPr>
        <w:t xml:space="preserve">. </w:t>
      </w:r>
      <w:r w:rsidR="00034B14" w:rsidRPr="00791821">
        <w:rPr>
          <w:rFonts w:eastAsia="Calibri"/>
        </w:rPr>
        <w:t>ESC agreed with the evaluator that</w:t>
      </w:r>
      <w:r w:rsidR="00034B14">
        <w:rPr>
          <w:rFonts w:eastAsia="Calibri"/>
        </w:rPr>
        <w:t xml:space="preserve"> t</w:t>
      </w:r>
      <w:r w:rsidR="00BF7B61" w:rsidRPr="005226CA">
        <w:rPr>
          <w:rFonts w:eastAsia="Calibri"/>
        </w:rPr>
        <w:t xml:space="preserve">he therapeutic conclusion of superior efficacy was </w:t>
      </w:r>
      <w:r w:rsidR="00236891" w:rsidRPr="005226CA">
        <w:rPr>
          <w:rFonts w:eastAsia="Calibri"/>
        </w:rPr>
        <w:t>inadequately</w:t>
      </w:r>
      <w:r w:rsidR="00BF7B61" w:rsidRPr="005226CA">
        <w:rPr>
          <w:rFonts w:eastAsia="Calibri"/>
        </w:rPr>
        <w:t xml:space="preserve"> supported by the evidence presented in the submission</w:t>
      </w:r>
      <w:r w:rsidR="00E55EFD" w:rsidRPr="005226CA">
        <w:rPr>
          <w:rFonts w:eastAsia="Calibri"/>
        </w:rPr>
        <w:t>, given the issues described above with regards to the applicability of PIONEER-HF population and subgroup analyses</w:t>
      </w:r>
      <w:r w:rsidR="00236891" w:rsidRPr="005226CA">
        <w:rPr>
          <w:rFonts w:eastAsia="Calibri"/>
        </w:rPr>
        <w:t>.</w:t>
      </w:r>
    </w:p>
    <w:p w14:paraId="76A6F838" w14:textId="77777777" w:rsidR="00613999" w:rsidRPr="005226CA" w:rsidRDefault="00613999" w:rsidP="001340CF">
      <w:pPr>
        <w:pStyle w:val="ExecSumBodyText"/>
        <w:ind w:left="709" w:hanging="709"/>
        <w:rPr>
          <w:rFonts w:eastAsia="Calibri"/>
        </w:rPr>
      </w:pPr>
      <w:r w:rsidRPr="005226CA">
        <w:rPr>
          <w:rFonts w:eastAsia="Calibri"/>
        </w:rPr>
        <w:t xml:space="preserve">The submission further argued that patients in the PIONEER-HF trial would achieve a similar magnitude of benefit from treatment with sacubitril/valsartan as observed in the PARADIGM-HF trial, which was the primary evidence considered by the PBAC in the previous submissions for sacubitril/valsartan (March, July and August 2016). The PBAC previously considered that the clinical claim of superior comparative effectiveness compared to enalapril was reasonable, but noted that it was difficult to quantify the magnitude of this benefit accurately (Section 6.25, sacubitril/valsartan, PBAC </w:t>
      </w:r>
      <w:r w:rsidR="00A84C4E">
        <w:rPr>
          <w:rFonts w:eastAsia="Calibri"/>
        </w:rPr>
        <w:t>Public Summary Document (PSD)</w:t>
      </w:r>
      <w:r w:rsidRPr="005226CA">
        <w:rPr>
          <w:rFonts w:eastAsia="Calibri"/>
        </w:rPr>
        <w:t xml:space="preserve">, March 2016). </w:t>
      </w:r>
      <w:r w:rsidR="00FE7637" w:rsidRPr="005226CA">
        <w:rPr>
          <w:rFonts w:eastAsia="Calibri"/>
        </w:rPr>
        <w:t>However, results from the PIONEER-HF trial and the PARADIGM-HF trial were derived from different patient populations and at different time points, limiting the comparability of these results.</w:t>
      </w:r>
    </w:p>
    <w:p w14:paraId="7E8D823D" w14:textId="77777777" w:rsidR="005F7588" w:rsidRDefault="005F7588" w:rsidP="00E70035">
      <w:pPr>
        <w:pStyle w:val="ExecSumBodyText"/>
        <w:ind w:left="709" w:hanging="709"/>
        <w:rPr>
          <w:rFonts w:eastAsia="Calibri"/>
        </w:rPr>
      </w:pPr>
      <w:r w:rsidRPr="005226CA">
        <w:rPr>
          <w:rFonts w:eastAsia="Calibri"/>
        </w:rPr>
        <w:lastRenderedPageBreak/>
        <w:t xml:space="preserve">The submission described </w:t>
      </w:r>
      <w:r w:rsidR="00E909E8" w:rsidRPr="005226CA">
        <w:rPr>
          <w:rFonts w:eastAsia="Calibri"/>
        </w:rPr>
        <w:t xml:space="preserve">sacubitril/valsartan </w:t>
      </w:r>
      <w:r w:rsidRPr="005226CA">
        <w:rPr>
          <w:rFonts w:eastAsia="Calibri"/>
        </w:rPr>
        <w:t xml:space="preserve">as </w:t>
      </w:r>
      <w:r w:rsidR="00E909E8" w:rsidRPr="005226CA">
        <w:rPr>
          <w:rFonts w:eastAsia="Calibri"/>
        </w:rPr>
        <w:t>similar</w:t>
      </w:r>
      <w:r w:rsidRPr="005226CA">
        <w:rPr>
          <w:rFonts w:eastAsia="Calibri"/>
        </w:rPr>
        <w:t xml:space="preserve"> in term</w:t>
      </w:r>
      <w:r w:rsidR="00156F8F" w:rsidRPr="005226CA">
        <w:rPr>
          <w:rFonts w:eastAsia="Calibri"/>
        </w:rPr>
        <w:t>s</w:t>
      </w:r>
      <w:r w:rsidRPr="005226CA">
        <w:rPr>
          <w:rFonts w:eastAsia="Calibri"/>
        </w:rPr>
        <w:t xml:space="preserve"> of safety compared to</w:t>
      </w:r>
      <w:r w:rsidR="00E909E8" w:rsidRPr="005226CA">
        <w:rPr>
          <w:rFonts w:eastAsia="Calibri"/>
        </w:rPr>
        <w:t xml:space="preserve"> enalapril, with no significant differences in safety between ACE-inhibitor/ARB-naïve versus -experienced subgroups</w:t>
      </w:r>
      <w:r w:rsidRPr="005226CA">
        <w:rPr>
          <w:rFonts w:eastAsia="Calibri"/>
        </w:rPr>
        <w:t xml:space="preserve">. This claim </w:t>
      </w:r>
      <w:r w:rsidR="00991D58" w:rsidRPr="005226CA">
        <w:rPr>
          <w:rFonts w:eastAsia="Calibri"/>
        </w:rPr>
        <w:t>may be reasonable</w:t>
      </w:r>
      <w:r w:rsidR="007C70FF" w:rsidRPr="005226CA">
        <w:rPr>
          <w:rFonts w:eastAsia="Calibri"/>
        </w:rPr>
        <w:t xml:space="preserve">. </w:t>
      </w:r>
    </w:p>
    <w:p w14:paraId="15CA4EC8" w14:textId="77777777" w:rsidR="00C73DC8" w:rsidRPr="00C73DC8" w:rsidRDefault="007E58C5" w:rsidP="00C73DC8">
      <w:pPr>
        <w:pStyle w:val="ExecSumBodyText"/>
        <w:ind w:left="709" w:hanging="709"/>
        <w:rPr>
          <w:rFonts w:eastAsia="Calibri"/>
        </w:rPr>
      </w:pPr>
      <w:r w:rsidRPr="00C0061E">
        <w:rPr>
          <w:rFonts w:eastAsia="Calibri"/>
        </w:rPr>
        <w:t>The ESC noted there were substantial gaps and limitations with the presented data and analyses</w:t>
      </w:r>
      <w:r w:rsidR="00EF734B" w:rsidRPr="00C0061E">
        <w:rPr>
          <w:rFonts w:eastAsia="Calibri"/>
        </w:rPr>
        <w:t>.</w:t>
      </w:r>
      <w:r w:rsidRPr="00C0061E">
        <w:rPr>
          <w:rFonts w:eastAsia="Calibri"/>
        </w:rPr>
        <w:t xml:space="preserve"> </w:t>
      </w:r>
      <w:r w:rsidR="00EF734B" w:rsidRPr="00C0061E">
        <w:rPr>
          <w:rFonts w:eastAsia="Calibri"/>
        </w:rPr>
        <w:t>The ESC therefore considered the clinical claim was difficult to assess within the context of the submission brought forth by the sponsor.</w:t>
      </w:r>
      <w:r w:rsidRPr="00C0061E">
        <w:rPr>
          <w:rFonts w:eastAsia="Calibri"/>
        </w:rPr>
        <w:t xml:space="preserve"> </w:t>
      </w:r>
    </w:p>
    <w:p w14:paraId="0D3D026F" w14:textId="77777777" w:rsidR="00791821" w:rsidRPr="00791821" w:rsidRDefault="008C0FD1" w:rsidP="00C73DC8">
      <w:pPr>
        <w:pStyle w:val="ExecSumBodyText"/>
        <w:ind w:left="709" w:hanging="709"/>
        <w:rPr>
          <w:rFonts w:eastAsia="Calibri"/>
        </w:rPr>
      </w:pPr>
      <w:r>
        <w:rPr>
          <w:rFonts w:eastAsia="Calibri"/>
        </w:rPr>
        <w:t>R</w:t>
      </w:r>
      <w:r w:rsidR="00791821" w:rsidRPr="00791821">
        <w:rPr>
          <w:rFonts w:eastAsia="Calibri"/>
        </w:rPr>
        <w:t>egard</w:t>
      </w:r>
      <w:r>
        <w:rPr>
          <w:rFonts w:eastAsia="Calibri"/>
        </w:rPr>
        <w:t>ing</w:t>
      </w:r>
      <w:r w:rsidR="00791821" w:rsidRPr="00791821">
        <w:rPr>
          <w:rFonts w:eastAsia="Calibri"/>
        </w:rPr>
        <w:t xml:space="preserve"> the clinical claims in the submission</w:t>
      </w:r>
      <w:r>
        <w:rPr>
          <w:rFonts w:eastAsia="Calibri"/>
        </w:rPr>
        <w:t>, the PBAC considered</w:t>
      </w:r>
      <w:r w:rsidR="00791821" w:rsidRPr="00791821">
        <w:rPr>
          <w:rFonts w:eastAsia="Calibri"/>
        </w:rPr>
        <w:t>:</w:t>
      </w:r>
    </w:p>
    <w:p w14:paraId="78932381" w14:textId="77777777" w:rsidR="00C73DC8" w:rsidRPr="00791821" w:rsidRDefault="00791821" w:rsidP="00791821">
      <w:pPr>
        <w:pStyle w:val="ExecSumBodyText"/>
        <w:numPr>
          <w:ilvl w:val="0"/>
          <w:numId w:val="23"/>
        </w:numPr>
        <w:rPr>
          <w:rFonts w:eastAsia="Calibri"/>
        </w:rPr>
      </w:pPr>
      <w:r w:rsidRPr="00791821">
        <w:rPr>
          <w:rFonts w:eastAsia="Calibri"/>
        </w:rPr>
        <w:t>The claim of superior comparative effectiveness to enalapril (as a proxy for all ACE inhibitors) for the requested populations was inadequately supported due to applicability issues with the PIONEER-HF population and reliability of the subgroup analysis.</w:t>
      </w:r>
    </w:p>
    <w:p w14:paraId="3FC5FB22" w14:textId="77777777" w:rsidR="00791821" w:rsidRDefault="00791821" w:rsidP="00791821">
      <w:pPr>
        <w:pStyle w:val="ExecSumBodyText"/>
        <w:numPr>
          <w:ilvl w:val="0"/>
          <w:numId w:val="23"/>
        </w:numPr>
        <w:rPr>
          <w:rFonts w:eastAsia="Calibri"/>
        </w:rPr>
      </w:pPr>
      <w:r w:rsidRPr="00791821">
        <w:rPr>
          <w:rFonts w:eastAsia="Calibri"/>
        </w:rPr>
        <w:t xml:space="preserve">The claim that patients would receive a similar magnitude of benefit in the expanded populations, compared to the currently subsidised sacubitril/valsartan population, was uncertain as </w:t>
      </w:r>
      <w:r>
        <w:rPr>
          <w:rFonts w:eastAsia="Calibri"/>
        </w:rPr>
        <w:t>the results of the PIONEER-HF and PARADIGM-HF trials were in different populations and of uncertain comparability.</w:t>
      </w:r>
    </w:p>
    <w:p w14:paraId="29401727" w14:textId="77777777" w:rsidR="00791821" w:rsidRPr="00791821" w:rsidRDefault="00791821" w:rsidP="00791821">
      <w:pPr>
        <w:pStyle w:val="ExecSumBodyText"/>
        <w:numPr>
          <w:ilvl w:val="0"/>
          <w:numId w:val="23"/>
        </w:numPr>
        <w:rPr>
          <w:rFonts w:eastAsia="Calibri"/>
        </w:rPr>
      </w:pPr>
      <w:r w:rsidRPr="00791821">
        <w:rPr>
          <w:rFonts w:eastAsia="Calibri"/>
        </w:rPr>
        <w:t>The claim of non-inferior</w:t>
      </w:r>
      <w:r>
        <w:rPr>
          <w:rFonts w:eastAsia="Calibri"/>
        </w:rPr>
        <w:t>/similar</w:t>
      </w:r>
      <w:r w:rsidRPr="00791821">
        <w:rPr>
          <w:rFonts w:eastAsia="Calibri"/>
        </w:rPr>
        <w:t xml:space="preserve"> comparative safety</w:t>
      </w:r>
      <w:r>
        <w:rPr>
          <w:rFonts w:eastAsia="Calibri"/>
        </w:rPr>
        <w:t xml:space="preserve"> to enalapril</w:t>
      </w:r>
      <w:r w:rsidRPr="00791821">
        <w:rPr>
          <w:rFonts w:eastAsia="Calibri"/>
        </w:rPr>
        <w:t xml:space="preserve"> was reasonable.</w:t>
      </w:r>
    </w:p>
    <w:p w14:paraId="1AC4F7CE" w14:textId="77777777" w:rsidR="00C73DC8" w:rsidRPr="00C0061E" w:rsidRDefault="00C73DC8" w:rsidP="00C73DC8">
      <w:pPr>
        <w:pStyle w:val="ExecSumBodyText"/>
        <w:numPr>
          <w:ilvl w:val="0"/>
          <w:numId w:val="0"/>
        </w:numPr>
        <w:ind w:left="709"/>
        <w:rPr>
          <w:rFonts w:eastAsia="Calibri"/>
        </w:rPr>
      </w:pPr>
    </w:p>
    <w:p w14:paraId="11635C00" w14:textId="77777777" w:rsidR="00B60939" w:rsidRPr="00C9624D" w:rsidRDefault="00B60939" w:rsidP="00E9094A">
      <w:pPr>
        <w:pStyle w:val="3-SubsectionHeading"/>
      </w:pPr>
      <w:bookmarkStart w:id="18" w:name="_Toc22897645"/>
      <w:bookmarkStart w:id="19" w:name="_Toc51070692"/>
      <w:r w:rsidRPr="00C9624D">
        <w:t>Economic analysis</w:t>
      </w:r>
      <w:bookmarkEnd w:id="18"/>
      <w:bookmarkEnd w:id="19"/>
      <w:r w:rsidR="00491B3A" w:rsidRPr="00C9624D">
        <w:t xml:space="preserve"> </w:t>
      </w:r>
    </w:p>
    <w:p w14:paraId="2BCD2E63" w14:textId="77777777" w:rsidR="00275C5A" w:rsidRPr="00B25683" w:rsidRDefault="00B07E9A" w:rsidP="00E70035">
      <w:pPr>
        <w:pStyle w:val="ExecSumBodyText"/>
        <w:ind w:left="709" w:hanging="709"/>
        <w:rPr>
          <w:b/>
          <w:bCs/>
          <w:color w:val="0066FF"/>
          <w:lang w:val="en-US"/>
        </w:rPr>
      </w:pPr>
      <w:r w:rsidRPr="005226CA">
        <w:t xml:space="preserve">The submission did not present an economic evaluation, arguing that the magnitude of benefit is the same in patients with versus without prior exposure to an ACE-inhibitor or ARB, and there are no proposed changes to the price for sacubitril/valsartan. The current prices (published and effective, including Special Pricing Arrangement) for sacubitril/valsartan are to be applied to patients in the ACE-inhibitor/ARB-naïve population. This was inappropriate. The </w:t>
      </w:r>
      <w:r w:rsidR="003E7285">
        <w:t>cost effectiv</w:t>
      </w:r>
      <w:r w:rsidRPr="005226CA">
        <w:t>eness of sacubitril/valsartan in the expanded patient population has not been established.</w:t>
      </w:r>
    </w:p>
    <w:p w14:paraId="79796341" w14:textId="77777777" w:rsidR="00B25683" w:rsidRPr="00C0061E" w:rsidRDefault="00B25683" w:rsidP="00E70035">
      <w:pPr>
        <w:pStyle w:val="ExecSumBodyText"/>
        <w:ind w:left="709" w:hanging="709"/>
        <w:rPr>
          <w:b/>
          <w:bCs/>
          <w:color w:val="0066FF"/>
          <w:lang w:val="en-US"/>
        </w:rPr>
      </w:pPr>
      <w:r w:rsidRPr="00C0061E">
        <w:t>The PSCR argued the results of the PIONEER-HF trial demonstrated the magnitude of benefit in the current and requested sacubitril/valsartan PBS populations was the same, irrespective of prior ACE inhibitor/ARB therapy and that the magnitude of benefit for the whole trial population was consistent with that observed in the PARADIGM-HF trial. The ESC disagreed with the PSCR and considered</w:t>
      </w:r>
      <w:r w:rsidR="00214967" w:rsidRPr="00C0061E">
        <w:t xml:space="preserve"> the available information was uninformative for decision making</w:t>
      </w:r>
      <w:r w:rsidR="00180C31" w:rsidRPr="00C0061E">
        <w:t>. The ESC</w:t>
      </w:r>
      <w:r w:rsidR="00214967" w:rsidRPr="00C0061E">
        <w:t xml:space="preserve"> further</w:t>
      </w:r>
      <w:r w:rsidR="00180C31" w:rsidRPr="00C0061E">
        <w:t xml:space="preserve"> considered</w:t>
      </w:r>
      <w:r w:rsidR="00214967" w:rsidRPr="00C0061E">
        <w:t xml:space="preserve"> that</w:t>
      </w:r>
      <w:r w:rsidRPr="00C0061E">
        <w:t xml:space="preserve"> an assumption of </w:t>
      </w:r>
      <w:r w:rsidR="003E7285">
        <w:t>cost effectiv</w:t>
      </w:r>
      <w:r w:rsidRPr="00C0061E">
        <w:t>eness cannot be reasonably conferred</w:t>
      </w:r>
      <w:r w:rsidR="00F56527" w:rsidRPr="00C0061E">
        <w:t xml:space="preserve"> because</w:t>
      </w:r>
      <w:r w:rsidRPr="00C0061E">
        <w:t>:</w:t>
      </w:r>
    </w:p>
    <w:p w14:paraId="40E1A5E8" w14:textId="77777777" w:rsidR="00B25683" w:rsidRPr="00C0061E" w:rsidRDefault="00B25683" w:rsidP="00055FF2">
      <w:pPr>
        <w:pStyle w:val="ExecSumBodyText"/>
        <w:numPr>
          <w:ilvl w:val="0"/>
          <w:numId w:val="9"/>
        </w:numPr>
        <w:ind w:left="1077" w:hanging="357"/>
        <w:rPr>
          <w:b/>
          <w:bCs/>
          <w:lang w:val="en-US"/>
        </w:rPr>
      </w:pPr>
      <w:r w:rsidRPr="00C0061E">
        <w:rPr>
          <w:bCs/>
          <w:lang w:val="en-US"/>
        </w:rPr>
        <w:t xml:space="preserve">For the requested expanded population with LVEF 40%-49%, the ESC </w:t>
      </w:r>
      <w:r w:rsidR="00F266C2" w:rsidRPr="00C0061E">
        <w:rPr>
          <w:bCs/>
          <w:lang w:val="en-US"/>
        </w:rPr>
        <w:t xml:space="preserve">considered </w:t>
      </w:r>
      <w:r w:rsidRPr="00C0061E">
        <w:rPr>
          <w:bCs/>
          <w:lang w:val="en-US"/>
        </w:rPr>
        <w:t>this population would have a lower risk of mortality or hospitali</w:t>
      </w:r>
      <w:r w:rsidR="00F266C2" w:rsidRPr="00C0061E">
        <w:rPr>
          <w:bCs/>
          <w:lang w:val="en-US"/>
        </w:rPr>
        <w:t>s</w:t>
      </w:r>
      <w:r w:rsidRPr="00C0061E">
        <w:rPr>
          <w:bCs/>
          <w:lang w:val="en-US"/>
        </w:rPr>
        <w:t>ation due to heart failure and therefore the magnitude of benefit with sacubitril/valsartan treatment would likely be lower</w:t>
      </w:r>
      <w:r w:rsidR="00F56527" w:rsidRPr="00C0061E">
        <w:rPr>
          <w:bCs/>
          <w:lang w:val="en-US"/>
        </w:rPr>
        <w:t>; and</w:t>
      </w:r>
    </w:p>
    <w:p w14:paraId="2BA68156" w14:textId="77777777" w:rsidR="00F56527" w:rsidRPr="00C0061E" w:rsidRDefault="00F56527" w:rsidP="00055FF2">
      <w:pPr>
        <w:pStyle w:val="ExecSumBodyText"/>
        <w:numPr>
          <w:ilvl w:val="0"/>
          <w:numId w:val="9"/>
        </w:numPr>
        <w:ind w:left="1077" w:hanging="357"/>
        <w:rPr>
          <w:b/>
          <w:bCs/>
          <w:lang w:val="en-US"/>
        </w:rPr>
      </w:pPr>
      <w:r w:rsidRPr="00C0061E">
        <w:rPr>
          <w:bCs/>
          <w:lang w:val="en-US"/>
        </w:rPr>
        <w:lastRenderedPageBreak/>
        <w:t>Due to the magnitude of price difference between sacubitril/valsartan and PBS listed ACE inhibitors and ARBs, first line use of sacubitril/valsartan would not be</w:t>
      </w:r>
      <w:r w:rsidR="00F266C2" w:rsidRPr="00C0061E">
        <w:rPr>
          <w:bCs/>
          <w:lang w:val="en-US"/>
        </w:rPr>
        <w:t xml:space="preserve"> as</w:t>
      </w:r>
      <w:r w:rsidRPr="00C0061E">
        <w:rPr>
          <w:bCs/>
          <w:lang w:val="en-US"/>
        </w:rPr>
        <w:t xml:space="preserve"> </w:t>
      </w:r>
      <w:r w:rsidR="003E7285">
        <w:rPr>
          <w:bCs/>
          <w:lang w:val="en-US"/>
        </w:rPr>
        <w:t>cost effectiv</w:t>
      </w:r>
      <w:r w:rsidRPr="00C0061E">
        <w:rPr>
          <w:bCs/>
          <w:lang w:val="en-US"/>
        </w:rPr>
        <w:t xml:space="preserve">e </w:t>
      </w:r>
      <w:r w:rsidR="00F266C2" w:rsidRPr="00C0061E">
        <w:rPr>
          <w:bCs/>
          <w:lang w:val="en-US"/>
        </w:rPr>
        <w:t xml:space="preserve">as the current PBS listing </w:t>
      </w:r>
      <w:r w:rsidRPr="00C0061E">
        <w:rPr>
          <w:bCs/>
          <w:lang w:val="en-US"/>
        </w:rPr>
        <w:t xml:space="preserve">for the cohort of patients who would otherwise be adequately </w:t>
      </w:r>
      <w:r w:rsidR="00180C31" w:rsidRPr="00C0061E">
        <w:rPr>
          <w:bCs/>
          <w:lang w:val="en-US"/>
        </w:rPr>
        <w:t>controlled with</w:t>
      </w:r>
      <w:r w:rsidRPr="00C0061E">
        <w:rPr>
          <w:bCs/>
          <w:lang w:val="en-US"/>
        </w:rPr>
        <w:t xml:space="preserve"> these less costly alternatives.</w:t>
      </w:r>
    </w:p>
    <w:p w14:paraId="2DBC81BB" w14:textId="77777777" w:rsidR="00F56527" w:rsidRPr="00C0061E" w:rsidRDefault="00F56527" w:rsidP="00F7293E">
      <w:pPr>
        <w:pStyle w:val="ExecSumBodyText"/>
        <w:ind w:left="709" w:hanging="709"/>
      </w:pPr>
      <w:r w:rsidRPr="00C0061E">
        <w:t>The ESC considered that</w:t>
      </w:r>
      <w:r w:rsidR="00180C31" w:rsidRPr="00C0061E">
        <w:t>,</w:t>
      </w:r>
      <w:r w:rsidRPr="00C0061E">
        <w:t xml:space="preserve"> as an assumption of equivalent </w:t>
      </w:r>
      <w:r w:rsidR="003E7285">
        <w:t>cost effectiv</w:t>
      </w:r>
      <w:r w:rsidRPr="00C0061E">
        <w:t>eness between the current population and the requested listing was inappropriate</w:t>
      </w:r>
      <w:r w:rsidR="00214967" w:rsidRPr="00C0061E">
        <w:t xml:space="preserve"> and inadequately justified</w:t>
      </w:r>
      <w:r w:rsidRPr="00C0061E">
        <w:t xml:space="preserve">, a full </w:t>
      </w:r>
      <w:r w:rsidR="003E7285">
        <w:t>cost effectiv</w:t>
      </w:r>
      <w:r w:rsidRPr="00C0061E">
        <w:t xml:space="preserve">eness analysis would be required </w:t>
      </w:r>
      <w:r w:rsidR="003506C3" w:rsidRPr="00C0061E">
        <w:t xml:space="preserve">to </w:t>
      </w:r>
      <w:r w:rsidRPr="00C0061E">
        <w:t>evaluate the requested change to listing.</w:t>
      </w:r>
      <w:r w:rsidR="00886956" w:rsidRPr="00C0061E">
        <w:t xml:space="preserve"> The ESC also considered </w:t>
      </w:r>
      <w:r w:rsidR="001801A7" w:rsidRPr="00C0061E">
        <w:t xml:space="preserve">that </w:t>
      </w:r>
      <w:r w:rsidR="00886956" w:rsidRPr="00C0061E">
        <w:t>listing on a cost minimisation basis with ACE inhibitors/ARBs for the expanded population may be reasonable in the absence of a modelled cost effectiveness analysis.</w:t>
      </w:r>
    </w:p>
    <w:p w14:paraId="33C9B355" w14:textId="77777777" w:rsidR="00C25D9C" w:rsidRDefault="00C25D9C" w:rsidP="00BB732D">
      <w:pPr>
        <w:pStyle w:val="3-SubsectionHeading"/>
      </w:pPr>
      <w:bookmarkStart w:id="20" w:name="_Toc22897646"/>
      <w:bookmarkStart w:id="21" w:name="_Toc51070693"/>
      <w:r w:rsidRPr="002C2775">
        <w:t>Drug cost/patient/year</w:t>
      </w:r>
      <w:bookmarkEnd w:id="20"/>
      <w:bookmarkEnd w:id="21"/>
    </w:p>
    <w:p w14:paraId="5BF199E5" w14:textId="77777777" w:rsidR="00494207" w:rsidRPr="00BB732D" w:rsidRDefault="00494207" w:rsidP="00230DB1">
      <w:pPr>
        <w:pStyle w:val="TableFigureCaption"/>
      </w:pPr>
      <w:r w:rsidRPr="00BB732D">
        <w:t xml:space="preserve">Table </w:t>
      </w:r>
      <w:r w:rsidR="00E70035">
        <w:t>1</w:t>
      </w:r>
      <w:r w:rsidR="00421018">
        <w:t>1</w:t>
      </w:r>
      <w:r w:rsidRPr="00BB732D">
        <w:t>: Drug cost per patient for proposed and comparator drugs</w:t>
      </w: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1"/>
        <w:gridCol w:w="1758"/>
        <w:gridCol w:w="1757"/>
        <w:gridCol w:w="1757"/>
        <w:gridCol w:w="1757"/>
      </w:tblGrid>
      <w:tr w:rsidR="000A7D6F" w:rsidRPr="00E2771E" w14:paraId="4CEA604A" w14:textId="77777777" w:rsidTr="000A7D6F">
        <w:trPr>
          <w:cantSplit/>
          <w:tblHeader/>
          <w:jc w:val="center"/>
        </w:trPr>
        <w:tc>
          <w:tcPr>
            <w:tcW w:w="1064" w:type="pct"/>
            <w:shd w:val="clear" w:color="auto" w:fill="auto"/>
            <w:vAlign w:val="center"/>
          </w:tcPr>
          <w:p w14:paraId="5EA9D41C" w14:textId="77777777" w:rsidR="000A7D6F" w:rsidRPr="00E2771E" w:rsidRDefault="000A7D6F" w:rsidP="00BB732D">
            <w:pPr>
              <w:pStyle w:val="Tableheadingrow"/>
              <w:jc w:val="center"/>
            </w:pPr>
          </w:p>
        </w:tc>
        <w:tc>
          <w:tcPr>
            <w:tcW w:w="984" w:type="pct"/>
            <w:shd w:val="clear" w:color="auto" w:fill="auto"/>
            <w:vAlign w:val="center"/>
          </w:tcPr>
          <w:p w14:paraId="343B21EB" w14:textId="77777777" w:rsidR="000A7D6F" w:rsidRPr="00E2771E" w:rsidRDefault="000A7D6F" w:rsidP="00BB732D">
            <w:pPr>
              <w:pStyle w:val="Tableheadingrow"/>
              <w:jc w:val="center"/>
            </w:pPr>
            <w:r>
              <w:t>Sacubitril/valsartan</w:t>
            </w:r>
          </w:p>
          <w:p w14:paraId="5B9115DA" w14:textId="77777777" w:rsidR="000A7D6F" w:rsidRPr="00F65EAA" w:rsidRDefault="000A7D6F" w:rsidP="00BB732D">
            <w:pPr>
              <w:pStyle w:val="Tableheadingrow"/>
              <w:jc w:val="center"/>
            </w:pPr>
            <w:r w:rsidRPr="00F65EAA">
              <w:t>Trial</w:t>
            </w:r>
            <w:r>
              <w:t xml:space="preserve"> </w:t>
            </w:r>
            <w:r w:rsidRPr="00F65EAA">
              <w:t>dos</w:t>
            </w:r>
            <w:r>
              <w:t>e</w:t>
            </w:r>
            <w:r w:rsidRPr="00F65EAA">
              <w:t xml:space="preserve"> and duration</w:t>
            </w:r>
          </w:p>
        </w:tc>
        <w:tc>
          <w:tcPr>
            <w:tcW w:w="984" w:type="pct"/>
            <w:shd w:val="clear" w:color="auto" w:fill="auto"/>
            <w:vAlign w:val="center"/>
          </w:tcPr>
          <w:p w14:paraId="68003218" w14:textId="77777777" w:rsidR="000A7D6F" w:rsidRDefault="000A7D6F" w:rsidP="00BB732D">
            <w:pPr>
              <w:pStyle w:val="Tableheadingrow"/>
              <w:jc w:val="center"/>
            </w:pPr>
            <w:r>
              <w:t>Sacubitril/valsartan</w:t>
            </w:r>
          </w:p>
          <w:p w14:paraId="6A8EC41E" w14:textId="77777777" w:rsidR="000A7D6F" w:rsidRPr="00E2771E" w:rsidRDefault="000A7D6F" w:rsidP="00BB732D">
            <w:pPr>
              <w:pStyle w:val="Tableheadingrow"/>
              <w:jc w:val="center"/>
            </w:pPr>
            <w:r>
              <w:t>Financial estimates</w:t>
            </w:r>
          </w:p>
        </w:tc>
        <w:tc>
          <w:tcPr>
            <w:tcW w:w="984" w:type="pct"/>
            <w:shd w:val="clear" w:color="auto" w:fill="auto"/>
            <w:vAlign w:val="center"/>
          </w:tcPr>
          <w:p w14:paraId="0206A757" w14:textId="77777777" w:rsidR="000A7D6F" w:rsidRDefault="000A7D6F" w:rsidP="00BB732D">
            <w:pPr>
              <w:pStyle w:val="Tableheadingrow"/>
              <w:jc w:val="center"/>
            </w:pPr>
            <w:r>
              <w:t>Enalapril</w:t>
            </w:r>
          </w:p>
          <w:p w14:paraId="544E726C" w14:textId="77777777" w:rsidR="000A7D6F" w:rsidRPr="00E2771E" w:rsidRDefault="000A7D6F" w:rsidP="00BB732D">
            <w:pPr>
              <w:pStyle w:val="Tableheadingrow"/>
              <w:jc w:val="center"/>
            </w:pPr>
            <w:r>
              <w:t>Trial dose and duration</w:t>
            </w:r>
          </w:p>
        </w:tc>
        <w:tc>
          <w:tcPr>
            <w:tcW w:w="984" w:type="pct"/>
          </w:tcPr>
          <w:p w14:paraId="60886D74" w14:textId="77777777" w:rsidR="000A7D6F" w:rsidRDefault="000A7D6F" w:rsidP="00BB732D">
            <w:pPr>
              <w:pStyle w:val="Tableheadingrow"/>
              <w:jc w:val="center"/>
            </w:pPr>
            <w:r>
              <w:t>ACE-inhibitors/ARBs</w:t>
            </w:r>
          </w:p>
          <w:p w14:paraId="6CDBF246" w14:textId="77777777" w:rsidR="000A7D6F" w:rsidRDefault="000A7D6F" w:rsidP="00BB732D">
            <w:pPr>
              <w:pStyle w:val="Tableheadingrow"/>
              <w:jc w:val="center"/>
            </w:pPr>
            <w:r>
              <w:t>Financial estimates</w:t>
            </w:r>
          </w:p>
        </w:tc>
      </w:tr>
      <w:tr w:rsidR="000A7D6F" w:rsidRPr="00E2771E" w14:paraId="3C897AD6" w14:textId="77777777" w:rsidTr="000A7D6F">
        <w:trPr>
          <w:cantSplit/>
          <w:jc w:val="center"/>
        </w:trPr>
        <w:tc>
          <w:tcPr>
            <w:tcW w:w="1064" w:type="pct"/>
            <w:shd w:val="clear" w:color="auto" w:fill="auto"/>
            <w:vAlign w:val="center"/>
          </w:tcPr>
          <w:p w14:paraId="567CD045" w14:textId="77777777" w:rsidR="000A7D6F" w:rsidRPr="001F5BDA" w:rsidRDefault="000A7D6F" w:rsidP="00BB732D">
            <w:pPr>
              <w:pStyle w:val="TableText"/>
              <w:rPr>
                <w:lang w:val="en-US"/>
              </w:rPr>
            </w:pPr>
            <w:r w:rsidRPr="001F5BDA">
              <w:rPr>
                <w:lang w:val="en-US"/>
              </w:rPr>
              <w:t>Mean dose</w:t>
            </w:r>
          </w:p>
        </w:tc>
        <w:tc>
          <w:tcPr>
            <w:tcW w:w="984" w:type="pct"/>
            <w:shd w:val="clear" w:color="auto" w:fill="auto"/>
            <w:vAlign w:val="center"/>
          </w:tcPr>
          <w:p w14:paraId="0D4EDBA9" w14:textId="77777777" w:rsidR="000A7D6F" w:rsidRPr="000A7D6F" w:rsidRDefault="00A829FF" w:rsidP="00A829FF">
            <w:pPr>
              <w:pStyle w:val="TableText"/>
              <w:jc w:val="center"/>
              <w:rPr>
                <w:lang w:val="en-US"/>
              </w:rPr>
            </w:pPr>
            <w:r>
              <w:rPr>
                <w:lang w:val="en-US"/>
              </w:rPr>
              <w:t>Dose dependent on SBP, 24/26 mg to 97/103 mg twice daily</w:t>
            </w:r>
          </w:p>
        </w:tc>
        <w:tc>
          <w:tcPr>
            <w:tcW w:w="984" w:type="pct"/>
            <w:shd w:val="clear" w:color="auto" w:fill="auto"/>
            <w:vAlign w:val="center"/>
          </w:tcPr>
          <w:p w14:paraId="254D87C9" w14:textId="77777777" w:rsidR="000A7D6F" w:rsidRPr="000A7D6F" w:rsidRDefault="00A829FF" w:rsidP="00BB732D">
            <w:pPr>
              <w:pStyle w:val="TableText"/>
              <w:jc w:val="center"/>
              <w:rPr>
                <w:lang w:val="en-US"/>
              </w:rPr>
            </w:pPr>
            <w:r>
              <w:rPr>
                <w:lang w:val="en-US"/>
              </w:rPr>
              <w:t>49/51 mg twice daily</w:t>
            </w:r>
          </w:p>
        </w:tc>
        <w:tc>
          <w:tcPr>
            <w:tcW w:w="984" w:type="pct"/>
            <w:shd w:val="clear" w:color="auto" w:fill="auto"/>
            <w:vAlign w:val="center"/>
          </w:tcPr>
          <w:p w14:paraId="2A5EF600" w14:textId="77777777" w:rsidR="000A7D6F" w:rsidRPr="000A7D6F" w:rsidRDefault="00A829FF" w:rsidP="00BB732D">
            <w:pPr>
              <w:pStyle w:val="TableText"/>
              <w:jc w:val="center"/>
              <w:rPr>
                <w:lang w:val="en-US"/>
              </w:rPr>
            </w:pPr>
            <w:r>
              <w:rPr>
                <w:lang w:val="en-US"/>
              </w:rPr>
              <w:t>Dose dependent on SBP, 5 mg/day to 20mg/day</w:t>
            </w:r>
          </w:p>
        </w:tc>
        <w:tc>
          <w:tcPr>
            <w:tcW w:w="984" w:type="pct"/>
          </w:tcPr>
          <w:p w14:paraId="18101886" w14:textId="77777777" w:rsidR="000A7D6F" w:rsidRPr="00A53232" w:rsidRDefault="00A53232" w:rsidP="00BB732D">
            <w:pPr>
              <w:pStyle w:val="TableText"/>
              <w:jc w:val="center"/>
              <w:rPr>
                <w:vertAlign w:val="superscript"/>
                <w:lang w:val="en-US"/>
              </w:rPr>
            </w:pPr>
            <w:r>
              <w:rPr>
                <w:lang w:val="en-US"/>
              </w:rPr>
              <w:t xml:space="preserve">N/A </w:t>
            </w:r>
            <w:r>
              <w:rPr>
                <w:vertAlign w:val="superscript"/>
                <w:lang w:val="en-US"/>
              </w:rPr>
              <w:t>a</w:t>
            </w:r>
          </w:p>
        </w:tc>
      </w:tr>
      <w:tr w:rsidR="000A7D6F" w:rsidRPr="00E2771E" w14:paraId="3EA03F71" w14:textId="77777777" w:rsidTr="000A7D6F">
        <w:trPr>
          <w:cantSplit/>
          <w:jc w:val="center"/>
        </w:trPr>
        <w:tc>
          <w:tcPr>
            <w:tcW w:w="1064" w:type="pct"/>
            <w:shd w:val="clear" w:color="auto" w:fill="auto"/>
            <w:vAlign w:val="center"/>
          </w:tcPr>
          <w:p w14:paraId="013A3964" w14:textId="77777777" w:rsidR="000A7D6F" w:rsidRPr="001F5BDA" w:rsidRDefault="000A7D6F" w:rsidP="00BB732D">
            <w:pPr>
              <w:pStyle w:val="TableText"/>
              <w:rPr>
                <w:lang w:val="en-US"/>
              </w:rPr>
            </w:pPr>
            <w:r w:rsidRPr="001F5BDA">
              <w:rPr>
                <w:lang w:val="en-US"/>
              </w:rPr>
              <w:t>Mean duration</w:t>
            </w:r>
          </w:p>
        </w:tc>
        <w:tc>
          <w:tcPr>
            <w:tcW w:w="984" w:type="pct"/>
            <w:shd w:val="clear" w:color="auto" w:fill="auto"/>
            <w:vAlign w:val="center"/>
          </w:tcPr>
          <w:p w14:paraId="31B8560B" w14:textId="77777777" w:rsidR="000A7D6F" w:rsidRPr="000A7D6F" w:rsidRDefault="00A829FF" w:rsidP="00BB732D">
            <w:pPr>
              <w:pStyle w:val="TableText"/>
              <w:jc w:val="center"/>
              <w:rPr>
                <w:lang w:val="en-US"/>
              </w:rPr>
            </w:pPr>
            <w:r>
              <w:rPr>
                <w:lang w:val="en-US"/>
              </w:rPr>
              <w:t>8 weeks</w:t>
            </w:r>
          </w:p>
        </w:tc>
        <w:tc>
          <w:tcPr>
            <w:tcW w:w="984" w:type="pct"/>
            <w:shd w:val="clear" w:color="auto" w:fill="auto"/>
            <w:vAlign w:val="center"/>
          </w:tcPr>
          <w:p w14:paraId="07C9BDFD" w14:textId="77777777" w:rsidR="000A7D6F" w:rsidRPr="000A7D6F" w:rsidRDefault="000A7D6F" w:rsidP="00BB732D">
            <w:pPr>
              <w:pStyle w:val="TableText"/>
              <w:jc w:val="center"/>
              <w:rPr>
                <w:lang w:val="en-US"/>
              </w:rPr>
            </w:pPr>
            <w:r w:rsidRPr="000A7D6F">
              <w:rPr>
                <w:lang w:val="en-US"/>
              </w:rPr>
              <w:t>ongoing</w:t>
            </w:r>
          </w:p>
        </w:tc>
        <w:tc>
          <w:tcPr>
            <w:tcW w:w="984" w:type="pct"/>
            <w:shd w:val="clear" w:color="auto" w:fill="auto"/>
            <w:vAlign w:val="center"/>
          </w:tcPr>
          <w:p w14:paraId="618A57A8" w14:textId="77777777" w:rsidR="000A7D6F" w:rsidRPr="000A7D6F" w:rsidRDefault="00A829FF" w:rsidP="00BB732D">
            <w:pPr>
              <w:pStyle w:val="TableText"/>
              <w:jc w:val="center"/>
              <w:rPr>
                <w:lang w:val="en-US"/>
              </w:rPr>
            </w:pPr>
            <w:r>
              <w:rPr>
                <w:lang w:val="en-US"/>
              </w:rPr>
              <w:t>8 weeks</w:t>
            </w:r>
          </w:p>
        </w:tc>
        <w:tc>
          <w:tcPr>
            <w:tcW w:w="984" w:type="pct"/>
          </w:tcPr>
          <w:p w14:paraId="1351A7D5" w14:textId="77777777" w:rsidR="000A7D6F" w:rsidRPr="000A7D6F" w:rsidRDefault="000A7D6F" w:rsidP="00BB732D">
            <w:pPr>
              <w:pStyle w:val="TableText"/>
              <w:jc w:val="center"/>
              <w:rPr>
                <w:lang w:val="en-US"/>
              </w:rPr>
            </w:pPr>
            <w:r>
              <w:rPr>
                <w:lang w:val="en-US"/>
              </w:rPr>
              <w:t>ongoing</w:t>
            </w:r>
          </w:p>
        </w:tc>
      </w:tr>
      <w:tr w:rsidR="000A7D6F" w:rsidRPr="00E2771E" w14:paraId="1D7B29E8" w14:textId="77777777" w:rsidTr="000A7D6F">
        <w:trPr>
          <w:cantSplit/>
          <w:jc w:val="center"/>
        </w:trPr>
        <w:tc>
          <w:tcPr>
            <w:tcW w:w="1064" w:type="pct"/>
            <w:shd w:val="clear" w:color="auto" w:fill="auto"/>
            <w:vAlign w:val="center"/>
          </w:tcPr>
          <w:p w14:paraId="24AE9A35" w14:textId="77777777" w:rsidR="000A7D6F" w:rsidRDefault="000A7D6F" w:rsidP="00BB732D">
            <w:pPr>
              <w:pStyle w:val="TableText"/>
              <w:rPr>
                <w:lang w:val="en-US"/>
              </w:rPr>
            </w:pPr>
            <w:r>
              <w:rPr>
                <w:lang w:val="en-US"/>
              </w:rPr>
              <w:t>Cost/patient/month</w:t>
            </w:r>
          </w:p>
          <w:p w14:paraId="595EBA05" w14:textId="77777777" w:rsidR="00A829FF" w:rsidRPr="00E2771E" w:rsidRDefault="00A829FF" w:rsidP="00BB732D">
            <w:pPr>
              <w:pStyle w:val="TableText"/>
              <w:rPr>
                <w:lang w:val="en-US"/>
              </w:rPr>
            </w:pPr>
            <w:r>
              <w:rPr>
                <w:lang w:val="en-US"/>
              </w:rPr>
              <w:t>(effective price for sacubitril/valsartan)</w:t>
            </w:r>
          </w:p>
        </w:tc>
        <w:tc>
          <w:tcPr>
            <w:tcW w:w="984" w:type="pct"/>
            <w:shd w:val="clear" w:color="auto" w:fill="auto"/>
            <w:vAlign w:val="center"/>
          </w:tcPr>
          <w:p w14:paraId="221338B2" w14:textId="77777777" w:rsidR="00A829FF" w:rsidRDefault="00A829FF" w:rsidP="00A829FF">
            <w:pPr>
              <w:pStyle w:val="TableText"/>
              <w:jc w:val="center"/>
              <w:rPr>
                <w:lang w:val="en-US"/>
              </w:rPr>
            </w:pPr>
            <w:r>
              <w:rPr>
                <w:lang w:val="en-US"/>
              </w:rPr>
              <w:t>Flat pricing across all dose strengths</w:t>
            </w:r>
          </w:p>
          <w:p w14:paraId="5672C733" w14:textId="77777777" w:rsidR="000A7D6F" w:rsidRPr="000A7D6F" w:rsidRDefault="00A829FF" w:rsidP="00A829FF">
            <w:pPr>
              <w:pStyle w:val="TableText"/>
              <w:jc w:val="center"/>
              <w:rPr>
                <w:lang w:val="en-US"/>
              </w:rPr>
            </w:pPr>
            <w:r>
              <w:rPr>
                <w:lang w:val="en-US"/>
              </w:rPr>
              <w:t>$</w:t>
            </w:r>
            <w:r w:rsidR="009658F2">
              <w:rPr>
                <w:noProof/>
                <w:color w:val="000000"/>
                <w:highlight w:val="black"/>
                <w:lang w:val="en-US"/>
              </w:rPr>
              <w:t>'''''''''''''''</w:t>
            </w:r>
          </w:p>
        </w:tc>
        <w:tc>
          <w:tcPr>
            <w:tcW w:w="984" w:type="pct"/>
            <w:shd w:val="clear" w:color="auto" w:fill="auto"/>
            <w:vAlign w:val="center"/>
          </w:tcPr>
          <w:p w14:paraId="0C50D4C2" w14:textId="77777777" w:rsidR="000A7D6F" w:rsidRDefault="00A829FF" w:rsidP="00BB732D">
            <w:pPr>
              <w:pStyle w:val="TableText"/>
              <w:jc w:val="center"/>
              <w:rPr>
                <w:lang w:val="en-US"/>
              </w:rPr>
            </w:pPr>
            <w:r>
              <w:rPr>
                <w:lang w:val="en-US"/>
              </w:rPr>
              <w:t>Flat pricing across all dose strengths</w:t>
            </w:r>
          </w:p>
          <w:p w14:paraId="13FED92A" w14:textId="77777777" w:rsidR="00A829FF" w:rsidRPr="000A7D6F" w:rsidRDefault="00A829FF" w:rsidP="00BB732D">
            <w:pPr>
              <w:pStyle w:val="TableText"/>
              <w:jc w:val="center"/>
              <w:rPr>
                <w:lang w:val="en-US"/>
              </w:rPr>
            </w:pPr>
            <w:r>
              <w:rPr>
                <w:lang w:val="en-US"/>
              </w:rPr>
              <w:t>$</w:t>
            </w:r>
            <w:r w:rsidR="009658F2">
              <w:rPr>
                <w:noProof/>
                <w:color w:val="000000"/>
                <w:highlight w:val="black"/>
                <w:lang w:val="en-US"/>
              </w:rPr>
              <w:t>''''''''''''''''''</w:t>
            </w:r>
          </w:p>
        </w:tc>
        <w:tc>
          <w:tcPr>
            <w:tcW w:w="984" w:type="pct"/>
            <w:shd w:val="clear" w:color="auto" w:fill="auto"/>
            <w:vAlign w:val="center"/>
          </w:tcPr>
          <w:p w14:paraId="32DDED0F" w14:textId="77777777" w:rsidR="00A829FF" w:rsidRDefault="00A829FF" w:rsidP="00BB732D">
            <w:pPr>
              <w:pStyle w:val="TableText"/>
              <w:jc w:val="center"/>
              <w:rPr>
                <w:lang w:val="en-US"/>
              </w:rPr>
            </w:pPr>
            <w:r>
              <w:rPr>
                <w:lang w:val="en-US"/>
              </w:rPr>
              <w:t xml:space="preserve">Average DPMQ for all dose strengths </w:t>
            </w:r>
          </w:p>
          <w:p w14:paraId="06DC3943" w14:textId="77777777" w:rsidR="000A7D6F" w:rsidRPr="000A7D6F" w:rsidRDefault="00A829FF" w:rsidP="00BB732D">
            <w:pPr>
              <w:pStyle w:val="TableText"/>
              <w:jc w:val="center"/>
              <w:rPr>
                <w:lang w:val="en-US"/>
              </w:rPr>
            </w:pPr>
            <w:r>
              <w:rPr>
                <w:lang w:val="en-US"/>
              </w:rPr>
              <w:t>$14.44</w:t>
            </w:r>
          </w:p>
        </w:tc>
        <w:tc>
          <w:tcPr>
            <w:tcW w:w="984" w:type="pct"/>
          </w:tcPr>
          <w:p w14:paraId="498D6687" w14:textId="77777777" w:rsidR="000A7D6F" w:rsidRDefault="00A53232" w:rsidP="00BB732D">
            <w:pPr>
              <w:pStyle w:val="TableText"/>
              <w:jc w:val="center"/>
              <w:rPr>
                <w:lang w:val="en-US"/>
              </w:rPr>
            </w:pPr>
            <w:r>
              <w:rPr>
                <w:lang w:val="en-US"/>
              </w:rPr>
              <w:t>ACE-inhibitor:</w:t>
            </w:r>
            <w:r w:rsidR="00B20677">
              <w:rPr>
                <w:lang w:val="en-US"/>
              </w:rPr>
              <w:t xml:space="preserve"> </w:t>
            </w:r>
            <w:r>
              <w:rPr>
                <w:lang w:val="en-US"/>
              </w:rPr>
              <w:t>$14.93</w:t>
            </w:r>
          </w:p>
          <w:p w14:paraId="50A322CE" w14:textId="77777777" w:rsidR="00A53232" w:rsidRPr="000A7D6F" w:rsidRDefault="00A53232" w:rsidP="00BB732D">
            <w:pPr>
              <w:pStyle w:val="TableText"/>
              <w:jc w:val="center"/>
              <w:rPr>
                <w:lang w:val="en-US"/>
              </w:rPr>
            </w:pPr>
            <w:r>
              <w:rPr>
                <w:lang w:val="en-US"/>
              </w:rPr>
              <w:t>ARBs: $14.44</w:t>
            </w:r>
          </w:p>
        </w:tc>
      </w:tr>
      <w:tr w:rsidR="000A7D6F" w:rsidRPr="00E2771E" w14:paraId="30477EC3" w14:textId="77777777" w:rsidTr="000A7D6F">
        <w:trPr>
          <w:cantSplit/>
          <w:jc w:val="center"/>
        </w:trPr>
        <w:tc>
          <w:tcPr>
            <w:tcW w:w="1064" w:type="pct"/>
            <w:shd w:val="clear" w:color="auto" w:fill="auto"/>
            <w:vAlign w:val="center"/>
          </w:tcPr>
          <w:p w14:paraId="1903606E" w14:textId="77777777" w:rsidR="000A7D6F" w:rsidRPr="00E2771E" w:rsidRDefault="000A7D6F" w:rsidP="000A7D6F">
            <w:pPr>
              <w:pStyle w:val="TableText"/>
              <w:rPr>
                <w:lang w:val="en-US"/>
              </w:rPr>
            </w:pPr>
            <w:r>
              <w:rPr>
                <w:lang w:val="en-US"/>
              </w:rPr>
              <w:t>Cost/patient/year</w:t>
            </w:r>
            <w:r w:rsidR="00A829FF">
              <w:rPr>
                <w:lang w:val="en-US"/>
              </w:rPr>
              <w:t xml:space="preserve"> (13.04 scripts/patient/year)</w:t>
            </w:r>
          </w:p>
        </w:tc>
        <w:tc>
          <w:tcPr>
            <w:tcW w:w="984" w:type="pct"/>
            <w:shd w:val="clear" w:color="auto" w:fill="auto"/>
            <w:vAlign w:val="center"/>
          </w:tcPr>
          <w:p w14:paraId="319729D0" w14:textId="77777777" w:rsidR="000A7D6F" w:rsidRPr="000A7D6F" w:rsidRDefault="00A829FF" w:rsidP="00BB732D">
            <w:pPr>
              <w:pStyle w:val="TableText"/>
              <w:jc w:val="center"/>
              <w:rPr>
                <w:lang w:val="en-US"/>
              </w:rPr>
            </w:pPr>
            <w:r>
              <w:rPr>
                <w:lang w:val="en-US"/>
              </w:rPr>
              <w:t>$</w:t>
            </w:r>
            <w:r w:rsidR="009658F2">
              <w:rPr>
                <w:noProof/>
                <w:color w:val="000000"/>
                <w:highlight w:val="black"/>
                <w:lang w:val="en-US"/>
              </w:rPr>
              <w:t>'''''''''''''''''''''</w:t>
            </w:r>
          </w:p>
        </w:tc>
        <w:tc>
          <w:tcPr>
            <w:tcW w:w="984" w:type="pct"/>
            <w:shd w:val="clear" w:color="auto" w:fill="auto"/>
            <w:vAlign w:val="center"/>
          </w:tcPr>
          <w:p w14:paraId="0F2BDFD7" w14:textId="77777777" w:rsidR="000A7D6F" w:rsidRPr="000A7D6F" w:rsidRDefault="00A829FF" w:rsidP="00BB732D">
            <w:pPr>
              <w:pStyle w:val="TableText"/>
              <w:jc w:val="center"/>
              <w:rPr>
                <w:lang w:val="en-US"/>
              </w:rPr>
            </w:pPr>
            <w:r>
              <w:rPr>
                <w:lang w:val="en-US"/>
              </w:rPr>
              <w:t>$</w:t>
            </w:r>
            <w:r w:rsidR="009658F2">
              <w:rPr>
                <w:noProof/>
                <w:color w:val="000000"/>
                <w:highlight w:val="black"/>
                <w:lang w:val="en-US"/>
              </w:rPr>
              <w:t>'''''''''''''''''</w:t>
            </w:r>
          </w:p>
        </w:tc>
        <w:tc>
          <w:tcPr>
            <w:tcW w:w="984" w:type="pct"/>
            <w:shd w:val="clear" w:color="auto" w:fill="auto"/>
            <w:vAlign w:val="center"/>
          </w:tcPr>
          <w:p w14:paraId="2136F554" w14:textId="77777777" w:rsidR="000A7D6F" w:rsidRPr="000A7D6F" w:rsidRDefault="00A829FF" w:rsidP="00BB732D">
            <w:pPr>
              <w:pStyle w:val="TableText"/>
              <w:jc w:val="center"/>
              <w:rPr>
                <w:lang w:val="en-US"/>
              </w:rPr>
            </w:pPr>
            <w:r>
              <w:rPr>
                <w:lang w:val="en-US"/>
              </w:rPr>
              <w:t>$188.30</w:t>
            </w:r>
          </w:p>
        </w:tc>
        <w:tc>
          <w:tcPr>
            <w:tcW w:w="984" w:type="pct"/>
          </w:tcPr>
          <w:p w14:paraId="546E5029" w14:textId="77777777" w:rsidR="000A7D6F" w:rsidRDefault="00B20677" w:rsidP="00BB732D">
            <w:pPr>
              <w:pStyle w:val="TableText"/>
              <w:jc w:val="center"/>
              <w:rPr>
                <w:lang w:val="en-US"/>
              </w:rPr>
            </w:pPr>
            <w:r>
              <w:rPr>
                <w:lang w:val="en-US"/>
              </w:rPr>
              <w:t>ACE-inhibitor: $194.69</w:t>
            </w:r>
          </w:p>
          <w:p w14:paraId="27061B06" w14:textId="77777777" w:rsidR="00B20677" w:rsidRPr="000A7D6F" w:rsidRDefault="00B20677" w:rsidP="00BB732D">
            <w:pPr>
              <w:pStyle w:val="TableText"/>
              <w:jc w:val="center"/>
              <w:rPr>
                <w:lang w:val="en-US"/>
              </w:rPr>
            </w:pPr>
            <w:r>
              <w:rPr>
                <w:lang w:val="en-US"/>
              </w:rPr>
              <w:t>ARBs: $188.30</w:t>
            </w:r>
          </w:p>
        </w:tc>
      </w:tr>
    </w:tbl>
    <w:p w14:paraId="41D6C08D" w14:textId="77777777" w:rsidR="00494207" w:rsidRDefault="00494207" w:rsidP="00C94053">
      <w:pPr>
        <w:pStyle w:val="TableFigureFooter"/>
      </w:pPr>
      <w:r w:rsidRPr="007F1017">
        <w:t xml:space="preserve">Source: </w:t>
      </w:r>
      <w:r w:rsidR="00A829FF">
        <w:t>Compiled during the evaluation</w:t>
      </w:r>
    </w:p>
    <w:p w14:paraId="66A5C686" w14:textId="77777777" w:rsidR="000A7D6F" w:rsidRDefault="000A7D6F" w:rsidP="00C94053">
      <w:pPr>
        <w:pStyle w:val="TableFigureFooter"/>
      </w:pPr>
      <w:r>
        <w:t>Abbreviations: ACE, angiotensin-converting enzyme; ARB, angiotensin II receptor blocker</w:t>
      </w:r>
      <w:r w:rsidR="00A829FF">
        <w:t>; SBP, systolic blood pressure</w:t>
      </w:r>
    </w:p>
    <w:p w14:paraId="00BDF2B4" w14:textId="77777777" w:rsidR="00A53232" w:rsidRDefault="00A53232" w:rsidP="00C94053">
      <w:pPr>
        <w:pStyle w:val="TableFigureFooter"/>
      </w:pPr>
      <w:r>
        <w:rPr>
          <w:vertAlign w:val="superscript"/>
        </w:rPr>
        <w:t>a</w:t>
      </w:r>
      <w:r>
        <w:t xml:space="preserve"> In the financial estimates, the comparator was all dose strengths of all PBS-listed ACE-inhibitors and ARBs, with an average</w:t>
      </w:r>
      <w:r w:rsidR="00B20677">
        <w:t xml:space="preserve"> price utilised for calculation of cost-offsets. Cost/patient/month and /year are approximate, as these comparators vary in cost and whether there are 28 or 30 days of treatment per script. </w:t>
      </w:r>
    </w:p>
    <w:p w14:paraId="121485B6" w14:textId="77777777" w:rsidR="00B60939" w:rsidRPr="00C9624D" w:rsidRDefault="00B60939" w:rsidP="002B05A1">
      <w:pPr>
        <w:pStyle w:val="3-SubsectionHeading"/>
      </w:pPr>
      <w:bookmarkStart w:id="22" w:name="_Toc22897647"/>
      <w:bookmarkStart w:id="23" w:name="_Toc51070694"/>
      <w:r w:rsidRPr="00C9624D">
        <w:t>Estimated PBS usage &amp; financial implications</w:t>
      </w:r>
      <w:bookmarkEnd w:id="22"/>
      <w:bookmarkEnd w:id="23"/>
    </w:p>
    <w:p w14:paraId="385A51F0" w14:textId="77777777" w:rsidR="00C73DC8" w:rsidRPr="00C73DC8" w:rsidRDefault="00C73DC8" w:rsidP="00C73DC8">
      <w:pPr>
        <w:pStyle w:val="ExecSumBodyText"/>
        <w:numPr>
          <w:ilvl w:val="1"/>
          <w:numId w:val="1"/>
        </w:numPr>
        <w:ind w:left="709" w:hanging="709"/>
        <w:rPr>
          <w:color w:val="0066FF"/>
        </w:rPr>
      </w:pPr>
      <w:bookmarkStart w:id="24" w:name="_Toc22897648"/>
      <w:bookmarkStart w:id="25" w:name="_Toc51070695"/>
      <w:r w:rsidRPr="00C73DC8">
        <w:t xml:space="preserve">This submission </w:t>
      </w:r>
      <w:r>
        <w:t>was</w:t>
      </w:r>
      <w:r w:rsidRPr="00C73DC8">
        <w:t xml:space="preserve"> considered by DUSC. The submission stated that an epidemiological approach was taken in estimating utilisation in the new patient population. The submission attempted to estimate utilisation in the new patient population based on a proportion of the growth rates in existing prescriptions. This was inappropriate, and estimates of utilisation drawn from this approach do not appear to meet face validity.</w:t>
      </w:r>
    </w:p>
    <w:p w14:paraId="7C0639B7" w14:textId="77777777" w:rsidR="00C73DC8" w:rsidRPr="00C73DC8" w:rsidRDefault="00C73DC8" w:rsidP="00C73DC8">
      <w:pPr>
        <w:jc w:val="left"/>
        <w:rPr>
          <w:rFonts w:ascii="Arial Narrow" w:eastAsiaTheme="majorEastAsia" w:hAnsi="Arial Narrow" w:cstheme="majorBidi"/>
          <w:b/>
          <w:bCs/>
          <w:sz w:val="20"/>
        </w:rPr>
      </w:pPr>
      <w:r w:rsidRPr="00C73DC8">
        <w:br w:type="page"/>
      </w:r>
    </w:p>
    <w:p w14:paraId="15E11B9E" w14:textId="77777777" w:rsidR="00C73DC8" w:rsidRPr="00C73DC8" w:rsidRDefault="00C73DC8" w:rsidP="00C73DC8">
      <w:pPr>
        <w:pStyle w:val="TableFigureCaption"/>
        <w:keepNext w:val="0"/>
      </w:pPr>
      <w:r w:rsidRPr="00C73DC8">
        <w:lastRenderedPageBreak/>
        <w:t>Table 12: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3"/>
        <w:gridCol w:w="4094"/>
        <w:gridCol w:w="3210"/>
      </w:tblGrid>
      <w:tr w:rsidR="00C73DC8" w:rsidRPr="00C73DC8" w14:paraId="74C872D3" w14:textId="77777777" w:rsidTr="00A35916">
        <w:trPr>
          <w:tblHeader/>
        </w:trPr>
        <w:tc>
          <w:tcPr>
            <w:tcW w:w="950" w:type="pct"/>
            <w:shd w:val="clear" w:color="auto" w:fill="auto"/>
            <w:vAlign w:val="center"/>
          </w:tcPr>
          <w:p w14:paraId="77ED32DE" w14:textId="77777777" w:rsidR="00C73DC8" w:rsidRPr="00C73DC8" w:rsidRDefault="00C73DC8" w:rsidP="00A35916">
            <w:pPr>
              <w:pStyle w:val="Tableheadingrow"/>
              <w:keepNext w:val="0"/>
            </w:pPr>
            <w:r w:rsidRPr="00C73DC8">
              <w:t>Parameter</w:t>
            </w:r>
          </w:p>
        </w:tc>
        <w:tc>
          <w:tcPr>
            <w:tcW w:w="2270" w:type="pct"/>
            <w:shd w:val="clear" w:color="auto" w:fill="auto"/>
            <w:vAlign w:val="center"/>
          </w:tcPr>
          <w:p w14:paraId="61C570DF" w14:textId="77777777" w:rsidR="00C73DC8" w:rsidRPr="00C73DC8" w:rsidRDefault="00C73DC8" w:rsidP="00A35916">
            <w:pPr>
              <w:pStyle w:val="Tableheadingrow"/>
              <w:keepNext w:val="0"/>
            </w:pPr>
            <w:r w:rsidRPr="00C73DC8">
              <w:t>Value applied and source</w:t>
            </w:r>
          </w:p>
        </w:tc>
        <w:tc>
          <w:tcPr>
            <w:tcW w:w="1780" w:type="pct"/>
            <w:shd w:val="clear" w:color="auto" w:fill="auto"/>
            <w:vAlign w:val="center"/>
          </w:tcPr>
          <w:p w14:paraId="6E880F86" w14:textId="77777777" w:rsidR="00C73DC8" w:rsidRPr="00C73DC8" w:rsidRDefault="00C73DC8" w:rsidP="00A35916">
            <w:pPr>
              <w:pStyle w:val="Tableheadingrow"/>
              <w:keepNext w:val="0"/>
            </w:pPr>
            <w:r w:rsidRPr="00C73DC8">
              <w:t>Comment</w:t>
            </w:r>
          </w:p>
        </w:tc>
      </w:tr>
      <w:tr w:rsidR="00C73DC8" w:rsidRPr="00C73DC8" w14:paraId="2FE05F19" w14:textId="77777777" w:rsidTr="00A35916">
        <w:tc>
          <w:tcPr>
            <w:tcW w:w="950" w:type="pct"/>
            <w:shd w:val="clear" w:color="auto" w:fill="auto"/>
            <w:vAlign w:val="center"/>
          </w:tcPr>
          <w:p w14:paraId="48E9FF43" w14:textId="77777777" w:rsidR="00C73DC8" w:rsidRPr="00C73DC8" w:rsidRDefault="00C73DC8" w:rsidP="00A35916">
            <w:pPr>
              <w:pStyle w:val="TableText"/>
              <w:keepNext w:val="0"/>
              <w:rPr>
                <w:lang w:val="en-US"/>
              </w:rPr>
            </w:pPr>
            <w:r w:rsidRPr="00C73DC8">
              <w:rPr>
                <w:lang w:val="en-US"/>
              </w:rPr>
              <w:t>Currently eligible population (scripts)</w:t>
            </w:r>
          </w:p>
        </w:tc>
        <w:tc>
          <w:tcPr>
            <w:tcW w:w="2270" w:type="pct"/>
            <w:shd w:val="clear" w:color="auto" w:fill="auto"/>
            <w:vAlign w:val="center"/>
          </w:tcPr>
          <w:p w14:paraId="53F29BDC" w14:textId="77777777" w:rsidR="00C73DC8" w:rsidRPr="00C73DC8" w:rsidRDefault="00C73DC8" w:rsidP="00A35916">
            <w:pPr>
              <w:pStyle w:val="TableText"/>
              <w:keepNext w:val="0"/>
            </w:pPr>
            <w:r w:rsidRPr="00C73DC8">
              <w:t>Current PBS script data for sacubitril/valsartan, extrapolated using average monthly growth in script numbers (1036 scripts /month) from June 2019 to April 2020.</w:t>
            </w:r>
          </w:p>
          <w:p w14:paraId="1D521DB1" w14:textId="77777777" w:rsidR="00C73DC8" w:rsidRPr="00C73DC8" w:rsidRDefault="00C73DC8" w:rsidP="00A35916">
            <w:pPr>
              <w:pStyle w:val="TableText"/>
              <w:keepNext w:val="0"/>
            </w:pPr>
            <w:r w:rsidRPr="00C73DC8">
              <w:t xml:space="preserve">Year 1 – </w:t>
            </w:r>
            <w:r w:rsidR="009658F2">
              <w:rPr>
                <w:noProof/>
                <w:color w:val="000000"/>
                <w:highlight w:val="black"/>
              </w:rPr>
              <w:t>''''''''''''''''''''</w:t>
            </w:r>
            <w:r w:rsidR="0086372A" w:rsidRPr="0086372A">
              <w:rPr>
                <w:vertAlign w:val="superscript"/>
              </w:rPr>
              <w:t>1</w:t>
            </w:r>
            <w:r w:rsidRPr="00C73DC8">
              <w:t>scripts, increasing to</w:t>
            </w:r>
          </w:p>
          <w:p w14:paraId="7249CFD0" w14:textId="77777777" w:rsidR="00C73DC8" w:rsidRPr="00C73DC8" w:rsidRDefault="00C73DC8" w:rsidP="00A35916">
            <w:pPr>
              <w:pStyle w:val="TableText"/>
              <w:keepNext w:val="0"/>
              <w:rPr>
                <w:lang w:val="en-US"/>
              </w:rPr>
            </w:pPr>
            <w:r w:rsidRPr="00C73DC8">
              <w:t xml:space="preserve">Year 6 – </w:t>
            </w:r>
            <w:r w:rsidR="009658F2">
              <w:rPr>
                <w:noProof/>
                <w:color w:val="000000"/>
                <w:highlight w:val="black"/>
              </w:rPr>
              <w:t>''''''''''''''''''''''''</w:t>
            </w:r>
            <w:r w:rsidR="0086372A">
              <w:rPr>
                <w:vertAlign w:val="superscript"/>
              </w:rPr>
              <w:t>2</w:t>
            </w:r>
            <w:r w:rsidRPr="00C73DC8">
              <w:t xml:space="preserve"> scripts.</w:t>
            </w:r>
          </w:p>
        </w:tc>
        <w:tc>
          <w:tcPr>
            <w:tcW w:w="1780" w:type="pct"/>
            <w:shd w:val="clear" w:color="auto" w:fill="auto"/>
            <w:vAlign w:val="center"/>
          </w:tcPr>
          <w:p w14:paraId="14B64777" w14:textId="77777777" w:rsidR="00C73DC8" w:rsidRPr="00C73DC8" w:rsidRDefault="00C73DC8" w:rsidP="00A35916">
            <w:pPr>
              <w:pStyle w:val="TableText"/>
              <w:keepNext w:val="0"/>
              <w:rPr>
                <w:lang w:val="en-US"/>
              </w:rPr>
            </w:pPr>
            <w:r w:rsidRPr="00C73DC8">
              <w:rPr>
                <w:lang w:val="en-US"/>
              </w:rPr>
              <w:t>Unclear if underestimate or overestimate. Monthly average growth varies widely depending on 12 month period used. Does not take into account potential for increased use in currently eligible patients with expansion of restriction.</w:t>
            </w:r>
          </w:p>
        </w:tc>
      </w:tr>
      <w:tr w:rsidR="00C73DC8" w:rsidRPr="00C73DC8" w14:paraId="10403467" w14:textId="77777777" w:rsidTr="00A35916">
        <w:tc>
          <w:tcPr>
            <w:tcW w:w="950" w:type="pct"/>
            <w:shd w:val="clear" w:color="auto" w:fill="auto"/>
            <w:vAlign w:val="center"/>
          </w:tcPr>
          <w:p w14:paraId="4DAD04C5" w14:textId="77777777" w:rsidR="00C73DC8" w:rsidRPr="00C73DC8" w:rsidRDefault="00C73DC8" w:rsidP="00A35916">
            <w:pPr>
              <w:pStyle w:val="TableText"/>
              <w:keepNext w:val="0"/>
              <w:rPr>
                <w:lang w:val="en-US"/>
              </w:rPr>
            </w:pPr>
            <w:r w:rsidRPr="00C73DC8">
              <w:t>Additional growth: patients with LVEF% ≤40%, and 41-49% (number of scripts)</w:t>
            </w:r>
          </w:p>
        </w:tc>
        <w:tc>
          <w:tcPr>
            <w:tcW w:w="2270" w:type="pct"/>
            <w:shd w:val="clear" w:color="auto" w:fill="auto"/>
            <w:vAlign w:val="center"/>
          </w:tcPr>
          <w:p w14:paraId="019CC65F" w14:textId="77777777" w:rsidR="00C73DC8" w:rsidRPr="00C73DC8" w:rsidRDefault="00C73DC8" w:rsidP="00A35916">
            <w:pPr>
              <w:pStyle w:val="TableText"/>
              <w:keepNext w:val="0"/>
            </w:pPr>
            <w:r w:rsidRPr="00C73DC8">
              <w:t xml:space="preserve">Distribution of LVEF% across the chronic heart failure population from the SHAPE study (Sindone 2019), adjusted to exclude patients with LVEF &gt;50%. </w:t>
            </w:r>
          </w:p>
          <w:p w14:paraId="7672E4F4" w14:textId="77777777" w:rsidR="00C73DC8" w:rsidRPr="00C73DC8" w:rsidRDefault="00C73DC8" w:rsidP="00A35916">
            <w:pPr>
              <w:pStyle w:val="TableText"/>
              <w:keepNext w:val="0"/>
            </w:pPr>
          </w:p>
          <w:p w14:paraId="30C6588F" w14:textId="77777777" w:rsidR="00C73DC8" w:rsidRPr="00192EE9" w:rsidRDefault="00C73DC8" w:rsidP="00A35916">
            <w:pPr>
              <w:pStyle w:val="TableText"/>
              <w:keepNext w:val="0"/>
            </w:pPr>
            <w:r w:rsidRPr="00192EE9">
              <w:t xml:space="preserve">Calculated based on current PBS script data </w:t>
            </w:r>
          </w:p>
          <w:p w14:paraId="444024F7" w14:textId="77777777" w:rsidR="001D40DD" w:rsidRPr="00192EE9" w:rsidRDefault="00C73DC8" w:rsidP="001D40DD">
            <w:pPr>
              <w:pStyle w:val="TableText"/>
              <w:keepNext w:val="0"/>
            </w:pPr>
            <w:r w:rsidRPr="00192EE9">
              <w:t xml:space="preserve">≤40%: </w:t>
            </w:r>
            <w:r w:rsidR="001D40DD" w:rsidRPr="00192EE9">
              <w:t>72.6% (accounted for in currently eligible pop’n)</w:t>
            </w:r>
          </w:p>
          <w:p w14:paraId="6BD6E85A" w14:textId="77777777" w:rsidR="00C73DC8" w:rsidRPr="00C73DC8" w:rsidRDefault="001D40DD" w:rsidP="00B96F69">
            <w:pPr>
              <w:pStyle w:val="TableText"/>
              <w:keepNext w:val="0"/>
            </w:pPr>
            <w:r w:rsidRPr="00192EE9">
              <w:t xml:space="preserve">40-49%: 27.4% (growth </w:t>
            </w:r>
            <w:r w:rsidR="00B96F69" w:rsidRPr="00192EE9">
              <w:t>&lt; 500</w:t>
            </w:r>
            <w:r w:rsidR="00B96F69" w:rsidRPr="00C73DC8">
              <w:t xml:space="preserve"> </w:t>
            </w:r>
            <w:r w:rsidRPr="00C73DC8">
              <w:t>scripts/month)</w:t>
            </w:r>
          </w:p>
        </w:tc>
        <w:tc>
          <w:tcPr>
            <w:tcW w:w="1780" w:type="pct"/>
            <w:shd w:val="clear" w:color="auto" w:fill="auto"/>
            <w:vAlign w:val="center"/>
          </w:tcPr>
          <w:p w14:paraId="2E9CAF9F" w14:textId="77777777" w:rsidR="00C73DC8" w:rsidRPr="00C73DC8" w:rsidRDefault="00C73DC8" w:rsidP="00A35916">
            <w:pPr>
              <w:pStyle w:val="TableText"/>
              <w:keepNext w:val="0"/>
            </w:pPr>
            <w:r w:rsidRPr="00C73DC8">
              <w:t>Highly uncertain estimates with proportional growth estimated from current script numbers and not the total pool of potentially eligible patients.</w:t>
            </w:r>
          </w:p>
          <w:p w14:paraId="4C0A2208" w14:textId="77777777" w:rsidR="00C73DC8" w:rsidRPr="00C73DC8" w:rsidRDefault="00C73DC8" w:rsidP="00A35916">
            <w:pPr>
              <w:pStyle w:val="TableText"/>
              <w:keepNext w:val="0"/>
            </w:pPr>
          </w:p>
          <w:p w14:paraId="3BC85A62" w14:textId="77777777" w:rsidR="00C73DC8" w:rsidRPr="00C73DC8" w:rsidRDefault="00C73DC8" w:rsidP="00A35916">
            <w:pPr>
              <w:pStyle w:val="TableText"/>
              <w:keepNext w:val="0"/>
              <w:rPr>
                <w:lang w:val="en-US"/>
              </w:rPr>
            </w:pPr>
            <w:r w:rsidRPr="00C73DC8">
              <w:t>Retrospective cohort study in Australian primary care setting. Only a small proportion of study participants (4.5%) had LVEF results available (982/21,878 patients with definite/probable heart failure). Limited data available from publication – conference abstract.</w:t>
            </w:r>
          </w:p>
        </w:tc>
      </w:tr>
      <w:tr w:rsidR="00C73DC8" w:rsidRPr="00C73DC8" w14:paraId="22330FD0" w14:textId="77777777" w:rsidTr="00A35916">
        <w:tc>
          <w:tcPr>
            <w:tcW w:w="950" w:type="pct"/>
            <w:shd w:val="clear" w:color="auto" w:fill="auto"/>
            <w:vAlign w:val="center"/>
          </w:tcPr>
          <w:p w14:paraId="0A26FBE2" w14:textId="77777777" w:rsidR="00C73DC8" w:rsidRPr="00C73DC8" w:rsidRDefault="00C73DC8" w:rsidP="00A35916">
            <w:pPr>
              <w:pStyle w:val="TableText"/>
              <w:keepNext w:val="0"/>
              <w:rPr>
                <w:lang w:val="en-US"/>
              </w:rPr>
            </w:pPr>
            <w:r w:rsidRPr="00C73DC8">
              <w:t>Additional growth: patients not currently treated with ACE-inhibitor or ARB (34%)</w:t>
            </w:r>
          </w:p>
        </w:tc>
        <w:tc>
          <w:tcPr>
            <w:tcW w:w="2270" w:type="pct"/>
            <w:shd w:val="clear" w:color="auto" w:fill="auto"/>
            <w:vAlign w:val="center"/>
          </w:tcPr>
          <w:p w14:paraId="1499C3E1" w14:textId="77777777" w:rsidR="00C73DC8" w:rsidRPr="00C73DC8" w:rsidRDefault="00C73DC8" w:rsidP="00A35916">
            <w:pPr>
              <w:pStyle w:val="TableText"/>
              <w:keepNext w:val="0"/>
            </w:pPr>
            <w:r w:rsidRPr="00C73DC8">
              <w:t>Complement of proportion of patients with de novo HF and LVEF≤40% prescribed ACE-inhibitor/ARB at discharge from hospitalisation for acute heart failure from the SNAPSHOT-HF Study (Newton 2016), a prospective audit of consecutive patients to hospitals in NSW and ACT.</w:t>
            </w:r>
          </w:p>
          <w:p w14:paraId="69FC39BF" w14:textId="77777777" w:rsidR="00C73DC8" w:rsidRPr="00C73DC8" w:rsidRDefault="00C73DC8" w:rsidP="00A35916">
            <w:pPr>
              <w:pStyle w:val="TableText"/>
              <w:keepNext w:val="0"/>
            </w:pPr>
          </w:p>
          <w:p w14:paraId="0C403845" w14:textId="77777777" w:rsidR="00C73DC8" w:rsidRPr="00C73DC8" w:rsidRDefault="00C73DC8" w:rsidP="00A35916">
            <w:pPr>
              <w:pStyle w:val="TableText"/>
              <w:keepNext w:val="0"/>
            </w:pPr>
            <w:r w:rsidRPr="00C73DC8">
              <w:t>Calculated based on proportions of current PBS script data</w:t>
            </w:r>
          </w:p>
          <w:p w14:paraId="16BB676A" w14:textId="77777777" w:rsidR="00C73DC8" w:rsidRPr="00C73DC8" w:rsidRDefault="00C73DC8" w:rsidP="00A35916">
            <w:pPr>
              <w:pStyle w:val="TableText"/>
              <w:keepNext w:val="0"/>
            </w:pPr>
            <w:r w:rsidRPr="00C73DC8">
              <w:t>Prescribed ACE-inhibitor/ARB: 66% (accounted for in currently eligible pop’n)</w:t>
            </w:r>
          </w:p>
          <w:p w14:paraId="2E7B17C3" w14:textId="77777777" w:rsidR="00C73DC8" w:rsidRPr="00C73DC8" w:rsidRDefault="00C73DC8" w:rsidP="00A35916">
            <w:pPr>
              <w:pStyle w:val="TableText"/>
              <w:keepNext w:val="0"/>
            </w:pPr>
            <w:r w:rsidRPr="00C73DC8">
              <w:t xml:space="preserve">Not prescribed ACE-inhibitor/ARB: 34% </w:t>
            </w:r>
            <w:r w:rsidR="001D40DD" w:rsidRPr="00C73DC8">
              <w:t>(</w:t>
            </w:r>
            <w:r w:rsidR="00B96F69" w:rsidRPr="00B96F69">
              <w:t>500 to &lt; 5,000</w:t>
            </w:r>
            <w:r w:rsidR="001D40DD" w:rsidRPr="00C73DC8">
              <w:t xml:space="preserve"> scripts/month)</w:t>
            </w:r>
          </w:p>
        </w:tc>
        <w:tc>
          <w:tcPr>
            <w:tcW w:w="1780" w:type="pct"/>
            <w:shd w:val="clear" w:color="auto" w:fill="auto"/>
            <w:vAlign w:val="center"/>
          </w:tcPr>
          <w:p w14:paraId="434B6DE7" w14:textId="77777777" w:rsidR="00C73DC8" w:rsidRPr="00C73DC8" w:rsidRDefault="00C73DC8" w:rsidP="00A35916">
            <w:pPr>
              <w:pStyle w:val="TableText"/>
              <w:keepNext w:val="0"/>
            </w:pPr>
            <w:r w:rsidRPr="00C73DC8">
              <w:t>Highly uncertain estimates with proportional growth estimated from current script numbers and not the total pool of potentially eligible patients.</w:t>
            </w:r>
          </w:p>
          <w:p w14:paraId="3FC41D7F" w14:textId="77777777" w:rsidR="00C73DC8" w:rsidRPr="00C73DC8" w:rsidRDefault="00C73DC8" w:rsidP="00A35916">
            <w:pPr>
              <w:pStyle w:val="TableText"/>
              <w:keepNext w:val="0"/>
            </w:pPr>
          </w:p>
          <w:p w14:paraId="61AC5E29" w14:textId="77777777" w:rsidR="00C73DC8" w:rsidRPr="00C73DC8" w:rsidRDefault="00C73DC8" w:rsidP="00A35916">
            <w:pPr>
              <w:pStyle w:val="TableText"/>
              <w:keepNext w:val="0"/>
            </w:pPr>
            <w:r w:rsidRPr="00C73DC8">
              <w:t>Rates of ACE-inhibitor/ARB use may be lower in some patients, therefore increasing the proportion of ACE-inhibitor/ARB-naïve patients. Unclear whether these proportions of use would be applicable to non-hospitalised patients.</w:t>
            </w:r>
          </w:p>
          <w:p w14:paraId="2CA5409C" w14:textId="77777777" w:rsidR="00C73DC8" w:rsidRPr="00C73DC8" w:rsidRDefault="00C73DC8" w:rsidP="00A35916">
            <w:pPr>
              <w:pStyle w:val="TableText"/>
              <w:keepNext w:val="0"/>
            </w:pPr>
          </w:p>
          <w:p w14:paraId="5AAC61DC" w14:textId="77777777" w:rsidR="00C73DC8" w:rsidRPr="00C73DC8" w:rsidRDefault="00C73DC8" w:rsidP="00A35916">
            <w:pPr>
              <w:pStyle w:val="TableText"/>
              <w:keepNext w:val="0"/>
              <w:rPr>
                <w:lang w:val="en-US"/>
              </w:rPr>
            </w:pPr>
            <w:r w:rsidRPr="00C73DC8">
              <w:t>No accounting for potential overlap between subgroups.</w:t>
            </w:r>
          </w:p>
        </w:tc>
      </w:tr>
      <w:tr w:rsidR="00C73DC8" w:rsidRPr="00C73DC8" w14:paraId="493F6B73" w14:textId="77777777" w:rsidTr="00A35916">
        <w:tc>
          <w:tcPr>
            <w:tcW w:w="950" w:type="pct"/>
            <w:shd w:val="clear" w:color="auto" w:fill="auto"/>
            <w:vAlign w:val="center"/>
          </w:tcPr>
          <w:p w14:paraId="1BF25EB4" w14:textId="77777777" w:rsidR="00C73DC8" w:rsidRPr="00C73DC8" w:rsidRDefault="00C73DC8" w:rsidP="00A35916">
            <w:pPr>
              <w:pStyle w:val="TableText"/>
              <w:keepNext w:val="0"/>
              <w:rPr>
                <w:lang w:val="en-US"/>
              </w:rPr>
            </w:pPr>
            <w:r w:rsidRPr="00C73DC8">
              <w:rPr>
                <w:lang w:val="en-US"/>
              </w:rPr>
              <w:t>Uptake rates</w:t>
            </w:r>
          </w:p>
        </w:tc>
        <w:tc>
          <w:tcPr>
            <w:tcW w:w="2270" w:type="pct"/>
            <w:shd w:val="clear" w:color="auto" w:fill="auto"/>
            <w:vAlign w:val="center"/>
          </w:tcPr>
          <w:p w14:paraId="3C27E573" w14:textId="77777777" w:rsidR="00C73DC8" w:rsidRPr="00C73DC8" w:rsidRDefault="00C73DC8" w:rsidP="00A35916">
            <w:pPr>
              <w:pStyle w:val="TableText"/>
              <w:keepNext w:val="0"/>
              <w:rPr>
                <w:lang w:val="en-US"/>
              </w:rPr>
            </w:pPr>
            <w:r w:rsidRPr="00C73DC8">
              <w:rPr>
                <w:lang w:val="en-US"/>
              </w:rPr>
              <w:t>Differ by sub-group:</w:t>
            </w:r>
          </w:p>
          <w:p w14:paraId="619A403F" w14:textId="77777777" w:rsidR="00C73DC8" w:rsidRPr="00C73DC8" w:rsidRDefault="00C73DC8" w:rsidP="00A35916">
            <w:pPr>
              <w:pStyle w:val="TableText"/>
              <w:keepNext w:val="0"/>
              <w:rPr>
                <w:lang w:val="en-US"/>
              </w:rPr>
            </w:pPr>
            <w:r w:rsidRPr="00C73DC8">
              <w:rPr>
                <w:lang w:val="en-US"/>
              </w:rPr>
              <w:t>EF% 41-49%: 66% in Yr 1 increasing to 80% in Yr 6</w:t>
            </w:r>
          </w:p>
          <w:p w14:paraId="759F980F" w14:textId="77777777" w:rsidR="00C73DC8" w:rsidRPr="00C73DC8" w:rsidRDefault="00C73DC8" w:rsidP="00A35916">
            <w:pPr>
              <w:pStyle w:val="TableText"/>
              <w:keepNext w:val="0"/>
              <w:rPr>
                <w:lang w:val="en-US"/>
              </w:rPr>
            </w:pPr>
            <w:r w:rsidRPr="00C73DC8">
              <w:rPr>
                <w:lang w:val="en-US"/>
              </w:rPr>
              <w:t>ACE-inhibitor/ARB-naïve: 30% in Yr 1 increasing to 66% in Yr 6. Based on assumptions around ease of clinician identification of eligible patients.</w:t>
            </w:r>
          </w:p>
        </w:tc>
        <w:tc>
          <w:tcPr>
            <w:tcW w:w="1780" w:type="pct"/>
            <w:shd w:val="clear" w:color="auto" w:fill="auto"/>
            <w:vAlign w:val="center"/>
          </w:tcPr>
          <w:p w14:paraId="06997C3A" w14:textId="77777777" w:rsidR="00C73DC8" w:rsidRPr="00C73DC8" w:rsidRDefault="00C73DC8" w:rsidP="00A35916">
            <w:pPr>
              <w:pStyle w:val="TableText"/>
              <w:keepNext w:val="0"/>
              <w:rPr>
                <w:lang w:val="en-US"/>
              </w:rPr>
            </w:pPr>
            <w:r w:rsidRPr="00C73DC8">
              <w:rPr>
                <w:lang w:val="en-US"/>
              </w:rPr>
              <w:t>Assumptions, highly uncertain. Other factors affecting uptake have not been considered. Script numbers for currently eligible patients already implicitly capture uptake rates, meaning that application of an uptake rate for subgroups may underestimate utilisation.</w:t>
            </w:r>
          </w:p>
        </w:tc>
      </w:tr>
      <w:tr w:rsidR="00C73DC8" w:rsidRPr="00C73DC8" w14:paraId="282E4FE8" w14:textId="77777777" w:rsidTr="00A35916">
        <w:tc>
          <w:tcPr>
            <w:tcW w:w="950" w:type="pct"/>
            <w:shd w:val="clear" w:color="auto" w:fill="auto"/>
            <w:vAlign w:val="center"/>
          </w:tcPr>
          <w:p w14:paraId="210A0554" w14:textId="77777777" w:rsidR="00C73DC8" w:rsidRPr="00C73DC8" w:rsidRDefault="00C73DC8" w:rsidP="00A35916">
            <w:pPr>
              <w:pStyle w:val="TableText"/>
              <w:rPr>
                <w:lang w:val="en-US"/>
              </w:rPr>
            </w:pPr>
            <w:r w:rsidRPr="00C73DC8">
              <w:rPr>
                <w:lang w:val="en-US"/>
              </w:rPr>
              <w:t>Offsets for comparator</w:t>
            </w:r>
          </w:p>
        </w:tc>
        <w:tc>
          <w:tcPr>
            <w:tcW w:w="2270" w:type="pct"/>
            <w:shd w:val="clear" w:color="auto" w:fill="auto"/>
            <w:vAlign w:val="center"/>
          </w:tcPr>
          <w:p w14:paraId="187B263C" w14:textId="77777777" w:rsidR="00C73DC8" w:rsidRPr="00C73DC8" w:rsidRDefault="00C73DC8" w:rsidP="00A35916">
            <w:pPr>
              <w:pStyle w:val="TableText"/>
              <w:rPr>
                <w:lang w:val="en-US"/>
              </w:rPr>
            </w:pPr>
            <w:r w:rsidRPr="00C73DC8">
              <w:rPr>
                <w:lang w:val="en-US"/>
              </w:rPr>
              <w:t>All sacubitril/valsartan scripts were assumed to substitute for one script of an ACE-inhibitor/ARB</w:t>
            </w:r>
          </w:p>
        </w:tc>
        <w:tc>
          <w:tcPr>
            <w:tcW w:w="1780" w:type="pct"/>
            <w:shd w:val="clear" w:color="auto" w:fill="auto"/>
            <w:vAlign w:val="center"/>
          </w:tcPr>
          <w:p w14:paraId="4776808C" w14:textId="77777777" w:rsidR="00C73DC8" w:rsidRPr="00C73DC8" w:rsidRDefault="00C73DC8" w:rsidP="00A35916">
            <w:pPr>
              <w:pStyle w:val="TableText"/>
              <w:rPr>
                <w:lang w:val="en-US"/>
              </w:rPr>
            </w:pPr>
            <w:r w:rsidRPr="00C73DC8">
              <w:rPr>
                <w:lang w:val="en-US"/>
              </w:rPr>
              <w:t>Does not take into account patients intolerant to treatment with ACE-inhibitor/ARB.</w:t>
            </w:r>
          </w:p>
        </w:tc>
      </w:tr>
    </w:tbl>
    <w:p w14:paraId="13BC30FB" w14:textId="77777777" w:rsidR="00C73DC8" w:rsidRPr="00C73DC8" w:rsidRDefault="00C73DC8" w:rsidP="00C73DC8">
      <w:pPr>
        <w:pStyle w:val="TableFigureFooter"/>
      </w:pPr>
      <w:r w:rsidRPr="00C73DC8">
        <w:t>Source: Section 4 - Utilisation-and-cost-model_Entresto_July2020.xlsx.</w:t>
      </w:r>
    </w:p>
    <w:p w14:paraId="35AFBB6A" w14:textId="77777777" w:rsidR="00C73DC8" w:rsidRDefault="00C73DC8" w:rsidP="00C73DC8">
      <w:pPr>
        <w:pStyle w:val="TableFigureFooter"/>
      </w:pPr>
      <w:r w:rsidRPr="00C73DC8">
        <w:t>Abbreviations: ACE, angiotensin-converting enzyme; ARB, angiotensin II receptor blocker; EF, ejection fraction; HF, heart failure</w:t>
      </w:r>
    </w:p>
    <w:p w14:paraId="31B5AE1F" w14:textId="77777777" w:rsidR="0086372A" w:rsidRPr="009868C4" w:rsidRDefault="0086372A" w:rsidP="0086372A">
      <w:pPr>
        <w:pStyle w:val="TableFigureFooter"/>
        <w:spacing w:after="0"/>
        <w:contextualSpacing w:val="0"/>
      </w:pPr>
      <w:r w:rsidRPr="009868C4">
        <w:rPr>
          <w:i/>
        </w:rPr>
        <w:t>The redacted values correspond to the following ranges</w:t>
      </w:r>
      <w:r>
        <w:rPr>
          <w:i/>
        </w:rPr>
        <w:t xml:space="preserve">: </w:t>
      </w:r>
    </w:p>
    <w:p w14:paraId="21E5A239" w14:textId="77777777" w:rsidR="0086372A" w:rsidRPr="0086372A" w:rsidRDefault="0086372A" w:rsidP="00C73DC8">
      <w:pPr>
        <w:pStyle w:val="TableFigureFooter"/>
        <w:rPr>
          <w:i/>
        </w:rPr>
      </w:pPr>
      <w:r w:rsidRPr="0086372A">
        <w:rPr>
          <w:i/>
          <w:vertAlign w:val="superscript"/>
        </w:rPr>
        <w:t>1</w:t>
      </w:r>
      <w:r w:rsidRPr="0086372A">
        <w:rPr>
          <w:i/>
        </w:rPr>
        <w:t xml:space="preserve"> 400,000 to &lt; 500,000</w:t>
      </w:r>
    </w:p>
    <w:p w14:paraId="018D18B6" w14:textId="77777777" w:rsidR="00C73DC8" w:rsidRPr="00C73DC8" w:rsidRDefault="0086372A" w:rsidP="00C73DC8">
      <w:pPr>
        <w:pStyle w:val="TableFigureCaption"/>
      </w:pPr>
      <w:r w:rsidRPr="0086372A">
        <w:rPr>
          <w:i/>
          <w:vertAlign w:val="superscript"/>
        </w:rPr>
        <w:lastRenderedPageBreak/>
        <w:t>2</w:t>
      </w:r>
      <w:r w:rsidRPr="0086372A">
        <w:rPr>
          <w:i/>
        </w:rPr>
        <w:t xml:space="preserve"> 1,000,000 to &lt; 2,000,000</w:t>
      </w:r>
      <w:r w:rsidR="00C73DC8" w:rsidRPr="00C73DC8">
        <w:t>Table 13: Estimated use and financial impact with expanded PBS restriction (newly eligible patients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94"/>
        <w:gridCol w:w="972"/>
        <w:gridCol w:w="1111"/>
        <w:gridCol w:w="1111"/>
        <w:gridCol w:w="1111"/>
        <w:gridCol w:w="1111"/>
        <w:gridCol w:w="1107"/>
      </w:tblGrid>
      <w:tr w:rsidR="00C73DC8" w:rsidRPr="00C73DC8" w14:paraId="28789E8C" w14:textId="77777777" w:rsidTr="00A35916">
        <w:trPr>
          <w:tblHeader/>
        </w:trPr>
        <w:tc>
          <w:tcPr>
            <w:tcW w:w="1383" w:type="pct"/>
            <w:shd w:val="clear" w:color="auto" w:fill="auto"/>
            <w:vAlign w:val="center"/>
          </w:tcPr>
          <w:p w14:paraId="1CF9B3D8" w14:textId="77777777" w:rsidR="00C73DC8" w:rsidRPr="00C73DC8" w:rsidRDefault="00C73DC8" w:rsidP="00A35916">
            <w:pPr>
              <w:pStyle w:val="Tableheadingrow"/>
            </w:pPr>
          </w:p>
        </w:tc>
        <w:tc>
          <w:tcPr>
            <w:tcW w:w="539" w:type="pct"/>
            <w:shd w:val="clear" w:color="auto" w:fill="auto"/>
            <w:vAlign w:val="center"/>
          </w:tcPr>
          <w:p w14:paraId="32752203" w14:textId="77777777" w:rsidR="00C73DC8" w:rsidRPr="00C73DC8" w:rsidRDefault="00C73DC8" w:rsidP="00A35916">
            <w:pPr>
              <w:pStyle w:val="Tableheadingrow"/>
              <w:jc w:val="center"/>
            </w:pPr>
            <w:r w:rsidRPr="00C73DC8">
              <w:t>Year 1</w:t>
            </w:r>
          </w:p>
          <w:p w14:paraId="52A6A970" w14:textId="77777777" w:rsidR="00C73DC8" w:rsidRPr="00C73DC8" w:rsidRDefault="00C73DC8" w:rsidP="00A35916">
            <w:pPr>
              <w:pStyle w:val="Tableheadingrow"/>
              <w:jc w:val="center"/>
              <w:rPr>
                <w:vertAlign w:val="superscript"/>
              </w:rPr>
            </w:pPr>
            <w:r w:rsidRPr="00C73DC8">
              <w:t xml:space="preserve">2020-21 </w:t>
            </w:r>
            <w:r w:rsidRPr="00C73DC8">
              <w:rPr>
                <w:vertAlign w:val="superscript"/>
              </w:rPr>
              <w:t>a</w:t>
            </w:r>
          </w:p>
        </w:tc>
        <w:tc>
          <w:tcPr>
            <w:tcW w:w="616" w:type="pct"/>
            <w:shd w:val="clear" w:color="auto" w:fill="auto"/>
            <w:vAlign w:val="center"/>
          </w:tcPr>
          <w:p w14:paraId="5EBF15CC" w14:textId="77777777" w:rsidR="00C73DC8" w:rsidRPr="00C73DC8" w:rsidRDefault="00C73DC8" w:rsidP="00A35916">
            <w:pPr>
              <w:pStyle w:val="Tableheadingrow"/>
              <w:jc w:val="center"/>
            </w:pPr>
            <w:r w:rsidRPr="00C73DC8">
              <w:t>Year 2</w:t>
            </w:r>
          </w:p>
          <w:p w14:paraId="63B42F0A" w14:textId="77777777" w:rsidR="00C73DC8" w:rsidRPr="00C73DC8" w:rsidRDefault="00C73DC8" w:rsidP="00A35916">
            <w:pPr>
              <w:pStyle w:val="Tableheadingrow"/>
              <w:jc w:val="center"/>
            </w:pPr>
            <w:r w:rsidRPr="00C73DC8">
              <w:t>2021-22</w:t>
            </w:r>
          </w:p>
        </w:tc>
        <w:tc>
          <w:tcPr>
            <w:tcW w:w="616" w:type="pct"/>
            <w:shd w:val="clear" w:color="auto" w:fill="auto"/>
            <w:vAlign w:val="center"/>
          </w:tcPr>
          <w:p w14:paraId="127D7D1C" w14:textId="77777777" w:rsidR="00C73DC8" w:rsidRPr="00C73DC8" w:rsidRDefault="00C73DC8" w:rsidP="00A35916">
            <w:pPr>
              <w:pStyle w:val="Tableheadingrow"/>
              <w:jc w:val="center"/>
            </w:pPr>
            <w:r w:rsidRPr="00C73DC8">
              <w:t>Year 3</w:t>
            </w:r>
          </w:p>
          <w:p w14:paraId="733552EA" w14:textId="77777777" w:rsidR="00C73DC8" w:rsidRPr="00C73DC8" w:rsidRDefault="00C73DC8" w:rsidP="00A35916">
            <w:pPr>
              <w:pStyle w:val="Tableheadingrow"/>
              <w:jc w:val="center"/>
            </w:pPr>
            <w:r w:rsidRPr="00C73DC8">
              <w:t>2022-23</w:t>
            </w:r>
          </w:p>
        </w:tc>
        <w:tc>
          <w:tcPr>
            <w:tcW w:w="616" w:type="pct"/>
            <w:shd w:val="clear" w:color="auto" w:fill="auto"/>
            <w:vAlign w:val="center"/>
          </w:tcPr>
          <w:p w14:paraId="5FBAE09A" w14:textId="77777777" w:rsidR="00C73DC8" w:rsidRPr="00C73DC8" w:rsidRDefault="00C73DC8" w:rsidP="00A35916">
            <w:pPr>
              <w:pStyle w:val="Tableheadingrow"/>
              <w:jc w:val="center"/>
            </w:pPr>
            <w:r w:rsidRPr="00C73DC8">
              <w:t>Year 4</w:t>
            </w:r>
          </w:p>
          <w:p w14:paraId="1F476F0E" w14:textId="77777777" w:rsidR="00C73DC8" w:rsidRPr="00C73DC8" w:rsidRDefault="00C73DC8" w:rsidP="00A35916">
            <w:pPr>
              <w:pStyle w:val="Tableheadingrow"/>
              <w:jc w:val="center"/>
            </w:pPr>
            <w:r w:rsidRPr="00C73DC8">
              <w:t>2023-24</w:t>
            </w:r>
          </w:p>
        </w:tc>
        <w:tc>
          <w:tcPr>
            <w:tcW w:w="616" w:type="pct"/>
            <w:shd w:val="clear" w:color="auto" w:fill="auto"/>
            <w:vAlign w:val="center"/>
          </w:tcPr>
          <w:p w14:paraId="127C3046" w14:textId="77777777" w:rsidR="00C73DC8" w:rsidRPr="00C73DC8" w:rsidRDefault="00C73DC8" w:rsidP="00A35916">
            <w:pPr>
              <w:pStyle w:val="Tableheadingrow"/>
              <w:jc w:val="center"/>
            </w:pPr>
            <w:r w:rsidRPr="00C73DC8">
              <w:t>Year 5</w:t>
            </w:r>
          </w:p>
          <w:p w14:paraId="4154AC25" w14:textId="77777777" w:rsidR="00C73DC8" w:rsidRPr="00C73DC8" w:rsidRDefault="00C73DC8" w:rsidP="00A35916">
            <w:pPr>
              <w:pStyle w:val="Tableheadingrow"/>
              <w:jc w:val="center"/>
            </w:pPr>
            <w:r w:rsidRPr="00C73DC8">
              <w:t>2024-25</w:t>
            </w:r>
          </w:p>
        </w:tc>
        <w:tc>
          <w:tcPr>
            <w:tcW w:w="616" w:type="pct"/>
            <w:shd w:val="clear" w:color="auto" w:fill="auto"/>
            <w:vAlign w:val="center"/>
          </w:tcPr>
          <w:p w14:paraId="685CE28D" w14:textId="77777777" w:rsidR="00C73DC8" w:rsidRPr="00C73DC8" w:rsidRDefault="00C73DC8" w:rsidP="00A35916">
            <w:pPr>
              <w:pStyle w:val="Tableheadingrow"/>
              <w:jc w:val="center"/>
            </w:pPr>
            <w:r w:rsidRPr="00C73DC8">
              <w:t>Year 6</w:t>
            </w:r>
          </w:p>
          <w:p w14:paraId="4E6C36A1" w14:textId="77777777" w:rsidR="00C73DC8" w:rsidRPr="00C73DC8" w:rsidRDefault="00C73DC8" w:rsidP="00A35916">
            <w:pPr>
              <w:pStyle w:val="Tableheadingrow"/>
              <w:jc w:val="center"/>
            </w:pPr>
            <w:r w:rsidRPr="00C73DC8">
              <w:t>2025-26</w:t>
            </w:r>
          </w:p>
        </w:tc>
      </w:tr>
      <w:tr w:rsidR="00C73DC8" w:rsidRPr="00C73DC8" w14:paraId="307A7FC1" w14:textId="77777777" w:rsidTr="00A35916">
        <w:trPr>
          <w:tblHeader/>
        </w:trPr>
        <w:tc>
          <w:tcPr>
            <w:tcW w:w="5000" w:type="pct"/>
            <w:gridSpan w:val="7"/>
            <w:shd w:val="clear" w:color="auto" w:fill="auto"/>
            <w:vAlign w:val="center"/>
          </w:tcPr>
          <w:p w14:paraId="36673574" w14:textId="77777777" w:rsidR="00C73DC8" w:rsidRPr="00C73DC8" w:rsidRDefault="00C73DC8" w:rsidP="00A35916">
            <w:pPr>
              <w:pStyle w:val="Tableheadingrow"/>
            </w:pPr>
            <w:r w:rsidRPr="00C73DC8">
              <w:t>Currently eligible patients</w:t>
            </w:r>
          </w:p>
        </w:tc>
      </w:tr>
      <w:tr w:rsidR="00C73DC8" w:rsidRPr="00C73DC8" w14:paraId="22375CCD" w14:textId="77777777" w:rsidTr="00A35916">
        <w:tc>
          <w:tcPr>
            <w:tcW w:w="1383" w:type="pct"/>
            <w:shd w:val="clear" w:color="auto" w:fill="auto"/>
            <w:vAlign w:val="center"/>
          </w:tcPr>
          <w:p w14:paraId="6683D611" w14:textId="77777777" w:rsidR="00C73DC8" w:rsidRPr="00C73DC8" w:rsidRDefault="00C73DC8" w:rsidP="00A35916">
            <w:pPr>
              <w:pStyle w:val="TableText"/>
            </w:pPr>
            <w:r w:rsidRPr="00C73DC8">
              <w:t xml:space="preserve">Scripts (all dose strengths </w:t>
            </w:r>
            <w:r w:rsidRPr="00C73DC8">
              <w:rPr>
                <w:vertAlign w:val="superscript"/>
              </w:rPr>
              <w:t>b</w:t>
            </w:r>
            <w:r w:rsidRPr="00C73DC8">
              <w:t>)</w:t>
            </w:r>
          </w:p>
        </w:tc>
        <w:tc>
          <w:tcPr>
            <w:tcW w:w="539" w:type="pct"/>
            <w:shd w:val="clear" w:color="auto" w:fill="auto"/>
            <w:vAlign w:val="center"/>
          </w:tcPr>
          <w:p w14:paraId="6AB84AE6" w14:textId="77777777" w:rsidR="00C73DC8" w:rsidRPr="009658F2" w:rsidRDefault="009658F2" w:rsidP="00A35916">
            <w:pPr>
              <w:pStyle w:val="TableText"/>
              <w:jc w:val="center"/>
              <w:rPr>
                <w:rFonts w:cs="Arial"/>
                <w:color w:val="000000"/>
                <w:vertAlign w:val="superscript"/>
              </w:rPr>
            </w:pPr>
            <w:r>
              <w:rPr>
                <w:noProof/>
                <w:color w:val="000000"/>
                <w:highlight w:val="black"/>
              </w:rPr>
              <w:t>''''''''''''''''''</w:t>
            </w:r>
            <w:r w:rsidR="005701B9" w:rsidRPr="005701B9">
              <w:rPr>
                <w:vertAlign w:val="superscript"/>
              </w:rPr>
              <w:t>1</w:t>
            </w:r>
          </w:p>
        </w:tc>
        <w:tc>
          <w:tcPr>
            <w:tcW w:w="616" w:type="pct"/>
            <w:shd w:val="clear" w:color="auto" w:fill="auto"/>
            <w:vAlign w:val="center"/>
          </w:tcPr>
          <w:p w14:paraId="3B1E5C01" w14:textId="77777777" w:rsidR="00C73DC8" w:rsidRPr="009658F2" w:rsidRDefault="009658F2" w:rsidP="00A35916">
            <w:pPr>
              <w:pStyle w:val="TableText"/>
              <w:jc w:val="center"/>
              <w:rPr>
                <w:rFonts w:cs="Arial"/>
                <w:color w:val="000000"/>
              </w:rPr>
            </w:pPr>
            <w:r>
              <w:rPr>
                <w:noProof/>
                <w:color w:val="000000"/>
                <w:highlight w:val="black"/>
              </w:rPr>
              <w:t>'''''''''''''''''''''</w:t>
            </w:r>
            <w:r w:rsidR="005701B9">
              <w:rPr>
                <w:vertAlign w:val="superscript"/>
              </w:rPr>
              <w:t>2</w:t>
            </w:r>
          </w:p>
        </w:tc>
        <w:tc>
          <w:tcPr>
            <w:tcW w:w="616" w:type="pct"/>
            <w:shd w:val="clear" w:color="auto" w:fill="auto"/>
            <w:vAlign w:val="center"/>
          </w:tcPr>
          <w:p w14:paraId="16BC7545" w14:textId="77777777" w:rsidR="00C73DC8" w:rsidRPr="009658F2" w:rsidRDefault="009658F2" w:rsidP="00A35916">
            <w:pPr>
              <w:pStyle w:val="TableText"/>
              <w:jc w:val="center"/>
              <w:rPr>
                <w:rFonts w:cs="Arial"/>
                <w:color w:val="000000"/>
              </w:rPr>
            </w:pPr>
            <w:r>
              <w:rPr>
                <w:noProof/>
                <w:color w:val="000000"/>
                <w:highlight w:val="black"/>
              </w:rPr>
              <w:t>''''''''''''''''''''</w:t>
            </w:r>
            <w:r w:rsidR="005701B9">
              <w:rPr>
                <w:vertAlign w:val="superscript"/>
              </w:rPr>
              <w:t>3</w:t>
            </w:r>
          </w:p>
        </w:tc>
        <w:tc>
          <w:tcPr>
            <w:tcW w:w="616" w:type="pct"/>
            <w:shd w:val="clear" w:color="auto" w:fill="auto"/>
            <w:vAlign w:val="center"/>
          </w:tcPr>
          <w:p w14:paraId="56EBA8EA" w14:textId="77777777" w:rsidR="00C73DC8" w:rsidRPr="009658F2" w:rsidRDefault="009658F2" w:rsidP="00A35916">
            <w:pPr>
              <w:pStyle w:val="TableText"/>
              <w:jc w:val="center"/>
              <w:rPr>
                <w:rFonts w:cs="Arial"/>
                <w:color w:val="000000"/>
              </w:rPr>
            </w:pPr>
            <w:r>
              <w:rPr>
                <w:noProof/>
                <w:color w:val="000000"/>
                <w:highlight w:val="black"/>
              </w:rPr>
              <w:t>'''''''''''''''''</w:t>
            </w:r>
            <w:r w:rsidR="005701B9">
              <w:rPr>
                <w:vertAlign w:val="superscript"/>
              </w:rPr>
              <w:t>4</w:t>
            </w:r>
          </w:p>
        </w:tc>
        <w:tc>
          <w:tcPr>
            <w:tcW w:w="616" w:type="pct"/>
            <w:shd w:val="clear" w:color="auto" w:fill="auto"/>
            <w:vAlign w:val="center"/>
          </w:tcPr>
          <w:p w14:paraId="29BBF279" w14:textId="77777777" w:rsidR="00C73DC8" w:rsidRPr="009658F2" w:rsidRDefault="009658F2" w:rsidP="00A35916">
            <w:pPr>
              <w:pStyle w:val="TableText"/>
              <w:jc w:val="center"/>
              <w:rPr>
                <w:rFonts w:cs="Arial"/>
                <w:color w:val="000000"/>
              </w:rPr>
            </w:pPr>
            <w:r>
              <w:rPr>
                <w:noProof/>
                <w:color w:val="000000"/>
                <w:highlight w:val="black"/>
              </w:rPr>
              <w:t>''''''''''''''''''''''''</w:t>
            </w:r>
            <w:r w:rsidR="005701B9">
              <w:rPr>
                <w:vertAlign w:val="superscript"/>
              </w:rPr>
              <w:t>5</w:t>
            </w:r>
          </w:p>
        </w:tc>
        <w:tc>
          <w:tcPr>
            <w:tcW w:w="616" w:type="pct"/>
            <w:shd w:val="clear" w:color="auto" w:fill="auto"/>
            <w:vAlign w:val="center"/>
          </w:tcPr>
          <w:p w14:paraId="2A51E127" w14:textId="77777777" w:rsidR="00C73DC8" w:rsidRPr="009658F2" w:rsidRDefault="009658F2" w:rsidP="00A35916">
            <w:pPr>
              <w:pStyle w:val="TableText"/>
              <w:jc w:val="center"/>
              <w:rPr>
                <w:rFonts w:cs="Arial"/>
                <w:color w:val="000000"/>
              </w:rPr>
            </w:pPr>
            <w:r>
              <w:rPr>
                <w:noProof/>
                <w:color w:val="000000"/>
                <w:highlight w:val="black"/>
              </w:rPr>
              <w:t>'''''''''''''''''''''''</w:t>
            </w:r>
            <w:r w:rsidR="005701B9">
              <w:rPr>
                <w:vertAlign w:val="superscript"/>
              </w:rPr>
              <w:t>5</w:t>
            </w:r>
          </w:p>
        </w:tc>
      </w:tr>
      <w:tr w:rsidR="00C73DC8" w:rsidRPr="00C73DC8" w14:paraId="6E1AE3A0" w14:textId="77777777" w:rsidTr="00A35916">
        <w:tc>
          <w:tcPr>
            <w:tcW w:w="1383" w:type="pct"/>
            <w:shd w:val="clear" w:color="auto" w:fill="auto"/>
            <w:vAlign w:val="center"/>
          </w:tcPr>
          <w:p w14:paraId="40EFF0D3" w14:textId="77777777" w:rsidR="00C73DC8" w:rsidRPr="00C73DC8" w:rsidRDefault="00C73DC8" w:rsidP="00A35916">
            <w:pPr>
              <w:pStyle w:val="TableText"/>
              <w:rPr>
                <w:vertAlign w:val="superscript"/>
              </w:rPr>
            </w:pPr>
            <w:r w:rsidRPr="00C73DC8">
              <w:t xml:space="preserve">Patients (total uptake) </w:t>
            </w:r>
            <w:r w:rsidRPr="00C73DC8">
              <w:rPr>
                <w:vertAlign w:val="superscript"/>
              </w:rPr>
              <w:t>c</w:t>
            </w:r>
          </w:p>
        </w:tc>
        <w:tc>
          <w:tcPr>
            <w:tcW w:w="539" w:type="pct"/>
            <w:shd w:val="clear" w:color="auto" w:fill="auto"/>
            <w:vAlign w:val="center"/>
          </w:tcPr>
          <w:p w14:paraId="4FF6AC03" w14:textId="77777777" w:rsidR="00C73DC8" w:rsidRPr="009658F2" w:rsidRDefault="009658F2" w:rsidP="00A35916">
            <w:pPr>
              <w:pStyle w:val="TableText"/>
              <w:jc w:val="center"/>
            </w:pPr>
            <w:r>
              <w:rPr>
                <w:noProof/>
                <w:color w:val="000000"/>
                <w:highlight w:val="black"/>
              </w:rPr>
              <w:t>''''''''''''''''</w:t>
            </w:r>
            <w:r w:rsidR="006A43D0">
              <w:rPr>
                <w:vertAlign w:val="superscript"/>
              </w:rPr>
              <w:t>6</w:t>
            </w:r>
          </w:p>
        </w:tc>
        <w:tc>
          <w:tcPr>
            <w:tcW w:w="616" w:type="pct"/>
            <w:shd w:val="clear" w:color="auto" w:fill="auto"/>
            <w:vAlign w:val="center"/>
          </w:tcPr>
          <w:p w14:paraId="4531D55E" w14:textId="77777777" w:rsidR="00C73DC8" w:rsidRPr="009658F2" w:rsidRDefault="009658F2" w:rsidP="00A35916">
            <w:pPr>
              <w:pStyle w:val="TableText"/>
              <w:jc w:val="center"/>
            </w:pPr>
            <w:r>
              <w:rPr>
                <w:noProof/>
                <w:color w:val="000000"/>
                <w:highlight w:val="black"/>
              </w:rPr>
              <w:t>'''''''''''''''</w:t>
            </w:r>
            <w:r w:rsidR="006A43D0">
              <w:rPr>
                <w:vertAlign w:val="superscript"/>
              </w:rPr>
              <w:t>7</w:t>
            </w:r>
          </w:p>
        </w:tc>
        <w:tc>
          <w:tcPr>
            <w:tcW w:w="616" w:type="pct"/>
            <w:shd w:val="clear" w:color="auto" w:fill="auto"/>
            <w:vAlign w:val="center"/>
          </w:tcPr>
          <w:p w14:paraId="23D34EAB" w14:textId="77777777" w:rsidR="00C73DC8" w:rsidRPr="009658F2" w:rsidRDefault="009658F2" w:rsidP="00A35916">
            <w:pPr>
              <w:pStyle w:val="TableText"/>
              <w:jc w:val="center"/>
              <w:rPr>
                <w:vertAlign w:val="superscript"/>
              </w:rPr>
            </w:pPr>
            <w:r>
              <w:rPr>
                <w:noProof/>
                <w:color w:val="000000"/>
                <w:highlight w:val="black"/>
              </w:rPr>
              <w:t>''''''''''''''''</w:t>
            </w:r>
            <w:r w:rsidR="006A43D0" w:rsidRPr="006A43D0">
              <w:rPr>
                <w:vertAlign w:val="superscript"/>
              </w:rPr>
              <w:t>8</w:t>
            </w:r>
          </w:p>
        </w:tc>
        <w:tc>
          <w:tcPr>
            <w:tcW w:w="616" w:type="pct"/>
            <w:shd w:val="clear" w:color="auto" w:fill="auto"/>
            <w:vAlign w:val="center"/>
          </w:tcPr>
          <w:p w14:paraId="7C7DAF96" w14:textId="77777777" w:rsidR="00C73DC8" w:rsidRPr="009658F2" w:rsidRDefault="009658F2" w:rsidP="00A35916">
            <w:pPr>
              <w:pStyle w:val="TableText"/>
              <w:jc w:val="center"/>
            </w:pPr>
            <w:r>
              <w:rPr>
                <w:noProof/>
                <w:color w:val="000000"/>
                <w:highlight w:val="black"/>
              </w:rPr>
              <w:t>''''''''''''''''</w:t>
            </w:r>
            <w:r w:rsidR="006A43D0">
              <w:rPr>
                <w:vertAlign w:val="superscript"/>
              </w:rPr>
              <w:t>9</w:t>
            </w:r>
          </w:p>
        </w:tc>
        <w:tc>
          <w:tcPr>
            <w:tcW w:w="616" w:type="pct"/>
            <w:shd w:val="clear" w:color="auto" w:fill="auto"/>
            <w:vAlign w:val="center"/>
          </w:tcPr>
          <w:p w14:paraId="7CC619E8" w14:textId="77777777" w:rsidR="00C73DC8" w:rsidRPr="009658F2" w:rsidRDefault="009658F2" w:rsidP="00A35916">
            <w:pPr>
              <w:pStyle w:val="TableText"/>
              <w:jc w:val="center"/>
            </w:pPr>
            <w:r>
              <w:rPr>
                <w:noProof/>
                <w:color w:val="000000"/>
                <w:highlight w:val="black"/>
              </w:rPr>
              <w:t>''''''''''''''''''''</w:t>
            </w:r>
            <w:r w:rsidR="006A43D0">
              <w:rPr>
                <w:vertAlign w:val="superscript"/>
              </w:rPr>
              <w:t>10</w:t>
            </w:r>
          </w:p>
        </w:tc>
        <w:tc>
          <w:tcPr>
            <w:tcW w:w="616" w:type="pct"/>
            <w:shd w:val="clear" w:color="auto" w:fill="auto"/>
            <w:vAlign w:val="center"/>
          </w:tcPr>
          <w:p w14:paraId="56DCC268" w14:textId="77777777" w:rsidR="00C73DC8" w:rsidRPr="009658F2" w:rsidRDefault="009658F2" w:rsidP="00A35916">
            <w:pPr>
              <w:pStyle w:val="TableText"/>
              <w:jc w:val="center"/>
            </w:pPr>
            <w:r>
              <w:rPr>
                <w:noProof/>
                <w:color w:val="000000"/>
                <w:highlight w:val="black"/>
              </w:rPr>
              <w:t>''''''''''''''''''</w:t>
            </w:r>
            <w:r w:rsidR="006A43D0">
              <w:rPr>
                <w:vertAlign w:val="superscript"/>
              </w:rPr>
              <w:t>10</w:t>
            </w:r>
          </w:p>
        </w:tc>
      </w:tr>
      <w:tr w:rsidR="00C73DC8" w:rsidRPr="00C73DC8" w14:paraId="1A10469D" w14:textId="77777777" w:rsidTr="00A35916">
        <w:tc>
          <w:tcPr>
            <w:tcW w:w="5000" w:type="pct"/>
            <w:gridSpan w:val="7"/>
            <w:shd w:val="clear" w:color="auto" w:fill="auto"/>
            <w:vAlign w:val="center"/>
          </w:tcPr>
          <w:p w14:paraId="189B54C8" w14:textId="77777777" w:rsidR="00C73DC8" w:rsidRPr="00C73DC8" w:rsidRDefault="00C73DC8" w:rsidP="00A35916">
            <w:pPr>
              <w:pStyle w:val="TableText"/>
              <w:rPr>
                <w:b/>
              </w:rPr>
            </w:pPr>
            <w:r w:rsidRPr="00C73DC8">
              <w:rPr>
                <w:b/>
              </w:rPr>
              <w:t>Newly eligible patients</w:t>
            </w:r>
          </w:p>
        </w:tc>
      </w:tr>
      <w:tr w:rsidR="00C73DC8" w:rsidRPr="00C73DC8" w14:paraId="1831BD6B" w14:textId="77777777" w:rsidTr="00A35916">
        <w:tc>
          <w:tcPr>
            <w:tcW w:w="1383" w:type="pct"/>
            <w:shd w:val="clear" w:color="auto" w:fill="auto"/>
            <w:vAlign w:val="center"/>
          </w:tcPr>
          <w:p w14:paraId="7D71B339" w14:textId="77777777" w:rsidR="00C73DC8" w:rsidRPr="00C73DC8" w:rsidRDefault="00C73DC8" w:rsidP="00A35916">
            <w:pPr>
              <w:pStyle w:val="TableText"/>
            </w:pPr>
            <w:r w:rsidRPr="00C73DC8">
              <w:t xml:space="preserve">Scripts - LVEF 40-49% </w:t>
            </w:r>
            <w:r w:rsidRPr="00C73DC8">
              <w:rPr>
                <w:vertAlign w:val="superscript"/>
              </w:rPr>
              <w:t>d</w:t>
            </w:r>
          </w:p>
        </w:tc>
        <w:tc>
          <w:tcPr>
            <w:tcW w:w="539" w:type="pct"/>
            <w:shd w:val="clear" w:color="auto" w:fill="auto"/>
          </w:tcPr>
          <w:p w14:paraId="0DF588C5" w14:textId="77777777" w:rsidR="00C73DC8" w:rsidRPr="009658F2" w:rsidRDefault="009658F2" w:rsidP="00A35916">
            <w:pPr>
              <w:pStyle w:val="TableText"/>
              <w:jc w:val="center"/>
            </w:pPr>
            <w:r>
              <w:rPr>
                <w:noProof/>
                <w:color w:val="000000"/>
                <w:highlight w:val="black"/>
              </w:rPr>
              <w:t>'''''''''''''</w:t>
            </w:r>
            <w:r w:rsidR="00E10121">
              <w:rPr>
                <w:vertAlign w:val="superscript"/>
              </w:rPr>
              <w:t>11</w:t>
            </w:r>
          </w:p>
        </w:tc>
        <w:tc>
          <w:tcPr>
            <w:tcW w:w="616" w:type="pct"/>
            <w:shd w:val="clear" w:color="auto" w:fill="auto"/>
          </w:tcPr>
          <w:p w14:paraId="1F8CB92C" w14:textId="77777777" w:rsidR="00C73DC8" w:rsidRPr="009658F2" w:rsidRDefault="009658F2" w:rsidP="00A35916">
            <w:pPr>
              <w:pStyle w:val="TableText"/>
              <w:jc w:val="center"/>
            </w:pPr>
            <w:r>
              <w:rPr>
                <w:noProof/>
                <w:color w:val="000000"/>
                <w:highlight w:val="black"/>
              </w:rPr>
              <w:t>'''''''''''''</w:t>
            </w:r>
            <w:r w:rsidR="00E10121">
              <w:rPr>
                <w:vertAlign w:val="superscript"/>
              </w:rPr>
              <w:t>11</w:t>
            </w:r>
          </w:p>
        </w:tc>
        <w:tc>
          <w:tcPr>
            <w:tcW w:w="616" w:type="pct"/>
            <w:shd w:val="clear" w:color="auto" w:fill="auto"/>
          </w:tcPr>
          <w:p w14:paraId="74A88B06" w14:textId="77777777" w:rsidR="00C73DC8" w:rsidRPr="009658F2" w:rsidRDefault="009658F2" w:rsidP="00A35916">
            <w:pPr>
              <w:pStyle w:val="TableText"/>
              <w:jc w:val="center"/>
            </w:pPr>
            <w:r>
              <w:rPr>
                <w:noProof/>
                <w:color w:val="000000"/>
                <w:highlight w:val="black"/>
              </w:rPr>
              <w:t>'''''''''''</w:t>
            </w:r>
            <w:r w:rsidR="00E10121">
              <w:rPr>
                <w:vertAlign w:val="superscript"/>
              </w:rPr>
              <w:t>11</w:t>
            </w:r>
          </w:p>
        </w:tc>
        <w:tc>
          <w:tcPr>
            <w:tcW w:w="616" w:type="pct"/>
            <w:shd w:val="clear" w:color="auto" w:fill="auto"/>
          </w:tcPr>
          <w:p w14:paraId="00EA4E4F" w14:textId="77777777" w:rsidR="00C73DC8" w:rsidRPr="009658F2" w:rsidRDefault="009658F2" w:rsidP="00A35916">
            <w:pPr>
              <w:pStyle w:val="TableText"/>
              <w:jc w:val="center"/>
            </w:pPr>
            <w:r>
              <w:rPr>
                <w:noProof/>
                <w:color w:val="000000"/>
                <w:highlight w:val="black"/>
              </w:rPr>
              <w:t>'''''''''''''</w:t>
            </w:r>
            <w:r w:rsidR="00E10121">
              <w:rPr>
                <w:vertAlign w:val="superscript"/>
              </w:rPr>
              <w:t>11</w:t>
            </w:r>
          </w:p>
        </w:tc>
        <w:tc>
          <w:tcPr>
            <w:tcW w:w="616" w:type="pct"/>
            <w:shd w:val="clear" w:color="auto" w:fill="auto"/>
          </w:tcPr>
          <w:p w14:paraId="37CADA2E" w14:textId="77777777" w:rsidR="00C73DC8" w:rsidRPr="009658F2" w:rsidRDefault="009658F2" w:rsidP="00A35916">
            <w:pPr>
              <w:pStyle w:val="TableText"/>
              <w:jc w:val="center"/>
            </w:pPr>
            <w:r>
              <w:rPr>
                <w:noProof/>
                <w:color w:val="000000"/>
                <w:highlight w:val="black"/>
              </w:rPr>
              <w:t>'''''''''''</w:t>
            </w:r>
            <w:r w:rsidR="00E10121">
              <w:rPr>
                <w:vertAlign w:val="superscript"/>
              </w:rPr>
              <w:t>11</w:t>
            </w:r>
          </w:p>
        </w:tc>
        <w:tc>
          <w:tcPr>
            <w:tcW w:w="616" w:type="pct"/>
            <w:shd w:val="clear" w:color="auto" w:fill="auto"/>
          </w:tcPr>
          <w:p w14:paraId="7C20FA5D" w14:textId="77777777" w:rsidR="00C73DC8" w:rsidRPr="009658F2" w:rsidRDefault="009658F2" w:rsidP="00A35916">
            <w:pPr>
              <w:pStyle w:val="TableText"/>
              <w:jc w:val="center"/>
            </w:pPr>
            <w:r>
              <w:rPr>
                <w:noProof/>
                <w:color w:val="000000"/>
                <w:highlight w:val="black"/>
              </w:rPr>
              <w:t>'''''''''''</w:t>
            </w:r>
            <w:r w:rsidR="00E10121">
              <w:rPr>
                <w:vertAlign w:val="superscript"/>
              </w:rPr>
              <w:t>11</w:t>
            </w:r>
          </w:p>
        </w:tc>
      </w:tr>
      <w:tr w:rsidR="00C73DC8" w:rsidRPr="00C73DC8" w14:paraId="6BAAF55B" w14:textId="77777777" w:rsidTr="00A35916">
        <w:tc>
          <w:tcPr>
            <w:tcW w:w="1383" w:type="pct"/>
            <w:shd w:val="clear" w:color="auto" w:fill="auto"/>
            <w:vAlign w:val="center"/>
          </w:tcPr>
          <w:p w14:paraId="473C809F" w14:textId="77777777" w:rsidR="00C73DC8" w:rsidRPr="00C73DC8" w:rsidRDefault="00C73DC8" w:rsidP="00A35916">
            <w:pPr>
              <w:pStyle w:val="TableText"/>
            </w:pPr>
            <w:r w:rsidRPr="00C73DC8">
              <w:t xml:space="preserve">Scripts - ACE/ARB-naïve </w:t>
            </w:r>
            <w:r w:rsidRPr="00C73DC8">
              <w:rPr>
                <w:vertAlign w:val="superscript"/>
              </w:rPr>
              <w:t>e</w:t>
            </w:r>
          </w:p>
        </w:tc>
        <w:tc>
          <w:tcPr>
            <w:tcW w:w="539" w:type="pct"/>
            <w:shd w:val="clear" w:color="auto" w:fill="auto"/>
          </w:tcPr>
          <w:p w14:paraId="771F29ED" w14:textId="77777777" w:rsidR="00C73DC8" w:rsidRPr="009658F2" w:rsidRDefault="009658F2" w:rsidP="00A35916">
            <w:pPr>
              <w:pStyle w:val="TableText"/>
              <w:jc w:val="center"/>
            </w:pPr>
            <w:r>
              <w:rPr>
                <w:noProof/>
                <w:color w:val="000000"/>
                <w:highlight w:val="black"/>
              </w:rPr>
              <w:t>''''''''''''''</w:t>
            </w:r>
            <w:r w:rsidR="00E10121">
              <w:rPr>
                <w:vertAlign w:val="superscript"/>
              </w:rPr>
              <w:t>11</w:t>
            </w:r>
          </w:p>
        </w:tc>
        <w:tc>
          <w:tcPr>
            <w:tcW w:w="616" w:type="pct"/>
            <w:shd w:val="clear" w:color="auto" w:fill="auto"/>
          </w:tcPr>
          <w:p w14:paraId="019864F5" w14:textId="77777777" w:rsidR="00C73DC8" w:rsidRPr="009658F2" w:rsidRDefault="009658F2" w:rsidP="00A35916">
            <w:pPr>
              <w:pStyle w:val="TableText"/>
              <w:jc w:val="center"/>
            </w:pPr>
            <w:r>
              <w:rPr>
                <w:noProof/>
                <w:color w:val="000000"/>
                <w:highlight w:val="black"/>
              </w:rPr>
              <w:t>'''''''''''''</w:t>
            </w:r>
            <w:r w:rsidR="00E10121">
              <w:rPr>
                <w:vertAlign w:val="superscript"/>
              </w:rPr>
              <w:t>11</w:t>
            </w:r>
          </w:p>
        </w:tc>
        <w:tc>
          <w:tcPr>
            <w:tcW w:w="616" w:type="pct"/>
            <w:shd w:val="clear" w:color="auto" w:fill="auto"/>
          </w:tcPr>
          <w:p w14:paraId="4E65C838" w14:textId="77777777" w:rsidR="00C73DC8" w:rsidRPr="009658F2" w:rsidRDefault="009658F2" w:rsidP="00A35916">
            <w:pPr>
              <w:pStyle w:val="TableText"/>
              <w:jc w:val="center"/>
            </w:pPr>
            <w:r>
              <w:rPr>
                <w:noProof/>
                <w:color w:val="000000"/>
                <w:highlight w:val="black"/>
              </w:rPr>
              <w:t>'''''''''''''</w:t>
            </w:r>
            <w:r w:rsidR="00E10121">
              <w:rPr>
                <w:vertAlign w:val="superscript"/>
              </w:rPr>
              <w:t>11</w:t>
            </w:r>
          </w:p>
        </w:tc>
        <w:tc>
          <w:tcPr>
            <w:tcW w:w="616" w:type="pct"/>
            <w:shd w:val="clear" w:color="auto" w:fill="auto"/>
          </w:tcPr>
          <w:p w14:paraId="31BEF58C" w14:textId="77777777" w:rsidR="00C73DC8" w:rsidRPr="009658F2" w:rsidRDefault="009658F2" w:rsidP="00A35916">
            <w:pPr>
              <w:pStyle w:val="TableText"/>
              <w:jc w:val="center"/>
            </w:pPr>
            <w:r>
              <w:rPr>
                <w:noProof/>
                <w:color w:val="000000"/>
                <w:highlight w:val="black"/>
              </w:rPr>
              <w:t>'''''''''''</w:t>
            </w:r>
            <w:r w:rsidR="00E10121">
              <w:rPr>
                <w:vertAlign w:val="superscript"/>
              </w:rPr>
              <w:t>11</w:t>
            </w:r>
          </w:p>
        </w:tc>
        <w:tc>
          <w:tcPr>
            <w:tcW w:w="616" w:type="pct"/>
            <w:shd w:val="clear" w:color="auto" w:fill="auto"/>
          </w:tcPr>
          <w:p w14:paraId="05DEBBB4" w14:textId="77777777" w:rsidR="00C73DC8" w:rsidRPr="009658F2" w:rsidRDefault="009658F2" w:rsidP="00A35916">
            <w:pPr>
              <w:pStyle w:val="TableText"/>
              <w:jc w:val="center"/>
            </w:pPr>
            <w:r>
              <w:rPr>
                <w:noProof/>
                <w:color w:val="000000"/>
                <w:highlight w:val="black"/>
              </w:rPr>
              <w:t>''''''''''''''</w:t>
            </w:r>
            <w:r w:rsidR="00E10121">
              <w:rPr>
                <w:vertAlign w:val="superscript"/>
              </w:rPr>
              <w:t>11</w:t>
            </w:r>
          </w:p>
        </w:tc>
        <w:tc>
          <w:tcPr>
            <w:tcW w:w="616" w:type="pct"/>
            <w:shd w:val="clear" w:color="auto" w:fill="auto"/>
          </w:tcPr>
          <w:p w14:paraId="4CD39293" w14:textId="77777777" w:rsidR="00C73DC8" w:rsidRPr="009658F2" w:rsidRDefault="009658F2" w:rsidP="00A35916">
            <w:pPr>
              <w:pStyle w:val="TableText"/>
              <w:jc w:val="center"/>
            </w:pPr>
            <w:r>
              <w:rPr>
                <w:noProof/>
                <w:color w:val="000000"/>
                <w:highlight w:val="black"/>
              </w:rPr>
              <w:t>'''''''''''''</w:t>
            </w:r>
            <w:r w:rsidR="00E10121">
              <w:rPr>
                <w:vertAlign w:val="superscript"/>
              </w:rPr>
              <w:t>11</w:t>
            </w:r>
          </w:p>
        </w:tc>
      </w:tr>
      <w:tr w:rsidR="00C73DC8" w:rsidRPr="00C73DC8" w14:paraId="18DEE36F" w14:textId="77777777" w:rsidTr="00A35916">
        <w:tc>
          <w:tcPr>
            <w:tcW w:w="1383" w:type="pct"/>
            <w:shd w:val="clear" w:color="auto" w:fill="auto"/>
            <w:vAlign w:val="center"/>
          </w:tcPr>
          <w:p w14:paraId="189389BD" w14:textId="77777777" w:rsidR="00C73DC8" w:rsidRPr="00C73DC8" w:rsidRDefault="00C73DC8" w:rsidP="00A35916">
            <w:pPr>
              <w:pStyle w:val="TableText"/>
            </w:pPr>
            <w:r w:rsidRPr="00C73DC8">
              <w:t>Total additional scripts</w:t>
            </w:r>
          </w:p>
        </w:tc>
        <w:tc>
          <w:tcPr>
            <w:tcW w:w="539" w:type="pct"/>
            <w:shd w:val="clear" w:color="auto" w:fill="auto"/>
          </w:tcPr>
          <w:p w14:paraId="6F17DDDE" w14:textId="77777777" w:rsidR="00C73DC8" w:rsidRPr="009658F2" w:rsidRDefault="009658F2" w:rsidP="00A35916">
            <w:pPr>
              <w:pStyle w:val="TableText"/>
              <w:jc w:val="center"/>
            </w:pPr>
            <w:r>
              <w:rPr>
                <w:noProof/>
                <w:color w:val="000000"/>
                <w:highlight w:val="black"/>
              </w:rPr>
              <w:t>''''''''''''''</w:t>
            </w:r>
            <w:r w:rsidR="00E10121">
              <w:rPr>
                <w:vertAlign w:val="superscript"/>
              </w:rPr>
              <w:t>12</w:t>
            </w:r>
          </w:p>
        </w:tc>
        <w:tc>
          <w:tcPr>
            <w:tcW w:w="616" w:type="pct"/>
            <w:shd w:val="clear" w:color="auto" w:fill="auto"/>
          </w:tcPr>
          <w:p w14:paraId="01A76F0F" w14:textId="77777777" w:rsidR="00C73DC8" w:rsidRPr="009658F2" w:rsidRDefault="009658F2" w:rsidP="00A35916">
            <w:pPr>
              <w:pStyle w:val="TableText"/>
              <w:jc w:val="center"/>
            </w:pPr>
            <w:r>
              <w:rPr>
                <w:noProof/>
                <w:color w:val="000000"/>
                <w:highlight w:val="black"/>
              </w:rPr>
              <w:t>'''''''''''''''</w:t>
            </w:r>
            <w:r w:rsidR="00E10121">
              <w:rPr>
                <w:vertAlign w:val="superscript"/>
              </w:rPr>
              <w:t>12</w:t>
            </w:r>
          </w:p>
        </w:tc>
        <w:tc>
          <w:tcPr>
            <w:tcW w:w="616" w:type="pct"/>
            <w:shd w:val="clear" w:color="auto" w:fill="auto"/>
          </w:tcPr>
          <w:p w14:paraId="0F5C4B06" w14:textId="77777777" w:rsidR="00C73DC8" w:rsidRPr="009658F2" w:rsidRDefault="009658F2" w:rsidP="00A35916">
            <w:pPr>
              <w:pStyle w:val="TableText"/>
              <w:jc w:val="center"/>
            </w:pPr>
            <w:r>
              <w:rPr>
                <w:noProof/>
                <w:color w:val="000000"/>
                <w:highlight w:val="black"/>
              </w:rPr>
              <w:t>''''''''''''''</w:t>
            </w:r>
            <w:r w:rsidR="00DC0E58">
              <w:rPr>
                <w:vertAlign w:val="superscript"/>
              </w:rPr>
              <w:t>12</w:t>
            </w:r>
          </w:p>
        </w:tc>
        <w:tc>
          <w:tcPr>
            <w:tcW w:w="616" w:type="pct"/>
            <w:shd w:val="clear" w:color="auto" w:fill="auto"/>
          </w:tcPr>
          <w:p w14:paraId="62B6DDFA" w14:textId="77777777" w:rsidR="00C73DC8" w:rsidRPr="009658F2" w:rsidRDefault="009658F2" w:rsidP="00A35916">
            <w:pPr>
              <w:pStyle w:val="TableText"/>
              <w:jc w:val="center"/>
            </w:pPr>
            <w:r>
              <w:rPr>
                <w:noProof/>
                <w:color w:val="000000"/>
                <w:highlight w:val="black"/>
              </w:rPr>
              <w:t>''''''''''''</w:t>
            </w:r>
            <w:r w:rsidR="00DC0E58">
              <w:rPr>
                <w:vertAlign w:val="superscript"/>
              </w:rPr>
              <w:t>12</w:t>
            </w:r>
          </w:p>
        </w:tc>
        <w:tc>
          <w:tcPr>
            <w:tcW w:w="616" w:type="pct"/>
            <w:shd w:val="clear" w:color="auto" w:fill="auto"/>
          </w:tcPr>
          <w:p w14:paraId="1C6E9906" w14:textId="77777777" w:rsidR="00C73DC8" w:rsidRPr="009658F2" w:rsidRDefault="009658F2" w:rsidP="00A35916">
            <w:pPr>
              <w:pStyle w:val="TableText"/>
              <w:jc w:val="center"/>
            </w:pPr>
            <w:r>
              <w:rPr>
                <w:noProof/>
                <w:color w:val="000000"/>
                <w:highlight w:val="black"/>
              </w:rPr>
              <w:t>''''''''''''''</w:t>
            </w:r>
            <w:r w:rsidR="00DC0E58">
              <w:rPr>
                <w:vertAlign w:val="superscript"/>
              </w:rPr>
              <w:t>12</w:t>
            </w:r>
          </w:p>
        </w:tc>
        <w:tc>
          <w:tcPr>
            <w:tcW w:w="616" w:type="pct"/>
            <w:shd w:val="clear" w:color="auto" w:fill="auto"/>
          </w:tcPr>
          <w:p w14:paraId="59F14B34" w14:textId="77777777" w:rsidR="00C73DC8" w:rsidRPr="009658F2" w:rsidRDefault="009658F2" w:rsidP="00A35916">
            <w:pPr>
              <w:pStyle w:val="TableText"/>
              <w:jc w:val="center"/>
            </w:pPr>
            <w:r>
              <w:rPr>
                <w:noProof/>
                <w:color w:val="000000"/>
                <w:highlight w:val="black"/>
              </w:rPr>
              <w:t>''''''''''''</w:t>
            </w:r>
            <w:r w:rsidR="00DC0E58">
              <w:rPr>
                <w:vertAlign w:val="superscript"/>
              </w:rPr>
              <w:t>12</w:t>
            </w:r>
          </w:p>
        </w:tc>
      </w:tr>
      <w:tr w:rsidR="00C73DC8" w:rsidRPr="00C73DC8" w14:paraId="11ED2DD7" w14:textId="77777777" w:rsidTr="00A35916">
        <w:tc>
          <w:tcPr>
            <w:tcW w:w="1383" w:type="pct"/>
            <w:shd w:val="clear" w:color="auto" w:fill="auto"/>
            <w:vAlign w:val="center"/>
          </w:tcPr>
          <w:p w14:paraId="39C7CF20" w14:textId="77777777" w:rsidR="00C73DC8" w:rsidRPr="00C73DC8" w:rsidRDefault="00C73DC8" w:rsidP="00A35916">
            <w:pPr>
              <w:pStyle w:val="TableText"/>
            </w:pPr>
            <w:r w:rsidRPr="00C73DC8">
              <w:t>Total additional patients</w:t>
            </w:r>
          </w:p>
        </w:tc>
        <w:tc>
          <w:tcPr>
            <w:tcW w:w="539" w:type="pct"/>
            <w:shd w:val="clear" w:color="auto" w:fill="auto"/>
          </w:tcPr>
          <w:p w14:paraId="4161C223" w14:textId="77777777" w:rsidR="00C73DC8" w:rsidRPr="009658F2" w:rsidRDefault="009658F2" w:rsidP="00A35916">
            <w:pPr>
              <w:pStyle w:val="TableText"/>
              <w:jc w:val="center"/>
            </w:pPr>
            <w:r>
              <w:rPr>
                <w:noProof/>
                <w:color w:val="000000"/>
                <w:highlight w:val="black"/>
              </w:rPr>
              <w:t>'''''''''</w:t>
            </w:r>
            <w:r w:rsidR="00DC0E58">
              <w:rPr>
                <w:vertAlign w:val="superscript"/>
              </w:rPr>
              <w:t>11</w:t>
            </w:r>
          </w:p>
        </w:tc>
        <w:tc>
          <w:tcPr>
            <w:tcW w:w="616" w:type="pct"/>
            <w:shd w:val="clear" w:color="auto" w:fill="auto"/>
          </w:tcPr>
          <w:p w14:paraId="5E618571" w14:textId="77777777" w:rsidR="00C73DC8" w:rsidRPr="009658F2" w:rsidRDefault="009658F2" w:rsidP="00A35916">
            <w:pPr>
              <w:pStyle w:val="TableText"/>
              <w:jc w:val="center"/>
            </w:pPr>
            <w:r>
              <w:rPr>
                <w:noProof/>
                <w:color w:val="000000"/>
                <w:highlight w:val="black"/>
              </w:rPr>
              <w:t>''''''''</w:t>
            </w:r>
            <w:r w:rsidR="00DC0E58">
              <w:rPr>
                <w:vertAlign w:val="superscript"/>
              </w:rPr>
              <w:t>11</w:t>
            </w:r>
          </w:p>
        </w:tc>
        <w:tc>
          <w:tcPr>
            <w:tcW w:w="616" w:type="pct"/>
            <w:shd w:val="clear" w:color="auto" w:fill="auto"/>
          </w:tcPr>
          <w:p w14:paraId="5E4919E3" w14:textId="77777777" w:rsidR="00C73DC8" w:rsidRPr="009658F2" w:rsidRDefault="009658F2" w:rsidP="00A35916">
            <w:pPr>
              <w:pStyle w:val="TableText"/>
              <w:jc w:val="center"/>
            </w:pPr>
            <w:r>
              <w:rPr>
                <w:noProof/>
                <w:color w:val="000000"/>
                <w:highlight w:val="black"/>
              </w:rPr>
              <w:t>'''''''''</w:t>
            </w:r>
            <w:r w:rsidR="00DC0E58">
              <w:rPr>
                <w:vertAlign w:val="superscript"/>
              </w:rPr>
              <w:t>11</w:t>
            </w:r>
          </w:p>
        </w:tc>
        <w:tc>
          <w:tcPr>
            <w:tcW w:w="616" w:type="pct"/>
            <w:shd w:val="clear" w:color="auto" w:fill="auto"/>
          </w:tcPr>
          <w:p w14:paraId="35731180" w14:textId="77777777" w:rsidR="00C73DC8" w:rsidRPr="009658F2" w:rsidRDefault="009658F2" w:rsidP="00A35916">
            <w:pPr>
              <w:pStyle w:val="TableText"/>
              <w:jc w:val="center"/>
            </w:pPr>
            <w:r>
              <w:rPr>
                <w:noProof/>
                <w:color w:val="000000"/>
                <w:highlight w:val="black"/>
              </w:rPr>
              <w:t>''''''''</w:t>
            </w:r>
            <w:r w:rsidR="00DC0E58">
              <w:rPr>
                <w:vertAlign w:val="superscript"/>
              </w:rPr>
              <w:t>11</w:t>
            </w:r>
          </w:p>
        </w:tc>
        <w:tc>
          <w:tcPr>
            <w:tcW w:w="616" w:type="pct"/>
            <w:shd w:val="clear" w:color="auto" w:fill="auto"/>
          </w:tcPr>
          <w:p w14:paraId="1A7334E4" w14:textId="77777777" w:rsidR="00C73DC8" w:rsidRPr="009658F2" w:rsidRDefault="009658F2" w:rsidP="00A35916">
            <w:pPr>
              <w:pStyle w:val="TableText"/>
              <w:jc w:val="center"/>
            </w:pPr>
            <w:r>
              <w:rPr>
                <w:noProof/>
                <w:color w:val="000000"/>
                <w:highlight w:val="black"/>
              </w:rPr>
              <w:t>'''''''''</w:t>
            </w:r>
            <w:r w:rsidR="00DC0E58">
              <w:rPr>
                <w:vertAlign w:val="superscript"/>
              </w:rPr>
              <w:t>11</w:t>
            </w:r>
          </w:p>
        </w:tc>
        <w:tc>
          <w:tcPr>
            <w:tcW w:w="616" w:type="pct"/>
            <w:shd w:val="clear" w:color="auto" w:fill="auto"/>
          </w:tcPr>
          <w:p w14:paraId="50C0DD0D" w14:textId="77777777" w:rsidR="00C73DC8" w:rsidRPr="009658F2" w:rsidRDefault="009658F2" w:rsidP="00A35916">
            <w:pPr>
              <w:pStyle w:val="TableText"/>
              <w:jc w:val="center"/>
            </w:pPr>
            <w:r>
              <w:rPr>
                <w:noProof/>
                <w:color w:val="000000"/>
                <w:highlight w:val="black"/>
              </w:rPr>
              <w:t>'''''''''</w:t>
            </w:r>
            <w:r w:rsidR="00DC0E58">
              <w:rPr>
                <w:vertAlign w:val="superscript"/>
              </w:rPr>
              <w:t>11</w:t>
            </w:r>
          </w:p>
        </w:tc>
      </w:tr>
      <w:tr w:rsidR="00C73DC8" w:rsidRPr="00C73DC8" w14:paraId="6973CF82" w14:textId="77777777" w:rsidTr="00A35916">
        <w:tc>
          <w:tcPr>
            <w:tcW w:w="5000" w:type="pct"/>
            <w:gridSpan w:val="7"/>
            <w:shd w:val="clear" w:color="auto" w:fill="auto"/>
            <w:vAlign w:val="center"/>
          </w:tcPr>
          <w:p w14:paraId="53045D15" w14:textId="77777777" w:rsidR="00C73DC8" w:rsidRPr="00C73DC8" w:rsidRDefault="00C73DC8" w:rsidP="00A35916">
            <w:pPr>
              <w:pStyle w:val="TableText"/>
              <w:rPr>
                <w:b/>
              </w:rPr>
            </w:pPr>
            <w:r w:rsidRPr="00C73DC8">
              <w:rPr>
                <w:b/>
              </w:rPr>
              <w:t>Total cost sacubitril/valsartan – newly eligible patients only</w:t>
            </w:r>
          </w:p>
        </w:tc>
      </w:tr>
      <w:tr w:rsidR="00C73DC8" w:rsidRPr="00C73DC8" w14:paraId="2021C919" w14:textId="77777777" w:rsidTr="00A35916">
        <w:tc>
          <w:tcPr>
            <w:tcW w:w="1383" w:type="pct"/>
            <w:shd w:val="clear" w:color="auto" w:fill="auto"/>
            <w:vAlign w:val="center"/>
          </w:tcPr>
          <w:p w14:paraId="1AECA91D" w14:textId="77777777" w:rsidR="00C73DC8" w:rsidRPr="00C73DC8" w:rsidRDefault="00C73DC8" w:rsidP="00A35916">
            <w:pPr>
              <w:pStyle w:val="TableText"/>
            </w:pPr>
            <w:r w:rsidRPr="00C73DC8">
              <w:t>Total cost (effective)</w:t>
            </w:r>
          </w:p>
        </w:tc>
        <w:tc>
          <w:tcPr>
            <w:tcW w:w="539" w:type="pct"/>
            <w:shd w:val="clear" w:color="auto" w:fill="auto"/>
          </w:tcPr>
          <w:p w14:paraId="04206CD2" w14:textId="77777777" w:rsidR="00C73DC8" w:rsidRPr="009658F2" w:rsidRDefault="009658F2" w:rsidP="00A35916">
            <w:pPr>
              <w:pStyle w:val="TableText"/>
              <w:jc w:val="center"/>
              <w:rPr>
                <w:highlight w:val="yellow"/>
              </w:rPr>
            </w:pPr>
            <w:r>
              <w:rPr>
                <w:noProof/>
                <w:color w:val="000000"/>
                <w:highlight w:val="black"/>
              </w:rPr>
              <w:t>''''''''''''''''''''''</w:t>
            </w:r>
            <w:r w:rsidR="00345766">
              <w:rPr>
                <w:vertAlign w:val="superscript"/>
              </w:rPr>
              <w:t>13</w:t>
            </w:r>
          </w:p>
        </w:tc>
        <w:tc>
          <w:tcPr>
            <w:tcW w:w="616" w:type="pct"/>
            <w:shd w:val="clear" w:color="auto" w:fill="auto"/>
          </w:tcPr>
          <w:p w14:paraId="6AFB5900" w14:textId="77777777" w:rsidR="00C73DC8" w:rsidRPr="009658F2" w:rsidRDefault="009658F2" w:rsidP="00A35916">
            <w:pPr>
              <w:pStyle w:val="TableText"/>
              <w:jc w:val="center"/>
              <w:rPr>
                <w:highlight w:val="yellow"/>
              </w:rPr>
            </w:pPr>
            <w:r>
              <w:rPr>
                <w:noProof/>
                <w:color w:val="000000"/>
                <w:highlight w:val="black"/>
              </w:rPr>
              <w:t>'''''''''''''''''''''''</w:t>
            </w:r>
            <w:r w:rsidR="00345766">
              <w:rPr>
                <w:vertAlign w:val="superscript"/>
              </w:rPr>
              <w:t>13</w:t>
            </w:r>
          </w:p>
        </w:tc>
        <w:tc>
          <w:tcPr>
            <w:tcW w:w="616" w:type="pct"/>
            <w:shd w:val="clear" w:color="auto" w:fill="auto"/>
          </w:tcPr>
          <w:p w14:paraId="4792555A" w14:textId="77777777" w:rsidR="00C73DC8" w:rsidRPr="009658F2" w:rsidRDefault="009658F2" w:rsidP="00A35916">
            <w:pPr>
              <w:pStyle w:val="TableText"/>
              <w:jc w:val="center"/>
              <w:rPr>
                <w:highlight w:val="yellow"/>
              </w:rPr>
            </w:pPr>
            <w:r>
              <w:rPr>
                <w:noProof/>
                <w:color w:val="000000"/>
                <w:highlight w:val="black"/>
              </w:rPr>
              <w:t>''''''''''''''''''''''</w:t>
            </w:r>
            <w:r w:rsidR="00345766">
              <w:rPr>
                <w:vertAlign w:val="superscript"/>
              </w:rPr>
              <w:t>13</w:t>
            </w:r>
          </w:p>
        </w:tc>
        <w:tc>
          <w:tcPr>
            <w:tcW w:w="616" w:type="pct"/>
            <w:shd w:val="clear" w:color="auto" w:fill="auto"/>
          </w:tcPr>
          <w:p w14:paraId="53E13D61" w14:textId="77777777" w:rsidR="00C73DC8" w:rsidRPr="009658F2" w:rsidRDefault="009658F2" w:rsidP="00A35916">
            <w:pPr>
              <w:pStyle w:val="TableText"/>
              <w:jc w:val="center"/>
              <w:rPr>
                <w:highlight w:val="yellow"/>
              </w:rPr>
            </w:pPr>
            <w:r>
              <w:rPr>
                <w:noProof/>
                <w:color w:val="000000"/>
                <w:highlight w:val="black"/>
              </w:rPr>
              <w:t>''''''''''''''''''''''''</w:t>
            </w:r>
            <w:r w:rsidR="00345766">
              <w:rPr>
                <w:vertAlign w:val="superscript"/>
              </w:rPr>
              <w:t>13</w:t>
            </w:r>
          </w:p>
        </w:tc>
        <w:tc>
          <w:tcPr>
            <w:tcW w:w="616" w:type="pct"/>
            <w:shd w:val="clear" w:color="auto" w:fill="auto"/>
          </w:tcPr>
          <w:p w14:paraId="02FC8A5C" w14:textId="77777777" w:rsidR="00C73DC8" w:rsidRPr="009658F2" w:rsidRDefault="009658F2" w:rsidP="00A35916">
            <w:pPr>
              <w:pStyle w:val="TableText"/>
              <w:jc w:val="center"/>
              <w:rPr>
                <w:highlight w:val="yellow"/>
              </w:rPr>
            </w:pPr>
            <w:r>
              <w:rPr>
                <w:noProof/>
                <w:color w:val="000000"/>
                <w:highlight w:val="black"/>
              </w:rPr>
              <w:t>'''''''''''''''''''''''''''</w:t>
            </w:r>
            <w:r w:rsidR="00345766">
              <w:rPr>
                <w:vertAlign w:val="superscript"/>
              </w:rPr>
              <w:t>14</w:t>
            </w:r>
          </w:p>
        </w:tc>
        <w:tc>
          <w:tcPr>
            <w:tcW w:w="616" w:type="pct"/>
            <w:shd w:val="clear" w:color="auto" w:fill="auto"/>
          </w:tcPr>
          <w:p w14:paraId="2D548FEA" w14:textId="77777777" w:rsidR="00C73DC8" w:rsidRPr="009658F2" w:rsidRDefault="009658F2" w:rsidP="00A35916">
            <w:pPr>
              <w:pStyle w:val="TableText"/>
              <w:jc w:val="center"/>
              <w:rPr>
                <w:highlight w:val="yellow"/>
              </w:rPr>
            </w:pPr>
            <w:r>
              <w:rPr>
                <w:noProof/>
                <w:color w:val="000000"/>
                <w:highlight w:val="black"/>
              </w:rPr>
              <w:t>'''''''''''''''''''''''''''</w:t>
            </w:r>
            <w:r w:rsidR="00345766">
              <w:rPr>
                <w:vertAlign w:val="superscript"/>
              </w:rPr>
              <w:t>14</w:t>
            </w:r>
          </w:p>
        </w:tc>
      </w:tr>
      <w:tr w:rsidR="00C73DC8" w:rsidRPr="00C73DC8" w14:paraId="4541FB29" w14:textId="77777777" w:rsidTr="00A35916">
        <w:tc>
          <w:tcPr>
            <w:tcW w:w="1383" w:type="pct"/>
            <w:shd w:val="clear" w:color="auto" w:fill="auto"/>
            <w:vAlign w:val="center"/>
          </w:tcPr>
          <w:p w14:paraId="4B2C7A54" w14:textId="77777777" w:rsidR="00C73DC8" w:rsidRPr="00C73DC8" w:rsidRDefault="00C73DC8" w:rsidP="00A35916">
            <w:pPr>
              <w:pStyle w:val="TableText"/>
            </w:pPr>
            <w:r w:rsidRPr="00C73DC8">
              <w:t>Less co-payments</w:t>
            </w:r>
          </w:p>
        </w:tc>
        <w:tc>
          <w:tcPr>
            <w:tcW w:w="539" w:type="pct"/>
            <w:shd w:val="clear" w:color="auto" w:fill="auto"/>
          </w:tcPr>
          <w:p w14:paraId="045DD5D7" w14:textId="77777777" w:rsidR="00C73DC8" w:rsidRPr="009658F2" w:rsidRDefault="009658F2" w:rsidP="00A35916">
            <w:pPr>
              <w:pStyle w:val="TableText"/>
              <w:jc w:val="center"/>
              <w:rPr>
                <w:highlight w:val="yellow"/>
              </w:rPr>
            </w:pPr>
            <w:r>
              <w:rPr>
                <w:noProof/>
                <w:color w:val="000000"/>
                <w:highlight w:val="black"/>
              </w:rPr>
              <w:t>'''''''''''''''''''</w:t>
            </w:r>
            <w:r w:rsidR="00345766">
              <w:rPr>
                <w:vertAlign w:val="superscript"/>
              </w:rPr>
              <w:t>13</w:t>
            </w:r>
          </w:p>
        </w:tc>
        <w:tc>
          <w:tcPr>
            <w:tcW w:w="616" w:type="pct"/>
            <w:shd w:val="clear" w:color="auto" w:fill="auto"/>
          </w:tcPr>
          <w:p w14:paraId="1EE14D1C" w14:textId="77777777" w:rsidR="00C73DC8" w:rsidRPr="009658F2" w:rsidRDefault="009658F2" w:rsidP="00A35916">
            <w:pPr>
              <w:pStyle w:val="TableText"/>
              <w:jc w:val="center"/>
              <w:rPr>
                <w:highlight w:val="yellow"/>
              </w:rPr>
            </w:pPr>
            <w:r>
              <w:rPr>
                <w:noProof/>
                <w:color w:val="000000"/>
                <w:highlight w:val="black"/>
              </w:rPr>
              <w:t>'''''''''''''''''''''</w:t>
            </w:r>
            <w:r w:rsidR="00345766">
              <w:rPr>
                <w:vertAlign w:val="superscript"/>
              </w:rPr>
              <w:t>13</w:t>
            </w:r>
          </w:p>
        </w:tc>
        <w:tc>
          <w:tcPr>
            <w:tcW w:w="616" w:type="pct"/>
            <w:shd w:val="clear" w:color="auto" w:fill="auto"/>
          </w:tcPr>
          <w:p w14:paraId="4457E0E5" w14:textId="77777777" w:rsidR="00C73DC8" w:rsidRPr="009658F2" w:rsidRDefault="009658F2" w:rsidP="00A35916">
            <w:pPr>
              <w:pStyle w:val="TableText"/>
              <w:jc w:val="center"/>
              <w:rPr>
                <w:highlight w:val="yellow"/>
              </w:rPr>
            </w:pPr>
            <w:r>
              <w:rPr>
                <w:noProof/>
                <w:color w:val="000000"/>
                <w:highlight w:val="black"/>
              </w:rPr>
              <w:t>'''''''''''''''''''''</w:t>
            </w:r>
            <w:r w:rsidR="00345766">
              <w:rPr>
                <w:vertAlign w:val="superscript"/>
              </w:rPr>
              <w:t>13</w:t>
            </w:r>
          </w:p>
        </w:tc>
        <w:tc>
          <w:tcPr>
            <w:tcW w:w="616" w:type="pct"/>
            <w:shd w:val="clear" w:color="auto" w:fill="auto"/>
          </w:tcPr>
          <w:p w14:paraId="7A5B9418" w14:textId="77777777" w:rsidR="00C73DC8" w:rsidRPr="009658F2" w:rsidRDefault="009658F2" w:rsidP="00A35916">
            <w:pPr>
              <w:pStyle w:val="TableText"/>
              <w:jc w:val="center"/>
              <w:rPr>
                <w:highlight w:val="yellow"/>
              </w:rPr>
            </w:pPr>
            <w:r>
              <w:rPr>
                <w:noProof/>
                <w:color w:val="000000"/>
                <w:highlight w:val="black"/>
              </w:rPr>
              <w:t>''''''''''''''''''''</w:t>
            </w:r>
            <w:r w:rsidR="00345766">
              <w:rPr>
                <w:vertAlign w:val="superscript"/>
              </w:rPr>
              <w:t>13</w:t>
            </w:r>
          </w:p>
        </w:tc>
        <w:tc>
          <w:tcPr>
            <w:tcW w:w="616" w:type="pct"/>
            <w:shd w:val="clear" w:color="auto" w:fill="auto"/>
          </w:tcPr>
          <w:p w14:paraId="264D53EE" w14:textId="77777777" w:rsidR="00C73DC8" w:rsidRPr="009658F2" w:rsidRDefault="009658F2" w:rsidP="00A35916">
            <w:pPr>
              <w:pStyle w:val="TableText"/>
              <w:jc w:val="center"/>
              <w:rPr>
                <w:highlight w:val="yellow"/>
              </w:rPr>
            </w:pPr>
            <w:r>
              <w:rPr>
                <w:noProof/>
                <w:color w:val="000000"/>
                <w:highlight w:val="black"/>
              </w:rPr>
              <w:t>'''''''''''''''''''''</w:t>
            </w:r>
            <w:r w:rsidR="00345766">
              <w:rPr>
                <w:vertAlign w:val="superscript"/>
              </w:rPr>
              <w:t>13</w:t>
            </w:r>
          </w:p>
        </w:tc>
        <w:tc>
          <w:tcPr>
            <w:tcW w:w="616" w:type="pct"/>
            <w:shd w:val="clear" w:color="auto" w:fill="auto"/>
          </w:tcPr>
          <w:p w14:paraId="7F99AAFF" w14:textId="77777777" w:rsidR="00C73DC8" w:rsidRPr="009658F2" w:rsidRDefault="009658F2" w:rsidP="00A35916">
            <w:pPr>
              <w:pStyle w:val="TableText"/>
              <w:jc w:val="center"/>
              <w:rPr>
                <w:highlight w:val="yellow"/>
              </w:rPr>
            </w:pPr>
            <w:r>
              <w:rPr>
                <w:noProof/>
                <w:color w:val="000000"/>
                <w:highlight w:val="black"/>
              </w:rPr>
              <w:t>'''''''''''''''''''''</w:t>
            </w:r>
            <w:r w:rsidR="00345766">
              <w:rPr>
                <w:vertAlign w:val="superscript"/>
              </w:rPr>
              <w:t>13</w:t>
            </w:r>
          </w:p>
        </w:tc>
      </w:tr>
      <w:tr w:rsidR="00C73DC8" w:rsidRPr="00C73DC8" w14:paraId="3BA198F6" w14:textId="77777777" w:rsidTr="00A35916">
        <w:tc>
          <w:tcPr>
            <w:tcW w:w="1383" w:type="pct"/>
            <w:shd w:val="clear" w:color="auto" w:fill="auto"/>
            <w:vAlign w:val="center"/>
          </w:tcPr>
          <w:p w14:paraId="0F4D3DEC" w14:textId="77777777" w:rsidR="00C73DC8" w:rsidRPr="00C73DC8" w:rsidRDefault="00C73DC8" w:rsidP="00A35916">
            <w:pPr>
              <w:pStyle w:val="TableText"/>
              <w:rPr>
                <w:b/>
              </w:rPr>
            </w:pPr>
            <w:r w:rsidRPr="00C73DC8">
              <w:rPr>
                <w:b/>
              </w:rPr>
              <w:t>Net cost (effective)</w:t>
            </w:r>
          </w:p>
        </w:tc>
        <w:tc>
          <w:tcPr>
            <w:tcW w:w="539" w:type="pct"/>
            <w:shd w:val="clear" w:color="auto" w:fill="auto"/>
          </w:tcPr>
          <w:p w14:paraId="214D3B09" w14:textId="77777777" w:rsidR="00C73DC8" w:rsidRPr="009658F2" w:rsidRDefault="009658F2" w:rsidP="00A35916">
            <w:pPr>
              <w:pStyle w:val="TableText"/>
              <w:jc w:val="center"/>
              <w:rPr>
                <w:b/>
                <w:highlight w:val="yellow"/>
              </w:rPr>
            </w:pPr>
            <w:r>
              <w:rPr>
                <w:b/>
                <w:noProof/>
                <w:color w:val="000000"/>
                <w:highlight w:val="black"/>
              </w:rPr>
              <w:t>''''''''''''''''''''</w:t>
            </w:r>
            <w:r w:rsidR="00345766">
              <w:rPr>
                <w:vertAlign w:val="superscript"/>
              </w:rPr>
              <w:t>13</w:t>
            </w:r>
          </w:p>
        </w:tc>
        <w:tc>
          <w:tcPr>
            <w:tcW w:w="616" w:type="pct"/>
            <w:shd w:val="clear" w:color="auto" w:fill="auto"/>
          </w:tcPr>
          <w:p w14:paraId="2ADE99DE" w14:textId="77777777" w:rsidR="00C73DC8" w:rsidRPr="009658F2" w:rsidRDefault="009658F2" w:rsidP="00A35916">
            <w:pPr>
              <w:pStyle w:val="TableText"/>
              <w:jc w:val="center"/>
              <w:rPr>
                <w:b/>
                <w:highlight w:val="yellow"/>
              </w:rPr>
            </w:pPr>
            <w:r>
              <w:rPr>
                <w:b/>
                <w:noProof/>
                <w:color w:val="000000"/>
                <w:highlight w:val="black"/>
              </w:rPr>
              <w:t>'''''''''''''''''</w:t>
            </w:r>
            <w:r w:rsidR="00345766">
              <w:rPr>
                <w:vertAlign w:val="superscript"/>
              </w:rPr>
              <w:t>13</w:t>
            </w:r>
          </w:p>
        </w:tc>
        <w:tc>
          <w:tcPr>
            <w:tcW w:w="616" w:type="pct"/>
            <w:shd w:val="clear" w:color="auto" w:fill="auto"/>
          </w:tcPr>
          <w:p w14:paraId="38C1AC12" w14:textId="77777777" w:rsidR="00C73DC8" w:rsidRPr="009658F2" w:rsidRDefault="009658F2" w:rsidP="00A35916">
            <w:pPr>
              <w:pStyle w:val="TableText"/>
              <w:jc w:val="center"/>
              <w:rPr>
                <w:b/>
                <w:highlight w:val="yellow"/>
              </w:rPr>
            </w:pPr>
            <w:r>
              <w:rPr>
                <w:b/>
                <w:noProof/>
                <w:color w:val="000000"/>
                <w:highlight w:val="black"/>
              </w:rPr>
              <w:t>''''''''''''''''''</w:t>
            </w:r>
            <w:r w:rsidR="00345766">
              <w:rPr>
                <w:vertAlign w:val="superscript"/>
              </w:rPr>
              <w:t>13</w:t>
            </w:r>
          </w:p>
        </w:tc>
        <w:tc>
          <w:tcPr>
            <w:tcW w:w="616" w:type="pct"/>
            <w:shd w:val="clear" w:color="auto" w:fill="auto"/>
          </w:tcPr>
          <w:p w14:paraId="78F300E2" w14:textId="77777777" w:rsidR="00C73DC8" w:rsidRPr="009658F2" w:rsidRDefault="009658F2" w:rsidP="00A35916">
            <w:pPr>
              <w:pStyle w:val="TableText"/>
              <w:jc w:val="center"/>
              <w:rPr>
                <w:b/>
                <w:highlight w:val="yellow"/>
              </w:rPr>
            </w:pPr>
            <w:r>
              <w:rPr>
                <w:b/>
                <w:noProof/>
                <w:color w:val="000000"/>
                <w:highlight w:val="black"/>
              </w:rPr>
              <w:t>''''''''''''''''''</w:t>
            </w:r>
            <w:r w:rsidR="00345766">
              <w:rPr>
                <w:vertAlign w:val="superscript"/>
              </w:rPr>
              <w:t>13</w:t>
            </w:r>
          </w:p>
        </w:tc>
        <w:tc>
          <w:tcPr>
            <w:tcW w:w="616" w:type="pct"/>
            <w:shd w:val="clear" w:color="auto" w:fill="auto"/>
          </w:tcPr>
          <w:p w14:paraId="1D75CFD8" w14:textId="77777777" w:rsidR="00C73DC8" w:rsidRPr="009658F2" w:rsidRDefault="009658F2" w:rsidP="00A35916">
            <w:pPr>
              <w:pStyle w:val="TableText"/>
              <w:jc w:val="center"/>
              <w:rPr>
                <w:b/>
                <w:highlight w:val="yellow"/>
              </w:rPr>
            </w:pPr>
            <w:r>
              <w:rPr>
                <w:b/>
                <w:noProof/>
                <w:color w:val="000000"/>
                <w:highlight w:val="black"/>
              </w:rPr>
              <w:t>''''''''''''''''''''</w:t>
            </w:r>
            <w:r w:rsidR="00345766">
              <w:rPr>
                <w:vertAlign w:val="superscript"/>
              </w:rPr>
              <w:t>13</w:t>
            </w:r>
          </w:p>
        </w:tc>
        <w:tc>
          <w:tcPr>
            <w:tcW w:w="616" w:type="pct"/>
            <w:shd w:val="clear" w:color="auto" w:fill="auto"/>
          </w:tcPr>
          <w:p w14:paraId="4BB3611E" w14:textId="77777777" w:rsidR="00C73DC8" w:rsidRPr="009658F2" w:rsidRDefault="009658F2" w:rsidP="00A35916">
            <w:pPr>
              <w:pStyle w:val="TableText"/>
              <w:jc w:val="center"/>
              <w:rPr>
                <w:b/>
                <w:highlight w:val="yellow"/>
              </w:rPr>
            </w:pPr>
            <w:r>
              <w:rPr>
                <w:b/>
                <w:noProof/>
                <w:color w:val="000000"/>
                <w:highlight w:val="black"/>
              </w:rPr>
              <w:t>'''''''''''''''''''</w:t>
            </w:r>
            <w:r w:rsidR="00345766">
              <w:rPr>
                <w:vertAlign w:val="superscript"/>
              </w:rPr>
              <w:t>13</w:t>
            </w:r>
          </w:p>
        </w:tc>
      </w:tr>
      <w:tr w:rsidR="00C73DC8" w:rsidRPr="00C73DC8" w14:paraId="62167091" w14:textId="77777777" w:rsidTr="00A35916">
        <w:tc>
          <w:tcPr>
            <w:tcW w:w="5000" w:type="pct"/>
            <w:gridSpan w:val="7"/>
            <w:shd w:val="clear" w:color="auto" w:fill="auto"/>
            <w:vAlign w:val="center"/>
          </w:tcPr>
          <w:p w14:paraId="4175DFC5" w14:textId="77777777" w:rsidR="00C73DC8" w:rsidRPr="00C73DC8" w:rsidRDefault="00C73DC8" w:rsidP="00A35916">
            <w:pPr>
              <w:pStyle w:val="TableText"/>
              <w:rPr>
                <w:b/>
              </w:rPr>
            </w:pPr>
            <w:r w:rsidRPr="00C73DC8">
              <w:rPr>
                <w:b/>
              </w:rPr>
              <w:t>Estimated change in ACE-inhibitor/ARB prescriptions – newly eligible patients only</w:t>
            </w:r>
          </w:p>
        </w:tc>
      </w:tr>
      <w:tr w:rsidR="00C73DC8" w:rsidRPr="00C73DC8" w14:paraId="4BE40F9F" w14:textId="77777777" w:rsidTr="00A35916">
        <w:tc>
          <w:tcPr>
            <w:tcW w:w="1383" w:type="pct"/>
            <w:shd w:val="clear" w:color="auto" w:fill="auto"/>
          </w:tcPr>
          <w:p w14:paraId="11E94903" w14:textId="77777777" w:rsidR="00C73DC8" w:rsidRPr="00C73DC8" w:rsidRDefault="00C73DC8" w:rsidP="00A35916">
            <w:pPr>
              <w:pStyle w:val="TableText"/>
            </w:pPr>
            <w:r w:rsidRPr="00C73DC8">
              <w:t>ACE-inhibitor scripts (46%)</w:t>
            </w:r>
          </w:p>
        </w:tc>
        <w:tc>
          <w:tcPr>
            <w:tcW w:w="539" w:type="pct"/>
            <w:shd w:val="clear" w:color="auto" w:fill="auto"/>
          </w:tcPr>
          <w:p w14:paraId="3DA2C5DE" w14:textId="77777777" w:rsidR="00C73DC8" w:rsidRPr="009658F2" w:rsidRDefault="009658F2" w:rsidP="00A35916">
            <w:pPr>
              <w:pStyle w:val="TableText"/>
              <w:jc w:val="center"/>
              <w:rPr>
                <w:rFonts w:cs="Arial"/>
                <w:highlight w:val="yellow"/>
              </w:rPr>
            </w:pPr>
            <w:r>
              <w:rPr>
                <w:noProof/>
                <w:color w:val="000000"/>
                <w:highlight w:val="black"/>
              </w:rPr>
              <w:t>''''''''''''''</w:t>
            </w:r>
            <w:r w:rsidR="00D114FA">
              <w:rPr>
                <w:vertAlign w:val="superscript"/>
              </w:rPr>
              <w:t>11</w:t>
            </w:r>
          </w:p>
        </w:tc>
        <w:tc>
          <w:tcPr>
            <w:tcW w:w="616" w:type="pct"/>
            <w:shd w:val="clear" w:color="auto" w:fill="auto"/>
          </w:tcPr>
          <w:p w14:paraId="288D9DF5" w14:textId="77777777" w:rsidR="00C73DC8" w:rsidRPr="009658F2" w:rsidRDefault="009658F2" w:rsidP="00A35916">
            <w:pPr>
              <w:pStyle w:val="TableText"/>
              <w:jc w:val="center"/>
              <w:rPr>
                <w:rFonts w:cs="Arial"/>
                <w:highlight w:val="yellow"/>
              </w:rPr>
            </w:pPr>
            <w:r>
              <w:rPr>
                <w:noProof/>
                <w:color w:val="000000"/>
                <w:highlight w:val="black"/>
              </w:rPr>
              <w:t>'''''''''''</w:t>
            </w:r>
            <w:r w:rsidR="00D114FA">
              <w:rPr>
                <w:vertAlign w:val="superscript"/>
              </w:rPr>
              <w:t>11</w:t>
            </w:r>
          </w:p>
        </w:tc>
        <w:tc>
          <w:tcPr>
            <w:tcW w:w="616" w:type="pct"/>
            <w:shd w:val="clear" w:color="auto" w:fill="auto"/>
          </w:tcPr>
          <w:p w14:paraId="5BF17E58" w14:textId="77777777" w:rsidR="00C73DC8" w:rsidRPr="009658F2" w:rsidRDefault="009658F2" w:rsidP="00A35916">
            <w:pPr>
              <w:pStyle w:val="TableText"/>
              <w:jc w:val="center"/>
              <w:rPr>
                <w:rFonts w:cs="Arial"/>
                <w:highlight w:val="yellow"/>
              </w:rPr>
            </w:pPr>
            <w:r>
              <w:rPr>
                <w:noProof/>
                <w:color w:val="000000"/>
                <w:highlight w:val="black"/>
              </w:rPr>
              <w:t>'''''''''''''</w:t>
            </w:r>
            <w:r w:rsidR="00D114FA">
              <w:rPr>
                <w:vertAlign w:val="superscript"/>
              </w:rPr>
              <w:t>11</w:t>
            </w:r>
          </w:p>
        </w:tc>
        <w:tc>
          <w:tcPr>
            <w:tcW w:w="616" w:type="pct"/>
            <w:shd w:val="clear" w:color="auto" w:fill="auto"/>
          </w:tcPr>
          <w:p w14:paraId="5A88D49A" w14:textId="77777777" w:rsidR="00C73DC8" w:rsidRPr="009658F2" w:rsidRDefault="009658F2" w:rsidP="00A35916">
            <w:pPr>
              <w:pStyle w:val="TableText"/>
              <w:jc w:val="center"/>
              <w:rPr>
                <w:rFonts w:cs="Arial"/>
                <w:highlight w:val="yellow"/>
              </w:rPr>
            </w:pPr>
            <w:r>
              <w:rPr>
                <w:noProof/>
                <w:color w:val="000000"/>
                <w:highlight w:val="black"/>
              </w:rPr>
              <w:t>'''''''''''</w:t>
            </w:r>
            <w:r w:rsidR="00D114FA">
              <w:rPr>
                <w:vertAlign w:val="superscript"/>
              </w:rPr>
              <w:t>11</w:t>
            </w:r>
          </w:p>
        </w:tc>
        <w:tc>
          <w:tcPr>
            <w:tcW w:w="616" w:type="pct"/>
            <w:shd w:val="clear" w:color="auto" w:fill="auto"/>
          </w:tcPr>
          <w:p w14:paraId="4E510198" w14:textId="77777777" w:rsidR="00C73DC8" w:rsidRPr="009658F2" w:rsidRDefault="009658F2" w:rsidP="00A35916">
            <w:pPr>
              <w:pStyle w:val="TableText"/>
              <w:jc w:val="center"/>
              <w:rPr>
                <w:rFonts w:cs="Arial"/>
                <w:highlight w:val="yellow"/>
              </w:rPr>
            </w:pPr>
            <w:r>
              <w:rPr>
                <w:noProof/>
                <w:color w:val="000000"/>
                <w:highlight w:val="black"/>
              </w:rPr>
              <w:t>''''''''''''</w:t>
            </w:r>
            <w:r w:rsidR="00D114FA">
              <w:rPr>
                <w:vertAlign w:val="superscript"/>
              </w:rPr>
              <w:t>11</w:t>
            </w:r>
          </w:p>
        </w:tc>
        <w:tc>
          <w:tcPr>
            <w:tcW w:w="616" w:type="pct"/>
            <w:shd w:val="clear" w:color="auto" w:fill="auto"/>
          </w:tcPr>
          <w:p w14:paraId="14B70268" w14:textId="77777777" w:rsidR="00C73DC8" w:rsidRPr="009658F2" w:rsidRDefault="009658F2" w:rsidP="00A35916">
            <w:pPr>
              <w:pStyle w:val="TableText"/>
              <w:jc w:val="center"/>
              <w:rPr>
                <w:rFonts w:cs="Arial"/>
                <w:highlight w:val="yellow"/>
              </w:rPr>
            </w:pPr>
            <w:r>
              <w:rPr>
                <w:noProof/>
                <w:color w:val="000000"/>
                <w:highlight w:val="black"/>
              </w:rPr>
              <w:t>''''''''''''</w:t>
            </w:r>
            <w:r w:rsidR="00D114FA">
              <w:rPr>
                <w:vertAlign w:val="superscript"/>
              </w:rPr>
              <w:t>11</w:t>
            </w:r>
          </w:p>
        </w:tc>
      </w:tr>
      <w:tr w:rsidR="00C73DC8" w:rsidRPr="00C73DC8" w14:paraId="5F029DA6" w14:textId="77777777" w:rsidTr="00A35916">
        <w:tc>
          <w:tcPr>
            <w:tcW w:w="1383" w:type="pct"/>
            <w:shd w:val="clear" w:color="auto" w:fill="auto"/>
          </w:tcPr>
          <w:p w14:paraId="07381750" w14:textId="77777777" w:rsidR="00C73DC8" w:rsidRPr="00C73DC8" w:rsidRDefault="00C73DC8" w:rsidP="00A35916">
            <w:pPr>
              <w:pStyle w:val="TableText"/>
            </w:pPr>
            <w:r w:rsidRPr="00C73DC8">
              <w:t>ARB scripts (54%)</w:t>
            </w:r>
          </w:p>
        </w:tc>
        <w:tc>
          <w:tcPr>
            <w:tcW w:w="539" w:type="pct"/>
            <w:shd w:val="clear" w:color="auto" w:fill="auto"/>
          </w:tcPr>
          <w:p w14:paraId="0DE315A8" w14:textId="77777777" w:rsidR="00C73DC8" w:rsidRPr="009658F2" w:rsidRDefault="009658F2" w:rsidP="00A35916">
            <w:pPr>
              <w:pStyle w:val="TableText"/>
              <w:jc w:val="center"/>
              <w:rPr>
                <w:rFonts w:cs="Arial"/>
                <w:color w:val="000000"/>
                <w:highlight w:val="yellow"/>
              </w:rPr>
            </w:pPr>
            <w:r>
              <w:rPr>
                <w:noProof/>
                <w:color w:val="000000"/>
                <w:highlight w:val="black"/>
              </w:rPr>
              <w:t>'''''''''''</w:t>
            </w:r>
            <w:r w:rsidR="00D114FA">
              <w:rPr>
                <w:vertAlign w:val="superscript"/>
              </w:rPr>
              <w:t>11</w:t>
            </w:r>
          </w:p>
        </w:tc>
        <w:tc>
          <w:tcPr>
            <w:tcW w:w="616" w:type="pct"/>
            <w:shd w:val="clear" w:color="auto" w:fill="auto"/>
          </w:tcPr>
          <w:p w14:paraId="5BC28D58" w14:textId="77777777" w:rsidR="00C73DC8" w:rsidRPr="009658F2" w:rsidRDefault="009658F2" w:rsidP="00A35916">
            <w:pPr>
              <w:pStyle w:val="TableText"/>
              <w:jc w:val="center"/>
              <w:rPr>
                <w:rFonts w:cs="Arial"/>
                <w:color w:val="000000"/>
                <w:highlight w:val="yellow"/>
              </w:rPr>
            </w:pPr>
            <w:r>
              <w:rPr>
                <w:noProof/>
                <w:color w:val="000000"/>
                <w:highlight w:val="black"/>
              </w:rPr>
              <w:t>'''''''''''''</w:t>
            </w:r>
            <w:r w:rsidR="00D114FA">
              <w:rPr>
                <w:vertAlign w:val="superscript"/>
              </w:rPr>
              <w:t>11</w:t>
            </w:r>
          </w:p>
        </w:tc>
        <w:tc>
          <w:tcPr>
            <w:tcW w:w="616" w:type="pct"/>
            <w:shd w:val="clear" w:color="auto" w:fill="auto"/>
          </w:tcPr>
          <w:p w14:paraId="51B55577" w14:textId="77777777" w:rsidR="00C73DC8" w:rsidRPr="009658F2" w:rsidRDefault="009658F2" w:rsidP="00A35916">
            <w:pPr>
              <w:pStyle w:val="TableText"/>
              <w:jc w:val="center"/>
              <w:rPr>
                <w:rFonts w:cs="Arial"/>
                <w:color w:val="000000"/>
                <w:highlight w:val="yellow"/>
              </w:rPr>
            </w:pPr>
            <w:r>
              <w:rPr>
                <w:noProof/>
                <w:color w:val="000000"/>
                <w:highlight w:val="black"/>
              </w:rPr>
              <w:t>'''''''''''''</w:t>
            </w:r>
            <w:r w:rsidR="00D114FA">
              <w:rPr>
                <w:vertAlign w:val="superscript"/>
              </w:rPr>
              <w:t>11</w:t>
            </w:r>
          </w:p>
        </w:tc>
        <w:tc>
          <w:tcPr>
            <w:tcW w:w="616" w:type="pct"/>
            <w:shd w:val="clear" w:color="auto" w:fill="auto"/>
          </w:tcPr>
          <w:p w14:paraId="349C90AC" w14:textId="77777777" w:rsidR="00C73DC8" w:rsidRPr="009658F2" w:rsidRDefault="009658F2" w:rsidP="00A35916">
            <w:pPr>
              <w:pStyle w:val="TableText"/>
              <w:jc w:val="center"/>
              <w:rPr>
                <w:rFonts w:cs="Arial"/>
                <w:color w:val="000000"/>
                <w:highlight w:val="yellow"/>
              </w:rPr>
            </w:pPr>
            <w:r>
              <w:rPr>
                <w:noProof/>
                <w:color w:val="000000"/>
                <w:highlight w:val="black"/>
              </w:rPr>
              <w:t>'''''''''''''</w:t>
            </w:r>
            <w:r w:rsidR="00D114FA">
              <w:rPr>
                <w:vertAlign w:val="superscript"/>
              </w:rPr>
              <w:t>11</w:t>
            </w:r>
          </w:p>
        </w:tc>
        <w:tc>
          <w:tcPr>
            <w:tcW w:w="616" w:type="pct"/>
            <w:shd w:val="clear" w:color="auto" w:fill="auto"/>
          </w:tcPr>
          <w:p w14:paraId="7566D32C" w14:textId="77777777" w:rsidR="00C73DC8" w:rsidRPr="009658F2" w:rsidRDefault="009658F2" w:rsidP="00A35916">
            <w:pPr>
              <w:pStyle w:val="TableText"/>
              <w:jc w:val="center"/>
              <w:rPr>
                <w:rFonts w:cs="Arial"/>
                <w:color w:val="000000"/>
                <w:highlight w:val="yellow"/>
              </w:rPr>
            </w:pPr>
            <w:r>
              <w:rPr>
                <w:noProof/>
                <w:color w:val="000000"/>
                <w:highlight w:val="black"/>
              </w:rPr>
              <w:t>'''''''''''</w:t>
            </w:r>
            <w:r w:rsidR="00D114FA">
              <w:rPr>
                <w:vertAlign w:val="superscript"/>
              </w:rPr>
              <w:t>11</w:t>
            </w:r>
          </w:p>
        </w:tc>
        <w:tc>
          <w:tcPr>
            <w:tcW w:w="616" w:type="pct"/>
            <w:shd w:val="clear" w:color="auto" w:fill="auto"/>
          </w:tcPr>
          <w:p w14:paraId="04C04423" w14:textId="77777777" w:rsidR="00C73DC8" w:rsidRPr="009658F2" w:rsidRDefault="009658F2" w:rsidP="00A35916">
            <w:pPr>
              <w:pStyle w:val="TableText"/>
              <w:jc w:val="center"/>
              <w:rPr>
                <w:rFonts w:cs="Arial"/>
                <w:color w:val="000000"/>
                <w:highlight w:val="yellow"/>
              </w:rPr>
            </w:pPr>
            <w:r>
              <w:rPr>
                <w:noProof/>
                <w:color w:val="000000"/>
                <w:highlight w:val="black"/>
              </w:rPr>
              <w:t>'''''''''''''</w:t>
            </w:r>
            <w:r w:rsidR="00D114FA">
              <w:rPr>
                <w:vertAlign w:val="superscript"/>
              </w:rPr>
              <w:t>11</w:t>
            </w:r>
          </w:p>
        </w:tc>
      </w:tr>
      <w:tr w:rsidR="00C73DC8" w:rsidRPr="00C73DC8" w14:paraId="3A815263" w14:textId="77777777" w:rsidTr="00A35916">
        <w:tc>
          <w:tcPr>
            <w:tcW w:w="1383" w:type="pct"/>
            <w:shd w:val="clear" w:color="auto" w:fill="auto"/>
          </w:tcPr>
          <w:p w14:paraId="0266C638" w14:textId="77777777" w:rsidR="00C73DC8" w:rsidRPr="00C73DC8" w:rsidRDefault="00C73DC8" w:rsidP="00A35916">
            <w:pPr>
              <w:pStyle w:val="TableText"/>
            </w:pPr>
            <w:r w:rsidRPr="00C73DC8">
              <w:t>Total</w:t>
            </w:r>
          </w:p>
        </w:tc>
        <w:tc>
          <w:tcPr>
            <w:tcW w:w="539" w:type="pct"/>
            <w:shd w:val="clear" w:color="auto" w:fill="auto"/>
          </w:tcPr>
          <w:p w14:paraId="3BCF0ED0" w14:textId="77777777" w:rsidR="00C73DC8" w:rsidRPr="009658F2" w:rsidRDefault="009658F2" w:rsidP="00A35916">
            <w:pPr>
              <w:pStyle w:val="TableText"/>
              <w:jc w:val="center"/>
              <w:rPr>
                <w:rFonts w:cs="Arial"/>
                <w:color w:val="000000"/>
                <w:highlight w:val="yellow"/>
              </w:rPr>
            </w:pPr>
            <w:r>
              <w:rPr>
                <w:noProof/>
                <w:color w:val="000000"/>
                <w:highlight w:val="black"/>
              </w:rPr>
              <w:t>'''''''''''</w:t>
            </w:r>
            <w:r w:rsidR="00D114FA">
              <w:rPr>
                <w:vertAlign w:val="superscript"/>
              </w:rPr>
              <w:t>12</w:t>
            </w:r>
          </w:p>
        </w:tc>
        <w:tc>
          <w:tcPr>
            <w:tcW w:w="616" w:type="pct"/>
            <w:shd w:val="clear" w:color="auto" w:fill="auto"/>
          </w:tcPr>
          <w:p w14:paraId="11780B73" w14:textId="77777777" w:rsidR="00C73DC8" w:rsidRPr="009658F2" w:rsidRDefault="009658F2" w:rsidP="00A35916">
            <w:pPr>
              <w:pStyle w:val="TableText"/>
              <w:jc w:val="center"/>
              <w:rPr>
                <w:rFonts w:cs="Arial"/>
                <w:color w:val="000000"/>
                <w:highlight w:val="yellow"/>
              </w:rPr>
            </w:pPr>
            <w:r>
              <w:rPr>
                <w:noProof/>
                <w:color w:val="000000"/>
                <w:highlight w:val="black"/>
              </w:rPr>
              <w:t>''''''''''''</w:t>
            </w:r>
            <w:r w:rsidR="00D114FA">
              <w:rPr>
                <w:vertAlign w:val="superscript"/>
              </w:rPr>
              <w:t>12</w:t>
            </w:r>
          </w:p>
        </w:tc>
        <w:tc>
          <w:tcPr>
            <w:tcW w:w="616" w:type="pct"/>
            <w:shd w:val="clear" w:color="auto" w:fill="auto"/>
          </w:tcPr>
          <w:p w14:paraId="455BE2A4" w14:textId="77777777" w:rsidR="00C73DC8" w:rsidRPr="009658F2" w:rsidRDefault="009658F2" w:rsidP="00A35916">
            <w:pPr>
              <w:pStyle w:val="TableText"/>
              <w:jc w:val="center"/>
              <w:rPr>
                <w:rFonts w:cs="Arial"/>
                <w:color w:val="000000"/>
                <w:highlight w:val="yellow"/>
              </w:rPr>
            </w:pPr>
            <w:r>
              <w:rPr>
                <w:noProof/>
                <w:color w:val="000000"/>
                <w:highlight w:val="black"/>
              </w:rPr>
              <w:t>'''''''''''</w:t>
            </w:r>
            <w:r w:rsidR="00D114FA">
              <w:rPr>
                <w:vertAlign w:val="superscript"/>
              </w:rPr>
              <w:t>12</w:t>
            </w:r>
          </w:p>
        </w:tc>
        <w:tc>
          <w:tcPr>
            <w:tcW w:w="616" w:type="pct"/>
            <w:shd w:val="clear" w:color="auto" w:fill="auto"/>
          </w:tcPr>
          <w:p w14:paraId="71127954" w14:textId="77777777" w:rsidR="00C73DC8" w:rsidRPr="009658F2" w:rsidRDefault="009658F2" w:rsidP="00A35916">
            <w:pPr>
              <w:pStyle w:val="TableText"/>
              <w:jc w:val="center"/>
              <w:rPr>
                <w:rFonts w:cs="Arial"/>
                <w:color w:val="000000"/>
                <w:highlight w:val="yellow"/>
              </w:rPr>
            </w:pPr>
            <w:r>
              <w:rPr>
                <w:noProof/>
                <w:color w:val="000000"/>
                <w:highlight w:val="black"/>
              </w:rPr>
              <w:t>''''''''''''</w:t>
            </w:r>
            <w:r w:rsidR="00D114FA">
              <w:rPr>
                <w:vertAlign w:val="superscript"/>
              </w:rPr>
              <w:t>12</w:t>
            </w:r>
          </w:p>
        </w:tc>
        <w:tc>
          <w:tcPr>
            <w:tcW w:w="616" w:type="pct"/>
            <w:shd w:val="clear" w:color="auto" w:fill="auto"/>
          </w:tcPr>
          <w:p w14:paraId="6CC57DDB" w14:textId="77777777" w:rsidR="00C73DC8" w:rsidRPr="009658F2" w:rsidRDefault="009658F2" w:rsidP="00A35916">
            <w:pPr>
              <w:pStyle w:val="TableText"/>
              <w:jc w:val="center"/>
              <w:rPr>
                <w:rFonts w:cs="Arial"/>
                <w:color w:val="000000"/>
                <w:highlight w:val="yellow"/>
              </w:rPr>
            </w:pPr>
            <w:r>
              <w:rPr>
                <w:noProof/>
                <w:color w:val="000000"/>
                <w:highlight w:val="black"/>
              </w:rPr>
              <w:t>''''''''''''</w:t>
            </w:r>
            <w:r w:rsidR="00D114FA">
              <w:rPr>
                <w:vertAlign w:val="superscript"/>
              </w:rPr>
              <w:t>12</w:t>
            </w:r>
          </w:p>
        </w:tc>
        <w:tc>
          <w:tcPr>
            <w:tcW w:w="616" w:type="pct"/>
            <w:shd w:val="clear" w:color="auto" w:fill="auto"/>
          </w:tcPr>
          <w:p w14:paraId="6F7A1B97" w14:textId="77777777" w:rsidR="00C73DC8" w:rsidRPr="009658F2" w:rsidRDefault="009658F2" w:rsidP="00A35916">
            <w:pPr>
              <w:pStyle w:val="TableText"/>
              <w:jc w:val="center"/>
              <w:rPr>
                <w:rFonts w:cs="Arial"/>
                <w:color w:val="000000"/>
                <w:highlight w:val="yellow"/>
              </w:rPr>
            </w:pPr>
            <w:r>
              <w:rPr>
                <w:noProof/>
                <w:color w:val="000000"/>
                <w:highlight w:val="black"/>
              </w:rPr>
              <w:t>'''''''''''''</w:t>
            </w:r>
            <w:r w:rsidR="00D114FA">
              <w:rPr>
                <w:vertAlign w:val="superscript"/>
              </w:rPr>
              <w:t>12</w:t>
            </w:r>
          </w:p>
        </w:tc>
      </w:tr>
      <w:tr w:rsidR="00C73DC8" w:rsidRPr="00C73DC8" w14:paraId="2678AED2" w14:textId="77777777" w:rsidTr="00A35916">
        <w:tc>
          <w:tcPr>
            <w:tcW w:w="5000" w:type="pct"/>
            <w:gridSpan w:val="7"/>
            <w:shd w:val="clear" w:color="auto" w:fill="auto"/>
          </w:tcPr>
          <w:p w14:paraId="0E42746A" w14:textId="77777777" w:rsidR="00C73DC8" w:rsidRPr="00C73DC8" w:rsidRDefault="00C73DC8" w:rsidP="00A35916">
            <w:pPr>
              <w:pStyle w:val="TableText"/>
              <w:rPr>
                <w:b/>
              </w:rPr>
            </w:pPr>
            <w:r w:rsidRPr="00C73DC8">
              <w:rPr>
                <w:b/>
              </w:rPr>
              <w:t>Cost-offsets for ACE-inhibitor/ARB scripts – newly eligible patients only</w:t>
            </w:r>
          </w:p>
        </w:tc>
      </w:tr>
      <w:tr w:rsidR="00C73DC8" w:rsidRPr="00C73DC8" w14:paraId="7B6E9C07" w14:textId="77777777" w:rsidTr="00A35916">
        <w:tc>
          <w:tcPr>
            <w:tcW w:w="1383" w:type="pct"/>
            <w:shd w:val="clear" w:color="auto" w:fill="auto"/>
          </w:tcPr>
          <w:p w14:paraId="7ED77D7C" w14:textId="77777777" w:rsidR="00C73DC8" w:rsidRPr="00C73DC8" w:rsidRDefault="00C73DC8" w:rsidP="00A35916">
            <w:pPr>
              <w:pStyle w:val="TableText"/>
            </w:pPr>
            <w:r w:rsidRPr="00C73DC8">
              <w:t>Cost offsets to PBS/RPBS</w:t>
            </w:r>
          </w:p>
        </w:tc>
        <w:tc>
          <w:tcPr>
            <w:tcW w:w="539" w:type="pct"/>
            <w:shd w:val="clear" w:color="auto" w:fill="auto"/>
          </w:tcPr>
          <w:p w14:paraId="2BF5FE07" w14:textId="77777777" w:rsidR="00C73DC8" w:rsidRPr="009658F2" w:rsidRDefault="009658F2" w:rsidP="00A35916">
            <w:pPr>
              <w:pStyle w:val="TableText"/>
              <w:jc w:val="center"/>
              <w:rPr>
                <w:rFonts w:cs="Arial"/>
                <w:color w:val="000000"/>
                <w:highlight w:val="yellow"/>
              </w:rPr>
            </w:pPr>
            <w:r>
              <w:rPr>
                <w:noProof/>
                <w:color w:val="000000"/>
                <w:highlight w:val="black"/>
              </w:rPr>
              <w:t xml:space="preserve"> '''''''''''''''''</w:t>
            </w:r>
            <w:r w:rsidR="00345766">
              <w:rPr>
                <w:vertAlign w:val="superscript"/>
              </w:rPr>
              <w:t>13</w:t>
            </w:r>
            <w:r>
              <w:rPr>
                <w:noProof/>
                <w:color w:val="000000"/>
                <w:highlight w:val="black"/>
              </w:rPr>
              <w:t xml:space="preserve"> </w:t>
            </w:r>
          </w:p>
        </w:tc>
        <w:tc>
          <w:tcPr>
            <w:tcW w:w="616" w:type="pct"/>
            <w:shd w:val="clear" w:color="auto" w:fill="auto"/>
          </w:tcPr>
          <w:p w14:paraId="171F0F50" w14:textId="77777777" w:rsidR="00C73DC8" w:rsidRPr="009658F2" w:rsidRDefault="009658F2" w:rsidP="00A35916">
            <w:pPr>
              <w:pStyle w:val="TableText"/>
              <w:jc w:val="center"/>
              <w:rPr>
                <w:rFonts w:cs="Arial"/>
                <w:color w:val="000000"/>
                <w:highlight w:val="yellow"/>
              </w:rPr>
            </w:pPr>
            <w:r>
              <w:rPr>
                <w:noProof/>
                <w:color w:val="000000"/>
                <w:highlight w:val="black"/>
              </w:rPr>
              <w:t xml:space="preserve"> ''''''''''''''''''</w:t>
            </w:r>
            <w:r w:rsidR="00345766">
              <w:rPr>
                <w:vertAlign w:val="superscript"/>
              </w:rPr>
              <w:t>13</w:t>
            </w:r>
            <w:r>
              <w:rPr>
                <w:noProof/>
                <w:color w:val="000000"/>
                <w:highlight w:val="black"/>
              </w:rPr>
              <w:t xml:space="preserve"> </w:t>
            </w:r>
          </w:p>
        </w:tc>
        <w:tc>
          <w:tcPr>
            <w:tcW w:w="616" w:type="pct"/>
            <w:shd w:val="clear" w:color="auto" w:fill="auto"/>
          </w:tcPr>
          <w:p w14:paraId="1D9B2F74" w14:textId="77777777" w:rsidR="00C73DC8" w:rsidRPr="009658F2" w:rsidRDefault="009658F2" w:rsidP="00A35916">
            <w:pPr>
              <w:pStyle w:val="TableText"/>
              <w:jc w:val="center"/>
              <w:rPr>
                <w:rFonts w:cs="Arial"/>
                <w:color w:val="000000"/>
                <w:highlight w:val="yellow"/>
              </w:rPr>
            </w:pPr>
            <w:r>
              <w:rPr>
                <w:noProof/>
                <w:color w:val="000000"/>
                <w:highlight w:val="black"/>
              </w:rPr>
              <w:t xml:space="preserve"> '''''''''''''''''' </w:t>
            </w:r>
            <w:r w:rsidR="00345766">
              <w:rPr>
                <w:vertAlign w:val="superscript"/>
              </w:rPr>
              <w:t>13</w:t>
            </w:r>
          </w:p>
        </w:tc>
        <w:tc>
          <w:tcPr>
            <w:tcW w:w="616" w:type="pct"/>
            <w:shd w:val="clear" w:color="auto" w:fill="auto"/>
          </w:tcPr>
          <w:p w14:paraId="6578423D" w14:textId="77777777" w:rsidR="00C73DC8" w:rsidRPr="009658F2" w:rsidRDefault="009658F2" w:rsidP="00A35916">
            <w:pPr>
              <w:pStyle w:val="TableText"/>
              <w:jc w:val="center"/>
              <w:rPr>
                <w:rFonts w:cs="Arial"/>
                <w:color w:val="000000"/>
                <w:highlight w:val="yellow"/>
              </w:rPr>
            </w:pPr>
            <w:r>
              <w:rPr>
                <w:noProof/>
                <w:color w:val="000000"/>
                <w:highlight w:val="black"/>
              </w:rPr>
              <w:t xml:space="preserve"> '''''''''''''''''''''''</w:t>
            </w:r>
            <w:r w:rsidR="00345766">
              <w:rPr>
                <w:vertAlign w:val="superscript"/>
              </w:rPr>
              <w:t>13</w:t>
            </w:r>
            <w:r>
              <w:rPr>
                <w:noProof/>
                <w:color w:val="000000"/>
                <w:highlight w:val="black"/>
              </w:rPr>
              <w:t xml:space="preserve"> </w:t>
            </w:r>
          </w:p>
        </w:tc>
        <w:tc>
          <w:tcPr>
            <w:tcW w:w="616" w:type="pct"/>
            <w:shd w:val="clear" w:color="auto" w:fill="auto"/>
          </w:tcPr>
          <w:p w14:paraId="51921AD7" w14:textId="77777777" w:rsidR="00C73DC8" w:rsidRPr="009658F2" w:rsidRDefault="009658F2" w:rsidP="00A35916">
            <w:pPr>
              <w:pStyle w:val="TableText"/>
              <w:jc w:val="center"/>
              <w:rPr>
                <w:rFonts w:cs="Arial"/>
                <w:color w:val="000000"/>
                <w:highlight w:val="yellow"/>
              </w:rPr>
            </w:pPr>
            <w:r>
              <w:rPr>
                <w:noProof/>
                <w:color w:val="000000"/>
                <w:highlight w:val="black"/>
              </w:rPr>
              <w:t xml:space="preserve"> '''''''''''''''''''' </w:t>
            </w:r>
            <w:r w:rsidR="00345766">
              <w:rPr>
                <w:vertAlign w:val="superscript"/>
              </w:rPr>
              <w:t>13</w:t>
            </w:r>
          </w:p>
        </w:tc>
        <w:tc>
          <w:tcPr>
            <w:tcW w:w="616" w:type="pct"/>
            <w:shd w:val="clear" w:color="auto" w:fill="auto"/>
          </w:tcPr>
          <w:p w14:paraId="6D1C8D88" w14:textId="77777777" w:rsidR="00C73DC8" w:rsidRPr="009658F2" w:rsidRDefault="009658F2" w:rsidP="00A35916">
            <w:pPr>
              <w:pStyle w:val="TableText"/>
              <w:jc w:val="center"/>
              <w:rPr>
                <w:rFonts w:cs="Arial"/>
                <w:color w:val="000000"/>
                <w:highlight w:val="yellow"/>
              </w:rPr>
            </w:pPr>
            <w:r>
              <w:rPr>
                <w:noProof/>
                <w:color w:val="000000"/>
                <w:highlight w:val="black"/>
              </w:rPr>
              <w:t xml:space="preserve"> '''''''''''''''''''''</w:t>
            </w:r>
            <w:r w:rsidR="00345766">
              <w:rPr>
                <w:vertAlign w:val="superscript"/>
              </w:rPr>
              <w:t>13</w:t>
            </w:r>
            <w:r>
              <w:rPr>
                <w:noProof/>
                <w:color w:val="000000"/>
                <w:highlight w:val="black"/>
              </w:rPr>
              <w:t xml:space="preserve"> </w:t>
            </w:r>
          </w:p>
        </w:tc>
      </w:tr>
      <w:tr w:rsidR="00C73DC8" w:rsidRPr="00C73DC8" w14:paraId="311573DE" w14:textId="77777777" w:rsidTr="00A35916">
        <w:tc>
          <w:tcPr>
            <w:tcW w:w="1383" w:type="pct"/>
            <w:shd w:val="clear" w:color="auto" w:fill="auto"/>
          </w:tcPr>
          <w:p w14:paraId="5D64C209" w14:textId="77777777" w:rsidR="00C73DC8" w:rsidRPr="00C73DC8" w:rsidRDefault="00C73DC8" w:rsidP="00A35916">
            <w:pPr>
              <w:pStyle w:val="TableText"/>
            </w:pPr>
            <w:r w:rsidRPr="00C73DC8">
              <w:t>Less co-payments</w:t>
            </w:r>
          </w:p>
        </w:tc>
        <w:tc>
          <w:tcPr>
            <w:tcW w:w="539" w:type="pct"/>
            <w:shd w:val="clear" w:color="auto" w:fill="auto"/>
          </w:tcPr>
          <w:p w14:paraId="7D74B918" w14:textId="77777777" w:rsidR="00C73DC8" w:rsidRPr="009658F2" w:rsidRDefault="009658F2" w:rsidP="00A35916">
            <w:pPr>
              <w:pStyle w:val="TableText"/>
              <w:jc w:val="center"/>
              <w:rPr>
                <w:highlight w:val="yellow"/>
              </w:rPr>
            </w:pPr>
            <w:r>
              <w:rPr>
                <w:noProof/>
                <w:color w:val="000000"/>
                <w:highlight w:val="black"/>
              </w:rPr>
              <w:t xml:space="preserve"> ''''''''''''' </w:t>
            </w:r>
            <w:r w:rsidR="00345766">
              <w:rPr>
                <w:vertAlign w:val="superscript"/>
              </w:rPr>
              <w:t>13</w:t>
            </w:r>
          </w:p>
        </w:tc>
        <w:tc>
          <w:tcPr>
            <w:tcW w:w="616" w:type="pct"/>
            <w:shd w:val="clear" w:color="auto" w:fill="auto"/>
          </w:tcPr>
          <w:p w14:paraId="01EDC828" w14:textId="77777777" w:rsidR="00C73DC8" w:rsidRPr="009658F2" w:rsidRDefault="009658F2" w:rsidP="00A35916">
            <w:pPr>
              <w:pStyle w:val="TableText"/>
              <w:jc w:val="center"/>
              <w:rPr>
                <w:highlight w:val="yellow"/>
              </w:rPr>
            </w:pPr>
            <w:r>
              <w:rPr>
                <w:noProof/>
                <w:color w:val="000000"/>
                <w:highlight w:val="black"/>
              </w:rPr>
              <w:t xml:space="preserve"> ''''''''''' </w:t>
            </w:r>
            <w:r w:rsidR="00345766">
              <w:rPr>
                <w:vertAlign w:val="superscript"/>
              </w:rPr>
              <w:t>13</w:t>
            </w:r>
          </w:p>
        </w:tc>
        <w:tc>
          <w:tcPr>
            <w:tcW w:w="616" w:type="pct"/>
            <w:shd w:val="clear" w:color="auto" w:fill="auto"/>
          </w:tcPr>
          <w:p w14:paraId="1A245284" w14:textId="77777777" w:rsidR="00C73DC8" w:rsidRPr="009658F2" w:rsidRDefault="009658F2" w:rsidP="00A35916">
            <w:pPr>
              <w:pStyle w:val="TableText"/>
              <w:jc w:val="center"/>
              <w:rPr>
                <w:highlight w:val="yellow"/>
              </w:rPr>
            </w:pPr>
            <w:r>
              <w:rPr>
                <w:noProof/>
                <w:color w:val="000000"/>
                <w:highlight w:val="black"/>
              </w:rPr>
              <w:t xml:space="preserve"> ''''''''''' </w:t>
            </w:r>
            <w:r w:rsidR="00345766">
              <w:rPr>
                <w:vertAlign w:val="superscript"/>
              </w:rPr>
              <w:t>13</w:t>
            </w:r>
          </w:p>
        </w:tc>
        <w:tc>
          <w:tcPr>
            <w:tcW w:w="616" w:type="pct"/>
            <w:shd w:val="clear" w:color="auto" w:fill="auto"/>
          </w:tcPr>
          <w:p w14:paraId="7E7E5D54" w14:textId="77777777" w:rsidR="00C73DC8" w:rsidRPr="009658F2" w:rsidRDefault="009658F2" w:rsidP="00A35916">
            <w:pPr>
              <w:pStyle w:val="TableText"/>
              <w:jc w:val="center"/>
              <w:rPr>
                <w:highlight w:val="yellow"/>
              </w:rPr>
            </w:pPr>
            <w:r>
              <w:rPr>
                <w:noProof/>
                <w:color w:val="000000"/>
                <w:highlight w:val="black"/>
              </w:rPr>
              <w:t xml:space="preserve"> '''''''''''' </w:t>
            </w:r>
            <w:r w:rsidR="00345766">
              <w:rPr>
                <w:vertAlign w:val="superscript"/>
              </w:rPr>
              <w:t>13</w:t>
            </w:r>
          </w:p>
        </w:tc>
        <w:tc>
          <w:tcPr>
            <w:tcW w:w="616" w:type="pct"/>
            <w:shd w:val="clear" w:color="auto" w:fill="auto"/>
          </w:tcPr>
          <w:p w14:paraId="50CF6C61" w14:textId="77777777" w:rsidR="00C73DC8" w:rsidRPr="009658F2" w:rsidRDefault="009658F2" w:rsidP="00A35916">
            <w:pPr>
              <w:pStyle w:val="TableText"/>
              <w:jc w:val="center"/>
              <w:rPr>
                <w:highlight w:val="yellow"/>
              </w:rPr>
            </w:pPr>
            <w:r>
              <w:rPr>
                <w:noProof/>
                <w:color w:val="000000"/>
                <w:highlight w:val="black"/>
              </w:rPr>
              <w:t xml:space="preserve"> ''''''''''' </w:t>
            </w:r>
            <w:r w:rsidR="00345766">
              <w:rPr>
                <w:vertAlign w:val="superscript"/>
              </w:rPr>
              <w:t>13</w:t>
            </w:r>
          </w:p>
        </w:tc>
        <w:tc>
          <w:tcPr>
            <w:tcW w:w="616" w:type="pct"/>
            <w:shd w:val="clear" w:color="auto" w:fill="auto"/>
          </w:tcPr>
          <w:p w14:paraId="407DB1A9" w14:textId="77777777" w:rsidR="00C73DC8" w:rsidRPr="009658F2" w:rsidRDefault="009658F2" w:rsidP="00A35916">
            <w:pPr>
              <w:pStyle w:val="TableText"/>
              <w:jc w:val="center"/>
              <w:rPr>
                <w:highlight w:val="yellow"/>
              </w:rPr>
            </w:pPr>
            <w:r>
              <w:rPr>
                <w:noProof/>
                <w:color w:val="000000"/>
                <w:highlight w:val="black"/>
              </w:rPr>
              <w:t xml:space="preserve"> '''''''''''' </w:t>
            </w:r>
            <w:r w:rsidR="00345766">
              <w:rPr>
                <w:vertAlign w:val="superscript"/>
              </w:rPr>
              <w:t>13</w:t>
            </w:r>
          </w:p>
        </w:tc>
      </w:tr>
      <w:tr w:rsidR="00C73DC8" w:rsidRPr="00C73DC8" w14:paraId="1E53CEB7" w14:textId="77777777" w:rsidTr="00A35916">
        <w:tc>
          <w:tcPr>
            <w:tcW w:w="1383" w:type="pct"/>
            <w:shd w:val="clear" w:color="auto" w:fill="auto"/>
          </w:tcPr>
          <w:p w14:paraId="1F0ACC77" w14:textId="77777777" w:rsidR="00C73DC8" w:rsidRPr="00C73DC8" w:rsidRDefault="00C73DC8" w:rsidP="00A35916">
            <w:pPr>
              <w:pStyle w:val="TableText"/>
            </w:pPr>
            <w:r w:rsidRPr="00C73DC8">
              <w:t>Net offsets to PBS/RPBS</w:t>
            </w:r>
          </w:p>
        </w:tc>
        <w:tc>
          <w:tcPr>
            <w:tcW w:w="539" w:type="pct"/>
            <w:shd w:val="clear" w:color="auto" w:fill="auto"/>
          </w:tcPr>
          <w:p w14:paraId="7C52A946" w14:textId="77777777" w:rsidR="00C73DC8" w:rsidRPr="009658F2" w:rsidRDefault="009658F2" w:rsidP="00A35916">
            <w:pPr>
              <w:pStyle w:val="TableText"/>
              <w:jc w:val="center"/>
              <w:rPr>
                <w:highlight w:val="yellow"/>
              </w:rPr>
            </w:pPr>
            <w:r>
              <w:rPr>
                <w:noProof/>
                <w:color w:val="000000"/>
                <w:highlight w:val="black"/>
              </w:rPr>
              <w:t xml:space="preserve"> '''''''''''''''''''''</w:t>
            </w:r>
            <w:r w:rsidR="00345766">
              <w:rPr>
                <w:vertAlign w:val="superscript"/>
              </w:rPr>
              <w:t>13</w:t>
            </w:r>
            <w:r>
              <w:rPr>
                <w:noProof/>
                <w:color w:val="000000"/>
                <w:highlight w:val="black"/>
              </w:rPr>
              <w:t xml:space="preserve"> </w:t>
            </w:r>
          </w:p>
        </w:tc>
        <w:tc>
          <w:tcPr>
            <w:tcW w:w="616" w:type="pct"/>
            <w:shd w:val="clear" w:color="auto" w:fill="auto"/>
          </w:tcPr>
          <w:p w14:paraId="0A34DD8A" w14:textId="77777777" w:rsidR="00C73DC8" w:rsidRPr="009658F2" w:rsidRDefault="009658F2" w:rsidP="00A35916">
            <w:pPr>
              <w:pStyle w:val="TableText"/>
              <w:jc w:val="center"/>
              <w:rPr>
                <w:highlight w:val="yellow"/>
              </w:rPr>
            </w:pPr>
            <w:r>
              <w:rPr>
                <w:noProof/>
                <w:color w:val="000000"/>
                <w:highlight w:val="black"/>
              </w:rPr>
              <w:t xml:space="preserve"> '''''''''''''''''</w:t>
            </w:r>
            <w:r w:rsidR="00345766">
              <w:rPr>
                <w:vertAlign w:val="superscript"/>
              </w:rPr>
              <w:t>13</w:t>
            </w:r>
            <w:r>
              <w:rPr>
                <w:noProof/>
                <w:color w:val="000000"/>
                <w:highlight w:val="black"/>
              </w:rPr>
              <w:t xml:space="preserve"> </w:t>
            </w:r>
          </w:p>
        </w:tc>
        <w:tc>
          <w:tcPr>
            <w:tcW w:w="616" w:type="pct"/>
            <w:shd w:val="clear" w:color="auto" w:fill="auto"/>
          </w:tcPr>
          <w:p w14:paraId="2923BB65" w14:textId="77777777" w:rsidR="00C73DC8" w:rsidRPr="009658F2" w:rsidRDefault="009658F2" w:rsidP="00A35916">
            <w:pPr>
              <w:pStyle w:val="TableText"/>
              <w:jc w:val="center"/>
              <w:rPr>
                <w:highlight w:val="yellow"/>
              </w:rPr>
            </w:pPr>
            <w:r>
              <w:rPr>
                <w:noProof/>
                <w:color w:val="000000"/>
                <w:highlight w:val="black"/>
              </w:rPr>
              <w:t xml:space="preserve"> '''''''''''''''''''''</w:t>
            </w:r>
            <w:r w:rsidR="00345766">
              <w:rPr>
                <w:vertAlign w:val="superscript"/>
              </w:rPr>
              <w:t>13</w:t>
            </w:r>
            <w:r>
              <w:rPr>
                <w:noProof/>
                <w:color w:val="000000"/>
                <w:highlight w:val="black"/>
              </w:rPr>
              <w:t xml:space="preserve"> </w:t>
            </w:r>
          </w:p>
        </w:tc>
        <w:tc>
          <w:tcPr>
            <w:tcW w:w="616" w:type="pct"/>
            <w:shd w:val="clear" w:color="auto" w:fill="auto"/>
          </w:tcPr>
          <w:p w14:paraId="5AD8D760" w14:textId="77777777" w:rsidR="00C73DC8" w:rsidRPr="009658F2" w:rsidRDefault="009658F2" w:rsidP="00A35916">
            <w:pPr>
              <w:pStyle w:val="TableText"/>
              <w:jc w:val="center"/>
              <w:rPr>
                <w:highlight w:val="yellow"/>
              </w:rPr>
            </w:pPr>
            <w:r>
              <w:rPr>
                <w:noProof/>
                <w:color w:val="000000"/>
                <w:highlight w:val="black"/>
              </w:rPr>
              <w:t xml:space="preserve"> ''''''''''''''''''''''</w:t>
            </w:r>
            <w:r w:rsidR="00345766">
              <w:rPr>
                <w:vertAlign w:val="superscript"/>
              </w:rPr>
              <w:t>13</w:t>
            </w:r>
            <w:r>
              <w:rPr>
                <w:noProof/>
                <w:color w:val="000000"/>
                <w:highlight w:val="black"/>
              </w:rPr>
              <w:t xml:space="preserve"> </w:t>
            </w:r>
          </w:p>
        </w:tc>
        <w:tc>
          <w:tcPr>
            <w:tcW w:w="616" w:type="pct"/>
            <w:shd w:val="clear" w:color="auto" w:fill="auto"/>
          </w:tcPr>
          <w:p w14:paraId="4BCB54DE" w14:textId="77777777" w:rsidR="00C73DC8" w:rsidRPr="009658F2" w:rsidRDefault="009658F2" w:rsidP="00A35916">
            <w:pPr>
              <w:pStyle w:val="TableText"/>
              <w:jc w:val="center"/>
              <w:rPr>
                <w:highlight w:val="yellow"/>
              </w:rPr>
            </w:pPr>
            <w:r>
              <w:rPr>
                <w:noProof/>
                <w:color w:val="000000"/>
                <w:highlight w:val="black"/>
              </w:rPr>
              <w:t xml:space="preserve"> '''''''''''''''''''''''</w:t>
            </w:r>
            <w:r w:rsidR="00345766">
              <w:rPr>
                <w:vertAlign w:val="superscript"/>
              </w:rPr>
              <w:t>13</w:t>
            </w:r>
            <w:r>
              <w:rPr>
                <w:noProof/>
                <w:color w:val="000000"/>
                <w:highlight w:val="black"/>
              </w:rPr>
              <w:t xml:space="preserve"> </w:t>
            </w:r>
          </w:p>
        </w:tc>
        <w:tc>
          <w:tcPr>
            <w:tcW w:w="616" w:type="pct"/>
            <w:shd w:val="clear" w:color="auto" w:fill="auto"/>
          </w:tcPr>
          <w:p w14:paraId="52839E11" w14:textId="77777777" w:rsidR="00C73DC8" w:rsidRPr="009658F2" w:rsidRDefault="009658F2" w:rsidP="00A35916">
            <w:pPr>
              <w:pStyle w:val="TableText"/>
              <w:jc w:val="center"/>
              <w:rPr>
                <w:highlight w:val="yellow"/>
              </w:rPr>
            </w:pPr>
            <w:r>
              <w:rPr>
                <w:noProof/>
                <w:color w:val="000000"/>
                <w:highlight w:val="black"/>
              </w:rPr>
              <w:t xml:space="preserve"> ''''''''''''''''''''''''' </w:t>
            </w:r>
            <w:r w:rsidR="00345766">
              <w:rPr>
                <w:vertAlign w:val="superscript"/>
              </w:rPr>
              <w:t>13</w:t>
            </w:r>
          </w:p>
        </w:tc>
      </w:tr>
      <w:tr w:rsidR="00C73DC8" w:rsidRPr="00C73DC8" w14:paraId="50219414" w14:textId="77777777" w:rsidTr="00A35916">
        <w:tc>
          <w:tcPr>
            <w:tcW w:w="5000" w:type="pct"/>
            <w:gridSpan w:val="7"/>
            <w:shd w:val="clear" w:color="auto" w:fill="auto"/>
          </w:tcPr>
          <w:p w14:paraId="102E0279" w14:textId="77777777" w:rsidR="00C73DC8" w:rsidRPr="00C73DC8" w:rsidRDefault="00C73DC8" w:rsidP="00A35916">
            <w:pPr>
              <w:pStyle w:val="TableText"/>
              <w:rPr>
                <w:b/>
              </w:rPr>
            </w:pPr>
            <w:r w:rsidRPr="00C73DC8">
              <w:rPr>
                <w:b/>
              </w:rPr>
              <w:t>Net financial implications</w:t>
            </w:r>
          </w:p>
        </w:tc>
      </w:tr>
      <w:tr w:rsidR="00C73DC8" w:rsidRPr="00C73DC8" w14:paraId="6683F76F" w14:textId="77777777" w:rsidTr="00A35916">
        <w:tc>
          <w:tcPr>
            <w:tcW w:w="1383" w:type="pct"/>
            <w:shd w:val="clear" w:color="auto" w:fill="auto"/>
          </w:tcPr>
          <w:p w14:paraId="333A9EFB" w14:textId="77777777" w:rsidR="00C73DC8" w:rsidRPr="00C73DC8" w:rsidRDefault="00C73DC8" w:rsidP="00A35916">
            <w:pPr>
              <w:pStyle w:val="TableText"/>
            </w:pPr>
            <w:r w:rsidRPr="00C73DC8">
              <w:t>Cost PBS/RPBS (effective)</w:t>
            </w:r>
          </w:p>
        </w:tc>
        <w:tc>
          <w:tcPr>
            <w:tcW w:w="539" w:type="pct"/>
            <w:shd w:val="clear" w:color="auto" w:fill="auto"/>
          </w:tcPr>
          <w:p w14:paraId="6AF1C33F" w14:textId="77777777" w:rsidR="00C73DC8" w:rsidRPr="009658F2" w:rsidRDefault="009658F2" w:rsidP="00A35916">
            <w:pPr>
              <w:pStyle w:val="TableText"/>
              <w:jc w:val="center"/>
              <w:rPr>
                <w:highlight w:val="yellow"/>
              </w:rPr>
            </w:pPr>
            <w:r>
              <w:rPr>
                <w:noProof/>
                <w:color w:val="000000"/>
                <w:highlight w:val="black"/>
              </w:rPr>
              <w:t>''''''''''''''''''''</w:t>
            </w:r>
            <w:r w:rsidR="00345766">
              <w:rPr>
                <w:vertAlign w:val="superscript"/>
              </w:rPr>
              <w:t>13</w:t>
            </w:r>
          </w:p>
        </w:tc>
        <w:tc>
          <w:tcPr>
            <w:tcW w:w="616" w:type="pct"/>
            <w:shd w:val="clear" w:color="auto" w:fill="auto"/>
          </w:tcPr>
          <w:p w14:paraId="57DC2D57" w14:textId="77777777" w:rsidR="00C73DC8" w:rsidRPr="009658F2" w:rsidRDefault="009658F2" w:rsidP="00A35916">
            <w:pPr>
              <w:pStyle w:val="TableText"/>
              <w:jc w:val="center"/>
              <w:rPr>
                <w:highlight w:val="yellow"/>
              </w:rPr>
            </w:pPr>
            <w:r>
              <w:rPr>
                <w:noProof/>
                <w:color w:val="000000"/>
                <w:highlight w:val="black"/>
              </w:rPr>
              <w:t>''''''''''''''''''''</w:t>
            </w:r>
            <w:r w:rsidR="00345766">
              <w:rPr>
                <w:vertAlign w:val="superscript"/>
              </w:rPr>
              <w:t>13</w:t>
            </w:r>
          </w:p>
        </w:tc>
        <w:tc>
          <w:tcPr>
            <w:tcW w:w="616" w:type="pct"/>
            <w:shd w:val="clear" w:color="auto" w:fill="auto"/>
          </w:tcPr>
          <w:p w14:paraId="34C43A59" w14:textId="77777777" w:rsidR="00C73DC8" w:rsidRPr="009658F2" w:rsidRDefault="009658F2" w:rsidP="00A35916">
            <w:pPr>
              <w:pStyle w:val="TableText"/>
              <w:jc w:val="center"/>
              <w:rPr>
                <w:highlight w:val="yellow"/>
              </w:rPr>
            </w:pPr>
            <w:r>
              <w:rPr>
                <w:noProof/>
                <w:color w:val="000000"/>
                <w:highlight w:val="black"/>
              </w:rPr>
              <w:t>'''''''''''''''''''''''</w:t>
            </w:r>
            <w:r w:rsidR="00345766">
              <w:rPr>
                <w:vertAlign w:val="superscript"/>
              </w:rPr>
              <w:t>13</w:t>
            </w:r>
          </w:p>
        </w:tc>
        <w:tc>
          <w:tcPr>
            <w:tcW w:w="616" w:type="pct"/>
            <w:shd w:val="clear" w:color="auto" w:fill="auto"/>
          </w:tcPr>
          <w:p w14:paraId="66FF36B4" w14:textId="77777777" w:rsidR="00C73DC8" w:rsidRPr="009658F2" w:rsidRDefault="009658F2" w:rsidP="00A35916">
            <w:pPr>
              <w:pStyle w:val="TableText"/>
              <w:jc w:val="center"/>
              <w:rPr>
                <w:highlight w:val="yellow"/>
              </w:rPr>
            </w:pPr>
            <w:r>
              <w:rPr>
                <w:noProof/>
                <w:color w:val="000000"/>
                <w:highlight w:val="black"/>
              </w:rPr>
              <w:t>'''''''''''''''''''''</w:t>
            </w:r>
            <w:r w:rsidR="00345766">
              <w:rPr>
                <w:vertAlign w:val="superscript"/>
              </w:rPr>
              <w:t>13</w:t>
            </w:r>
          </w:p>
        </w:tc>
        <w:tc>
          <w:tcPr>
            <w:tcW w:w="616" w:type="pct"/>
            <w:shd w:val="clear" w:color="auto" w:fill="auto"/>
          </w:tcPr>
          <w:p w14:paraId="67E29771" w14:textId="77777777" w:rsidR="00C73DC8" w:rsidRPr="009658F2" w:rsidRDefault="009658F2" w:rsidP="00A35916">
            <w:pPr>
              <w:pStyle w:val="TableText"/>
              <w:jc w:val="center"/>
              <w:rPr>
                <w:highlight w:val="yellow"/>
              </w:rPr>
            </w:pPr>
            <w:r>
              <w:rPr>
                <w:noProof/>
                <w:color w:val="000000"/>
                <w:highlight w:val="black"/>
              </w:rPr>
              <w:t>''''''''''''''''''''''''</w:t>
            </w:r>
            <w:r w:rsidR="00345766">
              <w:rPr>
                <w:vertAlign w:val="superscript"/>
              </w:rPr>
              <w:t>13</w:t>
            </w:r>
          </w:p>
        </w:tc>
        <w:tc>
          <w:tcPr>
            <w:tcW w:w="616" w:type="pct"/>
            <w:shd w:val="clear" w:color="auto" w:fill="auto"/>
          </w:tcPr>
          <w:p w14:paraId="7AD8B425" w14:textId="77777777" w:rsidR="00C73DC8" w:rsidRPr="009658F2" w:rsidRDefault="009658F2" w:rsidP="00A35916">
            <w:pPr>
              <w:pStyle w:val="TableText"/>
              <w:jc w:val="center"/>
              <w:rPr>
                <w:highlight w:val="yellow"/>
              </w:rPr>
            </w:pPr>
            <w:r>
              <w:rPr>
                <w:noProof/>
                <w:color w:val="000000"/>
                <w:highlight w:val="black"/>
              </w:rPr>
              <w:t>''''''''''''''''''''''''</w:t>
            </w:r>
            <w:r w:rsidR="00345766">
              <w:rPr>
                <w:vertAlign w:val="superscript"/>
              </w:rPr>
              <w:t>13</w:t>
            </w:r>
          </w:p>
        </w:tc>
      </w:tr>
      <w:tr w:rsidR="00C73DC8" w:rsidRPr="00C73DC8" w14:paraId="4CC6E14F" w14:textId="77777777" w:rsidTr="00A35916">
        <w:tc>
          <w:tcPr>
            <w:tcW w:w="1383" w:type="pct"/>
            <w:shd w:val="clear" w:color="auto" w:fill="auto"/>
          </w:tcPr>
          <w:p w14:paraId="6FB8513C" w14:textId="257DAB56" w:rsidR="00C73DC8" w:rsidRPr="00C73DC8" w:rsidRDefault="00C73DC8" w:rsidP="00A35916">
            <w:pPr>
              <w:pStyle w:val="TableText"/>
            </w:pPr>
            <w:r w:rsidRPr="00C73DC8">
              <w:t xml:space="preserve">Net cost PBS/RPBS (effective), excluding </w:t>
            </w:r>
            <w:r w:rsidR="00192EE9" w:rsidRPr="00C73DC8">
              <w:t>co-payment</w:t>
            </w:r>
          </w:p>
        </w:tc>
        <w:tc>
          <w:tcPr>
            <w:tcW w:w="539" w:type="pct"/>
            <w:shd w:val="clear" w:color="auto" w:fill="auto"/>
            <w:vAlign w:val="center"/>
          </w:tcPr>
          <w:p w14:paraId="0D116AED" w14:textId="77777777" w:rsidR="00C73DC8" w:rsidRPr="009658F2" w:rsidRDefault="009658F2" w:rsidP="00A35916">
            <w:pPr>
              <w:pStyle w:val="TableText"/>
              <w:jc w:val="center"/>
              <w:rPr>
                <w:b/>
                <w:highlight w:val="yellow"/>
              </w:rPr>
            </w:pPr>
            <w:r>
              <w:rPr>
                <w:b/>
                <w:noProof/>
                <w:color w:val="000000"/>
                <w:highlight w:val="black"/>
              </w:rPr>
              <w:t>'''''''''''''''''</w:t>
            </w:r>
            <w:r w:rsidR="00345766">
              <w:rPr>
                <w:vertAlign w:val="superscript"/>
              </w:rPr>
              <w:t>13</w:t>
            </w:r>
          </w:p>
        </w:tc>
        <w:tc>
          <w:tcPr>
            <w:tcW w:w="616" w:type="pct"/>
            <w:shd w:val="clear" w:color="auto" w:fill="auto"/>
            <w:vAlign w:val="center"/>
          </w:tcPr>
          <w:p w14:paraId="703FD0F3" w14:textId="77777777" w:rsidR="00C73DC8" w:rsidRPr="009658F2" w:rsidRDefault="009658F2" w:rsidP="00A35916">
            <w:pPr>
              <w:pStyle w:val="TableText"/>
              <w:jc w:val="center"/>
              <w:rPr>
                <w:b/>
                <w:highlight w:val="yellow"/>
              </w:rPr>
            </w:pPr>
            <w:r>
              <w:rPr>
                <w:b/>
                <w:noProof/>
                <w:color w:val="000000"/>
                <w:highlight w:val="black"/>
              </w:rPr>
              <w:t>'''''''''''''''''</w:t>
            </w:r>
            <w:r w:rsidR="00345766">
              <w:rPr>
                <w:vertAlign w:val="superscript"/>
              </w:rPr>
              <w:t>13</w:t>
            </w:r>
          </w:p>
        </w:tc>
        <w:tc>
          <w:tcPr>
            <w:tcW w:w="616" w:type="pct"/>
            <w:shd w:val="clear" w:color="auto" w:fill="auto"/>
            <w:vAlign w:val="center"/>
          </w:tcPr>
          <w:p w14:paraId="5B3FE5B9" w14:textId="77777777" w:rsidR="00C73DC8" w:rsidRPr="009658F2" w:rsidRDefault="009658F2" w:rsidP="00A35916">
            <w:pPr>
              <w:pStyle w:val="TableText"/>
              <w:jc w:val="center"/>
              <w:rPr>
                <w:b/>
                <w:highlight w:val="yellow"/>
              </w:rPr>
            </w:pPr>
            <w:r>
              <w:rPr>
                <w:b/>
                <w:noProof/>
                <w:color w:val="000000"/>
                <w:highlight w:val="black"/>
              </w:rPr>
              <w:t>''''''''''''''''''</w:t>
            </w:r>
            <w:r w:rsidR="00345766">
              <w:rPr>
                <w:vertAlign w:val="superscript"/>
              </w:rPr>
              <w:t>13</w:t>
            </w:r>
          </w:p>
        </w:tc>
        <w:tc>
          <w:tcPr>
            <w:tcW w:w="616" w:type="pct"/>
            <w:shd w:val="clear" w:color="auto" w:fill="auto"/>
            <w:vAlign w:val="center"/>
          </w:tcPr>
          <w:p w14:paraId="3D5CD654" w14:textId="77777777" w:rsidR="00C73DC8" w:rsidRPr="009658F2" w:rsidRDefault="009658F2" w:rsidP="00A35916">
            <w:pPr>
              <w:pStyle w:val="TableText"/>
              <w:jc w:val="center"/>
              <w:rPr>
                <w:b/>
                <w:highlight w:val="yellow"/>
              </w:rPr>
            </w:pPr>
            <w:r>
              <w:rPr>
                <w:b/>
                <w:noProof/>
                <w:color w:val="000000"/>
                <w:highlight w:val="black"/>
              </w:rPr>
              <w:t>''''''''''''''''''''</w:t>
            </w:r>
            <w:r w:rsidR="00345766">
              <w:rPr>
                <w:vertAlign w:val="superscript"/>
              </w:rPr>
              <w:t>13</w:t>
            </w:r>
          </w:p>
        </w:tc>
        <w:tc>
          <w:tcPr>
            <w:tcW w:w="616" w:type="pct"/>
            <w:shd w:val="clear" w:color="auto" w:fill="auto"/>
            <w:vAlign w:val="center"/>
          </w:tcPr>
          <w:p w14:paraId="2D97327A" w14:textId="77777777" w:rsidR="00C73DC8" w:rsidRPr="009658F2" w:rsidRDefault="009658F2" w:rsidP="00A35916">
            <w:pPr>
              <w:pStyle w:val="TableText"/>
              <w:jc w:val="center"/>
              <w:rPr>
                <w:b/>
                <w:highlight w:val="yellow"/>
              </w:rPr>
            </w:pPr>
            <w:r>
              <w:rPr>
                <w:b/>
                <w:noProof/>
                <w:color w:val="000000"/>
                <w:highlight w:val="black"/>
              </w:rPr>
              <w:t>''''''''''''''''''''</w:t>
            </w:r>
            <w:r w:rsidR="00345766">
              <w:rPr>
                <w:vertAlign w:val="superscript"/>
              </w:rPr>
              <w:t>13</w:t>
            </w:r>
          </w:p>
        </w:tc>
        <w:tc>
          <w:tcPr>
            <w:tcW w:w="616" w:type="pct"/>
            <w:shd w:val="clear" w:color="auto" w:fill="auto"/>
            <w:vAlign w:val="center"/>
          </w:tcPr>
          <w:p w14:paraId="1C78439F" w14:textId="77777777" w:rsidR="00C73DC8" w:rsidRPr="009658F2" w:rsidRDefault="009658F2" w:rsidP="00A35916">
            <w:pPr>
              <w:pStyle w:val="TableText"/>
              <w:jc w:val="center"/>
              <w:rPr>
                <w:b/>
                <w:highlight w:val="yellow"/>
              </w:rPr>
            </w:pPr>
            <w:r>
              <w:rPr>
                <w:b/>
                <w:noProof/>
                <w:color w:val="000000"/>
                <w:highlight w:val="black"/>
              </w:rPr>
              <w:t>''''''''''''''''''''</w:t>
            </w:r>
            <w:r w:rsidR="00345766">
              <w:rPr>
                <w:vertAlign w:val="superscript"/>
              </w:rPr>
              <w:t>13</w:t>
            </w:r>
          </w:p>
        </w:tc>
      </w:tr>
    </w:tbl>
    <w:p w14:paraId="04BE7689" w14:textId="77777777" w:rsidR="00C73DC8" w:rsidRPr="00C73DC8" w:rsidRDefault="00C73DC8" w:rsidP="00C73DC8">
      <w:pPr>
        <w:pStyle w:val="TableFigureFooter"/>
      </w:pPr>
      <w:r w:rsidRPr="00C73DC8">
        <w:t>Source: Table 4.3, p55; Table 4.8, p58; Table 4.12 and 4.13, p60; Table 4.16, p62; Table 4.17, p63;  of the submission; Section 4 - Utilisation-and-cost-model_Entresto_July2020.xlsx.</w:t>
      </w:r>
    </w:p>
    <w:p w14:paraId="19D6094A" w14:textId="77777777" w:rsidR="00C73DC8" w:rsidRPr="00C73DC8" w:rsidRDefault="00C73DC8" w:rsidP="00C73DC8">
      <w:pPr>
        <w:pStyle w:val="TableFigureFooter"/>
      </w:pPr>
      <w:r w:rsidRPr="00C73DC8">
        <w:t>Abbreviations: ACE, angiotensin-converting enzyme; ARB, angiotensin II receptor blocker; LVEF, left ventricular ejection fraction.</w:t>
      </w:r>
    </w:p>
    <w:p w14:paraId="432F131B" w14:textId="77777777" w:rsidR="00C73DC8" w:rsidRPr="00C73DC8" w:rsidRDefault="00C73DC8" w:rsidP="00C73DC8">
      <w:pPr>
        <w:pStyle w:val="TableFigureFooter"/>
      </w:pPr>
      <w:r w:rsidRPr="00C73DC8">
        <w:rPr>
          <w:vertAlign w:val="superscript"/>
        </w:rPr>
        <w:t>a</w:t>
      </w:r>
      <w:r w:rsidRPr="00C73DC8">
        <w:t xml:space="preserve"> The submission presented utilisation and cost data for 12 month periods from June to May for each year of listing.</w:t>
      </w:r>
    </w:p>
    <w:p w14:paraId="7FFCC7A0" w14:textId="77777777" w:rsidR="00C73DC8" w:rsidRPr="00C73DC8" w:rsidRDefault="00C73DC8" w:rsidP="00C73DC8">
      <w:pPr>
        <w:pStyle w:val="TableFigureFooter"/>
      </w:pPr>
      <w:r w:rsidRPr="00C73DC8">
        <w:rPr>
          <w:vertAlign w:val="superscript"/>
        </w:rPr>
        <w:t>b</w:t>
      </w:r>
      <w:r w:rsidRPr="00C73DC8">
        <w:t xml:space="preserve"> Increase of </w:t>
      </w:r>
      <w:r w:rsidR="00993BA4">
        <w:t>500 to &lt; 5000</w:t>
      </w:r>
      <w:r w:rsidR="00993BA4" w:rsidRPr="00C73DC8">
        <w:t xml:space="preserve"> </w:t>
      </w:r>
      <w:r w:rsidRPr="00C73DC8">
        <w:t>patients/month, extrapolated linearly across years of listing. Distribution by dose strengths at January 2020 (24/26 mg, 37%; 49/51 mg, 33%; 97/103 mg, 30%) applied across all years of listing, to both current and newly eligible scripts.</w:t>
      </w:r>
    </w:p>
    <w:p w14:paraId="1F8336A5" w14:textId="77777777" w:rsidR="00C73DC8" w:rsidRPr="00C73DC8" w:rsidRDefault="00C73DC8" w:rsidP="00C73DC8">
      <w:pPr>
        <w:pStyle w:val="TableFigureFooter"/>
      </w:pPr>
      <w:r w:rsidRPr="00C73DC8">
        <w:rPr>
          <w:vertAlign w:val="superscript"/>
        </w:rPr>
        <w:t>c</w:t>
      </w:r>
      <w:r w:rsidRPr="00C73DC8">
        <w:t xml:space="preserve"> The submission back-calculated estimated patient numbers by dividing total script numbers by 13.04 scripts/patient/year, then applying an assumed adherence rate of 75% based on ACE-inhibitor/ARB adherence in patients with ischaemic heart disease (Roughead 2010).</w:t>
      </w:r>
    </w:p>
    <w:p w14:paraId="07D4129D" w14:textId="77777777" w:rsidR="00C73DC8" w:rsidRPr="00C73DC8" w:rsidRDefault="00C73DC8" w:rsidP="00C73DC8">
      <w:pPr>
        <w:pStyle w:val="TableFigureFooter"/>
      </w:pPr>
      <w:r w:rsidRPr="00C73DC8">
        <w:rPr>
          <w:vertAlign w:val="superscript"/>
        </w:rPr>
        <w:t xml:space="preserve">d </w:t>
      </w:r>
      <w:r w:rsidRPr="00C73DC8">
        <w:t xml:space="preserve">Incremental increase of </w:t>
      </w:r>
      <w:r w:rsidR="00993BA4">
        <w:t>&lt; 500</w:t>
      </w:r>
      <w:r w:rsidR="00993BA4" w:rsidRPr="00C73DC8">
        <w:t xml:space="preserve"> </w:t>
      </w:r>
      <w:r w:rsidRPr="00C73DC8">
        <w:t>scripts/month for all eligible patients, with estimated uptake rates of 66% in Year 1, increasing to 80% in Year 6 of listing. Discontinuations were not accounted for.</w:t>
      </w:r>
    </w:p>
    <w:p w14:paraId="6DDACD20" w14:textId="77777777" w:rsidR="00C73DC8" w:rsidRPr="00C73DC8" w:rsidRDefault="00C73DC8" w:rsidP="00C73DC8">
      <w:pPr>
        <w:pStyle w:val="TableFigureFooter"/>
      </w:pPr>
      <w:r w:rsidRPr="00C73DC8">
        <w:rPr>
          <w:vertAlign w:val="superscript"/>
        </w:rPr>
        <w:t>e</w:t>
      </w:r>
      <w:r w:rsidRPr="00C73DC8">
        <w:t xml:space="preserve"> Incremental increase of </w:t>
      </w:r>
      <w:r w:rsidR="00993BA4">
        <w:t>500 to &lt; 5000</w:t>
      </w:r>
      <w:r w:rsidR="00993BA4" w:rsidRPr="00C73DC8">
        <w:t xml:space="preserve"> </w:t>
      </w:r>
      <w:r w:rsidRPr="00C73DC8">
        <w:t>scripts/month for all eligible patients, with estimated uptake rates of 30% in Year 1, increasing to 66% in Year 6 of listing. Discontinuations were not accounted for.</w:t>
      </w:r>
    </w:p>
    <w:p w14:paraId="7DFC3863" w14:textId="77777777" w:rsidR="00C73DC8" w:rsidRDefault="00C73DC8" w:rsidP="00C73DC8">
      <w:pPr>
        <w:pStyle w:val="TableFigureFooter"/>
      </w:pPr>
      <w:r w:rsidRPr="00C73DC8">
        <w:t>Note: Estimated costs for the newly eligible patient population were calculated during the evaluation. The submission presented overall costs for both the currently eligible and newly eligible population.</w:t>
      </w:r>
    </w:p>
    <w:p w14:paraId="500C203B" w14:textId="77777777" w:rsidR="005701B9" w:rsidRPr="009868C4" w:rsidRDefault="005701B9" w:rsidP="005701B9">
      <w:pPr>
        <w:pStyle w:val="TableFigureFooter"/>
        <w:spacing w:after="0"/>
        <w:contextualSpacing w:val="0"/>
      </w:pPr>
      <w:r w:rsidRPr="009868C4">
        <w:rPr>
          <w:i/>
        </w:rPr>
        <w:t>The redacted values correspond to the following ranges</w:t>
      </w:r>
      <w:r>
        <w:rPr>
          <w:i/>
        </w:rPr>
        <w:t xml:space="preserve">: </w:t>
      </w:r>
    </w:p>
    <w:p w14:paraId="7C3D516B" w14:textId="77777777" w:rsidR="00993BA4" w:rsidRPr="0047564E" w:rsidRDefault="005701B9" w:rsidP="00C73DC8">
      <w:pPr>
        <w:pStyle w:val="TableFigureFooter"/>
        <w:rPr>
          <w:rStyle w:val="TableFigureCaptionChar"/>
          <w:b w:val="0"/>
          <w:i/>
        </w:rPr>
      </w:pPr>
      <w:r w:rsidRPr="0047564E">
        <w:rPr>
          <w:rStyle w:val="TableFigureCaptionChar"/>
          <w:b w:val="0"/>
          <w:i/>
          <w:vertAlign w:val="superscript"/>
        </w:rPr>
        <w:t>1</w:t>
      </w:r>
      <w:r w:rsidRPr="0047564E">
        <w:rPr>
          <w:rStyle w:val="TableFigureCaptionChar"/>
          <w:b w:val="0"/>
          <w:i/>
        </w:rPr>
        <w:t xml:space="preserve"> 400,000 to &lt; 500,000</w:t>
      </w:r>
    </w:p>
    <w:p w14:paraId="57697BD7" w14:textId="77777777" w:rsidR="005701B9" w:rsidRPr="0047564E" w:rsidRDefault="005701B9" w:rsidP="00C73DC8">
      <w:pPr>
        <w:pStyle w:val="TableFigureFooter"/>
        <w:rPr>
          <w:rStyle w:val="TableFigureCaptionChar"/>
          <w:b w:val="0"/>
          <w:i/>
        </w:rPr>
      </w:pPr>
      <w:r w:rsidRPr="0047564E">
        <w:rPr>
          <w:rStyle w:val="TableFigureCaptionChar"/>
          <w:b w:val="0"/>
          <w:i/>
          <w:vertAlign w:val="superscript"/>
        </w:rPr>
        <w:t>2</w:t>
      </w:r>
      <w:r w:rsidRPr="0047564E">
        <w:rPr>
          <w:rStyle w:val="TableFigureCaptionChar"/>
          <w:b w:val="0"/>
          <w:i/>
        </w:rPr>
        <w:t xml:space="preserve"> 600,000 to &lt; 700,000</w:t>
      </w:r>
    </w:p>
    <w:p w14:paraId="04C0DE9F" w14:textId="77777777" w:rsidR="005701B9" w:rsidRPr="0047564E" w:rsidRDefault="005701B9" w:rsidP="00C73DC8">
      <w:pPr>
        <w:pStyle w:val="TableFigureFooter"/>
        <w:rPr>
          <w:rStyle w:val="TableFigureCaptionChar"/>
          <w:b w:val="0"/>
          <w:i/>
          <w:vertAlign w:val="superscript"/>
        </w:rPr>
      </w:pPr>
      <w:r w:rsidRPr="0047564E">
        <w:rPr>
          <w:rStyle w:val="TableFigureCaptionChar"/>
          <w:b w:val="0"/>
          <w:i/>
          <w:vertAlign w:val="superscript"/>
        </w:rPr>
        <w:t>3</w:t>
      </w:r>
      <w:r w:rsidRPr="0047564E">
        <w:rPr>
          <w:rStyle w:val="TableFigureCaptionChar"/>
          <w:b w:val="0"/>
          <w:i/>
        </w:rPr>
        <w:t xml:space="preserve"> 700,000 to &lt; 800,000</w:t>
      </w:r>
    </w:p>
    <w:p w14:paraId="7629225F" w14:textId="77777777" w:rsidR="005701B9" w:rsidRPr="0047564E" w:rsidRDefault="005701B9" w:rsidP="00C73DC8">
      <w:pPr>
        <w:pStyle w:val="TableFigureFooter"/>
        <w:rPr>
          <w:rStyle w:val="TableFigureCaptionChar"/>
          <w:b w:val="0"/>
          <w:i/>
        </w:rPr>
      </w:pPr>
      <w:r w:rsidRPr="0047564E">
        <w:rPr>
          <w:rStyle w:val="TableFigureCaptionChar"/>
          <w:b w:val="0"/>
          <w:i/>
          <w:vertAlign w:val="superscript"/>
        </w:rPr>
        <w:t>4</w:t>
      </w:r>
      <w:r w:rsidRPr="0047564E">
        <w:rPr>
          <w:rStyle w:val="TableFigureCaptionChar"/>
          <w:b w:val="0"/>
          <w:i/>
        </w:rPr>
        <w:t xml:space="preserve"> 900,000 to &lt; 1,000,000</w:t>
      </w:r>
    </w:p>
    <w:p w14:paraId="23188196" w14:textId="77777777" w:rsidR="005701B9" w:rsidRPr="0047564E" w:rsidRDefault="005701B9" w:rsidP="00C73DC8">
      <w:pPr>
        <w:pStyle w:val="TableFigureFooter"/>
        <w:rPr>
          <w:rStyle w:val="TableFigureCaptionChar"/>
          <w:b w:val="0"/>
          <w:i/>
        </w:rPr>
      </w:pPr>
      <w:r w:rsidRPr="0047564E">
        <w:rPr>
          <w:rStyle w:val="TableFigureCaptionChar"/>
          <w:b w:val="0"/>
          <w:i/>
          <w:vertAlign w:val="superscript"/>
        </w:rPr>
        <w:t>5</w:t>
      </w:r>
      <w:r w:rsidRPr="0047564E">
        <w:rPr>
          <w:rStyle w:val="TableFigureCaptionChar"/>
          <w:b w:val="0"/>
          <w:i/>
        </w:rPr>
        <w:t xml:space="preserve"> 1,000,000 to &lt; 2,000,000</w:t>
      </w:r>
    </w:p>
    <w:p w14:paraId="7E3020B2" w14:textId="77777777" w:rsidR="005701B9" w:rsidRPr="0047564E" w:rsidRDefault="006A43D0" w:rsidP="00C73DC8">
      <w:pPr>
        <w:pStyle w:val="TableFigureFooter"/>
        <w:rPr>
          <w:rStyle w:val="TableFigureCaptionChar"/>
          <w:b w:val="0"/>
          <w:i/>
        </w:rPr>
      </w:pPr>
      <w:r w:rsidRPr="0047564E">
        <w:rPr>
          <w:rStyle w:val="TableFigureCaptionChar"/>
          <w:b w:val="0"/>
          <w:i/>
          <w:vertAlign w:val="superscript"/>
        </w:rPr>
        <w:t xml:space="preserve">6 </w:t>
      </w:r>
      <w:r w:rsidRPr="0047564E">
        <w:rPr>
          <w:rStyle w:val="TableFigureCaptionChar"/>
          <w:b w:val="0"/>
          <w:i/>
        </w:rPr>
        <w:t>40,000 to &lt; 50,000</w:t>
      </w:r>
    </w:p>
    <w:p w14:paraId="17633844" w14:textId="77777777" w:rsidR="005701B9" w:rsidRPr="0047564E" w:rsidRDefault="006A43D0" w:rsidP="00C73DC8">
      <w:pPr>
        <w:pStyle w:val="TableFigureFooter"/>
        <w:rPr>
          <w:rStyle w:val="TableFigureCaptionChar"/>
          <w:b w:val="0"/>
          <w:i/>
        </w:rPr>
      </w:pPr>
      <w:r w:rsidRPr="0047564E">
        <w:rPr>
          <w:rStyle w:val="TableFigureCaptionChar"/>
          <w:b w:val="0"/>
          <w:i/>
          <w:vertAlign w:val="superscript"/>
        </w:rPr>
        <w:t>7</w:t>
      </w:r>
      <w:r w:rsidRPr="0047564E">
        <w:rPr>
          <w:rStyle w:val="TableFigureCaptionChar"/>
          <w:b w:val="0"/>
          <w:i/>
        </w:rPr>
        <w:t xml:space="preserve"> 60,000 to &lt; 70,000</w:t>
      </w:r>
    </w:p>
    <w:p w14:paraId="547235E2" w14:textId="77777777" w:rsidR="006A43D0" w:rsidRPr="0047564E" w:rsidRDefault="006A43D0" w:rsidP="006A43D0">
      <w:pPr>
        <w:pStyle w:val="TableFigureFooter"/>
        <w:rPr>
          <w:rStyle w:val="TableFigureCaptionChar"/>
          <w:b w:val="0"/>
          <w:i/>
        </w:rPr>
      </w:pPr>
      <w:r w:rsidRPr="0047564E">
        <w:rPr>
          <w:rStyle w:val="TableFigureCaptionChar"/>
          <w:b w:val="0"/>
          <w:i/>
          <w:vertAlign w:val="superscript"/>
        </w:rPr>
        <w:t>8</w:t>
      </w:r>
      <w:r w:rsidRPr="0047564E">
        <w:rPr>
          <w:rStyle w:val="TableFigureCaptionChar"/>
          <w:b w:val="0"/>
          <w:i/>
        </w:rPr>
        <w:t xml:space="preserve"> 70,000 to &lt; 80,000</w:t>
      </w:r>
    </w:p>
    <w:p w14:paraId="3C8A0D3F" w14:textId="77777777" w:rsidR="006A43D0" w:rsidRPr="0047564E" w:rsidRDefault="006A43D0" w:rsidP="006A43D0">
      <w:pPr>
        <w:pStyle w:val="TableFigureFooter"/>
        <w:rPr>
          <w:rStyle w:val="TableFigureCaptionChar"/>
          <w:b w:val="0"/>
          <w:i/>
        </w:rPr>
      </w:pPr>
      <w:r w:rsidRPr="0047564E">
        <w:rPr>
          <w:rStyle w:val="TableFigureCaptionChar"/>
          <w:b w:val="0"/>
          <w:i/>
          <w:vertAlign w:val="superscript"/>
        </w:rPr>
        <w:t xml:space="preserve">9 </w:t>
      </w:r>
      <w:r w:rsidRPr="0047564E">
        <w:rPr>
          <w:rStyle w:val="TableFigureCaptionChar"/>
          <w:b w:val="0"/>
          <w:i/>
        </w:rPr>
        <w:t>90,000 to &lt; 100,000</w:t>
      </w:r>
    </w:p>
    <w:p w14:paraId="172B042E" w14:textId="77777777" w:rsidR="006A43D0" w:rsidRPr="0047564E" w:rsidRDefault="006A43D0" w:rsidP="006A43D0">
      <w:pPr>
        <w:pStyle w:val="TableFigureFooter"/>
        <w:rPr>
          <w:rStyle w:val="TableFigureCaptionChar"/>
          <w:b w:val="0"/>
          <w:i/>
        </w:rPr>
      </w:pPr>
      <w:r w:rsidRPr="0047564E">
        <w:rPr>
          <w:rStyle w:val="TableFigureCaptionChar"/>
          <w:b w:val="0"/>
          <w:i/>
          <w:vertAlign w:val="superscript"/>
        </w:rPr>
        <w:t xml:space="preserve">10 </w:t>
      </w:r>
      <w:r w:rsidRPr="0047564E">
        <w:rPr>
          <w:rStyle w:val="TableFigureCaptionChar"/>
          <w:b w:val="0"/>
          <w:i/>
        </w:rPr>
        <w:t>100,000 to &lt; 200,000</w:t>
      </w:r>
    </w:p>
    <w:p w14:paraId="684C0777" w14:textId="77777777" w:rsidR="00E10121" w:rsidRPr="0047564E" w:rsidRDefault="00E10121" w:rsidP="006A43D0">
      <w:pPr>
        <w:pStyle w:val="TableFigureFooter"/>
        <w:rPr>
          <w:rStyle w:val="TableFigureCaptionChar"/>
          <w:b w:val="0"/>
          <w:i/>
        </w:rPr>
      </w:pPr>
      <w:r w:rsidRPr="0047564E">
        <w:rPr>
          <w:rStyle w:val="TableFigureCaptionChar"/>
          <w:b w:val="0"/>
          <w:i/>
          <w:vertAlign w:val="superscript"/>
        </w:rPr>
        <w:t>11</w:t>
      </w:r>
      <w:r w:rsidRPr="0047564E">
        <w:rPr>
          <w:rStyle w:val="TableFigureCaptionChar"/>
          <w:b w:val="0"/>
          <w:i/>
        </w:rPr>
        <w:t xml:space="preserve"> 500 to &lt; 5,000</w:t>
      </w:r>
    </w:p>
    <w:p w14:paraId="47C74742" w14:textId="77777777" w:rsidR="00E10121" w:rsidRPr="0047564E" w:rsidRDefault="00E10121" w:rsidP="006A43D0">
      <w:pPr>
        <w:pStyle w:val="TableFigureFooter"/>
        <w:rPr>
          <w:rStyle w:val="TableFigureCaptionChar"/>
          <w:b w:val="0"/>
          <w:i/>
        </w:rPr>
      </w:pPr>
      <w:r w:rsidRPr="0047564E">
        <w:rPr>
          <w:rStyle w:val="TableFigureCaptionChar"/>
          <w:b w:val="0"/>
          <w:i/>
          <w:vertAlign w:val="superscript"/>
        </w:rPr>
        <w:t>12</w:t>
      </w:r>
      <w:r w:rsidRPr="0047564E">
        <w:rPr>
          <w:rStyle w:val="TableFigureCaptionChar"/>
          <w:b w:val="0"/>
          <w:i/>
        </w:rPr>
        <w:t xml:space="preserve"> 5,000 to &lt; 10,000</w:t>
      </w:r>
    </w:p>
    <w:p w14:paraId="43057F73" w14:textId="77777777" w:rsidR="00EC19C5" w:rsidRPr="0047564E" w:rsidRDefault="00EC19C5" w:rsidP="006A43D0">
      <w:pPr>
        <w:pStyle w:val="TableFigureFooter"/>
        <w:rPr>
          <w:rStyle w:val="TableFigureCaptionChar"/>
          <w:b w:val="0"/>
          <w:i/>
        </w:rPr>
      </w:pPr>
      <w:r w:rsidRPr="0047564E">
        <w:rPr>
          <w:rStyle w:val="TableFigureCaptionChar"/>
          <w:b w:val="0"/>
          <w:i/>
          <w:vertAlign w:val="superscript"/>
        </w:rPr>
        <w:t>13</w:t>
      </w:r>
      <w:r w:rsidRPr="0047564E">
        <w:rPr>
          <w:rStyle w:val="TableFigureCaptionChar"/>
          <w:b w:val="0"/>
          <w:i/>
        </w:rPr>
        <w:t xml:space="preserve"> </w:t>
      </w:r>
      <w:r w:rsidR="00345766" w:rsidRPr="0047564E">
        <w:rPr>
          <w:rStyle w:val="TableFigureCaptionChar"/>
          <w:b w:val="0"/>
          <w:i/>
        </w:rPr>
        <w:t>$0 to &lt; $10 million</w:t>
      </w:r>
    </w:p>
    <w:p w14:paraId="44F73BC3" w14:textId="77777777" w:rsidR="00345766" w:rsidRPr="0047564E" w:rsidRDefault="00345766" w:rsidP="00345766">
      <w:pPr>
        <w:pStyle w:val="TableFigureFooter"/>
        <w:rPr>
          <w:rStyle w:val="TableFigureCaptionChar"/>
          <w:b w:val="0"/>
          <w:i/>
        </w:rPr>
      </w:pPr>
      <w:r w:rsidRPr="0047564E">
        <w:rPr>
          <w:rStyle w:val="TableFigureCaptionChar"/>
          <w:b w:val="0"/>
          <w:i/>
          <w:vertAlign w:val="superscript"/>
        </w:rPr>
        <w:t>14</w:t>
      </w:r>
      <w:r w:rsidRPr="0047564E">
        <w:rPr>
          <w:rStyle w:val="TableFigureCaptionChar"/>
          <w:b w:val="0"/>
          <w:i/>
        </w:rPr>
        <w:t xml:space="preserve"> $10 to &lt; $20 million</w:t>
      </w:r>
    </w:p>
    <w:p w14:paraId="5BBC91A3" w14:textId="77777777" w:rsidR="00345766" w:rsidRPr="00EC19C5" w:rsidRDefault="00345766" w:rsidP="006A43D0">
      <w:pPr>
        <w:pStyle w:val="TableFigureFooter"/>
        <w:rPr>
          <w:rStyle w:val="TableFigureCaptionChar"/>
          <w:b w:val="0"/>
        </w:rPr>
      </w:pPr>
    </w:p>
    <w:p w14:paraId="6C2C0656" w14:textId="3FF87DDC" w:rsidR="00C73DC8" w:rsidRPr="00C73DC8" w:rsidRDefault="00C73DC8" w:rsidP="0018688C">
      <w:pPr>
        <w:pStyle w:val="ExecSumBodyText"/>
        <w:numPr>
          <w:ilvl w:val="1"/>
          <w:numId w:val="1"/>
        </w:numPr>
        <w:ind w:left="709" w:hanging="709"/>
      </w:pPr>
      <w:r w:rsidRPr="00C73DC8">
        <w:t xml:space="preserve">The estimated total net cost to the PBS/RPBS for the newly eligible patients for sacubitril/valsartan (excluding patient co-payments) was </w:t>
      </w:r>
      <w:r w:rsidR="0018688C" w:rsidRPr="0018688C">
        <w:t xml:space="preserve">$0 to &lt; $10 </w:t>
      </w:r>
      <w:r w:rsidR="00192EE9" w:rsidRPr="0018688C">
        <w:t>million</w:t>
      </w:r>
      <w:r w:rsidR="00192EE9" w:rsidRPr="00C73DC8">
        <w:t xml:space="preserve"> in</w:t>
      </w:r>
      <w:r w:rsidRPr="00C73DC8">
        <w:t xml:space="preserve"> Year 1 of listing, increasing to </w:t>
      </w:r>
      <w:r w:rsidR="0018688C" w:rsidRPr="0018688C">
        <w:t>$0 to &lt; $10 million</w:t>
      </w:r>
      <w:r w:rsidR="0018688C" w:rsidRPr="00C73DC8" w:rsidDel="0018688C">
        <w:t xml:space="preserve"> </w:t>
      </w:r>
      <w:r w:rsidRPr="00C73DC8">
        <w:t xml:space="preserve">in Year 6, a cumulative total of </w:t>
      </w:r>
      <w:r w:rsidR="0018688C" w:rsidRPr="0018688C">
        <w:t>$0 to &lt; $10 million</w:t>
      </w:r>
      <w:r w:rsidRPr="00C73DC8">
        <w:t xml:space="preserve"> in the first 6 years of listing. </w:t>
      </w:r>
    </w:p>
    <w:p w14:paraId="6FFBEF33" w14:textId="77777777" w:rsidR="00C73DC8" w:rsidRPr="00C73DC8" w:rsidRDefault="00C73DC8" w:rsidP="00C73DC8">
      <w:pPr>
        <w:pStyle w:val="ExecSumBodyText"/>
        <w:numPr>
          <w:ilvl w:val="1"/>
          <w:numId w:val="1"/>
        </w:numPr>
        <w:ind w:left="709" w:hanging="709"/>
      </w:pPr>
      <w:r w:rsidRPr="00C73DC8">
        <w:t xml:space="preserve">The estimated total net cost to the PBS/RPBS of the expanded listing (both current and newly eligible patients) for sacubitril/valsartan (excluding patient co-payments) was </w:t>
      </w:r>
      <w:r w:rsidR="0018688C" w:rsidRPr="0018688C">
        <w:t>$</w:t>
      </w:r>
      <w:r w:rsidR="0018688C">
        <w:t>5</w:t>
      </w:r>
      <w:r w:rsidR="0018688C" w:rsidRPr="0018688C">
        <w:t>0 to &lt; $</w:t>
      </w:r>
      <w:r w:rsidR="0018688C">
        <w:t>6</w:t>
      </w:r>
      <w:r w:rsidR="0018688C" w:rsidRPr="0018688C">
        <w:t>0 million</w:t>
      </w:r>
      <w:r w:rsidR="0018688C" w:rsidRPr="00C73DC8" w:rsidDel="0018688C">
        <w:t xml:space="preserve"> </w:t>
      </w:r>
      <w:r w:rsidRPr="00C73DC8">
        <w:t xml:space="preserve">in Year 1 of listing, increasing to </w:t>
      </w:r>
      <w:r w:rsidR="0018688C" w:rsidRPr="0018688C">
        <w:t>$</w:t>
      </w:r>
      <w:r w:rsidR="0018688C">
        <w:t>100 to &lt; $2</w:t>
      </w:r>
      <w:r w:rsidR="0018688C" w:rsidRPr="0018688C">
        <w:t>0</w:t>
      </w:r>
      <w:r w:rsidR="0018688C">
        <w:t>0</w:t>
      </w:r>
      <w:r w:rsidR="0018688C" w:rsidRPr="0018688C">
        <w:t xml:space="preserve"> million</w:t>
      </w:r>
      <w:r w:rsidRPr="00C73DC8">
        <w:t xml:space="preserve"> in Year 6, a total net cost of </w:t>
      </w:r>
      <w:r w:rsidR="0018688C" w:rsidRPr="0018688C">
        <w:t>$</w:t>
      </w:r>
      <w:r w:rsidR="0018688C">
        <w:t>500 to &lt; $6</w:t>
      </w:r>
      <w:r w:rsidR="0018688C" w:rsidRPr="0018688C">
        <w:t>0</w:t>
      </w:r>
      <w:r w:rsidR="0018688C">
        <w:t>0</w:t>
      </w:r>
      <w:r w:rsidR="0018688C" w:rsidRPr="0018688C">
        <w:t xml:space="preserve"> million</w:t>
      </w:r>
      <w:r w:rsidR="0018688C" w:rsidRPr="00C73DC8" w:rsidDel="0018688C">
        <w:t xml:space="preserve"> </w:t>
      </w:r>
      <w:r w:rsidRPr="00C73DC8">
        <w:t xml:space="preserve">in the first 6 years of listing. </w:t>
      </w:r>
    </w:p>
    <w:p w14:paraId="2F146F57" w14:textId="77777777" w:rsidR="00C73DC8" w:rsidRDefault="00C73DC8" w:rsidP="00C73DC8">
      <w:pPr>
        <w:pStyle w:val="ExecSumBodyText"/>
        <w:numPr>
          <w:ilvl w:val="1"/>
          <w:numId w:val="1"/>
        </w:numPr>
        <w:ind w:left="709" w:hanging="709"/>
      </w:pPr>
      <w:r w:rsidRPr="00C73DC8">
        <w:t xml:space="preserve">The submission’s estimates of utilisation and financial impact were highly uncertain. Using the numbers of current and new scripts estimated across the 6 years of listing in the submission, the new patients represent an incremental increase of </w:t>
      </w:r>
      <w:r w:rsidRPr="00192EE9">
        <w:t>only 0.7%</w:t>
      </w:r>
      <w:r w:rsidRPr="00C73DC8">
        <w:t xml:space="preserve"> of the existing patient population. The validity of attempting to estimate utilisation in the new population based on a proportion of growth rates in existing prescription numbers is highly uncertain. The number of prescriptions currently issued for sacubitril/valsartan does not represent the entirety of the eligible chronic heart failure population in Australia. This approach also does not take into account patients who have been prescribed an ACE-inhibitor/ARB but are not yet stabilised on this treatment – these patients would be eligible for treatment under the new restriction but not the existing restriction, but would not be considered to be ACE-inhibitor/ARB-naïve. Furthermore, the submission applied an uptake rate to prescriptions for newly eligible patients (with the rates themselves uncertain and poorly supported in the submission). However, current script numbers already implicitly capture an uptake rate (as not all currently eligible patients are likely to be treated with sacubitril/valsartan). Given the proposed changes to the PBS restriction moves sacubitril/valsartan to an earlier line of therapy, the number of new prescriptions for the expanded restriction may be considerably underestimated. </w:t>
      </w:r>
    </w:p>
    <w:p w14:paraId="3E00212A" w14:textId="77777777" w:rsidR="009F52EC" w:rsidRDefault="009F52EC" w:rsidP="00C73DC8">
      <w:pPr>
        <w:pStyle w:val="ExecSumBodyText"/>
        <w:numPr>
          <w:ilvl w:val="1"/>
          <w:numId w:val="1"/>
        </w:numPr>
        <w:ind w:left="709" w:hanging="709"/>
      </w:pPr>
      <w:r>
        <w:t>A summary of the Drug Utilisation Sub-Committee advice to the PBAC is presented below.</w:t>
      </w:r>
      <w:bookmarkStart w:id="26" w:name="_GoBack"/>
      <w:bookmarkEnd w:id="26"/>
    </w:p>
    <w:tbl>
      <w:tblPr>
        <w:tblStyle w:val="TableGrid"/>
        <w:tblW w:w="0" w:type="auto"/>
        <w:tblLook w:val="04A0" w:firstRow="1" w:lastRow="0" w:firstColumn="1" w:lastColumn="0" w:noHBand="0" w:noVBand="1"/>
      </w:tblPr>
      <w:tblGrid>
        <w:gridCol w:w="9017"/>
      </w:tblGrid>
      <w:tr w:rsidR="00C73DC8" w:rsidRPr="002B1C31" w14:paraId="4C5DDB9F" w14:textId="77777777" w:rsidTr="009B72C6">
        <w:trPr>
          <w:tblHeader/>
        </w:trPr>
        <w:tc>
          <w:tcPr>
            <w:tcW w:w="9017" w:type="dxa"/>
          </w:tcPr>
          <w:p w14:paraId="260529D1" w14:textId="77777777" w:rsidR="00C73DC8" w:rsidRPr="002B1C31" w:rsidRDefault="00C73DC8" w:rsidP="00A35916">
            <w:pPr>
              <w:rPr>
                <w:b/>
              </w:rPr>
            </w:pPr>
            <w:r w:rsidRPr="002B1C31">
              <w:rPr>
                <w:b/>
              </w:rPr>
              <w:lastRenderedPageBreak/>
              <w:t>DUSC considers the estimates presented in the submission to be highly uncertain. The main issues are:</w:t>
            </w:r>
          </w:p>
          <w:p w14:paraId="2F21FD6F" w14:textId="77777777" w:rsidR="00C73DC8" w:rsidRPr="002B1C31" w:rsidRDefault="00C73DC8" w:rsidP="00C73DC8">
            <w:pPr>
              <w:pStyle w:val="ListParagraph"/>
              <w:numPr>
                <w:ilvl w:val="0"/>
                <w:numId w:val="19"/>
              </w:numPr>
              <w:rPr>
                <w:b/>
              </w:rPr>
            </w:pPr>
            <w:r w:rsidRPr="002B1C31">
              <w:rPr>
                <w:i/>
              </w:rPr>
              <w:t>In some patients there is an overlapping pathophysiology of heart failure with reduced ejection fraction and heart failure with preserved ejection fraction. With the recognition of a mid-range ejection fraction population and the increase in the arbitrary measure of left ventricular ejection fraction (LVEF), this would likely cause an influx of patients who would not receive benefit from sacubitril/valsartan.</w:t>
            </w:r>
          </w:p>
          <w:p w14:paraId="4604623E" w14:textId="77777777" w:rsidR="00C73DC8" w:rsidRPr="002B1C31" w:rsidRDefault="00C73DC8" w:rsidP="00C73DC8">
            <w:pPr>
              <w:pStyle w:val="ListParagraph"/>
              <w:numPr>
                <w:ilvl w:val="0"/>
                <w:numId w:val="19"/>
              </w:numPr>
              <w:rPr>
                <w:b/>
              </w:rPr>
            </w:pPr>
            <w:r w:rsidRPr="002B1C31">
              <w:rPr>
                <w:i/>
              </w:rPr>
              <w:t>There is evidence that treatment sequences do affect which medications are up-titrated to their maximal dosing. It is suggested that the priority of up-titrating the beta blocker to the targeted dose unless contraindicated should be explicitly mentioned in the restriction.</w:t>
            </w:r>
          </w:p>
          <w:p w14:paraId="3139B2F9" w14:textId="77777777" w:rsidR="00C73DC8" w:rsidRPr="002B1C31" w:rsidRDefault="00C73DC8" w:rsidP="00C73DC8">
            <w:pPr>
              <w:pStyle w:val="ListParagraph"/>
              <w:numPr>
                <w:ilvl w:val="0"/>
                <w:numId w:val="19"/>
              </w:numPr>
              <w:rPr>
                <w:b/>
              </w:rPr>
            </w:pPr>
            <w:r w:rsidRPr="002B1C31">
              <w:rPr>
                <w:i/>
              </w:rPr>
              <w:t xml:space="preserve">The </w:t>
            </w:r>
            <w:r w:rsidR="003E7285">
              <w:rPr>
                <w:i/>
              </w:rPr>
              <w:t>cost effectiv</w:t>
            </w:r>
            <w:r w:rsidRPr="002B1C31">
              <w:rPr>
                <w:i/>
              </w:rPr>
              <w:t>eness of sacubitril/valsartan as first line therapy has not been established and a large proportion of patients may be adequately treated with an</w:t>
            </w:r>
            <w:r w:rsidR="00206C14">
              <w:rPr>
                <w:i/>
              </w:rPr>
              <w:t xml:space="preserve"> </w:t>
            </w:r>
            <w:r w:rsidRPr="002B1C31">
              <w:rPr>
                <w:i/>
              </w:rPr>
              <w:t xml:space="preserve">angiotensin-converting enzyme inhibitor (ACE-I)/angiotensin receptor blocker (ARB). The concern from clinicians presented in the Pre-Sub-Committee Response (PSCR) is noted however analyses </w:t>
            </w:r>
            <w:r w:rsidR="00206C14">
              <w:rPr>
                <w:i/>
              </w:rPr>
              <w:t>have</w:t>
            </w:r>
            <w:r w:rsidR="00206C14" w:rsidRPr="002B1C31">
              <w:rPr>
                <w:i/>
              </w:rPr>
              <w:t xml:space="preserve"> </w:t>
            </w:r>
            <w:r w:rsidRPr="002B1C31">
              <w:rPr>
                <w:i/>
              </w:rPr>
              <w:t>not been provided to support the requested changes.</w:t>
            </w:r>
          </w:p>
          <w:p w14:paraId="0D93DB1E" w14:textId="77777777" w:rsidR="00C73DC8" w:rsidRPr="002B1C31" w:rsidRDefault="00C73DC8" w:rsidP="00C73DC8">
            <w:pPr>
              <w:pStyle w:val="ListParagraph"/>
              <w:numPr>
                <w:ilvl w:val="0"/>
                <w:numId w:val="19"/>
              </w:numPr>
              <w:rPr>
                <w:b/>
              </w:rPr>
            </w:pPr>
            <w:r w:rsidRPr="002B1C31">
              <w:t>Whether the estimated utilisation in the new patient population is plausible given substantial uncertainties with the measure of growth in the existing PBS population, the method of estimating use in new patients from existing sacubitril/valsartan uptake based on a proportion of growth rates in existing prescriptions, data sources used to estimate the size of the new PBS population, and rates of uptake in the new population.</w:t>
            </w:r>
          </w:p>
          <w:p w14:paraId="7C49CD82" w14:textId="77777777" w:rsidR="00C73DC8" w:rsidRPr="002B1C31" w:rsidRDefault="00C73DC8" w:rsidP="00C73DC8">
            <w:pPr>
              <w:pStyle w:val="ListParagraph"/>
              <w:numPr>
                <w:ilvl w:val="0"/>
                <w:numId w:val="19"/>
              </w:numPr>
              <w:rPr>
                <w:b/>
              </w:rPr>
            </w:pPr>
            <w:r w:rsidRPr="002B1C31">
              <w:rPr>
                <w:i/>
              </w:rPr>
              <w:t>Whether the patient estimates are reliable as they are based on a back calculation of variable monthly average utilisation data for sa</w:t>
            </w:r>
            <w:r w:rsidR="00206C14">
              <w:rPr>
                <w:i/>
              </w:rPr>
              <w:t>c</w:t>
            </w:r>
            <w:r w:rsidRPr="002B1C31">
              <w:rPr>
                <w:i/>
              </w:rPr>
              <w:t>ubi</w:t>
            </w:r>
            <w:r w:rsidR="00206C14">
              <w:rPr>
                <w:i/>
              </w:rPr>
              <w:t>t</w:t>
            </w:r>
            <w:r w:rsidRPr="002B1C31">
              <w:rPr>
                <w:i/>
              </w:rPr>
              <w:t>ril/valsartan. This was also impacted by the additional variation in utilisation in response to COVID-19.</w:t>
            </w:r>
          </w:p>
          <w:p w14:paraId="365DFC99" w14:textId="77777777" w:rsidR="00C73DC8" w:rsidRPr="002B1C31" w:rsidRDefault="00C73DC8" w:rsidP="00C73DC8">
            <w:pPr>
              <w:pStyle w:val="ListParagraph"/>
              <w:numPr>
                <w:ilvl w:val="0"/>
                <w:numId w:val="19"/>
              </w:numPr>
              <w:rPr>
                <w:b/>
              </w:rPr>
            </w:pPr>
            <w:r w:rsidRPr="002B1C31">
              <w:rPr>
                <w:i/>
              </w:rPr>
              <w:t>There is likely an overlap between the naïve to ACE-I/ARB population and the population of patients with an LVEF 41-49%. The SNAPSHOT-HF study used to establish patients who were naïve to ACE-I/ARB therapy looked at patients being discharged from hospital after being diagnosed with acute heart failure. This may not be representative of the broader population as the non-hospitalised setting typically has a larger proportion of ‘low-risk’ heart failure patients</w:t>
            </w:r>
            <w:r w:rsidRPr="002B1C31">
              <w:rPr>
                <w:rStyle w:val="FootnoteReference"/>
                <w:i/>
              </w:rPr>
              <w:footnoteReference w:id="1"/>
            </w:r>
            <w:r w:rsidRPr="002B1C31">
              <w:rPr>
                <w:i/>
              </w:rPr>
              <w:t xml:space="preserve"> and hence may underestimate the naïve population.</w:t>
            </w:r>
          </w:p>
          <w:p w14:paraId="4EB04389" w14:textId="77777777" w:rsidR="00C73DC8" w:rsidRPr="002B1C31" w:rsidRDefault="00C73DC8" w:rsidP="00C73DC8">
            <w:pPr>
              <w:pStyle w:val="ListParagraph"/>
              <w:numPr>
                <w:ilvl w:val="0"/>
                <w:numId w:val="19"/>
              </w:numPr>
              <w:rPr>
                <w:b/>
              </w:rPr>
            </w:pPr>
            <w:r w:rsidRPr="002B1C31">
              <w:rPr>
                <w:i/>
              </w:rPr>
              <w:t xml:space="preserve">The uptake rates were not justified and likely underestimated due to the familiarity of clinicians with sacubitril/valsartan. </w:t>
            </w:r>
          </w:p>
          <w:p w14:paraId="5B1BC352" w14:textId="77777777" w:rsidR="00C73DC8" w:rsidRPr="002B1C31" w:rsidRDefault="00C73DC8" w:rsidP="00C73DC8">
            <w:pPr>
              <w:pStyle w:val="ListParagraph"/>
              <w:numPr>
                <w:ilvl w:val="0"/>
                <w:numId w:val="19"/>
              </w:numPr>
              <w:rPr>
                <w:b/>
              </w:rPr>
            </w:pPr>
            <w:r w:rsidRPr="002B1C31">
              <w:rPr>
                <w:i/>
              </w:rPr>
              <w:t xml:space="preserve">The adherence to medications in the new population is likely overestimated due to their potentially less severe diagnosis.  </w:t>
            </w:r>
          </w:p>
          <w:p w14:paraId="532117D9" w14:textId="77777777" w:rsidR="00C73DC8" w:rsidRPr="002B1C31" w:rsidRDefault="00C73DC8" w:rsidP="00A35916">
            <w:pPr>
              <w:ind w:left="360"/>
            </w:pPr>
          </w:p>
          <w:p w14:paraId="379CD1B9" w14:textId="77777777" w:rsidR="00C73DC8" w:rsidRPr="002B1C31" w:rsidRDefault="00C73DC8" w:rsidP="00A35916">
            <w:pPr>
              <w:rPr>
                <w:b/>
              </w:rPr>
            </w:pPr>
            <w:r w:rsidRPr="002B1C31">
              <w:rPr>
                <w:b/>
              </w:rPr>
              <w:t>QUM</w:t>
            </w:r>
          </w:p>
          <w:p w14:paraId="162683A5" w14:textId="77777777" w:rsidR="00C73DC8" w:rsidRPr="002B1C31" w:rsidRDefault="00C73DC8" w:rsidP="00C73DC8">
            <w:pPr>
              <w:pStyle w:val="ListParagraph"/>
              <w:numPr>
                <w:ilvl w:val="0"/>
                <w:numId w:val="19"/>
              </w:numPr>
            </w:pPr>
            <w:r w:rsidRPr="002B1C31">
              <w:t xml:space="preserve">The sponsor did not present any quality use of medicines information. In the previous consideration of sacubitril/valsartan there were a number of quality use of medicines issues that were raised and may impact negatively on the safety of this </w:t>
            </w:r>
            <w:r w:rsidRPr="002B1C31">
              <w:lastRenderedPageBreak/>
              <w:t>medication. These issues are as follows (Section 6.50, sacubitril valsartan PSD – March 2016 PBAC Meeting):</w:t>
            </w:r>
          </w:p>
          <w:p w14:paraId="5E9517D2" w14:textId="77777777" w:rsidR="00C73DC8" w:rsidRPr="002B1C31" w:rsidRDefault="00C73DC8" w:rsidP="00C73DC8">
            <w:pPr>
              <w:numPr>
                <w:ilvl w:val="1"/>
                <w:numId w:val="19"/>
              </w:numPr>
              <w:contextualSpacing/>
            </w:pPr>
            <w:r w:rsidRPr="002B1C31">
              <w:t xml:space="preserve">risk of accidental co-prescribing with ARBs or ACE inhibitors. </w:t>
            </w:r>
          </w:p>
          <w:p w14:paraId="18BFCD0D" w14:textId="77777777" w:rsidR="00C73DC8" w:rsidRPr="002B1C31" w:rsidRDefault="00C73DC8" w:rsidP="00C73DC8">
            <w:pPr>
              <w:numPr>
                <w:ilvl w:val="1"/>
                <w:numId w:val="19"/>
              </w:numPr>
              <w:contextualSpacing/>
            </w:pPr>
            <w:r w:rsidRPr="002B1C31">
              <w:t xml:space="preserve">risk of confusion about valsartan doses due to the increase in bioavailability when it is combined with sacubitril. </w:t>
            </w:r>
          </w:p>
          <w:p w14:paraId="112A2592" w14:textId="77777777" w:rsidR="00C73DC8" w:rsidRPr="002B1C31" w:rsidRDefault="00C73DC8" w:rsidP="00C73DC8">
            <w:pPr>
              <w:numPr>
                <w:ilvl w:val="1"/>
                <w:numId w:val="19"/>
              </w:numPr>
              <w:contextualSpacing/>
              <w:rPr>
                <w:i/>
              </w:rPr>
            </w:pPr>
            <w:r w:rsidRPr="002B1C31">
              <w:t>risk of adverse drug reactions from statins as co-prescribing sacubitril with statins, which is likely to occur in most patients, increases exposure to statins</w:t>
            </w:r>
            <w:r w:rsidRPr="002B1C31">
              <w:rPr>
                <w:i/>
              </w:rPr>
              <w:t>.</w:t>
            </w:r>
          </w:p>
          <w:p w14:paraId="18F00E36" w14:textId="77777777" w:rsidR="00C73DC8" w:rsidRPr="002B1C31" w:rsidRDefault="00C73DC8" w:rsidP="009D19CE">
            <w:pPr>
              <w:numPr>
                <w:ilvl w:val="0"/>
                <w:numId w:val="19"/>
              </w:numPr>
              <w:contextualSpacing/>
            </w:pPr>
            <w:r w:rsidRPr="002B1C31">
              <w:rPr>
                <w:i/>
              </w:rPr>
              <w:t xml:space="preserve">DUSC noted that the letter from the cardiologists presented by the sponsor represents a quality use of medicines issue where patients may receive a less </w:t>
            </w:r>
            <w:r w:rsidR="003E7285">
              <w:rPr>
                <w:i/>
              </w:rPr>
              <w:t>cost effectiv</w:t>
            </w:r>
            <w:r w:rsidRPr="002B1C31">
              <w:rPr>
                <w:i/>
              </w:rPr>
              <w:t>e treatment displacing ACE-I/ARB + beta blocker which may adequately manage their condition but take longer to up-titrate.</w:t>
            </w:r>
          </w:p>
        </w:tc>
      </w:tr>
    </w:tbl>
    <w:p w14:paraId="47BF50D5" w14:textId="77777777" w:rsidR="00C73DC8" w:rsidRDefault="00C73DC8" w:rsidP="00C73DC8">
      <w:pPr>
        <w:pStyle w:val="ExecSumBodyText"/>
        <w:numPr>
          <w:ilvl w:val="0"/>
          <w:numId w:val="0"/>
        </w:numPr>
        <w:ind w:left="709"/>
      </w:pPr>
    </w:p>
    <w:p w14:paraId="118CCEB4" w14:textId="77777777" w:rsidR="00A64EE7" w:rsidRPr="00C73DC8" w:rsidRDefault="00A64EE7" w:rsidP="00A64EE7">
      <w:pPr>
        <w:pStyle w:val="ExecSumBodyText"/>
        <w:numPr>
          <w:ilvl w:val="1"/>
          <w:numId w:val="1"/>
        </w:numPr>
        <w:ind w:left="709" w:hanging="709"/>
      </w:pPr>
      <w:r w:rsidRPr="00A64EE7">
        <w:t>The</w:t>
      </w:r>
      <w:r>
        <w:t xml:space="preserve"> </w:t>
      </w:r>
      <w:r w:rsidR="005771B1">
        <w:t>Pre-PBAC Response argued that any increase in use of sacubitril/valsartan in the expanded population would be substantially below the current caps in the current risk sharing arrangement. The PBAC</w:t>
      </w:r>
      <w:r w:rsidR="005771B1" w:rsidRPr="00A64EE7">
        <w:t xml:space="preserve"> did not accept </w:t>
      </w:r>
      <w:r w:rsidR="005771B1">
        <w:t>this argument and considered</w:t>
      </w:r>
      <w:r w:rsidR="005771B1" w:rsidRPr="00A64EE7">
        <w:t xml:space="preserve"> </w:t>
      </w:r>
      <w:r w:rsidR="005771B1">
        <w:t>the inherent uncertainties in the utilisation and financial estimates meant such a conclusion was highly speculative.</w:t>
      </w:r>
    </w:p>
    <w:p w14:paraId="61E28244" w14:textId="77777777" w:rsidR="00576972" w:rsidRPr="00C9624D" w:rsidRDefault="00576972" w:rsidP="00606FBA">
      <w:pPr>
        <w:pStyle w:val="3-SubsectionHeading"/>
      </w:pPr>
      <w:r w:rsidRPr="00C9624D">
        <w:t>Quality Use of Medicines</w:t>
      </w:r>
      <w:bookmarkEnd w:id="24"/>
      <w:bookmarkEnd w:id="25"/>
    </w:p>
    <w:p w14:paraId="49AC515B" w14:textId="77777777" w:rsidR="00576972" w:rsidRPr="005226CA" w:rsidRDefault="00D401CC" w:rsidP="005E7085">
      <w:pPr>
        <w:pStyle w:val="ExecSumBodyText"/>
        <w:ind w:left="709" w:hanging="709"/>
        <w:rPr>
          <w:color w:val="0066FF"/>
        </w:rPr>
      </w:pPr>
      <w:r w:rsidRPr="005226CA">
        <w:t>The submission did not present any quality use of medicines information. In the previous consideration of sacubitril/valsartan</w:t>
      </w:r>
      <w:r w:rsidR="00220D86" w:rsidRPr="005226CA">
        <w:t xml:space="preserve"> </w:t>
      </w:r>
      <w:r w:rsidRPr="005226CA">
        <w:t xml:space="preserve">there were a number of quality use of medicines issues raised: risk of accidental co-prescribing with ARBs or ACE inhibitors; risk of confusion about valsartan doses due to the increase in bioavailability when combined with sacubitril; risk of adverse drug reactions from co-prescribing sacubitril with statins (increases exposure to statins) (Section 6.50, sacubitril/valsartan, PBAC </w:t>
      </w:r>
      <w:r w:rsidR="00A84C4E">
        <w:t>PSD</w:t>
      </w:r>
      <w:r w:rsidRPr="005226CA">
        <w:t>, March 2016). All these quality use of medicines issues will apply equally to the expanded patient population requested in this submission.</w:t>
      </w:r>
    </w:p>
    <w:p w14:paraId="72B9E40D" w14:textId="77777777" w:rsidR="00576972" w:rsidRPr="00C9624D" w:rsidRDefault="00576972" w:rsidP="00606FBA">
      <w:pPr>
        <w:pStyle w:val="3-SubsectionHeading"/>
      </w:pPr>
      <w:bookmarkStart w:id="27" w:name="_Toc22897649"/>
      <w:bookmarkStart w:id="28" w:name="_Toc51070696"/>
      <w:r w:rsidRPr="00C9624D">
        <w:t>Financial Management – Risk Sharing Arrangements</w:t>
      </w:r>
      <w:bookmarkEnd w:id="27"/>
      <w:bookmarkEnd w:id="28"/>
    </w:p>
    <w:p w14:paraId="606EB850" w14:textId="77777777" w:rsidR="00F84C96" w:rsidRDefault="00D401CC" w:rsidP="00A405B2">
      <w:pPr>
        <w:pStyle w:val="ExecSumBodyText"/>
        <w:ind w:left="709" w:hanging="709"/>
      </w:pPr>
      <w:r w:rsidRPr="00D401CC">
        <w:t>Sacubitril/valsartan currently has a risk share arrangement, and the sponsor stated that any additional use should also be subject to this arrangement. Sacubitril/valsartan is listed with a Special Pricing Arrangement and subsidisation caps. The submission argued that the expected increase in utilisation of sacubitril/valsartan relating to the proposed expanded PBS listing is substantially less than the capping levels previously set for Years 4 and 5 (of the previous listing, corresponding to Years 1 and 2 of the current requested listing). The sponsor argued that utilisation was likely to remain lower than any future capping levels.</w:t>
      </w:r>
    </w:p>
    <w:p w14:paraId="12A1BCFE" w14:textId="77777777" w:rsidR="00A405B2" w:rsidRPr="00F90A91" w:rsidRDefault="00A405B2" w:rsidP="00A405B2">
      <w:pPr>
        <w:pStyle w:val="ListParagraph"/>
        <w:ind w:left="709"/>
        <w:rPr>
          <w:rFonts w:asciiTheme="minorHAnsi" w:hAnsiTheme="minorHAnsi"/>
          <w:i/>
        </w:rPr>
      </w:pPr>
      <w:r w:rsidRPr="00525B39">
        <w:rPr>
          <w:rFonts w:asciiTheme="minorHAnsi" w:hAnsiTheme="minorHAnsi"/>
          <w:i/>
        </w:rPr>
        <w:t>For more detail on PBAC’s view, see section 7 PBAC outcome.</w:t>
      </w:r>
    </w:p>
    <w:p w14:paraId="61DC0D46" w14:textId="77777777" w:rsidR="008A3C3E" w:rsidRPr="00470B0C" w:rsidRDefault="008A3C3E" w:rsidP="00055FF2">
      <w:pPr>
        <w:pStyle w:val="4-SubsectSubhead"/>
        <w:jc w:val="center"/>
      </w:pPr>
      <w:r w:rsidRPr="00470B0C">
        <w:lastRenderedPageBreak/>
        <w:t>Committee-In-Confidence information</w:t>
      </w:r>
    </w:p>
    <w:p w14:paraId="51F62EB0" w14:textId="77777777" w:rsidR="00A0235E" w:rsidRPr="00470B0C" w:rsidRDefault="00470B0C" w:rsidP="00BB176C">
      <w:pPr>
        <w:keepNext/>
        <w:keepLines/>
        <w:rPr>
          <w:highlight w:val="black"/>
        </w:rPr>
      </w:pPr>
      <w:r>
        <w:rPr>
          <w:noProof/>
          <w:color w:val="000000"/>
          <w:highlight w:val="black"/>
        </w:rPr>
        <w:t>''' ''''''''''''''''''''''' '''''' ''''''''''''''''''''''''' '''' '''''''''' ''''''''''''''''''' ''''' ''''''' ''''''''' ''''''''''''''''''' ''''' '''''''''''''''''''''''''''''''''' '''' '''''' ''''''''''''''''''''' ''''''''' ''''''''' ''''''''''''''' ''' '''''''''''''''''''''''' ''''' ''''''' ''''''' ''''''''''''''''''''''''' ''' ''''''''''''''''''' ''' ''''''' ''''''''''' '''''''''''''</w:t>
      </w:r>
    </w:p>
    <w:p w14:paraId="6C6A043B" w14:textId="77777777" w:rsidR="00A0235E" w:rsidRPr="00470B0C" w:rsidRDefault="00A0235E" w:rsidP="00BB176C">
      <w:pPr>
        <w:keepNext/>
        <w:keepLines/>
        <w:rPr>
          <w:color w:val="3366FF"/>
          <w:highlight w:val="yellow"/>
        </w:rPr>
      </w:pPr>
    </w:p>
    <w:p w14:paraId="3A3133A9" w14:textId="77777777" w:rsidR="009D114F" w:rsidRPr="00470B0C" w:rsidRDefault="00470B0C" w:rsidP="00055FF2">
      <w:pPr>
        <w:pStyle w:val="TableFigureCaption"/>
        <w:rPr>
          <w:highlight w:val="black"/>
        </w:rPr>
      </w:pPr>
      <w:r>
        <w:rPr>
          <w:noProof/>
          <w:color w:val="000000"/>
          <w:highlight w:val="black"/>
        </w:rPr>
        <w:t>'''''''''' '''''' ''''''''''''''''''''''''' '''' '''''''''''''''''''''''''' ''''''' '''''''''''''''''''''''''''''''''''' '''''''''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1"/>
        <w:gridCol w:w="1049"/>
        <w:gridCol w:w="1049"/>
        <w:gridCol w:w="2266"/>
        <w:gridCol w:w="1047"/>
        <w:gridCol w:w="1315"/>
      </w:tblGrid>
      <w:tr w:rsidR="009D114F" w:rsidRPr="009D19CE" w14:paraId="063CECA6" w14:textId="77777777" w:rsidTr="00055FF2">
        <w:trPr>
          <w:cantSplit/>
          <w:tblHeader/>
        </w:trPr>
        <w:tc>
          <w:tcPr>
            <w:tcW w:w="1295" w:type="pct"/>
            <w:tcMar>
              <w:top w:w="0" w:type="dxa"/>
              <w:left w:w="28" w:type="dxa"/>
              <w:bottom w:w="0" w:type="dxa"/>
              <w:right w:w="28" w:type="dxa"/>
            </w:tcMar>
          </w:tcPr>
          <w:p w14:paraId="0C97A759" w14:textId="77777777" w:rsidR="009D114F" w:rsidRPr="00470B0C" w:rsidRDefault="009D114F" w:rsidP="00055FF2">
            <w:pPr>
              <w:pStyle w:val="TableText"/>
              <w:spacing w:line="252" w:lineRule="auto"/>
              <w:rPr>
                <w:rFonts w:cs="Times New Roman"/>
                <w:b/>
                <w:szCs w:val="20"/>
                <w:highlight w:val="yellow"/>
                <w:lang w:eastAsia="en-US"/>
              </w:rPr>
            </w:pPr>
          </w:p>
        </w:tc>
        <w:tc>
          <w:tcPr>
            <w:tcW w:w="1212" w:type="pct"/>
            <w:gridSpan w:val="2"/>
            <w:tcMar>
              <w:top w:w="0" w:type="dxa"/>
              <w:left w:w="28" w:type="dxa"/>
              <w:bottom w:w="0" w:type="dxa"/>
              <w:right w:w="28" w:type="dxa"/>
            </w:tcMar>
            <w:vAlign w:val="bottom"/>
            <w:hideMark/>
          </w:tcPr>
          <w:p w14:paraId="30FBC9B7" w14:textId="77777777" w:rsidR="009D114F" w:rsidRPr="00470B0C" w:rsidRDefault="00470B0C" w:rsidP="00055FF2">
            <w:pPr>
              <w:pStyle w:val="TableText"/>
              <w:spacing w:line="252" w:lineRule="auto"/>
              <w:jc w:val="center"/>
              <w:rPr>
                <w:b/>
                <w:bCs w:val="0"/>
                <w:highlight w:val="black"/>
                <w:lang w:eastAsia="en-US"/>
              </w:rPr>
            </w:pPr>
            <w:r>
              <w:rPr>
                <w:b/>
                <w:bCs w:val="0"/>
                <w:noProof/>
                <w:color w:val="000000"/>
                <w:highlight w:val="black"/>
                <w:lang w:eastAsia="en-US"/>
              </w:rPr>
              <w:t xml:space="preserve">''''''''''''''''''''''''' </w:t>
            </w:r>
          </w:p>
          <w:p w14:paraId="467636CA" w14:textId="77777777" w:rsidR="009D114F" w:rsidRPr="00470B0C" w:rsidRDefault="00470B0C" w:rsidP="00055FF2">
            <w:pPr>
              <w:pStyle w:val="TableText"/>
              <w:spacing w:line="252" w:lineRule="auto"/>
              <w:jc w:val="center"/>
              <w:rPr>
                <w:b/>
                <w:bCs w:val="0"/>
                <w:highlight w:val="black"/>
                <w:lang w:eastAsia="en-US"/>
              </w:rPr>
            </w:pPr>
            <w:r>
              <w:rPr>
                <w:b/>
                <w:bCs w:val="0"/>
                <w:noProof/>
                <w:color w:val="000000"/>
                <w:highlight w:val="black"/>
                <w:lang w:eastAsia="en-US"/>
              </w:rPr>
              <w:t xml:space="preserve">''''''''''''''''''''''' ''''''''' </w:t>
            </w:r>
          </w:p>
        </w:tc>
        <w:tc>
          <w:tcPr>
            <w:tcW w:w="1281" w:type="pct"/>
            <w:tcMar>
              <w:top w:w="0" w:type="dxa"/>
              <w:left w:w="28" w:type="dxa"/>
              <w:bottom w:w="0" w:type="dxa"/>
              <w:right w:w="28" w:type="dxa"/>
            </w:tcMar>
            <w:vAlign w:val="bottom"/>
            <w:hideMark/>
          </w:tcPr>
          <w:p w14:paraId="4020BDE6" w14:textId="77777777" w:rsidR="009D114F" w:rsidRPr="00470B0C" w:rsidRDefault="00470B0C" w:rsidP="00055FF2">
            <w:pPr>
              <w:pStyle w:val="TableText"/>
              <w:spacing w:line="252" w:lineRule="auto"/>
              <w:jc w:val="center"/>
              <w:rPr>
                <w:b/>
                <w:bCs w:val="0"/>
                <w:highlight w:val="black"/>
                <w:lang w:eastAsia="en-US"/>
              </w:rPr>
            </w:pPr>
            <w:r>
              <w:rPr>
                <w:b/>
                <w:bCs w:val="0"/>
                <w:noProof/>
                <w:snapToGrid w:val="0"/>
                <w:color w:val="000000"/>
                <w:highlight w:val="black"/>
                <w:lang w:eastAsia="en-US"/>
              </w:rPr>
              <w:t>'''''''''''''''''''''''''''''''''''''''' '''''''''''''''''''''''' ''''''''''</w:t>
            </w:r>
          </w:p>
        </w:tc>
        <w:tc>
          <w:tcPr>
            <w:tcW w:w="1212" w:type="pct"/>
            <w:gridSpan w:val="2"/>
            <w:tcMar>
              <w:top w:w="0" w:type="dxa"/>
              <w:left w:w="28" w:type="dxa"/>
              <w:bottom w:w="0" w:type="dxa"/>
              <w:right w:w="28" w:type="dxa"/>
            </w:tcMar>
            <w:vAlign w:val="bottom"/>
            <w:hideMark/>
          </w:tcPr>
          <w:p w14:paraId="4321E437" w14:textId="77777777" w:rsidR="009D114F" w:rsidRPr="00470B0C" w:rsidRDefault="00470B0C" w:rsidP="00055FF2">
            <w:pPr>
              <w:pStyle w:val="TableText"/>
              <w:spacing w:line="252" w:lineRule="auto"/>
              <w:jc w:val="center"/>
              <w:rPr>
                <w:b/>
                <w:bCs w:val="0"/>
                <w:highlight w:val="black"/>
                <w:lang w:eastAsia="en-US"/>
              </w:rPr>
            </w:pPr>
            <w:r>
              <w:rPr>
                <w:b/>
                <w:bCs w:val="0"/>
                <w:noProof/>
                <w:color w:val="000000"/>
                <w:highlight w:val="black"/>
                <w:lang w:eastAsia="en-US"/>
              </w:rPr>
              <w:t>''''''''''''''''''''''''''''''''''''''''''' ''''''''''''''''''''''' '''''''''''</w:t>
            </w:r>
          </w:p>
        </w:tc>
      </w:tr>
      <w:tr w:rsidR="009D114F" w:rsidRPr="009D19CE" w14:paraId="7E784B8D" w14:textId="77777777" w:rsidTr="00055FF2">
        <w:trPr>
          <w:cantSplit/>
        </w:trPr>
        <w:tc>
          <w:tcPr>
            <w:tcW w:w="5000" w:type="pct"/>
            <w:gridSpan w:val="6"/>
            <w:tcMar>
              <w:top w:w="0" w:type="dxa"/>
              <w:left w:w="28" w:type="dxa"/>
              <w:bottom w:w="0" w:type="dxa"/>
              <w:right w:w="28" w:type="dxa"/>
            </w:tcMar>
          </w:tcPr>
          <w:p w14:paraId="6A4F4789" w14:textId="77777777" w:rsidR="009D114F" w:rsidRPr="00470B0C" w:rsidRDefault="00470B0C" w:rsidP="00055FF2">
            <w:pPr>
              <w:pStyle w:val="TableText"/>
              <w:spacing w:line="252" w:lineRule="auto"/>
              <w:rPr>
                <w:b/>
                <w:bCs w:val="0"/>
                <w:highlight w:val="black"/>
                <w:lang w:eastAsia="en-US"/>
              </w:rPr>
            </w:pPr>
            <w:r>
              <w:rPr>
                <w:b/>
                <w:bCs w:val="0"/>
                <w:noProof/>
                <w:color w:val="000000"/>
                <w:highlight w:val="black"/>
                <w:lang w:eastAsia="en-US"/>
              </w:rPr>
              <w:t>'''''''''' ''''''''''''''''''''''''''''' '''''''''''''</w:t>
            </w:r>
          </w:p>
        </w:tc>
      </w:tr>
      <w:tr w:rsidR="009D114F" w:rsidRPr="009D19CE" w14:paraId="3DF4FAA4" w14:textId="77777777" w:rsidTr="00055FF2">
        <w:trPr>
          <w:cantSplit/>
        </w:trPr>
        <w:tc>
          <w:tcPr>
            <w:tcW w:w="1295" w:type="pct"/>
            <w:tcMar>
              <w:top w:w="0" w:type="dxa"/>
              <w:left w:w="28" w:type="dxa"/>
              <w:bottom w:w="0" w:type="dxa"/>
              <w:right w:w="28" w:type="dxa"/>
            </w:tcMar>
            <w:hideMark/>
          </w:tcPr>
          <w:p w14:paraId="67F758EE" w14:textId="77777777" w:rsidR="009D114F" w:rsidRPr="00470B0C" w:rsidRDefault="00470B0C" w:rsidP="00055FF2">
            <w:pPr>
              <w:pStyle w:val="TableText"/>
              <w:spacing w:line="252" w:lineRule="auto"/>
              <w:rPr>
                <w:bCs w:val="0"/>
                <w:highlight w:val="black"/>
                <w:lang w:eastAsia="en-US"/>
              </w:rPr>
            </w:pPr>
            <w:r>
              <w:rPr>
                <w:noProof/>
                <w:color w:val="000000"/>
                <w:highlight w:val="black"/>
                <w:lang w:eastAsia="en-US"/>
              </w:rPr>
              <w:t>''''''''''' ''''''''''''''''''''''' ''''''''''''' '''''''''''''''</w:t>
            </w:r>
          </w:p>
        </w:tc>
        <w:tc>
          <w:tcPr>
            <w:tcW w:w="1212" w:type="pct"/>
            <w:gridSpan w:val="2"/>
            <w:tcMar>
              <w:top w:w="0" w:type="dxa"/>
              <w:left w:w="28" w:type="dxa"/>
              <w:bottom w:w="0" w:type="dxa"/>
              <w:right w:w="28" w:type="dxa"/>
            </w:tcMar>
            <w:hideMark/>
          </w:tcPr>
          <w:p w14:paraId="171B9448" w14:textId="77777777" w:rsidR="009D114F" w:rsidRPr="00470B0C" w:rsidRDefault="00470B0C" w:rsidP="00055FF2">
            <w:pPr>
              <w:pStyle w:val="TableText"/>
              <w:spacing w:line="252" w:lineRule="auto"/>
              <w:rPr>
                <w:highlight w:val="black"/>
                <w:lang w:eastAsia="en-US"/>
              </w:rPr>
            </w:pPr>
            <w:r>
              <w:rPr>
                <w:noProof/>
                <w:color w:val="000000"/>
                <w:highlight w:val="black"/>
                <w:lang w:eastAsia="en-US"/>
              </w:rPr>
              <w:t>''''''''''''''''''''''' ''''''''''''''''''''''' ''''' ''''''''''' ''''''''''''' ''''' '''''''''''''' ''''''''''' ''''''''''''''''''' ''''''''''''''''' ''''''''''''''''''</w:t>
            </w:r>
          </w:p>
          <w:p w14:paraId="18143E43" w14:textId="77777777" w:rsidR="009D114F" w:rsidRPr="00470B0C" w:rsidRDefault="00470B0C" w:rsidP="00055FF2">
            <w:pPr>
              <w:pStyle w:val="TableText"/>
              <w:spacing w:line="252" w:lineRule="auto"/>
              <w:rPr>
                <w:b/>
                <w:highlight w:val="black"/>
                <w:lang w:eastAsia="en-US"/>
              </w:rPr>
            </w:pPr>
            <w:r>
              <w:rPr>
                <w:noProof/>
                <w:color w:val="000000"/>
                <w:highlight w:val="black"/>
                <w:lang w:eastAsia="en-US"/>
              </w:rPr>
              <w:t>''''''''''''''''''' '''''''''''''''''''''''' ''''' ''''''''''''''' ''''''''' ''''''''''''' '''' '''''''''''''''''' '''''''''''''''' ''''''''' ''''''''''''''''''''''''''' '''''''''''''''''''''''''''''''''' '''''''''''''''''''' ''''' '''''''' ''''''''''''''' '''''' '''''''''''''''''''''''''''''''' '''''''''''''''''''' ''''' ''''''''''''''''' '''''''' '''''''' ''''' ''''''''''''''''''''''''''''''''''' '''''' ''''''''''''' ''''''''''''''''</w:t>
            </w:r>
          </w:p>
        </w:tc>
        <w:tc>
          <w:tcPr>
            <w:tcW w:w="1281" w:type="pct"/>
            <w:tcMar>
              <w:top w:w="0" w:type="dxa"/>
              <w:left w:w="28" w:type="dxa"/>
              <w:bottom w:w="0" w:type="dxa"/>
              <w:right w:w="28" w:type="dxa"/>
            </w:tcMar>
            <w:hideMark/>
          </w:tcPr>
          <w:p w14:paraId="5BA55B57" w14:textId="77777777" w:rsidR="009D114F" w:rsidRPr="00470B0C" w:rsidRDefault="00470B0C" w:rsidP="00055FF2">
            <w:pPr>
              <w:pStyle w:val="TableText"/>
              <w:spacing w:line="252" w:lineRule="auto"/>
              <w:rPr>
                <w:bCs w:val="0"/>
                <w:highlight w:val="black"/>
                <w:lang w:eastAsia="en-US"/>
              </w:rPr>
            </w:pPr>
            <w:r>
              <w:rPr>
                <w:noProof/>
                <w:color w:val="000000"/>
                <w:highlight w:val="black"/>
                <w:lang w:eastAsia="en-US"/>
              </w:rPr>
              <w:t>'''''''''''''''''''''''''' ''''' ''''''''''' '''''''''''''''''''' ''''''' '''''''' '''''''''''''''''''''''' ''''' ''''''''''''''''' ''''''''''' '''''''''''''' '''''''''''''''''' '''''''''''' ''''''''''' '''''''''' '''''''''''''''''' ''''''''''''''''''' ''''''''''''''''''''</w:t>
            </w:r>
          </w:p>
        </w:tc>
        <w:tc>
          <w:tcPr>
            <w:tcW w:w="1212" w:type="pct"/>
            <w:gridSpan w:val="2"/>
            <w:tcMar>
              <w:top w:w="0" w:type="dxa"/>
              <w:left w:w="28" w:type="dxa"/>
              <w:bottom w:w="0" w:type="dxa"/>
              <w:right w:w="28" w:type="dxa"/>
            </w:tcMar>
          </w:tcPr>
          <w:p w14:paraId="71AE11FD" w14:textId="77777777" w:rsidR="009D114F" w:rsidRPr="00470B0C" w:rsidRDefault="00470B0C" w:rsidP="00055FF2">
            <w:pPr>
              <w:pStyle w:val="TableText"/>
              <w:spacing w:line="252" w:lineRule="auto"/>
              <w:jc w:val="both"/>
              <w:rPr>
                <w:b/>
                <w:highlight w:val="black"/>
                <w:lang w:eastAsia="en-US"/>
              </w:rPr>
            </w:pPr>
            <w:r>
              <w:rPr>
                <w:noProof/>
                <w:color w:val="000000"/>
                <w:highlight w:val="black"/>
                <w:lang w:eastAsia="en-US"/>
              </w:rPr>
              <w:t>''''''''''''''''''''''''' ''''' ''''''''''' ''''''''''''''''' ''''''' ''''''' ''''''''''''''''''''' '''' '''''''''''''''' '''''''''''' '''''''''''''' ''''''''''''''''' '''''''''''''' ''''''''''' '''''''''' '''''''''''''''''''' '''''''''''''''''''' ''''''''''''''''''''</w:t>
            </w:r>
          </w:p>
        </w:tc>
      </w:tr>
      <w:tr w:rsidR="009D114F" w:rsidRPr="009D19CE" w14:paraId="6A297D94" w14:textId="77777777" w:rsidTr="00055FF2">
        <w:trPr>
          <w:cantSplit/>
        </w:trPr>
        <w:tc>
          <w:tcPr>
            <w:tcW w:w="1295" w:type="pct"/>
            <w:tcMar>
              <w:top w:w="0" w:type="dxa"/>
              <w:left w:w="28" w:type="dxa"/>
              <w:bottom w:w="0" w:type="dxa"/>
              <w:right w:w="28" w:type="dxa"/>
            </w:tcMar>
            <w:hideMark/>
          </w:tcPr>
          <w:p w14:paraId="7A40366C" w14:textId="77777777" w:rsidR="009D114F" w:rsidRPr="00470B0C" w:rsidRDefault="00470B0C" w:rsidP="00055FF2">
            <w:pPr>
              <w:pStyle w:val="TableText"/>
              <w:spacing w:line="252" w:lineRule="auto"/>
              <w:rPr>
                <w:bCs w:val="0"/>
                <w:highlight w:val="black"/>
                <w:lang w:eastAsia="en-US"/>
              </w:rPr>
            </w:pPr>
            <w:r>
              <w:rPr>
                <w:noProof/>
                <w:color w:val="000000"/>
                <w:highlight w:val="black"/>
                <w:lang w:eastAsia="en-US"/>
              </w:rPr>
              <w:t>'''''''''' ''''''''''''' ''''''''''''''' ''''''''''''''''''</w:t>
            </w:r>
          </w:p>
        </w:tc>
        <w:tc>
          <w:tcPr>
            <w:tcW w:w="1212" w:type="pct"/>
            <w:gridSpan w:val="2"/>
            <w:tcMar>
              <w:top w:w="0" w:type="dxa"/>
              <w:left w:w="28" w:type="dxa"/>
              <w:bottom w:w="0" w:type="dxa"/>
              <w:right w:w="28" w:type="dxa"/>
            </w:tcMar>
            <w:hideMark/>
          </w:tcPr>
          <w:p w14:paraId="0C74CD11" w14:textId="77777777" w:rsidR="009D114F" w:rsidRPr="00470B0C" w:rsidRDefault="00470B0C" w:rsidP="00055FF2">
            <w:pPr>
              <w:pStyle w:val="TableText"/>
              <w:spacing w:line="252" w:lineRule="auto"/>
              <w:rPr>
                <w:highlight w:val="black"/>
                <w:lang w:eastAsia="en-US"/>
              </w:rPr>
            </w:pPr>
            <w:r>
              <w:rPr>
                <w:noProof/>
                <w:color w:val="000000"/>
                <w:highlight w:val="black"/>
                <w:lang w:eastAsia="en-US"/>
              </w:rPr>
              <w:t>'''''''''''''''''''''''''</w:t>
            </w:r>
          </w:p>
          <w:p w14:paraId="77EBB427" w14:textId="77777777" w:rsidR="009D114F" w:rsidRPr="00470B0C" w:rsidRDefault="00470B0C" w:rsidP="00470B0C">
            <w:pPr>
              <w:pStyle w:val="TableText"/>
              <w:spacing w:line="252" w:lineRule="auto"/>
              <w:ind w:left="169" w:hanging="177"/>
              <w:rPr>
                <w:highlight w:val="black"/>
                <w:lang w:eastAsia="en-US"/>
              </w:rPr>
            </w:pPr>
            <w:r>
              <w:rPr>
                <w:rFonts w:eastAsia="Times New Roman" w:cs="Times New Roman"/>
                <w:noProof/>
                <w:color w:val="000000"/>
                <w:highlight w:val="black"/>
                <w:lang w:eastAsia="en-US"/>
              </w:rPr>
              <w:t>'''''''''''''''''''''''''''''''' ''''''''''' ''''''''''''' ''''''''''''''''' '''''''''''' ''''''''''''' ''''''''''''''''</w:t>
            </w:r>
          </w:p>
          <w:p w14:paraId="286B381A" w14:textId="77777777" w:rsidR="009D114F" w:rsidRPr="00470B0C" w:rsidRDefault="00470B0C" w:rsidP="00470B0C">
            <w:pPr>
              <w:pStyle w:val="TableText"/>
              <w:spacing w:line="252" w:lineRule="auto"/>
              <w:ind w:left="169" w:hanging="177"/>
              <w:rPr>
                <w:highlight w:val="black"/>
                <w:lang w:eastAsia="en-US"/>
              </w:rPr>
            </w:pPr>
            <w:r>
              <w:rPr>
                <w:rFonts w:eastAsia="Times New Roman" w:cs="Times New Roman"/>
                <w:noProof/>
                <w:color w:val="000000"/>
                <w:highlight w:val="black"/>
                <w:lang w:eastAsia="en-US"/>
              </w:rPr>
              <w:t>'''''''''' ''''''''''''''''''''''''''''' ''''''''''''''''' ''''''''''''''''''''' ''''''''''''''''' '''''''''''' ''''''''''''''' ''''''''''''''''''''' ''''''''''''''''''''' ''''''' '''''''''''''''''''''' ''''''''''''''''''' ''''''''''' ''''' ''' ''''''''''''''''''''''''''''' ''''''''''''''' '''''''''''''''''''''''''''''''' ''''' ''''''' ''''''''''''''''''''''''' '''''''''' ''''''' ''''''''''' ''''''''''''''''''''' '''''''''''' ''''' '''''''''''''' ''''''''''''''' ''''''''''''''''''''''''''''''''''' ''''' '''''''' '''''''''''''''''''''''''</w:t>
            </w:r>
          </w:p>
        </w:tc>
        <w:tc>
          <w:tcPr>
            <w:tcW w:w="1281" w:type="pct"/>
            <w:tcMar>
              <w:top w:w="0" w:type="dxa"/>
              <w:left w:w="28" w:type="dxa"/>
              <w:bottom w:w="0" w:type="dxa"/>
              <w:right w:w="28" w:type="dxa"/>
            </w:tcMar>
            <w:hideMark/>
          </w:tcPr>
          <w:p w14:paraId="345401B5" w14:textId="77777777" w:rsidR="009D114F" w:rsidRPr="00470B0C" w:rsidRDefault="00470B0C" w:rsidP="00055FF2">
            <w:pPr>
              <w:pStyle w:val="TableText"/>
              <w:spacing w:line="252" w:lineRule="auto"/>
              <w:rPr>
                <w:highlight w:val="black"/>
                <w:lang w:eastAsia="en-US"/>
              </w:rPr>
            </w:pPr>
            <w:r>
              <w:rPr>
                <w:noProof/>
                <w:color w:val="000000"/>
                <w:highlight w:val="black"/>
                <w:lang w:eastAsia="en-US"/>
              </w:rPr>
              <w:t>'''''''''''''''''' '''''''''''' ''''''''''''''</w:t>
            </w:r>
          </w:p>
          <w:p w14:paraId="15D24271" w14:textId="77777777" w:rsidR="009D114F" w:rsidRPr="00470B0C" w:rsidRDefault="00470B0C" w:rsidP="00470B0C">
            <w:pPr>
              <w:pStyle w:val="TableText"/>
              <w:spacing w:line="252" w:lineRule="auto"/>
              <w:ind w:left="266" w:hanging="190"/>
              <w:rPr>
                <w:highlight w:val="black"/>
                <w:lang w:eastAsia="en-US"/>
              </w:rPr>
            </w:pPr>
            <w:r>
              <w:rPr>
                <w:rFonts w:eastAsia="Times New Roman" w:cs="Times New Roman"/>
                <w:noProof/>
                <w:color w:val="000000"/>
                <w:highlight w:val="black"/>
                <w:lang w:eastAsia="en-US"/>
              </w:rPr>
              <w:t>'''''''''''''''''''''''''''''' '''''''''''' ''''''''''''''' ''''''''''''''' ''''''''''''' '''''''''''''' '''''''''''''''</w:t>
            </w:r>
          </w:p>
          <w:p w14:paraId="3E4B99AE" w14:textId="77777777" w:rsidR="009D114F" w:rsidRPr="00470B0C" w:rsidRDefault="00470B0C" w:rsidP="00470B0C">
            <w:pPr>
              <w:pStyle w:val="TableText"/>
              <w:spacing w:line="252" w:lineRule="auto"/>
              <w:ind w:left="266" w:hanging="190"/>
              <w:rPr>
                <w:highlight w:val="black"/>
                <w:lang w:eastAsia="en-US"/>
              </w:rPr>
            </w:pPr>
            <w:r>
              <w:rPr>
                <w:rFonts w:eastAsia="Times New Roman" w:cs="Times New Roman"/>
                <w:noProof/>
                <w:color w:val="000000"/>
                <w:highlight w:val="black"/>
                <w:lang w:eastAsia="en-US"/>
              </w:rPr>
              <w:t>'''''''''' ''''''''''''''''''''''''''''' ''''''''''''''''' ''''''''''''''''''''' ''''''''''''''' ''''''''''''' ''''''''''''''' ''''''''''''''''''''' ''''''''''''''''''' ''''''' ''''''''''''''''''''' '''''''''''''''''''' ''''''''''' ''''' '''' '''''''''''''''''''''''''''' ''''''''''''''''' '''''''''''''''''''''''''''''''''''' ''''' '''''''' ''''''''''''''''''''''''''</w:t>
            </w:r>
          </w:p>
          <w:p w14:paraId="75537DA0" w14:textId="77777777" w:rsidR="009D114F" w:rsidRPr="00470B0C" w:rsidRDefault="00470B0C" w:rsidP="00470B0C">
            <w:pPr>
              <w:pStyle w:val="TableText"/>
              <w:spacing w:line="252" w:lineRule="auto"/>
              <w:ind w:left="266" w:hanging="190"/>
              <w:rPr>
                <w:highlight w:val="black"/>
                <w:lang w:eastAsia="en-US"/>
              </w:rPr>
            </w:pPr>
            <w:r>
              <w:rPr>
                <w:rFonts w:eastAsia="Times New Roman" w:cs="Times New Roman"/>
                <w:noProof/>
                <w:color w:val="000000"/>
                <w:highlight w:val="black"/>
                <w:lang w:eastAsia="en-US"/>
              </w:rPr>
              <w:t>'''''''''''''''''''''''''' '''''' ''''''' ''''''''''' '''''''''''''''''''' ''''' '''''''''' ''''' '''''''' '''''''''' ''''' '''''''''''''''''' '''''''' ''''''''''''''''''''''''''''''''''''''''''' '''''''''''''''''' ''''''''''''''''''''''''''''''''''''''' ''''' '''''''' '''''''''''''''''''''''</w:t>
            </w:r>
          </w:p>
        </w:tc>
        <w:tc>
          <w:tcPr>
            <w:tcW w:w="1212" w:type="pct"/>
            <w:gridSpan w:val="2"/>
            <w:tcMar>
              <w:top w:w="0" w:type="dxa"/>
              <w:left w:w="28" w:type="dxa"/>
              <w:bottom w:w="0" w:type="dxa"/>
              <w:right w:w="28" w:type="dxa"/>
            </w:tcMar>
            <w:hideMark/>
          </w:tcPr>
          <w:p w14:paraId="1F076607" w14:textId="77777777" w:rsidR="009D114F" w:rsidRPr="00470B0C" w:rsidRDefault="00470B0C" w:rsidP="00055FF2">
            <w:pPr>
              <w:pStyle w:val="TableText"/>
              <w:spacing w:line="252" w:lineRule="auto"/>
              <w:rPr>
                <w:highlight w:val="black"/>
              </w:rPr>
            </w:pPr>
            <w:r>
              <w:rPr>
                <w:noProof/>
                <w:color w:val="000000"/>
                <w:highlight w:val="black"/>
              </w:rPr>
              <w:t xml:space="preserve">'''''''''''''''''''''''' </w:t>
            </w:r>
          </w:p>
          <w:p w14:paraId="79E1DA9A" w14:textId="77777777" w:rsidR="009D114F" w:rsidRPr="00470B0C" w:rsidRDefault="00470B0C" w:rsidP="00470B0C">
            <w:pPr>
              <w:pStyle w:val="TableText"/>
              <w:spacing w:line="252" w:lineRule="auto"/>
              <w:ind w:left="266" w:hanging="190"/>
              <w:rPr>
                <w:highlight w:val="black"/>
                <w:lang w:eastAsia="en-US"/>
              </w:rPr>
            </w:pPr>
            <w:r>
              <w:rPr>
                <w:rFonts w:eastAsia="Times New Roman" w:cs="Times New Roman"/>
                <w:noProof/>
                <w:color w:val="000000"/>
                <w:highlight w:val="black"/>
                <w:lang w:eastAsia="en-US"/>
              </w:rPr>
              <w:t>'''''''''''''''''''''''''''''' ''''''''''' ''''''''''''''' ''''''''''''''' '''''''''''' '''''''''''''' ''''''''''''</w:t>
            </w:r>
          </w:p>
          <w:p w14:paraId="688C51C2" w14:textId="77777777" w:rsidR="009D114F" w:rsidRPr="00470B0C" w:rsidRDefault="00470B0C" w:rsidP="00470B0C">
            <w:pPr>
              <w:pStyle w:val="TableText"/>
              <w:spacing w:line="252" w:lineRule="auto"/>
              <w:ind w:left="266" w:hanging="190"/>
              <w:rPr>
                <w:highlight w:val="black"/>
                <w:lang w:eastAsia="en-US"/>
              </w:rPr>
            </w:pPr>
            <w:r>
              <w:rPr>
                <w:rFonts w:eastAsia="Times New Roman" w:cs="Times New Roman"/>
                <w:noProof/>
                <w:color w:val="000000"/>
                <w:highlight w:val="black"/>
                <w:lang w:eastAsia="en-US"/>
              </w:rPr>
              <w:t>''''''''' '''''''''''''''''''''''''''''' '''''''''''''''' ''''''''''''''''''' ''''''''''''''''' '''''''''''' '''''''''''''''' ''''''''''''''''''''''''</w:t>
            </w:r>
          </w:p>
        </w:tc>
      </w:tr>
      <w:tr w:rsidR="009D114F" w:rsidRPr="009D19CE" w14:paraId="2A9F9FB6" w14:textId="77777777" w:rsidTr="00055FF2">
        <w:trPr>
          <w:cantSplit/>
        </w:trPr>
        <w:tc>
          <w:tcPr>
            <w:tcW w:w="1295" w:type="pct"/>
            <w:tcMar>
              <w:top w:w="0" w:type="dxa"/>
              <w:left w:w="28" w:type="dxa"/>
              <w:bottom w:w="0" w:type="dxa"/>
              <w:right w:w="28" w:type="dxa"/>
            </w:tcMar>
            <w:hideMark/>
          </w:tcPr>
          <w:p w14:paraId="54C38B81" w14:textId="77777777" w:rsidR="009D114F" w:rsidRPr="00470B0C" w:rsidRDefault="00470B0C" w:rsidP="004258AE">
            <w:pPr>
              <w:pStyle w:val="TableText"/>
              <w:keepNext w:val="0"/>
              <w:spacing w:line="252" w:lineRule="auto"/>
              <w:rPr>
                <w:highlight w:val="black"/>
                <w:lang w:eastAsia="en-US"/>
              </w:rPr>
            </w:pPr>
            <w:r>
              <w:rPr>
                <w:noProof/>
                <w:color w:val="000000"/>
                <w:highlight w:val="black"/>
                <w:lang w:eastAsia="en-US"/>
              </w:rPr>
              <w:t>'''''''''''''''''''''''</w:t>
            </w:r>
          </w:p>
        </w:tc>
        <w:tc>
          <w:tcPr>
            <w:tcW w:w="1212" w:type="pct"/>
            <w:gridSpan w:val="2"/>
            <w:tcMar>
              <w:top w:w="0" w:type="dxa"/>
              <w:left w:w="28" w:type="dxa"/>
              <w:bottom w:w="0" w:type="dxa"/>
              <w:right w:w="28" w:type="dxa"/>
            </w:tcMar>
          </w:tcPr>
          <w:p w14:paraId="6CCBAD8D" w14:textId="77777777" w:rsidR="009D114F" w:rsidRPr="00470B0C" w:rsidRDefault="00470B0C" w:rsidP="004258AE">
            <w:pPr>
              <w:pStyle w:val="TableText"/>
              <w:keepNext w:val="0"/>
              <w:spacing w:line="252" w:lineRule="auto"/>
              <w:rPr>
                <w:highlight w:val="black"/>
                <w:lang w:eastAsia="en-US"/>
              </w:rPr>
            </w:pPr>
            <w:r>
              <w:rPr>
                <w:noProof/>
                <w:color w:val="000000"/>
                <w:highlight w:val="black"/>
                <w:lang w:eastAsia="en-US"/>
              </w:rPr>
              <w:t>''''''''''''''' '''''''''''''''''''''''''''' '''''''''''''''''''''''''''' '''''''''''''''' ''''''''''''</w:t>
            </w:r>
          </w:p>
        </w:tc>
        <w:tc>
          <w:tcPr>
            <w:tcW w:w="1281" w:type="pct"/>
            <w:tcMar>
              <w:top w:w="0" w:type="dxa"/>
              <w:left w:w="28" w:type="dxa"/>
              <w:bottom w:w="0" w:type="dxa"/>
              <w:right w:w="28" w:type="dxa"/>
            </w:tcMar>
          </w:tcPr>
          <w:p w14:paraId="5CCDE452" w14:textId="77777777" w:rsidR="009D114F" w:rsidRPr="00470B0C" w:rsidRDefault="00470B0C" w:rsidP="004258AE">
            <w:pPr>
              <w:pStyle w:val="TableText"/>
              <w:keepNext w:val="0"/>
              <w:spacing w:line="252" w:lineRule="auto"/>
              <w:rPr>
                <w:bCs w:val="0"/>
                <w:highlight w:val="black"/>
                <w:lang w:eastAsia="en-US"/>
              </w:rPr>
            </w:pPr>
            <w:r>
              <w:rPr>
                <w:bCs w:val="0"/>
                <w:noProof/>
                <w:color w:val="000000"/>
                <w:highlight w:val="black"/>
                <w:lang w:eastAsia="en-US"/>
              </w:rPr>
              <w:t>'''''''''''''' '''''''''''''''''''''''''''''' '''''''''''''''''''''''''' '''''''''''''''''' '''''''''''</w:t>
            </w:r>
          </w:p>
        </w:tc>
        <w:tc>
          <w:tcPr>
            <w:tcW w:w="1212" w:type="pct"/>
            <w:gridSpan w:val="2"/>
            <w:tcMar>
              <w:top w:w="0" w:type="dxa"/>
              <w:left w:w="28" w:type="dxa"/>
              <w:bottom w:w="0" w:type="dxa"/>
              <w:right w:w="28" w:type="dxa"/>
            </w:tcMar>
          </w:tcPr>
          <w:p w14:paraId="61BCFF6B" w14:textId="77777777" w:rsidR="009D114F" w:rsidRPr="00470B0C" w:rsidRDefault="00470B0C" w:rsidP="004258AE">
            <w:pPr>
              <w:pStyle w:val="TableText"/>
              <w:keepNext w:val="0"/>
              <w:spacing w:line="252" w:lineRule="auto"/>
              <w:rPr>
                <w:bCs w:val="0"/>
                <w:highlight w:val="black"/>
                <w:lang w:eastAsia="en-US"/>
              </w:rPr>
            </w:pPr>
            <w:r>
              <w:rPr>
                <w:bCs w:val="0"/>
                <w:noProof/>
                <w:color w:val="000000"/>
                <w:highlight w:val="black"/>
                <w:lang w:eastAsia="en-US"/>
              </w:rPr>
              <w:t>''''''''''''' '''''''''''''''''''''''''''''''' ''''''''''''''''' ''''''''''' ''''''''''''''''' '''''''''''''''''''' '''''''''' ''''''''''''''''''''''' ''''''''''''''''''''''</w:t>
            </w:r>
          </w:p>
        </w:tc>
      </w:tr>
      <w:tr w:rsidR="009D114F" w:rsidRPr="009D19CE" w14:paraId="5642C688" w14:textId="77777777" w:rsidTr="00055FF2">
        <w:trPr>
          <w:cantSplit/>
        </w:trPr>
        <w:tc>
          <w:tcPr>
            <w:tcW w:w="1295" w:type="pct"/>
            <w:tcMar>
              <w:top w:w="0" w:type="dxa"/>
              <w:left w:w="28" w:type="dxa"/>
              <w:bottom w:w="0" w:type="dxa"/>
              <w:right w:w="28" w:type="dxa"/>
            </w:tcMar>
            <w:hideMark/>
          </w:tcPr>
          <w:p w14:paraId="48BEDBEA" w14:textId="77777777" w:rsidR="009D114F" w:rsidRPr="00470B0C" w:rsidRDefault="00470B0C" w:rsidP="004258AE">
            <w:pPr>
              <w:pStyle w:val="TableText"/>
              <w:keepNext w:val="0"/>
              <w:spacing w:line="252" w:lineRule="auto"/>
              <w:rPr>
                <w:highlight w:val="black"/>
                <w:lang w:eastAsia="en-US"/>
              </w:rPr>
            </w:pPr>
            <w:r>
              <w:rPr>
                <w:noProof/>
                <w:color w:val="000000"/>
                <w:highlight w:val="black"/>
                <w:lang w:eastAsia="en-US"/>
              </w:rPr>
              <w:t>'''''''''''''''''''''''''' ''''''''''' ''''''''''''''''''</w:t>
            </w:r>
          </w:p>
        </w:tc>
        <w:tc>
          <w:tcPr>
            <w:tcW w:w="1212" w:type="pct"/>
            <w:gridSpan w:val="2"/>
            <w:tcMar>
              <w:top w:w="0" w:type="dxa"/>
              <w:left w:w="28" w:type="dxa"/>
              <w:bottom w:w="0" w:type="dxa"/>
              <w:right w:w="28" w:type="dxa"/>
            </w:tcMar>
            <w:vAlign w:val="center"/>
          </w:tcPr>
          <w:p w14:paraId="5D076ED5" w14:textId="77777777" w:rsidR="009D114F" w:rsidRPr="00470B0C" w:rsidRDefault="00470B0C" w:rsidP="004258AE">
            <w:pPr>
              <w:pStyle w:val="TableText"/>
              <w:keepNext w:val="0"/>
              <w:spacing w:line="252" w:lineRule="auto"/>
              <w:rPr>
                <w:bCs w:val="0"/>
                <w:highlight w:val="black"/>
                <w:lang w:eastAsia="en-US"/>
              </w:rPr>
            </w:pPr>
            <w:r>
              <w:rPr>
                <w:bCs w:val="0"/>
                <w:noProof/>
                <w:color w:val="000000"/>
                <w:highlight w:val="black"/>
                <w:lang w:eastAsia="en-US"/>
              </w:rPr>
              <w:t>'''''''''''''''''' '''''''''''''''''''''''''''''</w:t>
            </w:r>
          </w:p>
          <w:p w14:paraId="0133BE85" w14:textId="77777777" w:rsidR="009D114F" w:rsidRPr="00470B0C" w:rsidRDefault="00470B0C" w:rsidP="004258AE">
            <w:pPr>
              <w:pStyle w:val="TableText"/>
              <w:keepNext w:val="0"/>
              <w:spacing w:line="252" w:lineRule="auto"/>
              <w:rPr>
                <w:bCs w:val="0"/>
                <w:i/>
                <w:iCs/>
                <w:highlight w:val="black"/>
                <w:lang w:eastAsia="en-US"/>
              </w:rPr>
            </w:pPr>
            <w:r>
              <w:rPr>
                <w:bCs w:val="0"/>
                <w:i/>
                <w:iCs/>
                <w:noProof/>
                <w:color w:val="000000"/>
                <w:highlight w:val="black"/>
                <w:lang w:eastAsia="en-US"/>
              </w:rPr>
              <w:t>'''''''''''''''''' '''''''''''''''''''''''''''''''''''''''''''''' ''''' ''''''''''''''''''''' '''''''''''''''' ''''''''''''''</w:t>
            </w:r>
          </w:p>
        </w:tc>
        <w:tc>
          <w:tcPr>
            <w:tcW w:w="1281" w:type="pct"/>
            <w:tcMar>
              <w:top w:w="0" w:type="dxa"/>
              <w:left w:w="28" w:type="dxa"/>
              <w:bottom w:w="0" w:type="dxa"/>
              <w:right w:w="28" w:type="dxa"/>
            </w:tcMar>
            <w:vAlign w:val="center"/>
          </w:tcPr>
          <w:p w14:paraId="39209F53" w14:textId="77777777" w:rsidR="009D114F" w:rsidRPr="00470B0C" w:rsidRDefault="00470B0C" w:rsidP="004258AE">
            <w:pPr>
              <w:pStyle w:val="TableText"/>
              <w:keepNext w:val="0"/>
              <w:spacing w:line="252" w:lineRule="auto"/>
              <w:rPr>
                <w:bCs w:val="0"/>
                <w:highlight w:val="black"/>
                <w:lang w:eastAsia="en-US"/>
              </w:rPr>
            </w:pPr>
            <w:r>
              <w:rPr>
                <w:bCs w:val="0"/>
                <w:noProof/>
                <w:color w:val="000000"/>
                <w:highlight w:val="black"/>
                <w:lang w:eastAsia="en-US"/>
              </w:rPr>
              <w:t>'''''''''''''''''' ''''''''''''</w:t>
            </w:r>
            <w:r>
              <w:rPr>
                <w:bCs w:val="0"/>
                <w:noProof/>
                <w:color w:val="000000"/>
                <w:highlight w:val="black"/>
                <w:lang w:eastAsia="en-US"/>
              </w:rPr>
              <w:br/>
              <w:t>''''''''''''''''''' '''''''''''''''''''''''''''</w:t>
            </w:r>
          </w:p>
          <w:p w14:paraId="338D1709" w14:textId="77777777" w:rsidR="009D114F" w:rsidRPr="00470B0C" w:rsidRDefault="00470B0C" w:rsidP="004258AE">
            <w:pPr>
              <w:pStyle w:val="TableText"/>
              <w:keepNext w:val="0"/>
              <w:spacing w:line="252" w:lineRule="auto"/>
              <w:rPr>
                <w:bCs w:val="0"/>
                <w:highlight w:val="black"/>
                <w:lang w:eastAsia="en-US"/>
              </w:rPr>
            </w:pPr>
            <w:r>
              <w:rPr>
                <w:bCs w:val="0"/>
                <w:noProof/>
                <w:color w:val="000000"/>
                <w:highlight w:val="black"/>
                <w:lang w:eastAsia="en-US"/>
              </w:rPr>
              <w:t>'''''''''''''''''' '''''''''''''''''''''''''</w:t>
            </w:r>
          </w:p>
        </w:tc>
        <w:tc>
          <w:tcPr>
            <w:tcW w:w="1212" w:type="pct"/>
            <w:gridSpan w:val="2"/>
            <w:tcMar>
              <w:top w:w="0" w:type="dxa"/>
              <w:left w:w="28" w:type="dxa"/>
              <w:bottom w:w="0" w:type="dxa"/>
              <w:right w:w="28" w:type="dxa"/>
            </w:tcMar>
          </w:tcPr>
          <w:p w14:paraId="46B97814" w14:textId="77777777" w:rsidR="009D114F" w:rsidRPr="00470B0C" w:rsidRDefault="00470B0C" w:rsidP="004258AE">
            <w:pPr>
              <w:pStyle w:val="TableText"/>
              <w:rPr>
                <w:highlight w:val="black"/>
              </w:rPr>
            </w:pPr>
            <w:r>
              <w:rPr>
                <w:noProof/>
                <w:color w:val="000000"/>
                <w:highlight w:val="black"/>
              </w:rPr>
              <w:t>''''''''''''''''''''''''' ''''''''''' ''''''''''''''''''''''' '''''' ''''''''''''''''''''' '''' ''''''''''''''''''''' '''''''''''''</w:t>
            </w:r>
          </w:p>
          <w:p w14:paraId="54407FDD" w14:textId="77777777" w:rsidR="009D114F" w:rsidRPr="00470B0C" w:rsidRDefault="00470B0C" w:rsidP="004258AE">
            <w:pPr>
              <w:pStyle w:val="TableText"/>
              <w:rPr>
                <w:i/>
                <w:highlight w:val="black"/>
              </w:rPr>
            </w:pPr>
            <w:r>
              <w:rPr>
                <w:i/>
                <w:noProof/>
                <w:color w:val="000000"/>
                <w:highlight w:val="black"/>
              </w:rPr>
              <w:t>'''''''''''''''''''' ''''''''''''''''''''''''</w:t>
            </w:r>
          </w:p>
          <w:p w14:paraId="49763101" w14:textId="77777777" w:rsidR="009D114F" w:rsidRPr="00470B0C" w:rsidRDefault="00470B0C" w:rsidP="004258AE">
            <w:pPr>
              <w:pStyle w:val="TableText"/>
              <w:keepNext w:val="0"/>
              <w:spacing w:line="252" w:lineRule="auto"/>
              <w:rPr>
                <w:b/>
                <w:bCs w:val="0"/>
                <w:highlight w:val="black"/>
                <w:lang w:eastAsia="en-US"/>
              </w:rPr>
            </w:pPr>
            <w:r>
              <w:rPr>
                <w:i/>
                <w:noProof/>
                <w:color w:val="000000"/>
                <w:highlight w:val="black"/>
              </w:rPr>
              <w:t>''''''''''''''''''' '''''''''''''''''''''''</w:t>
            </w:r>
          </w:p>
        </w:tc>
      </w:tr>
      <w:tr w:rsidR="009D114F" w:rsidRPr="009D19CE" w14:paraId="49B0DB79" w14:textId="77777777" w:rsidTr="00055FF2">
        <w:trPr>
          <w:cantSplit/>
        </w:trPr>
        <w:tc>
          <w:tcPr>
            <w:tcW w:w="1295" w:type="pct"/>
            <w:tcMar>
              <w:top w:w="0" w:type="dxa"/>
              <w:left w:w="28" w:type="dxa"/>
              <w:bottom w:w="0" w:type="dxa"/>
              <w:right w:w="28" w:type="dxa"/>
            </w:tcMar>
          </w:tcPr>
          <w:p w14:paraId="5AC74112" w14:textId="77777777" w:rsidR="009D114F" w:rsidRPr="00470B0C" w:rsidRDefault="00470B0C" w:rsidP="004258AE">
            <w:pPr>
              <w:pStyle w:val="TableText"/>
              <w:keepNext w:val="0"/>
              <w:spacing w:line="252" w:lineRule="auto"/>
              <w:rPr>
                <w:highlight w:val="black"/>
                <w:lang w:eastAsia="en-US"/>
              </w:rPr>
            </w:pPr>
            <w:r>
              <w:rPr>
                <w:noProof/>
                <w:color w:val="000000"/>
                <w:highlight w:val="black"/>
                <w:lang w:eastAsia="en-US"/>
              </w:rPr>
              <w:t>''''''''''''''''''''''''''''''''''''''''''</w:t>
            </w:r>
          </w:p>
        </w:tc>
        <w:tc>
          <w:tcPr>
            <w:tcW w:w="1212" w:type="pct"/>
            <w:gridSpan w:val="2"/>
            <w:tcMar>
              <w:top w:w="0" w:type="dxa"/>
              <w:left w:w="28" w:type="dxa"/>
              <w:bottom w:w="0" w:type="dxa"/>
              <w:right w:w="28" w:type="dxa"/>
            </w:tcMar>
            <w:vAlign w:val="center"/>
          </w:tcPr>
          <w:p w14:paraId="29183E6F" w14:textId="77777777" w:rsidR="009D114F" w:rsidRPr="00470B0C" w:rsidRDefault="00470B0C" w:rsidP="004258AE">
            <w:pPr>
              <w:pStyle w:val="TableText"/>
              <w:keepNext w:val="0"/>
              <w:spacing w:line="252" w:lineRule="auto"/>
              <w:rPr>
                <w:bCs w:val="0"/>
                <w:i/>
                <w:iCs/>
                <w:highlight w:val="black"/>
                <w:lang w:eastAsia="en-US"/>
              </w:rPr>
            </w:pPr>
            <w:r>
              <w:rPr>
                <w:bCs w:val="0"/>
                <w:i/>
                <w:iCs/>
                <w:noProof/>
                <w:color w:val="000000"/>
                <w:highlight w:val="black"/>
                <w:lang w:eastAsia="en-US"/>
              </w:rPr>
              <w:t>'''''''''''''''' '''''''''''''''' '''''' '''''''''''''''''''''''''''''''''''''''''''' '''' '''''''''''''''''' '''''''''''''''''' '''''''''''''''</w:t>
            </w:r>
          </w:p>
        </w:tc>
        <w:tc>
          <w:tcPr>
            <w:tcW w:w="1281" w:type="pct"/>
            <w:tcMar>
              <w:top w:w="0" w:type="dxa"/>
              <w:left w:w="28" w:type="dxa"/>
              <w:bottom w:w="0" w:type="dxa"/>
              <w:right w:w="28" w:type="dxa"/>
            </w:tcMar>
            <w:vAlign w:val="center"/>
          </w:tcPr>
          <w:p w14:paraId="221FFB92" w14:textId="77777777" w:rsidR="009D114F" w:rsidRPr="00470B0C" w:rsidRDefault="00470B0C" w:rsidP="004258AE">
            <w:pPr>
              <w:pStyle w:val="TableText"/>
              <w:keepNext w:val="0"/>
              <w:spacing w:line="252" w:lineRule="auto"/>
              <w:rPr>
                <w:bCs w:val="0"/>
                <w:highlight w:val="black"/>
                <w:lang w:eastAsia="en-US"/>
              </w:rPr>
            </w:pPr>
            <w:r>
              <w:rPr>
                <w:bCs w:val="0"/>
                <w:noProof/>
                <w:color w:val="000000"/>
                <w:highlight w:val="black"/>
                <w:lang w:eastAsia="en-US"/>
              </w:rPr>
              <w:t>'''''''''''''''</w:t>
            </w:r>
          </w:p>
        </w:tc>
        <w:tc>
          <w:tcPr>
            <w:tcW w:w="1212" w:type="pct"/>
            <w:gridSpan w:val="2"/>
            <w:tcMar>
              <w:top w:w="0" w:type="dxa"/>
              <w:left w:w="28" w:type="dxa"/>
              <w:bottom w:w="0" w:type="dxa"/>
              <w:right w:w="28" w:type="dxa"/>
            </w:tcMar>
            <w:vAlign w:val="center"/>
          </w:tcPr>
          <w:p w14:paraId="4002E250" w14:textId="77777777" w:rsidR="009D114F" w:rsidRPr="00470B0C" w:rsidRDefault="00470B0C" w:rsidP="004258AE">
            <w:pPr>
              <w:pStyle w:val="TableText"/>
              <w:keepNext w:val="0"/>
              <w:spacing w:line="252" w:lineRule="auto"/>
              <w:rPr>
                <w:b/>
                <w:bCs w:val="0"/>
                <w:highlight w:val="yellow"/>
                <w:lang w:eastAsia="en-US"/>
              </w:rPr>
            </w:pPr>
            <w:r>
              <w:rPr>
                <w:i/>
                <w:noProof/>
                <w:color w:val="000000"/>
                <w:highlight w:val="black"/>
                <w:lang w:val="en-US"/>
              </w:rPr>
              <w:t>'''''''''''''''''''''</w:t>
            </w:r>
            <w:r>
              <w:rPr>
                <w:noProof/>
                <w:color w:val="000000"/>
                <w:highlight w:val="black"/>
                <w:lang w:val="en-US"/>
              </w:rPr>
              <w:t xml:space="preserve"> ''''''''''''''''''''' '''''''''''''</w:t>
            </w:r>
          </w:p>
        </w:tc>
      </w:tr>
      <w:tr w:rsidR="009D114F" w:rsidRPr="009D19CE" w14:paraId="08D7DF9F" w14:textId="77777777" w:rsidTr="00055FF2">
        <w:trPr>
          <w:cantSplit/>
        </w:trPr>
        <w:tc>
          <w:tcPr>
            <w:tcW w:w="1295" w:type="pct"/>
            <w:tcMar>
              <w:top w:w="0" w:type="dxa"/>
              <w:left w:w="28" w:type="dxa"/>
              <w:bottom w:w="0" w:type="dxa"/>
              <w:right w:w="28" w:type="dxa"/>
            </w:tcMar>
            <w:hideMark/>
          </w:tcPr>
          <w:p w14:paraId="20E08494" w14:textId="77777777" w:rsidR="009D114F" w:rsidRPr="00470B0C" w:rsidRDefault="00470B0C" w:rsidP="004258AE">
            <w:pPr>
              <w:pStyle w:val="TableText"/>
              <w:keepNext w:val="0"/>
              <w:spacing w:line="252" w:lineRule="auto"/>
              <w:rPr>
                <w:bCs w:val="0"/>
                <w:highlight w:val="black"/>
                <w:lang w:eastAsia="en-US"/>
              </w:rPr>
            </w:pPr>
            <w:r>
              <w:rPr>
                <w:noProof/>
                <w:color w:val="000000"/>
                <w:highlight w:val="black"/>
                <w:lang w:eastAsia="en-US"/>
              </w:rPr>
              <w:lastRenderedPageBreak/>
              <w:t>''''''''''''</w:t>
            </w:r>
          </w:p>
        </w:tc>
        <w:tc>
          <w:tcPr>
            <w:tcW w:w="1212" w:type="pct"/>
            <w:gridSpan w:val="2"/>
            <w:tcMar>
              <w:top w:w="0" w:type="dxa"/>
              <w:left w:w="28" w:type="dxa"/>
              <w:bottom w:w="0" w:type="dxa"/>
              <w:right w:w="28" w:type="dxa"/>
            </w:tcMar>
            <w:vAlign w:val="center"/>
            <w:hideMark/>
          </w:tcPr>
          <w:p w14:paraId="604AF083" w14:textId="77777777" w:rsidR="009D114F" w:rsidRPr="00470B0C" w:rsidRDefault="00470B0C" w:rsidP="004258AE">
            <w:pPr>
              <w:pStyle w:val="TableText"/>
              <w:keepNext w:val="0"/>
              <w:spacing w:line="252" w:lineRule="auto"/>
              <w:rPr>
                <w:highlight w:val="black"/>
                <w:lang w:eastAsia="en-US"/>
              </w:rPr>
            </w:pPr>
            <w:r>
              <w:rPr>
                <w:noProof/>
                <w:color w:val="000000"/>
                <w:highlight w:val="black"/>
                <w:lang w:eastAsia="en-US"/>
              </w:rPr>
              <w:t>'''''' ''''''' ''''''''''' '''''''''' ''''''''''''''''''''''' '''''''''''''''''''''''''''</w:t>
            </w:r>
          </w:p>
        </w:tc>
        <w:tc>
          <w:tcPr>
            <w:tcW w:w="1281" w:type="pct"/>
            <w:tcMar>
              <w:top w:w="0" w:type="dxa"/>
              <w:left w:w="28" w:type="dxa"/>
              <w:bottom w:w="0" w:type="dxa"/>
              <w:right w:w="28" w:type="dxa"/>
            </w:tcMar>
            <w:vAlign w:val="center"/>
            <w:hideMark/>
          </w:tcPr>
          <w:p w14:paraId="35F9CE1F" w14:textId="77777777" w:rsidR="009D114F" w:rsidRPr="00470B0C" w:rsidRDefault="00470B0C" w:rsidP="004258AE">
            <w:pPr>
              <w:pStyle w:val="TableText"/>
              <w:keepNext w:val="0"/>
              <w:spacing w:line="252" w:lineRule="auto"/>
              <w:rPr>
                <w:highlight w:val="black"/>
                <w:lang w:eastAsia="en-US"/>
              </w:rPr>
            </w:pPr>
            <w:r>
              <w:rPr>
                <w:noProof/>
                <w:color w:val="000000"/>
                <w:highlight w:val="black"/>
                <w:lang w:eastAsia="en-US"/>
              </w:rPr>
              <w:t>'''''' ''''''''''''' '''''''' '''''''''''' ''''''''''''' ''''''''''''''''''''''''' ''''' '''''''''' '''''''''''''''''''''' '''''''' '''''''''''' '''''''''''' '''''''''''' ''' ''''' '''' ''''''''''''''' ''''''' '''''''''''''''''''' ''''''''''''''''''' '''''''''''''''''''''''''''</w:t>
            </w:r>
          </w:p>
        </w:tc>
        <w:tc>
          <w:tcPr>
            <w:tcW w:w="1212" w:type="pct"/>
            <w:gridSpan w:val="2"/>
            <w:tcMar>
              <w:top w:w="0" w:type="dxa"/>
              <w:left w:w="28" w:type="dxa"/>
              <w:bottom w:w="0" w:type="dxa"/>
              <w:right w:w="28" w:type="dxa"/>
            </w:tcMar>
            <w:vAlign w:val="center"/>
            <w:hideMark/>
          </w:tcPr>
          <w:p w14:paraId="4B6550C1" w14:textId="77777777" w:rsidR="009D114F" w:rsidRPr="00470B0C" w:rsidRDefault="00470B0C" w:rsidP="004258AE">
            <w:pPr>
              <w:pStyle w:val="TableText"/>
              <w:keepNext w:val="0"/>
              <w:spacing w:line="252" w:lineRule="auto"/>
              <w:rPr>
                <w:highlight w:val="black"/>
                <w:lang w:eastAsia="en-US"/>
              </w:rPr>
            </w:pPr>
            <w:r>
              <w:rPr>
                <w:noProof/>
                <w:color w:val="000000"/>
                <w:highlight w:val="black"/>
                <w:lang w:eastAsia="en-US"/>
              </w:rPr>
              <w:t>'''''' ''''''''''''''' '''''''' ''''''''''' ''''''''''' ''''''''''''''''''''''' ''''' ''''''''''' '''''''''''''''''''''''' '''''''' '''''''''''' ''''''''''' '''''''''' '''' ''''' '''' '''''''''''''' '''''' ''''''''''''''''''''' ''''''''''''''''''''' '''''''''''''''''''''''</w:t>
            </w:r>
          </w:p>
        </w:tc>
      </w:tr>
      <w:tr w:rsidR="009D114F" w:rsidRPr="009D19CE" w14:paraId="0F912981" w14:textId="77777777" w:rsidTr="00055FF2">
        <w:trPr>
          <w:cantSplit/>
        </w:trPr>
        <w:tc>
          <w:tcPr>
            <w:tcW w:w="1295" w:type="pct"/>
            <w:tcMar>
              <w:top w:w="0" w:type="dxa"/>
              <w:left w:w="28" w:type="dxa"/>
              <w:bottom w:w="0" w:type="dxa"/>
              <w:right w:w="28" w:type="dxa"/>
            </w:tcMar>
          </w:tcPr>
          <w:p w14:paraId="5CAA92A1" w14:textId="77777777" w:rsidR="009D114F" w:rsidRPr="00470B0C" w:rsidRDefault="00470B0C" w:rsidP="004258AE">
            <w:pPr>
              <w:pStyle w:val="TableText"/>
              <w:keepNext w:val="0"/>
              <w:spacing w:line="252" w:lineRule="auto"/>
              <w:rPr>
                <w:highlight w:val="black"/>
                <w:lang w:eastAsia="en-US"/>
              </w:rPr>
            </w:pPr>
            <w:r>
              <w:rPr>
                <w:noProof/>
                <w:color w:val="000000"/>
                <w:highlight w:val="black"/>
                <w:lang w:eastAsia="en-US"/>
              </w:rPr>
              <w:t>'''''''''''''''''''''' '''''''''''' ''''' '''''''''''''''''''</w:t>
            </w:r>
          </w:p>
        </w:tc>
        <w:tc>
          <w:tcPr>
            <w:tcW w:w="1212" w:type="pct"/>
            <w:gridSpan w:val="2"/>
            <w:tcMar>
              <w:top w:w="0" w:type="dxa"/>
              <w:left w:w="28" w:type="dxa"/>
              <w:bottom w:w="0" w:type="dxa"/>
              <w:right w:w="28" w:type="dxa"/>
            </w:tcMar>
            <w:vAlign w:val="center"/>
          </w:tcPr>
          <w:p w14:paraId="16C8095A" w14:textId="77777777" w:rsidR="009D114F" w:rsidRPr="00470B0C" w:rsidRDefault="00470B0C" w:rsidP="004258AE">
            <w:pPr>
              <w:pStyle w:val="TableText"/>
              <w:keepNext w:val="0"/>
              <w:spacing w:line="252" w:lineRule="auto"/>
              <w:rPr>
                <w:highlight w:val="black"/>
                <w:lang w:eastAsia="en-US"/>
              </w:rPr>
            </w:pPr>
            <w:r>
              <w:rPr>
                <w:noProof/>
                <w:color w:val="000000"/>
                <w:highlight w:val="black"/>
                <w:lang w:eastAsia="en-US"/>
              </w:rPr>
              <w:t xml:space="preserve">''''''''''''''''''''''' ''''' ''''''''''''''''' '''''' '''''''''''''''''''' ''''''' '''''''''''''''''''''''' ''''''''''''''''''''' '''''''''' '''''''''''''''''''''''''''''' '''''''''' '''''' ''''''''''' ''''''''''''''''' ''''''' '''''''''''''' </w:t>
            </w:r>
          </w:p>
        </w:tc>
        <w:tc>
          <w:tcPr>
            <w:tcW w:w="1281" w:type="pct"/>
            <w:tcMar>
              <w:top w:w="0" w:type="dxa"/>
              <w:left w:w="28" w:type="dxa"/>
              <w:bottom w:w="0" w:type="dxa"/>
              <w:right w:w="28" w:type="dxa"/>
            </w:tcMar>
            <w:vAlign w:val="center"/>
          </w:tcPr>
          <w:p w14:paraId="131B7387" w14:textId="77777777" w:rsidR="009D114F" w:rsidRPr="00470B0C" w:rsidRDefault="00470B0C" w:rsidP="004258AE">
            <w:pPr>
              <w:pStyle w:val="TableText"/>
              <w:keepNext w:val="0"/>
              <w:spacing w:line="252" w:lineRule="auto"/>
              <w:rPr>
                <w:highlight w:val="black"/>
                <w:lang w:eastAsia="en-US"/>
              </w:rPr>
            </w:pPr>
            <w:r>
              <w:rPr>
                <w:noProof/>
                <w:color w:val="000000"/>
                <w:highlight w:val="black"/>
                <w:lang w:eastAsia="en-US"/>
              </w:rPr>
              <w:t>'''''''''''''''''' ''''''''' '''''''''' '''''''''''''''''''' '''''' ''''''''''''''''''''''''''''''' ''''' '''''''''''''</w:t>
            </w:r>
          </w:p>
          <w:p w14:paraId="1F2BAD81" w14:textId="77777777" w:rsidR="009D114F" w:rsidRPr="00470B0C" w:rsidRDefault="00470B0C" w:rsidP="004258AE">
            <w:pPr>
              <w:pStyle w:val="TableText"/>
              <w:keepNext w:val="0"/>
              <w:spacing w:line="252" w:lineRule="auto"/>
              <w:rPr>
                <w:highlight w:val="black"/>
                <w:lang w:eastAsia="en-US"/>
              </w:rPr>
            </w:pPr>
            <w:r>
              <w:rPr>
                <w:noProof/>
                <w:color w:val="000000"/>
                <w:highlight w:val="black"/>
                <w:lang w:eastAsia="en-US"/>
              </w:rPr>
              <w:t>'''''''''''''''''''''''''''' ''''''''''''''''''''''''''''' ''''''''''''''''''''''' ''''' ''''''''''''''''''''''''' '''''''''''''''''''' ''''''''''''''</w:t>
            </w:r>
          </w:p>
        </w:tc>
        <w:tc>
          <w:tcPr>
            <w:tcW w:w="1212" w:type="pct"/>
            <w:gridSpan w:val="2"/>
            <w:tcMar>
              <w:top w:w="0" w:type="dxa"/>
              <w:left w:w="28" w:type="dxa"/>
              <w:bottom w:w="0" w:type="dxa"/>
              <w:right w:w="28" w:type="dxa"/>
            </w:tcMar>
            <w:vAlign w:val="center"/>
          </w:tcPr>
          <w:p w14:paraId="69ABEED3" w14:textId="77777777" w:rsidR="009D114F" w:rsidRPr="00470B0C" w:rsidRDefault="00470B0C" w:rsidP="004258AE">
            <w:pPr>
              <w:pStyle w:val="TableText"/>
              <w:keepNext w:val="0"/>
              <w:spacing w:line="252" w:lineRule="auto"/>
              <w:rPr>
                <w:highlight w:val="black"/>
              </w:rPr>
            </w:pPr>
            <w:r>
              <w:rPr>
                <w:noProof/>
                <w:color w:val="000000"/>
                <w:highlight w:val="black"/>
              </w:rPr>
              <w:t>''''''''''' '''''''''' '''''''''''''''''''''''''' ''''' '''''''''''''''''''''''''''''''' '''''' ''''''''''''</w:t>
            </w:r>
          </w:p>
          <w:p w14:paraId="03F60101" w14:textId="77777777" w:rsidR="009D114F" w:rsidRPr="00470B0C" w:rsidRDefault="00470B0C" w:rsidP="004258AE">
            <w:pPr>
              <w:pStyle w:val="TableText"/>
              <w:keepNext w:val="0"/>
              <w:spacing w:line="252" w:lineRule="auto"/>
              <w:rPr>
                <w:highlight w:val="black"/>
                <w:lang w:eastAsia="en-US"/>
              </w:rPr>
            </w:pPr>
            <w:r>
              <w:rPr>
                <w:noProof/>
                <w:color w:val="000000"/>
                <w:highlight w:val="black"/>
              </w:rPr>
              <w:t>''''''''''''''''''''''''''''''' '''''''''''''''''''''''''''''' ''''''''''''''''''''''' ''''' '''''''' ''''''''''''''</w:t>
            </w:r>
          </w:p>
        </w:tc>
      </w:tr>
      <w:tr w:rsidR="009D114F" w:rsidRPr="009D19CE" w14:paraId="34C8B625" w14:textId="77777777" w:rsidTr="00055FF2">
        <w:trPr>
          <w:cantSplit/>
        </w:trPr>
        <w:tc>
          <w:tcPr>
            <w:tcW w:w="5000" w:type="pct"/>
            <w:gridSpan w:val="6"/>
            <w:tcMar>
              <w:top w:w="0" w:type="dxa"/>
              <w:left w:w="28" w:type="dxa"/>
              <w:bottom w:w="0" w:type="dxa"/>
              <w:right w:w="28" w:type="dxa"/>
            </w:tcMar>
            <w:hideMark/>
          </w:tcPr>
          <w:p w14:paraId="4EF1FECC" w14:textId="77777777" w:rsidR="009D114F" w:rsidRPr="00470B0C" w:rsidRDefault="00470B0C" w:rsidP="004258AE">
            <w:pPr>
              <w:pStyle w:val="TableText"/>
              <w:keepNext w:val="0"/>
              <w:spacing w:line="252" w:lineRule="auto"/>
              <w:rPr>
                <w:b/>
                <w:highlight w:val="black"/>
                <w:lang w:eastAsia="en-US"/>
              </w:rPr>
            </w:pPr>
            <w:r>
              <w:rPr>
                <w:b/>
                <w:bCs w:val="0"/>
                <w:noProof/>
                <w:color w:val="000000"/>
                <w:highlight w:val="black"/>
                <w:lang w:eastAsia="en-US"/>
              </w:rPr>
              <w:t>''''''''''''''' ''''''''''''''''''''</w:t>
            </w:r>
          </w:p>
        </w:tc>
      </w:tr>
      <w:tr w:rsidR="009D114F" w:rsidRPr="009D19CE" w14:paraId="1A5FC9CF" w14:textId="77777777" w:rsidTr="00055FF2">
        <w:trPr>
          <w:cantSplit/>
        </w:trPr>
        <w:tc>
          <w:tcPr>
            <w:tcW w:w="1295" w:type="pct"/>
            <w:tcMar>
              <w:top w:w="0" w:type="dxa"/>
              <w:left w:w="28" w:type="dxa"/>
              <w:bottom w:w="0" w:type="dxa"/>
              <w:right w:w="28" w:type="dxa"/>
            </w:tcMar>
            <w:hideMark/>
          </w:tcPr>
          <w:p w14:paraId="130081B6" w14:textId="77777777" w:rsidR="009D114F" w:rsidRPr="00470B0C" w:rsidRDefault="00470B0C" w:rsidP="004258AE">
            <w:pPr>
              <w:pStyle w:val="TableText"/>
              <w:keepNext w:val="0"/>
              <w:spacing w:line="252" w:lineRule="auto"/>
              <w:rPr>
                <w:bCs w:val="0"/>
                <w:highlight w:val="black"/>
                <w:lang w:eastAsia="en-US"/>
              </w:rPr>
            </w:pPr>
            <w:r>
              <w:rPr>
                <w:noProof/>
                <w:color w:val="000000"/>
                <w:highlight w:val="black"/>
                <w:lang w:eastAsia="en-US"/>
              </w:rPr>
              <w:t>'''''''''''''''''''''''''''''''''''''</w:t>
            </w:r>
          </w:p>
        </w:tc>
        <w:tc>
          <w:tcPr>
            <w:tcW w:w="1212" w:type="pct"/>
            <w:gridSpan w:val="2"/>
            <w:tcMar>
              <w:top w:w="0" w:type="dxa"/>
              <w:left w:w="28" w:type="dxa"/>
              <w:bottom w:w="0" w:type="dxa"/>
              <w:right w:w="28" w:type="dxa"/>
            </w:tcMar>
            <w:vAlign w:val="center"/>
          </w:tcPr>
          <w:p w14:paraId="157CD58C" w14:textId="77777777" w:rsidR="009D114F" w:rsidRPr="00470B0C" w:rsidRDefault="00470B0C" w:rsidP="004258AE">
            <w:pPr>
              <w:pStyle w:val="TableText"/>
              <w:keepNext w:val="0"/>
              <w:spacing w:line="252" w:lineRule="auto"/>
              <w:rPr>
                <w:highlight w:val="black"/>
                <w:lang w:eastAsia="en-US"/>
              </w:rPr>
            </w:pPr>
            <w:r>
              <w:rPr>
                <w:noProof/>
                <w:color w:val="000000"/>
                <w:highlight w:val="black"/>
                <w:lang w:eastAsia="en-US"/>
              </w:rPr>
              <w:t>'''''''''''''''''''''''''''''''''''''''''''''' '''''''''''''' ''''''''''''''''''''''''''''' '''''''''''''''''''''' '''''''''''''</w:t>
            </w:r>
          </w:p>
        </w:tc>
        <w:tc>
          <w:tcPr>
            <w:tcW w:w="1281" w:type="pct"/>
            <w:tcMar>
              <w:top w:w="0" w:type="dxa"/>
              <w:left w:w="28" w:type="dxa"/>
              <w:bottom w:w="0" w:type="dxa"/>
              <w:right w:w="28" w:type="dxa"/>
            </w:tcMar>
            <w:vAlign w:val="center"/>
          </w:tcPr>
          <w:p w14:paraId="711918B3" w14:textId="77777777" w:rsidR="009D114F" w:rsidRPr="00470B0C" w:rsidRDefault="00470B0C" w:rsidP="004258AE">
            <w:pPr>
              <w:pStyle w:val="TableText"/>
              <w:keepNext w:val="0"/>
              <w:spacing w:line="252" w:lineRule="auto"/>
              <w:rPr>
                <w:highlight w:val="black"/>
                <w:lang w:eastAsia="en-US"/>
              </w:rPr>
            </w:pPr>
            <w:r>
              <w:rPr>
                <w:noProof/>
                <w:color w:val="000000"/>
                <w:highlight w:val="black"/>
              </w:rPr>
              <w:t>'''''''''''''''''''' ''''''''' '''''''''''''' '''''' ''''' ''''''''''''''''''''''''''''''''''''''</w:t>
            </w:r>
          </w:p>
        </w:tc>
        <w:tc>
          <w:tcPr>
            <w:tcW w:w="1212" w:type="pct"/>
            <w:gridSpan w:val="2"/>
            <w:tcMar>
              <w:top w:w="0" w:type="dxa"/>
              <w:left w:w="28" w:type="dxa"/>
              <w:bottom w:w="0" w:type="dxa"/>
              <w:right w:w="28" w:type="dxa"/>
            </w:tcMar>
            <w:vAlign w:val="center"/>
          </w:tcPr>
          <w:p w14:paraId="6AD577BF" w14:textId="77777777" w:rsidR="009D114F" w:rsidRPr="00470B0C" w:rsidRDefault="00470B0C" w:rsidP="004258AE">
            <w:pPr>
              <w:pStyle w:val="TableText"/>
              <w:keepNext w:val="0"/>
              <w:spacing w:line="252" w:lineRule="auto"/>
              <w:rPr>
                <w:highlight w:val="black"/>
                <w:lang w:eastAsia="en-US"/>
              </w:rPr>
            </w:pPr>
            <w:r>
              <w:rPr>
                <w:noProof/>
                <w:color w:val="000000"/>
                <w:highlight w:val="black"/>
              </w:rPr>
              <w:t>''''''''''''''''''''''' '''''''' '''''''''''' ''''''' '''''' '''''''''''''''''''''''''''''''''''''</w:t>
            </w:r>
          </w:p>
        </w:tc>
      </w:tr>
      <w:tr w:rsidR="009D114F" w:rsidRPr="009D19CE" w14:paraId="43688320" w14:textId="77777777" w:rsidTr="00055FF2">
        <w:trPr>
          <w:cantSplit/>
        </w:trPr>
        <w:tc>
          <w:tcPr>
            <w:tcW w:w="1295" w:type="pct"/>
            <w:tcMar>
              <w:top w:w="0" w:type="dxa"/>
              <w:left w:w="28" w:type="dxa"/>
              <w:bottom w:w="0" w:type="dxa"/>
              <w:right w:w="28" w:type="dxa"/>
            </w:tcMar>
            <w:hideMark/>
          </w:tcPr>
          <w:p w14:paraId="67CDC192" w14:textId="77777777" w:rsidR="009D114F" w:rsidRPr="00470B0C" w:rsidRDefault="00470B0C" w:rsidP="004258AE">
            <w:pPr>
              <w:pStyle w:val="TableText"/>
              <w:keepNext w:val="0"/>
              <w:spacing w:line="252" w:lineRule="auto"/>
              <w:rPr>
                <w:highlight w:val="black"/>
                <w:lang w:eastAsia="en-US"/>
              </w:rPr>
            </w:pPr>
            <w:r>
              <w:rPr>
                <w:noProof/>
                <w:color w:val="000000"/>
                <w:highlight w:val="black"/>
                <w:lang w:eastAsia="en-US"/>
              </w:rPr>
              <w:t>'''''''''' '''''''''''''''''''''</w:t>
            </w:r>
          </w:p>
        </w:tc>
        <w:tc>
          <w:tcPr>
            <w:tcW w:w="1212" w:type="pct"/>
            <w:gridSpan w:val="2"/>
            <w:tcMar>
              <w:top w:w="0" w:type="dxa"/>
              <w:left w:w="28" w:type="dxa"/>
              <w:bottom w:w="0" w:type="dxa"/>
              <w:right w:w="28" w:type="dxa"/>
            </w:tcMar>
            <w:vAlign w:val="center"/>
          </w:tcPr>
          <w:p w14:paraId="5B87E0CB" w14:textId="77777777" w:rsidR="009D114F" w:rsidRPr="00470B0C" w:rsidRDefault="00470B0C" w:rsidP="004258AE">
            <w:pPr>
              <w:pStyle w:val="TableText"/>
              <w:keepNext w:val="0"/>
              <w:ind w:left="28"/>
              <w:rPr>
                <w:b/>
                <w:highlight w:val="black"/>
                <w:lang w:eastAsia="en-US"/>
              </w:rPr>
            </w:pPr>
            <w:r>
              <w:rPr>
                <w:bCs w:val="0"/>
                <w:noProof/>
                <w:color w:val="000000"/>
                <w:szCs w:val="20"/>
                <w:highlight w:val="black"/>
              </w:rPr>
              <w:t>''''''''''''''''''''''''''''''''''' ''''''''''''''''''''''''' ''''' '''''''''''''''''''''''''' ''''''''''' ''''''''''''''''''''''' ''''''''''' ''''''''''''''' ''''''''''''''''''' ''''''''''' '''''''''''''''''''' '''''''''' '''''''''''''''''''''''''' ''''''''''' ''''''''''''''''' '''''''''''''''''''''''''' ''''''''' '''''' ''''''''''''''''''''' ''''''''''''''' ''''' ''''''''''''''''''''''''''''' ''''''''''' ''''''''''''''''''''' '''''''''' '''''''''''''''''''' '''''' '''''''''' '''''''''''''''''' ''''' '''''''''' ''''''''''''''''''''''''''' '''''''''' ''''''''''''''' ''''''''''''''''' '''''''''' ''''''''''''''''''''' ''''''''' ''''''''''''''''''''''''''''''''''''' ''''''''''' ''''''''''''' ''''''''''''''''''' '''''''''' ''''''''''''''''''''''' ''''''''''' '''''''''''''''''''' '''''' '''''''''''' ''''''''''''''''''' ''''''''''''''''''''''''' ''''''''' ''''''''''''''''''''''' '''''''''' ''''''''''''''''''''' '''''''''' ''''''''''''''''''''' '''''''''' '''''''''''''''''''''''''''''''''''''''' '''''' '''''''''''''''''''''' ''''''''''''''''''''''''</w:t>
            </w:r>
          </w:p>
        </w:tc>
        <w:tc>
          <w:tcPr>
            <w:tcW w:w="1281" w:type="pct"/>
            <w:tcMar>
              <w:top w:w="0" w:type="dxa"/>
              <w:left w:w="28" w:type="dxa"/>
              <w:bottom w:w="0" w:type="dxa"/>
              <w:right w:w="28" w:type="dxa"/>
            </w:tcMar>
            <w:vAlign w:val="center"/>
          </w:tcPr>
          <w:p w14:paraId="06C7B506" w14:textId="77777777" w:rsidR="009D114F" w:rsidRPr="00470B0C" w:rsidRDefault="00470B0C" w:rsidP="004258AE">
            <w:pPr>
              <w:pStyle w:val="TableText"/>
              <w:keepNext w:val="0"/>
              <w:spacing w:line="252" w:lineRule="auto"/>
              <w:rPr>
                <w:bCs w:val="0"/>
                <w:highlight w:val="black"/>
                <w:lang w:eastAsia="en-US"/>
              </w:rPr>
            </w:pPr>
            <w:r>
              <w:rPr>
                <w:bCs w:val="0"/>
                <w:noProof/>
                <w:color w:val="000000"/>
                <w:highlight w:val="black"/>
                <w:lang w:eastAsia="en-US"/>
              </w:rPr>
              <w:t>'''''''''''''''''''''''''''''''' ''''''''''''''''''''''''''' '''''''''' ''''' ''''''''''''''''' ''''''''''''''''''' '''''''' '''''''''''''' ''''''''''''' ''''''''' '''''''''''''''''''' ''''''' '''''''' ''''''''''' '''''''''''' ''''''''''''''''''''''''''''''''''''''''''''' ''''''''''''''''''' ''''''''''''''''''' '''''' '''''''''''''''''''</w:t>
            </w:r>
          </w:p>
        </w:tc>
        <w:tc>
          <w:tcPr>
            <w:tcW w:w="1212" w:type="pct"/>
            <w:gridSpan w:val="2"/>
            <w:tcMar>
              <w:top w:w="0" w:type="dxa"/>
              <w:left w:w="28" w:type="dxa"/>
              <w:bottom w:w="0" w:type="dxa"/>
              <w:right w:w="28" w:type="dxa"/>
            </w:tcMar>
            <w:vAlign w:val="center"/>
          </w:tcPr>
          <w:p w14:paraId="36786286" w14:textId="77777777" w:rsidR="009D114F" w:rsidRPr="00470B0C" w:rsidRDefault="00470B0C" w:rsidP="004258AE">
            <w:pPr>
              <w:pStyle w:val="TableText"/>
              <w:keepNext w:val="0"/>
              <w:spacing w:line="252" w:lineRule="auto"/>
              <w:rPr>
                <w:b/>
                <w:bCs w:val="0"/>
                <w:highlight w:val="black"/>
                <w:lang w:eastAsia="en-US"/>
              </w:rPr>
            </w:pPr>
            <w:r>
              <w:rPr>
                <w:noProof/>
                <w:color w:val="000000"/>
                <w:highlight w:val="black"/>
              </w:rPr>
              <w:t>'''''''''''''''''''''''''''''''''' ''''''''''''''''''''''''''''''' ''''''''' ''''' '''''''''''''''''' '''''''' ''''' ''''''''''''''' '''''''' '''''''''''' ''''''''''''' ''''''''' '''''''''''''''''''' '''''''' ''''' ''''''' '''''''' ''''''''''' '''''''''''' ''''''''''''''''''''''''''''''''''''''''' ''' ''''''''''''''' '''''''''''''''''''''</w:t>
            </w:r>
          </w:p>
        </w:tc>
      </w:tr>
      <w:tr w:rsidR="009D114F" w:rsidRPr="009D19CE" w14:paraId="3C0732DF" w14:textId="77777777" w:rsidTr="00055FF2">
        <w:trPr>
          <w:cantSplit/>
        </w:trPr>
        <w:tc>
          <w:tcPr>
            <w:tcW w:w="1295" w:type="pct"/>
            <w:tcMar>
              <w:top w:w="0" w:type="dxa"/>
              <w:left w:w="28" w:type="dxa"/>
              <w:bottom w:w="0" w:type="dxa"/>
              <w:right w:w="28" w:type="dxa"/>
            </w:tcMar>
          </w:tcPr>
          <w:p w14:paraId="1B7B314D" w14:textId="77777777" w:rsidR="009D114F" w:rsidRPr="00470B0C" w:rsidRDefault="00470B0C" w:rsidP="004258AE">
            <w:pPr>
              <w:pStyle w:val="TableText"/>
              <w:keepNext w:val="0"/>
              <w:spacing w:line="252" w:lineRule="auto"/>
              <w:rPr>
                <w:highlight w:val="black"/>
                <w:lang w:eastAsia="en-US"/>
              </w:rPr>
            </w:pPr>
            <w:r>
              <w:rPr>
                <w:noProof/>
                <w:color w:val="000000"/>
                <w:highlight w:val="black"/>
                <w:lang w:eastAsia="en-US"/>
              </w:rPr>
              <w:lastRenderedPageBreak/>
              <w:t>''''''''''' ''''''''''''''''''''''''</w:t>
            </w:r>
          </w:p>
        </w:tc>
        <w:tc>
          <w:tcPr>
            <w:tcW w:w="1212" w:type="pct"/>
            <w:gridSpan w:val="2"/>
            <w:tcMar>
              <w:top w:w="0" w:type="dxa"/>
              <w:left w:w="28" w:type="dxa"/>
              <w:bottom w:w="0" w:type="dxa"/>
              <w:right w:w="28" w:type="dxa"/>
            </w:tcMar>
          </w:tcPr>
          <w:p w14:paraId="601F262C" w14:textId="77777777" w:rsidR="009D114F" w:rsidRPr="00470B0C" w:rsidRDefault="00470B0C" w:rsidP="004258AE">
            <w:pPr>
              <w:pStyle w:val="TableText"/>
              <w:keepNext w:val="0"/>
              <w:spacing w:line="252" w:lineRule="auto"/>
              <w:rPr>
                <w:bCs w:val="0"/>
                <w:highlight w:val="black"/>
                <w:lang w:eastAsia="en-US"/>
              </w:rPr>
            </w:pPr>
            <w:r>
              <w:rPr>
                <w:bCs w:val="0"/>
                <w:noProof/>
                <w:color w:val="000000"/>
                <w:highlight w:val="black"/>
                <w:lang w:eastAsia="en-US"/>
              </w:rPr>
              <w:t>'''''''''''' ''''''''''''''' '''''''''' '''''''''''' ''''''''''''''''' ''''''''''''''' '''''''''''''' '''''''''' ''''''''''''''''''''' ''''''''''''''''''''''' '''' ''''''''''' ''''''' ''''''''''''''''' '''''''' ''''''''''''''''' '''''''''''''''''''''''' ''''' ''''''''''''''' '''''''''''''''''''''''''''' ''''''''''''''''''''''''' '''''''''''''''''''''''''' ''''''''''''''''''''''''' ''''''''' ''''''''''''' '''''' ''''''' ''''''''''''''' '''''' '''''''''''''''' '''''''''''''''''''''''''''''''''''''''' ''''' '''''''' ''''''''''''''''''''''''' '''''' ''''''''''''' ''''''''''''''''''' ''''''''''''' ''''' '''''''''''''''''''''''''''''''''''''''''''''' ''' '''''''''''''''''''''''''''''' '''''''''' '''' '''''''''''''''''''''''''''''''''''''''''' '''''''''''''''''''' '''''''''''''''''''''' ''''' '''''''''''''''''''''''''' '''''''''''''''''''''''''''' '''''' '''''''' ''''''''''''''''''''' '''''''''''''''' ''''''''''''''''''''''''''''</w:t>
            </w:r>
          </w:p>
        </w:tc>
        <w:tc>
          <w:tcPr>
            <w:tcW w:w="1281" w:type="pct"/>
            <w:tcMar>
              <w:top w:w="0" w:type="dxa"/>
              <w:left w:w="28" w:type="dxa"/>
              <w:bottom w:w="0" w:type="dxa"/>
              <w:right w:w="28" w:type="dxa"/>
            </w:tcMar>
            <w:vAlign w:val="center"/>
          </w:tcPr>
          <w:p w14:paraId="26083F9A" w14:textId="77777777" w:rsidR="009D114F" w:rsidRPr="00470B0C" w:rsidRDefault="00470B0C" w:rsidP="004258AE">
            <w:pPr>
              <w:pStyle w:val="TableText"/>
              <w:keepNext w:val="0"/>
              <w:spacing w:line="252" w:lineRule="auto"/>
              <w:rPr>
                <w:bCs w:val="0"/>
                <w:highlight w:val="black"/>
                <w:lang w:eastAsia="en-US"/>
              </w:rPr>
            </w:pPr>
            <w:r>
              <w:rPr>
                <w:bCs w:val="0"/>
                <w:noProof/>
                <w:color w:val="000000"/>
                <w:highlight w:val="black"/>
                <w:lang w:eastAsia="en-US"/>
              </w:rPr>
              <w:t>''''''''''''' ''''''''''''' ''''''''' ''''''''''''' ''''''''''''' ''''''''''''''' ''''''''''' '''''''''''''''''''' ''''''''''''''''''''''''''''' ''''''''''''''' ''''''''''''' '''''''''''' '''''''''' '''''''''''''''''''' '''''''''''''''''''''''' '''' '''''''' ''''''''''''' ''''' '''''' ''''''''''''''''''''''''''''''' ''''' '''''''''''''' '''''''''''''''''''' ''''' '''''''''''' '''' '''''''''''''' ''''' ''''''''''''''' '''''''''''' ''''' '''''''''''''''''''''''''''''' ''''''' ''''''''''''' '''''''''''''''''''''''' ''''' ''''''''''''''''''''' ''''''' '''''''' ''''''''''''' '''' '''''''''''''''''''''''''''''' '''''''''' '''' '''''''''''''''''''''''''''''''' '''''''''' '''''''''''' '''' ''' ''''''''''''' ''''''''''''' '''''''''''''''' '''' ''''''''''''' '''''''''''''''''''' ''''' ''''''''''''''' ''''''''''''' ''''' ''''''''''' ''''''''''''''''''''''''''''</w:t>
            </w:r>
          </w:p>
        </w:tc>
        <w:tc>
          <w:tcPr>
            <w:tcW w:w="1212" w:type="pct"/>
            <w:gridSpan w:val="2"/>
            <w:tcMar>
              <w:top w:w="0" w:type="dxa"/>
              <w:left w:w="28" w:type="dxa"/>
              <w:bottom w:w="0" w:type="dxa"/>
              <w:right w:w="28" w:type="dxa"/>
            </w:tcMar>
            <w:vAlign w:val="center"/>
          </w:tcPr>
          <w:p w14:paraId="257CB3B7" w14:textId="77777777" w:rsidR="009D114F" w:rsidRPr="00470B0C" w:rsidRDefault="00470B0C" w:rsidP="004258AE">
            <w:pPr>
              <w:pStyle w:val="TableText"/>
              <w:keepNext w:val="0"/>
              <w:spacing w:line="252" w:lineRule="auto"/>
              <w:rPr>
                <w:highlight w:val="black"/>
              </w:rPr>
            </w:pPr>
            <w:r>
              <w:rPr>
                <w:noProof/>
                <w:color w:val="000000"/>
                <w:highlight w:val="black"/>
              </w:rPr>
              <w:t>''''''''''''' ''''''''''''''' ''''''''' ''''''''''''''' '''''''''''''''' ''''' '''''''''''''''''''' ''''''''''''''''''''''''''''''' ''''''''' ''''''''''''' '''''''''''''''''''''''''''''''''''''''' ''''''''''' '''''''''''''''' ''''''''''' ''''' '''''''''' '''''''''' '''''''''' '''''''''''''''''''''' ''''' ''''''''''''' '''''''''''''''''' ''''''' '''''''''' '''''''''''''''''''''''' ''''''''''''''''''''''' '''''''''' ''''' '''''''''''''''''''''''''''''''''''''''''''''''''''''''''' ''''''''' ''''''''''''''''''''''''''''' '''''''''''''''''''''</w:t>
            </w:r>
          </w:p>
        </w:tc>
      </w:tr>
      <w:tr w:rsidR="009D114F" w:rsidRPr="009D19CE" w14:paraId="43593ECE" w14:textId="77777777" w:rsidTr="00055FF2">
        <w:trPr>
          <w:cantSplit/>
        </w:trPr>
        <w:tc>
          <w:tcPr>
            <w:tcW w:w="1295" w:type="pct"/>
            <w:tcMar>
              <w:top w:w="0" w:type="dxa"/>
              <w:left w:w="28" w:type="dxa"/>
              <w:bottom w:w="0" w:type="dxa"/>
              <w:right w:w="28" w:type="dxa"/>
            </w:tcMar>
            <w:hideMark/>
          </w:tcPr>
          <w:p w14:paraId="7B37621C" w14:textId="77777777" w:rsidR="009D114F" w:rsidRPr="00470B0C" w:rsidRDefault="00470B0C" w:rsidP="004258AE">
            <w:pPr>
              <w:pStyle w:val="TableText"/>
              <w:keepNext w:val="0"/>
              <w:spacing w:line="252" w:lineRule="auto"/>
              <w:rPr>
                <w:bCs w:val="0"/>
                <w:highlight w:val="black"/>
                <w:lang w:eastAsia="en-US"/>
              </w:rPr>
            </w:pPr>
            <w:r>
              <w:rPr>
                <w:noProof/>
                <w:color w:val="000000"/>
                <w:highlight w:val="black"/>
                <w:lang w:eastAsia="en-US"/>
              </w:rPr>
              <w:t xml:space="preserve">'''''''' '''''''''''''''' </w:t>
            </w:r>
          </w:p>
        </w:tc>
        <w:tc>
          <w:tcPr>
            <w:tcW w:w="1212" w:type="pct"/>
            <w:gridSpan w:val="2"/>
            <w:tcMar>
              <w:top w:w="0" w:type="dxa"/>
              <w:left w:w="28" w:type="dxa"/>
              <w:bottom w:w="0" w:type="dxa"/>
              <w:right w:w="28" w:type="dxa"/>
            </w:tcMar>
            <w:vAlign w:val="center"/>
          </w:tcPr>
          <w:p w14:paraId="16BBC8DB" w14:textId="77777777" w:rsidR="009D114F" w:rsidRPr="00470B0C" w:rsidRDefault="00470B0C" w:rsidP="004258AE">
            <w:pPr>
              <w:pStyle w:val="TableText"/>
              <w:keepNext w:val="0"/>
              <w:spacing w:line="252" w:lineRule="auto"/>
              <w:rPr>
                <w:bCs w:val="0"/>
                <w:highlight w:val="black"/>
                <w:lang w:eastAsia="en-US"/>
              </w:rPr>
            </w:pPr>
            <w:r>
              <w:rPr>
                <w:bCs w:val="0"/>
                <w:noProof/>
                <w:color w:val="000000"/>
                <w:highlight w:val="black"/>
                <w:lang w:eastAsia="en-US"/>
              </w:rPr>
              <w:t>''''''''''''''''''''''' ''''' ''''''''' ''''' ''''''''''''''''''''''''''''''''''''' '''''''''''''' '''''''''''''''''''''''''''''''''' ''''''' ''''''''''''' '''''''''''''' ''''' ''''''''''''''''' ''''''''''' '''''''''''''' '''''''''' ''' '''''''''''''''''''''''''''''' '''''''''''''''''''''''''' ''''''''''''''''''''''''''''' ''''''''''''''''''' ''''' ''''''''''''''''''' ''''''''''' ''''''''''''' '''''''''' ''''' ''''''''''''' '''''''''''' ''''''' ''''''''''''''''''''''''' '''''''''''''''''''''' ''''''''''''''''''''''''' '''''''''''''''''''' ''''''''''''''''''''''''''''''' '''''''' '''''''''''''''''''''''''''''''''''''''''''''' ''''''' ''''''''' '''''''''''''''''''''''''' ''''''''''''''''''''' ''''' '''''''''' ''''' ''''''''''''''''''''''''''''''' '''''''''''' ''''' ''''''''''''''''''''''''''''''''' '''''' ''''''''''''' '''''''''''''' '''''''''''''' '''''' ''''''' ''''''''''''''' '''''''''''''''''''''''''''' ''''''''' '''''''''''''''''''''' ''''''''''''''</w:t>
            </w:r>
          </w:p>
        </w:tc>
        <w:tc>
          <w:tcPr>
            <w:tcW w:w="1281" w:type="pct"/>
            <w:tcMar>
              <w:top w:w="0" w:type="dxa"/>
              <w:left w:w="28" w:type="dxa"/>
              <w:bottom w:w="0" w:type="dxa"/>
              <w:right w:w="28" w:type="dxa"/>
            </w:tcMar>
            <w:vAlign w:val="center"/>
          </w:tcPr>
          <w:p w14:paraId="3D1536A0" w14:textId="77777777" w:rsidR="009D114F" w:rsidRPr="00470B0C" w:rsidRDefault="00470B0C" w:rsidP="004258AE">
            <w:pPr>
              <w:pStyle w:val="TableText"/>
              <w:keepNext w:val="0"/>
              <w:spacing w:line="252" w:lineRule="auto"/>
              <w:jc w:val="center"/>
              <w:rPr>
                <w:bCs w:val="0"/>
                <w:highlight w:val="black"/>
                <w:lang w:eastAsia="en-US"/>
              </w:rPr>
            </w:pPr>
            <w:r>
              <w:rPr>
                <w:bCs w:val="0"/>
                <w:noProof/>
                <w:color w:val="000000"/>
                <w:highlight w:val="black"/>
                <w:lang w:eastAsia="en-US"/>
              </w:rPr>
              <w:t>'''''''''''''''''''''''' ''''' '''''''''''''''''''''''''''''''''''' ''''''''''''''''''''' ''''''''' '''''''''' '''''''''''''''''''''''''''''''''' '''''' '''''''''''' '''''''''''''''' ''' ''''''''''''''''' '''''''''''''''''''''''''''' '''''''''''''''''''''''''''''' '''''''''''''''''''' ''''' ''''''''''''''''''' ''''''''''' ''''''''''' ''''''''''' '''''' '''''''''''' ''''''''''''''</w:t>
            </w:r>
          </w:p>
        </w:tc>
        <w:tc>
          <w:tcPr>
            <w:tcW w:w="1212" w:type="pct"/>
            <w:gridSpan w:val="2"/>
            <w:tcMar>
              <w:top w:w="0" w:type="dxa"/>
              <w:left w:w="28" w:type="dxa"/>
              <w:bottom w:w="0" w:type="dxa"/>
              <w:right w:w="28" w:type="dxa"/>
            </w:tcMar>
            <w:vAlign w:val="center"/>
          </w:tcPr>
          <w:p w14:paraId="71DD7363" w14:textId="77777777" w:rsidR="009D114F" w:rsidRPr="00470B0C" w:rsidRDefault="00470B0C" w:rsidP="004258AE">
            <w:pPr>
              <w:pStyle w:val="TableText"/>
              <w:keepNext w:val="0"/>
              <w:spacing w:line="252" w:lineRule="auto"/>
              <w:jc w:val="center"/>
              <w:rPr>
                <w:highlight w:val="black"/>
              </w:rPr>
            </w:pPr>
            <w:r>
              <w:rPr>
                <w:noProof/>
                <w:color w:val="000000"/>
                <w:highlight w:val="black"/>
              </w:rPr>
              <w:t>'''''''''''''''''''''''''' ''''''''''''''''''''' ''''' '''''''''' ''''' ''''''''' '''''''''''''''''' ''''''''''''''' '''''''''''''''''' ''''' ''''''''''' '''' ''''''''''''''''' '''''''''''''''''''''''''''''''''''''''''' '''''' '''''''''''' ''''''''''''''''' ''''''''''''' '''''''''''''''''''' '''''''''''''''''''' '''''' ''''''''''' ''''''''''''''''''''' '''''''' '''' ''''''''''''''''' ''''''''''''''''''''''''' '''''''''''''''''''' ''''' '''''''''''''''''' ''''''''' ''''''''''''' ''''''''''' ''''' '''''''''''' '''''''''''''' '''</w:t>
            </w:r>
          </w:p>
          <w:p w14:paraId="57A07FF2" w14:textId="77777777" w:rsidR="009D114F" w:rsidRPr="00470B0C" w:rsidRDefault="00470B0C" w:rsidP="004258AE">
            <w:pPr>
              <w:pStyle w:val="TableText"/>
              <w:keepNext w:val="0"/>
              <w:spacing w:line="252" w:lineRule="auto"/>
              <w:jc w:val="center"/>
              <w:rPr>
                <w:bCs w:val="0"/>
                <w:highlight w:val="black"/>
                <w:lang w:eastAsia="en-US"/>
              </w:rPr>
            </w:pPr>
            <w:r>
              <w:rPr>
                <w:noProof/>
                <w:color w:val="000000"/>
                <w:highlight w:val="black"/>
              </w:rPr>
              <w:t>'''''''''''''''''''''''' ''''''''''''''''' ''''''' '''''''''''''''''''''''''''''''''''''''' ''''''''''''''''''''''''' ''''''''''''''' ''''''''''''''''' '''''' '''''''''''''' '''''''''' '''''''''''' '''''''''' ''''' ''''''''''' '''''''''''' '''''''''' '''''''''''''''''''''''''''' '''''''''' '''''''''''' ''''''''''' ''''' ''''''''''' ''''''''''''' '''''''''''''''''''</w:t>
            </w:r>
          </w:p>
        </w:tc>
      </w:tr>
      <w:tr w:rsidR="009D114F" w:rsidRPr="009D19CE" w14:paraId="6C5B97ED" w14:textId="77777777" w:rsidTr="00055FF2">
        <w:trPr>
          <w:cantSplit/>
        </w:trPr>
        <w:tc>
          <w:tcPr>
            <w:tcW w:w="1295" w:type="pct"/>
            <w:tcMar>
              <w:top w:w="0" w:type="dxa"/>
              <w:left w:w="28" w:type="dxa"/>
              <w:bottom w:w="0" w:type="dxa"/>
              <w:right w:w="28" w:type="dxa"/>
            </w:tcMar>
            <w:hideMark/>
          </w:tcPr>
          <w:p w14:paraId="51CB4126" w14:textId="77777777" w:rsidR="009D114F" w:rsidRPr="00470B0C" w:rsidRDefault="00470B0C" w:rsidP="004258AE">
            <w:pPr>
              <w:pStyle w:val="TableText"/>
              <w:keepNext w:val="0"/>
              <w:spacing w:line="252" w:lineRule="auto"/>
              <w:rPr>
                <w:bCs w:val="0"/>
                <w:highlight w:val="black"/>
                <w:lang w:eastAsia="en-US"/>
              </w:rPr>
            </w:pPr>
            <w:r>
              <w:rPr>
                <w:noProof/>
                <w:color w:val="000000"/>
                <w:highlight w:val="black"/>
                <w:lang w:eastAsia="en-US"/>
              </w:rPr>
              <w:t>''''''''''''''''' ''''''''''''''</w:t>
            </w:r>
          </w:p>
        </w:tc>
        <w:tc>
          <w:tcPr>
            <w:tcW w:w="1212" w:type="pct"/>
            <w:gridSpan w:val="2"/>
            <w:tcMar>
              <w:top w:w="0" w:type="dxa"/>
              <w:left w:w="28" w:type="dxa"/>
              <w:bottom w:w="0" w:type="dxa"/>
              <w:right w:w="28" w:type="dxa"/>
            </w:tcMar>
            <w:vAlign w:val="center"/>
          </w:tcPr>
          <w:p w14:paraId="7D8F2040" w14:textId="77777777" w:rsidR="009D114F" w:rsidRPr="00470B0C" w:rsidRDefault="00470B0C" w:rsidP="004258AE">
            <w:pPr>
              <w:pStyle w:val="TableText"/>
              <w:spacing w:line="252" w:lineRule="auto"/>
              <w:rPr>
                <w:bCs w:val="0"/>
                <w:highlight w:val="black"/>
                <w:lang w:eastAsia="en-US"/>
              </w:rPr>
            </w:pPr>
            <w:r>
              <w:rPr>
                <w:bCs w:val="0"/>
                <w:noProof/>
                <w:color w:val="000000"/>
                <w:highlight w:val="black"/>
                <w:lang w:eastAsia="en-US"/>
              </w:rPr>
              <w:t>'''''''''''''''''''''''''''' ''''''''''' ''''''''''''''''''''''' ''''''''''' '''' '''''''''''''''''''''''''''' ''''' '''''''''''''' ''''' '''''''''''''''''''''''''''''''''' '''''''''' ''''''''''''''''' '''''''''''''''''''''''''' ''''' '''''''''''''''''' ''''''''''' '''''''''''''''''' '''''''''''''' ''''''''''''''''''''''''''' ''''''''''' '''''''''''''''''' ''''''''''''' '''' ''''''''''''''''''''' ''''' ''''''''''''' ''''' ''''''''''''''''''''''''''''''' ''''' '''''''''''''''''''''' '''''''''''</w:t>
            </w:r>
          </w:p>
        </w:tc>
        <w:tc>
          <w:tcPr>
            <w:tcW w:w="1281" w:type="pct"/>
            <w:tcMar>
              <w:top w:w="0" w:type="dxa"/>
              <w:left w:w="28" w:type="dxa"/>
              <w:bottom w:w="0" w:type="dxa"/>
              <w:right w:w="28" w:type="dxa"/>
            </w:tcMar>
            <w:vAlign w:val="center"/>
          </w:tcPr>
          <w:p w14:paraId="76D52218" w14:textId="77777777" w:rsidR="009D114F" w:rsidRPr="00470B0C" w:rsidRDefault="00470B0C" w:rsidP="004258AE">
            <w:pPr>
              <w:pStyle w:val="TableText"/>
              <w:keepNext w:val="0"/>
              <w:spacing w:line="252" w:lineRule="auto"/>
              <w:jc w:val="center"/>
              <w:rPr>
                <w:bCs w:val="0"/>
                <w:i/>
                <w:highlight w:val="yellow"/>
                <w:lang w:eastAsia="en-US"/>
              </w:rPr>
            </w:pPr>
            <w:r>
              <w:rPr>
                <w:bCs w:val="0"/>
                <w:noProof/>
                <w:color w:val="000000"/>
                <w:highlight w:val="black"/>
                <w:lang w:eastAsia="en-US"/>
              </w:rPr>
              <w:t xml:space="preserve">''''''''''''''''''''' '''''''''''''''''''' '''''''''' '''''''''''''''''''''''''' ''''''''''''''' '''' ''''''''''''''''''''' </w:t>
            </w:r>
            <w:r>
              <w:rPr>
                <w:bCs w:val="0"/>
                <w:i/>
                <w:noProof/>
                <w:color w:val="000000"/>
                <w:highlight w:val="black"/>
                <w:lang w:eastAsia="en-US"/>
              </w:rPr>
              <w:t>''''''''''''' '''''''''''''''''''''''' ''''''''' '''''''''''''''''''''''''' ''''' ''''''''''''''''' '''''''''''''''' '''''''''' '''''''''''''''''''''</w:t>
            </w:r>
          </w:p>
        </w:tc>
        <w:tc>
          <w:tcPr>
            <w:tcW w:w="1212" w:type="pct"/>
            <w:gridSpan w:val="2"/>
            <w:tcMar>
              <w:top w:w="0" w:type="dxa"/>
              <w:left w:w="28" w:type="dxa"/>
              <w:bottom w:w="0" w:type="dxa"/>
              <w:right w:w="28" w:type="dxa"/>
            </w:tcMar>
            <w:vAlign w:val="center"/>
          </w:tcPr>
          <w:p w14:paraId="6989F3D1" w14:textId="77777777" w:rsidR="009D114F" w:rsidRPr="00470B0C" w:rsidRDefault="00470B0C" w:rsidP="004258AE">
            <w:pPr>
              <w:pStyle w:val="TableText"/>
              <w:keepNext w:val="0"/>
              <w:spacing w:line="252" w:lineRule="auto"/>
              <w:jc w:val="center"/>
              <w:rPr>
                <w:bCs w:val="0"/>
                <w:highlight w:val="black"/>
                <w:lang w:eastAsia="en-US"/>
              </w:rPr>
            </w:pPr>
            <w:r>
              <w:rPr>
                <w:bCs w:val="0"/>
                <w:noProof/>
                <w:color w:val="000000"/>
                <w:highlight w:val="black"/>
                <w:lang w:eastAsia="en-US"/>
              </w:rPr>
              <w:t>'''''''''''''''''' ''''''''''''''''''' '''''''' '''''''''''''' '''''''''''''''' ''''' '''''''''''''''''''''</w:t>
            </w:r>
          </w:p>
        </w:tc>
      </w:tr>
      <w:tr w:rsidR="009D114F" w:rsidRPr="009D19CE" w14:paraId="0A0586B0" w14:textId="77777777" w:rsidTr="00055FF2">
        <w:trPr>
          <w:cantSplit/>
        </w:trPr>
        <w:tc>
          <w:tcPr>
            <w:tcW w:w="5000" w:type="pct"/>
            <w:gridSpan w:val="6"/>
            <w:tcMar>
              <w:top w:w="0" w:type="dxa"/>
              <w:left w:w="28" w:type="dxa"/>
              <w:bottom w:w="0" w:type="dxa"/>
              <w:right w:w="28" w:type="dxa"/>
            </w:tcMar>
            <w:hideMark/>
          </w:tcPr>
          <w:p w14:paraId="10E05ABC" w14:textId="77777777" w:rsidR="009D114F" w:rsidRPr="00470B0C" w:rsidRDefault="00470B0C" w:rsidP="004258AE">
            <w:pPr>
              <w:pStyle w:val="TableText"/>
              <w:keepNext w:val="0"/>
              <w:spacing w:line="252" w:lineRule="auto"/>
              <w:rPr>
                <w:b/>
                <w:bCs w:val="0"/>
                <w:highlight w:val="black"/>
                <w:lang w:eastAsia="en-US"/>
              </w:rPr>
            </w:pPr>
            <w:r>
              <w:rPr>
                <w:b/>
                <w:bCs w:val="0"/>
                <w:noProof/>
                <w:color w:val="000000"/>
                <w:highlight w:val="black"/>
                <w:lang w:eastAsia="en-US"/>
              </w:rPr>
              <w:t>'''''''''''''''''''' '''''''''''''''''''</w:t>
            </w:r>
          </w:p>
        </w:tc>
      </w:tr>
      <w:tr w:rsidR="009D114F" w:rsidRPr="009D19CE" w14:paraId="3B06A328" w14:textId="77777777" w:rsidTr="00055FF2">
        <w:trPr>
          <w:cantSplit/>
        </w:trPr>
        <w:tc>
          <w:tcPr>
            <w:tcW w:w="1295" w:type="pct"/>
            <w:tcMar>
              <w:top w:w="0" w:type="dxa"/>
              <w:left w:w="28" w:type="dxa"/>
              <w:bottom w:w="0" w:type="dxa"/>
              <w:right w:w="28" w:type="dxa"/>
            </w:tcMar>
            <w:hideMark/>
          </w:tcPr>
          <w:p w14:paraId="110CBDBF" w14:textId="77777777" w:rsidR="009D114F" w:rsidRPr="00470B0C" w:rsidRDefault="00470B0C" w:rsidP="004258AE">
            <w:pPr>
              <w:pStyle w:val="TableText"/>
              <w:keepNext w:val="0"/>
              <w:spacing w:line="252" w:lineRule="auto"/>
              <w:rPr>
                <w:bCs w:val="0"/>
                <w:highlight w:val="black"/>
                <w:lang w:eastAsia="en-US"/>
              </w:rPr>
            </w:pPr>
            <w:r>
              <w:rPr>
                <w:noProof/>
                <w:color w:val="000000"/>
                <w:highlight w:val="black"/>
                <w:lang w:eastAsia="en-US"/>
              </w:rPr>
              <w:t>'''''''''''''''''''''' ''''''''''''''''''''</w:t>
            </w:r>
          </w:p>
        </w:tc>
        <w:tc>
          <w:tcPr>
            <w:tcW w:w="1212" w:type="pct"/>
            <w:gridSpan w:val="2"/>
            <w:tcMar>
              <w:top w:w="0" w:type="dxa"/>
              <w:left w:w="28" w:type="dxa"/>
              <w:bottom w:w="0" w:type="dxa"/>
              <w:right w:w="28" w:type="dxa"/>
            </w:tcMar>
            <w:vAlign w:val="center"/>
            <w:hideMark/>
          </w:tcPr>
          <w:p w14:paraId="30D7F785"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 '''''''''''''''''' ''''''''''''''''' '''''''''''''''''''''''''''''''''''''''''</w:t>
            </w:r>
          </w:p>
        </w:tc>
        <w:tc>
          <w:tcPr>
            <w:tcW w:w="1281" w:type="pct"/>
            <w:tcMar>
              <w:top w:w="0" w:type="dxa"/>
              <w:left w:w="28" w:type="dxa"/>
              <w:bottom w:w="0" w:type="dxa"/>
              <w:right w:w="28" w:type="dxa"/>
            </w:tcMar>
            <w:vAlign w:val="center"/>
          </w:tcPr>
          <w:p w14:paraId="683F6675"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 '''''''''''''''''''' '''''''''''''''' ''''''''''''''''''''</w:t>
            </w:r>
          </w:p>
        </w:tc>
        <w:tc>
          <w:tcPr>
            <w:tcW w:w="1212" w:type="pct"/>
            <w:gridSpan w:val="2"/>
            <w:tcMar>
              <w:top w:w="0" w:type="dxa"/>
              <w:left w:w="28" w:type="dxa"/>
              <w:bottom w:w="0" w:type="dxa"/>
              <w:right w:w="28" w:type="dxa"/>
            </w:tcMar>
            <w:vAlign w:val="center"/>
          </w:tcPr>
          <w:p w14:paraId="634A78BC" w14:textId="77777777" w:rsidR="009D114F" w:rsidRPr="00470B0C" w:rsidRDefault="00470B0C" w:rsidP="004258AE">
            <w:pPr>
              <w:pStyle w:val="TableText"/>
              <w:keepNext w:val="0"/>
              <w:spacing w:line="252" w:lineRule="auto"/>
              <w:jc w:val="center"/>
              <w:rPr>
                <w:bCs w:val="0"/>
                <w:highlight w:val="black"/>
                <w:lang w:eastAsia="en-US"/>
              </w:rPr>
            </w:pPr>
            <w:r>
              <w:rPr>
                <w:bCs w:val="0"/>
                <w:noProof/>
                <w:color w:val="000000"/>
                <w:highlight w:val="black"/>
                <w:lang w:eastAsia="en-US"/>
              </w:rPr>
              <w:t>''''''''''''</w:t>
            </w:r>
          </w:p>
        </w:tc>
      </w:tr>
      <w:tr w:rsidR="009D114F" w:rsidRPr="009D19CE" w14:paraId="12923F7B" w14:textId="77777777" w:rsidTr="00055FF2">
        <w:trPr>
          <w:cantSplit/>
        </w:trPr>
        <w:tc>
          <w:tcPr>
            <w:tcW w:w="1295" w:type="pct"/>
            <w:tcMar>
              <w:top w:w="0" w:type="dxa"/>
              <w:left w:w="28" w:type="dxa"/>
              <w:bottom w:w="0" w:type="dxa"/>
              <w:right w:w="28" w:type="dxa"/>
            </w:tcMar>
            <w:hideMark/>
          </w:tcPr>
          <w:p w14:paraId="08AE0DBA" w14:textId="77777777" w:rsidR="009D114F" w:rsidRPr="00470B0C" w:rsidRDefault="00470B0C" w:rsidP="004258AE">
            <w:pPr>
              <w:pStyle w:val="TableText"/>
              <w:keepNext w:val="0"/>
              <w:spacing w:line="252" w:lineRule="auto"/>
              <w:rPr>
                <w:bCs w:val="0"/>
                <w:highlight w:val="black"/>
                <w:lang w:eastAsia="en-US"/>
              </w:rPr>
            </w:pPr>
            <w:r>
              <w:rPr>
                <w:noProof/>
                <w:color w:val="000000"/>
                <w:highlight w:val="black"/>
                <w:lang w:eastAsia="en-US"/>
              </w:rPr>
              <w:lastRenderedPageBreak/>
              <w:t>''''''''''''''''''''''' '''''''''''''' ''''''''''''''''''''''''''''</w:t>
            </w:r>
          </w:p>
        </w:tc>
        <w:tc>
          <w:tcPr>
            <w:tcW w:w="1212" w:type="pct"/>
            <w:gridSpan w:val="2"/>
            <w:tcMar>
              <w:top w:w="0" w:type="dxa"/>
              <w:left w:w="28" w:type="dxa"/>
              <w:bottom w:w="0" w:type="dxa"/>
              <w:right w:w="28" w:type="dxa"/>
            </w:tcMar>
            <w:vAlign w:val="center"/>
          </w:tcPr>
          <w:p w14:paraId="18514408" w14:textId="77777777" w:rsidR="009D114F" w:rsidRPr="00470B0C" w:rsidRDefault="00470B0C" w:rsidP="004258AE">
            <w:pPr>
              <w:pStyle w:val="TableText"/>
              <w:spacing w:line="252" w:lineRule="auto"/>
              <w:rPr>
                <w:highlight w:val="black"/>
                <w:lang w:eastAsia="en-US"/>
              </w:rPr>
            </w:pPr>
            <w:r>
              <w:rPr>
                <w:noProof/>
                <w:color w:val="000000"/>
                <w:highlight w:val="black"/>
                <w:lang w:eastAsia="en-US"/>
              </w:rPr>
              <w:t>''''''''''''''''''''''''''''''''''''''''''''' '''''''''''''''''''' ''''''''''''''''' '''''''''''''''''' '''''''''''''''''''''''''' ''''' '''''''' '''''''''''''''''''''''' ''''''''''''' '''''''''''''' ''''''''''''''''''''''''''''''' ''''''' '''''''' ''''''''''' '''''''''''''''''''' ''''''''' ''''''' '''' ''''''''''''''''''''''''' ''''' '''''''''''''''''' ''''''''''' '''''''''' '''''''''''' '''''''''''''''''''''''' '''''''' ''''''''''' '''''''''''''''''''' ''''''' ''''' '''''''''' ''''''''''''''''' '''''''''' ''''''''''''''''''''''' '''''''''''''''''''' ''''''''' ''''''' '''''''''' '''''' '''' ''''''''''''' ''''''' '''''' '''''''''''''''''''''''''''' ''''''''''' ''''''''''''''''''''''''''''''' ''''''''''''''''''''''''''' ''''''''''''' ''''''''' ''''''''''''''''''''''''''''''''</w:t>
            </w:r>
          </w:p>
        </w:tc>
        <w:tc>
          <w:tcPr>
            <w:tcW w:w="1281" w:type="pct"/>
            <w:tcMar>
              <w:top w:w="0" w:type="dxa"/>
              <w:left w:w="28" w:type="dxa"/>
              <w:bottom w:w="0" w:type="dxa"/>
              <w:right w:w="28" w:type="dxa"/>
            </w:tcMar>
            <w:vAlign w:val="center"/>
          </w:tcPr>
          <w:p w14:paraId="00ABA7E0"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 ''''''''''''''''' '''''''''''''''' ''''''''''''' ''''''''''''''''' '''''''''''' '''''' '''''''''' ''''''''''' '''''''''''' '''''''''''''''''' ''''' ''''''''''''''</w:t>
            </w:r>
          </w:p>
          <w:p w14:paraId="5453DBFE" w14:textId="77777777" w:rsidR="009D114F" w:rsidRPr="00470B0C" w:rsidRDefault="00470B0C" w:rsidP="004258AE">
            <w:pPr>
              <w:pStyle w:val="TableText"/>
              <w:keepNext w:val="0"/>
              <w:spacing w:line="252" w:lineRule="auto"/>
              <w:jc w:val="center"/>
              <w:rPr>
                <w:highlight w:val="black"/>
                <w:lang w:eastAsia="en-US"/>
              </w:rPr>
            </w:pPr>
            <w:r>
              <w:rPr>
                <w:i/>
                <w:noProof/>
                <w:color w:val="000000"/>
                <w:highlight w:val="black"/>
                <w:lang w:eastAsia="en-US"/>
              </w:rPr>
              <w:t>'''''''''''''''' ''''''''''''' '''''''''' '''''''''''''''''''''''''''' ''''''''''''''''' '''''''''' '''''''''''''''''' ''''' ''''''''''''' '''''''''''''''''''''' ''''''''''''' '''''''''''''''''''''''' '''''''''' '''''''' '''''''''''''''' '''''''''''' '''''''''''''''''''''''' '''''''''''''' '''''''' '''''''''''''''''''''''''''''''''''''''''' '''''''''''''' ''''''''''''''''''''' '''''''''' ''''''''''''''</w:t>
            </w:r>
          </w:p>
        </w:tc>
        <w:tc>
          <w:tcPr>
            <w:tcW w:w="1212" w:type="pct"/>
            <w:gridSpan w:val="2"/>
            <w:tcMar>
              <w:top w:w="0" w:type="dxa"/>
              <w:left w:w="28" w:type="dxa"/>
              <w:bottom w:w="0" w:type="dxa"/>
              <w:right w:w="28" w:type="dxa"/>
            </w:tcMar>
            <w:vAlign w:val="center"/>
          </w:tcPr>
          <w:p w14:paraId="302B9224" w14:textId="77777777" w:rsidR="009D114F" w:rsidRPr="00470B0C" w:rsidRDefault="00470B0C" w:rsidP="004258AE">
            <w:pPr>
              <w:pStyle w:val="TableText"/>
              <w:keepNext w:val="0"/>
              <w:spacing w:line="252" w:lineRule="auto"/>
              <w:jc w:val="center"/>
              <w:rPr>
                <w:bCs w:val="0"/>
                <w:highlight w:val="black"/>
                <w:lang w:eastAsia="en-US"/>
              </w:rPr>
            </w:pPr>
            <w:r>
              <w:rPr>
                <w:bCs w:val="0"/>
                <w:noProof/>
                <w:color w:val="000000"/>
                <w:highlight w:val="black"/>
                <w:lang w:eastAsia="en-US"/>
              </w:rPr>
              <w:t>''''''''</w:t>
            </w:r>
          </w:p>
        </w:tc>
      </w:tr>
      <w:tr w:rsidR="009D114F" w:rsidRPr="009D19CE" w14:paraId="14BB1C6E" w14:textId="77777777" w:rsidTr="00055FF2">
        <w:trPr>
          <w:cantSplit/>
        </w:trPr>
        <w:tc>
          <w:tcPr>
            <w:tcW w:w="1295" w:type="pct"/>
            <w:tcMar>
              <w:top w:w="0" w:type="dxa"/>
              <w:left w:w="28" w:type="dxa"/>
              <w:bottom w:w="0" w:type="dxa"/>
              <w:right w:w="28" w:type="dxa"/>
            </w:tcMar>
          </w:tcPr>
          <w:p w14:paraId="0F9A0157" w14:textId="77777777" w:rsidR="009D114F" w:rsidRPr="00470B0C" w:rsidRDefault="00470B0C" w:rsidP="004258AE">
            <w:pPr>
              <w:pStyle w:val="TableText"/>
              <w:keepNext w:val="0"/>
              <w:spacing w:line="252" w:lineRule="auto"/>
              <w:rPr>
                <w:bCs w:val="0"/>
                <w:highlight w:val="black"/>
                <w:lang w:eastAsia="en-US"/>
              </w:rPr>
            </w:pPr>
            <w:r>
              <w:rPr>
                <w:bCs w:val="0"/>
                <w:noProof/>
                <w:color w:val="000000"/>
                <w:highlight w:val="black"/>
                <w:lang w:eastAsia="en-US"/>
              </w:rPr>
              <w:t>''''''''''''''''''''''''' '''''''''''''''''' ''''''''''''''''''''''</w:t>
            </w:r>
          </w:p>
        </w:tc>
        <w:tc>
          <w:tcPr>
            <w:tcW w:w="1212" w:type="pct"/>
            <w:gridSpan w:val="2"/>
            <w:tcMar>
              <w:top w:w="0" w:type="dxa"/>
              <w:left w:w="28" w:type="dxa"/>
              <w:bottom w:w="0" w:type="dxa"/>
              <w:right w:w="28" w:type="dxa"/>
            </w:tcMar>
            <w:vAlign w:val="center"/>
          </w:tcPr>
          <w:p w14:paraId="22322E2A" w14:textId="77777777" w:rsidR="009D114F" w:rsidRPr="00470B0C" w:rsidRDefault="00470B0C" w:rsidP="004258AE">
            <w:pPr>
              <w:pStyle w:val="TableText"/>
              <w:keepNext w:val="0"/>
              <w:spacing w:line="252" w:lineRule="auto"/>
              <w:jc w:val="center"/>
              <w:rPr>
                <w:bCs w:val="0"/>
                <w:highlight w:val="black"/>
                <w:lang w:eastAsia="en-US"/>
              </w:rPr>
            </w:pPr>
            <w:r>
              <w:rPr>
                <w:bCs w:val="0"/>
                <w:noProof/>
                <w:color w:val="000000"/>
                <w:highlight w:val="black"/>
                <w:lang w:eastAsia="en-US"/>
              </w:rPr>
              <w:t>''''''''</w:t>
            </w:r>
          </w:p>
        </w:tc>
        <w:tc>
          <w:tcPr>
            <w:tcW w:w="1281" w:type="pct"/>
            <w:tcMar>
              <w:top w:w="0" w:type="dxa"/>
              <w:left w:w="28" w:type="dxa"/>
              <w:bottom w:w="0" w:type="dxa"/>
              <w:right w:w="28" w:type="dxa"/>
            </w:tcMar>
            <w:vAlign w:val="center"/>
          </w:tcPr>
          <w:p w14:paraId="7A21C6A3" w14:textId="77777777" w:rsidR="009D114F" w:rsidRPr="00470B0C" w:rsidRDefault="00470B0C" w:rsidP="004258AE">
            <w:pPr>
              <w:pStyle w:val="TableText"/>
              <w:keepNext w:val="0"/>
              <w:spacing w:line="252" w:lineRule="auto"/>
              <w:jc w:val="center"/>
              <w:rPr>
                <w:bCs w:val="0"/>
                <w:highlight w:val="black"/>
                <w:lang w:eastAsia="en-US"/>
              </w:rPr>
            </w:pPr>
            <w:r>
              <w:rPr>
                <w:bCs w:val="0"/>
                <w:noProof/>
                <w:color w:val="000000"/>
                <w:highlight w:val="black"/>
                <w:lang w:eastAsia="en-US"/>
              </w:rPr>
              <w:t>''''''''''' '''''''''''' ''''''''''''' ''''''''''''''''''' '''''''''''''''''</w:t>
            </w:r>
          </w:p>
        </w:tc>
        <w:tc>
          <w:tcPr>
            <w:tcW w:w="1212" w:type="pct"/>
            <w:gridSpan w:val="2"/>
            <w:tcMar>
              <w:top w:w="0" w:type="dxa"/>
              <w:left w:w="28" w:type="dxa"/>
              <w:bottom w:w="0" w:type="dxa"/>
              <w:right w:w="28" w:type="dxa"/>
            </w:tcMar>
            <w:vAlign w:val="center"/>
          </w:tcPr>
          <w:p w14:paraId="7CCE630E" w14:textId="77777777" w:rsidR="009D114F" w:rsidRPr="00470B0C" w:rsidRDefault="00470B0C" w:rsidP="004258AE">
            <w:pPr>
              <w:pStyle w:val="TableText"/>
              <w:keepNext w:val="0"/>
              <w:spacing w:line="252" w:lineRule="auto"/>
              <w:jc w:val="center"/>
              <w:rPr>
                <w:bCs w:val="0"/>
                <w:highlight w:val="black"/>
                <w:lang w:eastAsia="en-US"/>
              </w:rPr>
            </w:pPr>
            <w:r>
              <w:rPr>
                <w:bCs w:val="0"/>
                <w:noProof/>
                <w:color w:val="000000"/>
                <w:highlight w:val="black"/>
                <w:lang w:eastAsia="en-US"/>
              </w:rPr>
              <w:t>''''''''</w:t>
            </w:r>
          </w:p>
        </w:tc>
      </w:tr>
      <w:tr w:rsidR="009D114F" w:rsidRPr="009D19CE" w14:paraId="1982DB23" w14:textId="77777777" w:rsidTr="00055FF2">
        <w:trPr>
          <w:cantSplit/>
        </w:trPr>
        <w:tc>
          <w:tcPr>
            <w:tcW w:w="5000" w:type="pct"/>
            <w:gridSpan w:val="6"/>
            <w:tcMar>
              <w:top w:w="0" w:type="dxa"/>
              <w:left w:w="28" w:type="dxa"/>
              <w:bottom w:w="0" w:type="dxa"/>
              <w:right w:w="28" w:type="dxa"/>
            </w:tcMar>
            <w:hideMark/>
          </w:tcPr>
          <w:p w14:paraId="693E63AD" w14:textId="77777777" w:rsidR="009D114F" w:rsidRPr="00470B0C" w:rsidRDefault="00470B0C" w:rsidP="004258AE">
            <w:pPr>
              <w:pStyle w:val="TableText"/>
              <w:keepNext w:val="0"/>
              <w:spacing w:line="252" w:lineRule="auto"/>
              <w:rPr>
                <w:bCs w:val="0"/>
                <w:highlight w:val="black"/>
                <w:lang w:eastAsia="en-US"/>
              </w:rPr>
            </w:pPr>
            <w:r>
              <w:rPr>
                <w:b/>
                <w:bCs w:val="0"/>
                <w:noProof/>
                <w:color w:val="000000"/>
                <w:highlight w:val="black"/>
                <w:lang w:eastAsia="en-US"/>
              </w:rPr>
              <w:t>''''''''''''' ''''''''''''''''''' '''''''' '''''''''''''''''' '''''''''''''''''''''</w:t>
            </w:r>
          </w:p>
        </w:tc>
      </w:tr>
      <w:tr w:rsidR="009D114F" w:rsidRPr="009D19CE" w14:paraId="414F872C" w14:textId="77777777" w:rsidTr="00055FF2">
        <w:trPr>
          <w:cantSplit/>
        </w:trPr>
        <w:tc>
          <w:tcPr>
            <w:tcW w:w="1295" w:type="pct"/>
            <w:tcMar>
              <w:top w:w="0" w:type="dxa"/>
              <w:left w:w="28" w:type="dxa"/>
              <w:bottom w:w="0" w:type="dxa"/>
              <w:right w:w="28" w:type="dxa"/>
            </w:tcMar>
          </w:tcPr>
          <w:p w14:paraId="4C1D87C9" w14:textId="77777777" w:rsidR="009D114F" w:rsidRPr="00470B0C" w:rsidRDefault="00470B0C" w:rsidP="004258AE">
            <w:pPr>
              <w:pStyle w:val="TableText"/>
              <w:keepNext w:val="0"/>
              <w:spacing w:line="252" w:lineRule="auto"/>
              <w:rPr>
                <w:highlight w:val="black"/>
                <w:lang w:eastAsia="en-US"/>
              </w:rPr>
            </w:pPr>
            <w:r>
              <w:rPr>
                <w:noProof/>
                <w:color w:val="000000"/>
                <w:highlight w:val="black"/>
                <w:lang w:eastAsia="en-US"/>
              </w:rPr>
              <w:t>''''''''''''''''''''' ''''''' '''''''''''''''''''''''''</w:t>
            </w:r>
          </w:p>
        </w:tc>
        <w:tc>
          <w:tcPr>
            <w:tcW w:w="1212" w:type="pct"/>
            <w:gridSpan w:val="2"/>
            <w:tcMar>
              <w:top w:w="0" w:type="dxa"/>
              <w:left w:w="28" w:type="dxa"/>
              <w:bottom w:w="0" w:type="dxa"/>
              <w:right w:w="28" w:type="dxa"/>
            </w:tcMar>
            <w:vAlign w:val="center"/>
          </w:tcPr>
          <w:p w14:paraId="23EEFB18"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 ''''' ''''''''''''''''''''''' ''''''''''''''''''''''''' ''''''''''''''' ''''' ''''' '''''''''''''''</w:t>
            </w:r>
          </w:p>
        </w:tc>
        <w:tc>
          <w:tcPr>
            <w:tcW w:w="1281" w:type="pct"/>
            <w:tcMar>
              <w:top w:w="0" w:type="dxa"/>
              <w:left w:w="28" w:type="dxa"/>
              <w:bottom w:w="0" w:type="dxa"/>
              <w:right w:w="28" w:type="dxa"/>
            </w:tcMar>
            <w:vAlign w:val="center"/>
          </w:tcPr>
          <w:p w14:paraId="22238FBA"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 '''' '''''''''''''''''''''' ''''''''''''''''''''''''''' ''''''''''''''''''''''''' '''''''''''' ''''''''''''' ''''''''''''''</w:t>
            </w:r>
          </w:p>
        </w:tc>
        <w:tc>
          <w:tcPr>
            <w:tcW w:w="1212" w:type="pct"/>
            <w:gridSpan w:val="2"/>
            <w:tcMar>
              <w:top w:w="0" w:type="dxa"/>
              <w:left w:w="28" w:type="dxa"/>
              <w:bottom w:w="0" w:type="dxa"/>
              <w:right w:w="28" w:type="dxa"/>
            </w:tcMar>
            <w:vAlign w:val="center"/>
          </w:tcPr>
          <w:p w14:paraId="494D9B66"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 ''''''''''''''''''''''''</w:t>
            </w:r>
          </w:p>
        </w:tc>
      </w:tr>
      <w:tr w:rsidR="009D114F" w:rsidRPr="009D19CE" w14:paraId="4C204358" w14:textId="77777777" w:rsidTr="00055FF2">
        <w:trPr>
          <w:cantSplit/>
        </w:trPr>
        <w:tc>
          <w:tcPr>
            <w:tcW w:w="1295" w:type="pct"/>
            <w:tcMar>
              <w:top w:w="0" w:type="dxa"/>
              <w:left w:w="28" w:type="dxa"/>
              <w:bottom w:w="0" w:type="dxa"/>
              <w:right w:w="28" w:type="dxa"/>
            </w:tcMar>
          </w:tcPr>
          <w:p w14:paraId="23018B23" w14:textId="77777777" w:rsidR="009D114F" w:rsidRPr="00470B0C" w:rsidRDefault="00470B0C" w:rsidP="004258AE">
            <w:pPr>
              <w:pStyle w:val="TableText"/>
              <w:keepNext w:val="0"/>
              <w:spacing w:line="252" w:lineRule="auto"/>
              <w:rPr>
                <w:highlight w:val="black"/>
                <w:lang w:eastAsia="en-US"/>
              </w:rPr>
            </w:pPr>
            <w:r>
              <w:rPr>
                <w:noProof/>
                <w:color w:val="000000"/>
                <w:highlight w:val="black"/>
                <w:lang w:eastAsia="en-US"/>
              </w:rPr>
              <w:t>''''''''''''' '''' ''''''''''</w:t>
            </w:r>
          </w:p>
        </w:tc>
        <w:tc>
          <w:tcPr>
            <w:tcW w:w="1212" w:type="pct"/>
            <w:gridSpan w:val="2"/>
            <w:tcMar>
              <w:top w:w="0" w:type="dxa"/>
              <w:left w:w="28" w:type="dxa"/>
              <w:bottom w:w="0" w:type="dxa"/>
              <w:right w:w="28" w:type="dxa"/>
            </w:tcMar>
            <w:vAlign w:val="center"/>
          </w:tcPr>
          <w:p w14:paraId="0D4383A0"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 '''''''''''''''''''' ''''' ''''' '''''''''''''</w:t>
            </w:r>
          </w:p>
        </w:tc>
        <w:tc>
          <w:tcPr>
            <w:tcW w:w="1281" w:type="pct"/>
            <w:tcMar>
              <w:top w:w="0" w:type="dxa"/>
              <w:left w:w="28" w:type="dxa"/>
              <w:bottom w:w="0" w:type="dxa"/>
              <w:right w:w="28" w:type="dxa"/>
            </w:tcMar>
            <w:vAlign w:val="center"/>
          </w:tcPr>
          <w:p w14:paraId="721D56A8"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 '''''''''''''''''''''''''' ''''' '''' ''''''''''''''</w:t>
            </w:r>
          </w:p>
        </w:tc>
        <w:tc>
          <w:tcPr>
            <w:tcW w:w="1212" w:type="pct"/>
            <w:gridSpan w:val="2"/>
            <w:tcMar>
              <w:top w:w="0" w:type="dxa"/>
              <w:left w:w="28" w:type="dxa"/>
              <w:bottom w:w="0" w:type="dxa"/>
              <w:right w:w="28" w:type="dxa"/>
            </w:tcMar>
            <w:vAlign w:val="center"/>
          </w:tcPr>
          <w:p w14:paraId="6A925A73"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 ''''''''''' '''''''''' '''''''''''''''''' '''''''''''''</w:t>
            </w:r>
          </w:p>
          <w:p w14:paraId="0BA4CB84"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 ''''''''''''''''''' '''''''''''''</w:t>
            </w:r>
          </w:p>
        </w:tc>
      </w:tr>
      <w:tr w:rsidR="009D114F" w:rsidRPr="009D19CE" w14:paraId="4E67EEB5" w14:textId="77777777" w:rsidTr="00055FF2">
        <w:trPr>
          <w:cantSplit/>
        </w:trPr>
        <w:tc>
          <w:tcPr>
            <w:tcW w:w="1295" w:type="pct"/>
            <w:tcMar>
              <w:top w:w="0" w:type="dxa"/>
              <w:left w:w="28" w:type="dxa"/>
              <w:bottom w:w="0" w:type="dxa"/>
              <w:right w:w="28" w:type="dxa"/>
            </w:tcMar>
          </w:tcPr>
          <w:p w14:paraId="0CC4703F" w14:textId="77777777" w:rsidR="009D114F" w:rsidRPr="00470B0C" w:rsidRDefault="00470B0C" w:rsidP="004258AE">
            <w:pPr>
              <w:pStyle w:val="TableText"/>
              <w:keepNext w:val="0"/>
              <w:spacing w:line="252" w:lineRule="auto"/>
              <w:rPr>
                <w:highlight w:val="black"/>
                <w:lang w:eastAsia="en-US"/>
              </w:rPr>
            </w:pPr>
            <w:r>
              <w:rPr>
                <w:noProof/>
                <w:color w:val="000000"/>
                <w:highlight w:val="black"/>
                <w:lang w:eastAsia="en-US"/>
              </w:rPr>
              <w:t>''''''''''''''' ''''''''''''''' ''</w:t>
            </w:r>
          </w:p>
        </w:tc>
        <w:tc>
          <w:tcPr>
            <w:tcW w:w="1212" w:type="pct"/>
            <w:gridSpan w:val="2"/>
            <w:tcMar>
              <w:top w:w="0" w:type="dxa"/>
              <w:left w:w="28" w:type="dxa"/>
              <w:bottom w:w="0" w:type="dxa"/>
              <w:right w:w="28" w:type="dxa"/>
            </w:tcMar>
            <w:vAlign w:val="center"/>
          </w:tcPr>
          <w:p w14:paraId="6712DC3A"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 ''''''''''''''''''''''''''' ''''''''''''' ''''''' '''''''''''' ''''''''''''''''' '''''''''''''''''''''''''''</w:t>
            </w:r>
          </w:p>
        </w:tc>
        <w:tc>
          <w:tcPr>
            <w:tcW w:w="1281" w:type="pct"/>
            <w:tcMar>
              <w:top w:w="0" w:type="dxa"/>
              <w:left w:w="28" w:type="dxa"/>
              <w:bottom w:w="0" w:type="dxa"/>
              <w:right w:w="28" w:type="dxa"/>
            </w:tcMar>
            <w:vAlign w:val="center"/>
          </w:tcPr>
          <w:p w14:paraId="599797E0"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 ''''''''''''''''''''''''' ''''' ''''''''''''''''''''''''''''''''''''''''</w:t>
            </w:r>
          </w:p>
        </w:tc>
        <w:tc>
          <w:tcPr>
            <w:tcW w:w="1212" w:type="pct"/>
            <w:gridSpan w:val="2"/>
            <w:tcMar>
              <w:top w:w="0" w:type="dxa"/>
              <w:left w:w="28" w:type="dxa"/>
              <w:bottom w:w="0" w:type="dxa"/>
              <w:right w:w="28" w:type="dxa"/>
            </w:tcMar>
            <w:vAlign w:val="center"/>
          </w:tcPr>
          <w:p w14:paraId="27AA616A"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 ''''''''''''''''''''''</w:t>
            </w:r>
          </w:p>
        </w:tc>
      </w:tr>
      <w:tr w:rsidR="009D114F" w:rsidRPr="009D19CE" w14:paraId="004FFBF4" w14:textId="77777777" w:rsidTr="00055FF2">
        <w:trPr>
          <w:cantSplit/>
        </w:trPr>
        <w:tc>
          <w:tcPr>
            <w:tcW w:w="1295" w:type="pct"/>
            <w:tcMar>
              <w:top w:w="0" w:type="dxa"/>
              <w:left w:w="28" w:type="dxa"/>
              <w:bottom w:w="0" w:type="dxa"/>
              <w:right w:w="28" w:type="dxa"/>
            </w:tcMar>
          </w:tcPr>
          <w:p w14:paraId="043D6F5F" w14:textId="77777777" w:rsidR="009D114F" w:rsidRPr="00470B0C" w:rsidRDefault="00470B0C" w:rsidP="004258AE">
            <w:pPr>
              <w:pStyle w:val="TableText"/>
              <w:keepNext w:val="0"/>
              <w:spacing w:line="252" w:lineRule="auto"/>
              <w:rPr>
                <w:highlight w:val="black"/>
                <w:lang w:eastAsia="en-US"/>
              </w:rPr>
            </w:pPr>
            <w:r>
              <w:rPr>
                <w:noProof/>
                <w:color w:val="000000"/>
                <w:highlight w:val="black"/>
                <w:lang w:eastAsia="en-US"/>
              </w:rPr>
              <w:t>''''''''''''''''' '''''''''''''''''''' '''''' ''''''''''''''''''''''''''''''''''' ''''' '''''''''''''''</w:t>
            </w:r>
          </w:p>
        </w:tc>
        <w:tc>
          <w:tcPr>
            <w:tcW w:w="1212" w:type="pct"/>
            <w:gridSpan w:val="2"/>
            <w:tcMar>
              <w:top w:w="0" w:type="dxa"/>
              <w:left w:w="28" w:type="dxa"/>
              <w:bottom w:w="0" w:type="dxa"/>
              <w:right w:w="28" w:type="dxa"/>
            </w:tcMar>
            <w:vAlign w:val="center"/>
          </w:tcPr>
          <w:p w14:paraId="43E64C47"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 '''''''''''''''''''''''' '''''' ''' '''''''''''''''''''''''''''''''' ''' ''''''''''''''''''''''''''''''''''' '''''''''''''''''''''''''''</w:t>
            </w:r>
          </w:p>
        </w:tc>
        <w:tc>
          <w:tcPr>
            <w:tcW w:w="1281" w:type="pct"/>
            <w:tcMar>
              <w:top w:w="0" w:type="dxa"/>
              <w:left w:w="28" w:type="dxa"/>
              <w:bottom w:w="0" w:type="dxa"/>
              <w:right w:w="28" w:type="dxa"/>
            </w:tcMar>
            <w:vAlign w:val="center"/>
          </w:tcPr>
          <w:p w14:paraId="7509258B" w14:textId="77777777" w:rsidR="009D114F" w:rsidRPr="00470B0C" w:rsidRDefault="00470B0C" w:rsidP="004258AE">
            <w:pPr>
              <w:pStyle w:val="TableText"/>
              <w:keepNext w:val="0"/>
              <w:spacing w:line="252" w:lineRule="auto"/>
              <w:rPr>
                <w:highlight w:val="black"/>
                <w:lang w:eastAsia="en-US"/>
              </w:rPr>
            </w:pPr>
            <w:r>
              <w:rPr>
                <w:noProof/>
                <w:color w:val="000000"/>
                <w:highlight w:val="black"/>
                <w:lang w:eastAsia="en-US"/>
              </w:rPr>
              <w:t>''''''''''''''''''''''' '''''''' '''''''''''''''''''''' '''''''''' ''''''''''''' ''''''''''''''''''''''' ''''''' '''''''''''''''''''' '''''''''''''''''''' ''''''''' '''''''' ''''''''''''''''</w:t>
            </w:r>
          </w:p>
        </w:tc>
        <w:tc>
          <w:tcPr>
            <w:tcW w:w="1212" w:type="pct"/>
            <w:gridSpan w:val="2"/>
            <w:tcMar>
              <w:top w:w="0" w:type="dxa"/>
              <w:left w:w="28" w:type="dxa"/>
              <w:bottom w:w="0" w:type="dxa"/>
              <w:right w:w="28" w:type="dxa"/>
            </w:tcMar>
            <w:vAlign w:val="center"/>
          </w:tcPr>
          <w:p w14:paraId="7AF238F5"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 ''''''''''''''''''''''''''''''''''''''''''''''''''''''''''''</w:t>
            </w:r>
          </w:p>
          <w:p w14:paraId="39800BC3"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 ''''''''''' '''''''''''''''''''''''' ''' ''''''''''''''</w:t>
            </w:r>
          </w:p>
        </w:tc>
      </w:tr>
      <w:tr w:rsidR="009D114F" w:rsidRPr="009D19CE" w14:paraId="1FA12D3A" w14:textId="77777777" w:rsidTr="00055FF2">
        <w:trPr>
          <w:cantSplit/>
        </w:trPr>
        <w:tc>
          <w:tcPr>
            <w:tcW w:w="1295" w:type="pct"/>
            <w:tcMar>
              <w:top w:w="0" w:type="dxa"/>
              <w:left w:w="28" w:type="dxa"/>
              <w:bottom w:w="0" w:type="dxa"/>
              <w:right w:w="28" w:type="dxa"/>
            </w:tcMar>
          </w:tcPr>
          <w:p w14:paraId="17817764" w14:textId="77777777" w:rsidR="009D114F" w:rsidRPr="00470B0C" w:rsidRDefault="00470B0C" w:rsidP="004258AE">
            <w:pPr>
              <w:pStyle w:val="TableText"/>
              <w:keepNext w:val="0"/>
              <w:spacing w:line="252" w:lineRule="auto"/>
              <w:rPr>
                <w:highlight w:val="black"/>
                <w:vertAlign w:val="superscript"/>
                <w:lang w:eastAsia="en-US"/>
              </w:rPr>
            </w:pPr>
            <w:r>
              <w:rPr>
                <w:noProof/>
                <w:color w:val="000000"/>
                <w:highlight w:val="black"/>
                <w:lang w:eastAsia="en-US"/>
              </w:rPr>
              <w:t>''''''''''''''''' '''''''''''' '''</w:t>
            </w:r>
          </w:p>
          <w:p w14:paraId="5CCDF033" w14:textId="77777777" w:rsidR="009D114F" w:rsidRPr="00470B0C" w:rsidRDefault="00470B0C" w:rsidP="004258AE">
            <w:pPr>
              <w:pStyle w:val="TableText"/>
              <w:keepNext w:val="0"/>
              <w:spacing w:line="252" w:lineRule="auto"/>
              <w:rPr>
                <w:highlight w:val="black"/>
                <w:lang w:eastAsia="en-US"/>
              </w:rPr>
            </w:pPr>
            <w:r>
              <w:rPr>
                <w:noProof/>
                <w:color w:val="000000"/>
                <w:highlight w:val="black"/>
                <w:lang w:eastAsia="en-US"/>
              </w:rPr>
              <w:t>'''''''''' ''''</w:t>
            </w:r>
          </w:p>
          <w:p w14:paraId="6384B790" w14:textId="77777777" w:rsidR="009D114F" w:rsidRPr="00470B0C" w:rsidRDefault="00470B0C" w:rsidP="004258AE">
            <w:pPr>
              <w:pStyle w:val="TableText"/>
              <w:keepNext w:val="0"/>
              <w:spacing w:line="252" w:lineRule="auto"/>
              <w:rPr>
                <w:highlight w:val="black"/>
                <w:lang w:eastAsia="en-US"/>
              </w:rPr>
            </w:pPr>
            <w:r>
              <w:rPr>
                <w:noProof/>
                <w:color w:val="000000"/>
                <w:highlight w:val="black"/>
                <w:lang w:eastAsia="en-US"/>
              </w:rPr>
              <w:t>'''''''''''' '''</w:t>
            </w:r>
          </w:p>
          <w:p w14:paraId="7582F5F6" w14:textId="77777777" w:rsidR="009D114F" w:rsidRPr="00470B0C" w:rsidRDefault="00470B0C" w:rsidP="004258AE">
            <w:pPr>
              <w:pStyle w:val="TableText"/>
              <w:keepNext w:val="0"/>
              <w:spacing w:line="252" w:lineRule="auto"/>
              <w:rPr>
                <w:highlight w:val="black"/>
                <w:lang w:eastAsia="en-US"/>
              </w:rPr>
            </w:pPr>
            <w:r>
              <w:rPr>
                <w:noProof/>
                <w:color w:val="000000"/>
                <w:highlight w:val="black"/>
                <w:lang w:eastAsia="en-US"/>
              </w:rPr>
              <w:t>''''''''''' ''''</w:t>
            </w:r>
          </w:p>
          <w:p w14:paraId="3C22D8BA" w14:textId="77777777" w:rsidR="009D114F" w:rsidRPr="00470B0C" w:rsidRDefault="00470B0C" w:rsidP="004258AE">
            <w:pPr>
              <w:pStyle w:val="TableText"/>
              <w:keepNext w:val="0"/>
              <w:spacing w:line="252" w:lineRule="auto"/>
              <w:rPr>
                <w:highlight w:val="black"/>
                <w:lang w:eastAsia="en-US"/>
              </w:rPr>
            </w:pPr>
            <w:r>
              <w:rPr>
                <w:noProof/>
                <w:color w:val="000000"/>
                <w:highlight w:val="black"/>
                <w:lang w:eastAsia="en-US"/>
              </w:rPr>
              <w:t>''''''''''' ''''</w:t>
            </w:r>
          </w:p>
          <w:p w14:paraId="1FE122E0" w14:textId="77777777" w:rsidR="009D114F" w:rsidRPr="00470B0C" w:rsidRDefault="00470B0C" w:rsidP="004258AE">
            <w:pPr>
              <w:pStyle w:val="TableText"/>
              <w:keepNext w:val="0"/>
              <w:spacing w:line="252" w:lineRule="auto"/>
              <w:rPr>
                <w:highlight w:val="black"/>
                <w:lang w:eastAsia="en-US"/>
              </w:rPr>
            </w:pPr>
            <w:r>
              <w:rPr>
                <w:noProof/>
                <w:color w:val="000000"/>
                <w:highlight w:val="black"/>
                <w:lang w:eastAsia="en-US"/>
              </w:rPr>
              <w:t>''''''''''' '''</w:t>
            </w:r>
          </w:p>
          <w:p w14:paraId="1B03B3E8" w14:textId="77777777" w:rsidR="009D114F" w:rsidRPr="00470B0C" w:rsidRDefault="00470B0C" w:rsidP="004258AE">
            <w:pPr>
              <w:pStyle w:val="TableText"/>
              <w:keepNext w:val="0"/>
              <w:spacing w:line="252" w:lineRule="auto"/>
              <w:rPr>
                <w:highlight w:val="black"/>
                <w:lang w:eastAsia="en-US"/>
              </w:rPr>
            </w:pPr>
            <w:r>
              <w:rPr>
                <w:noProof/>
                <w:color w:val="000000"/>
                <w:highlight w:val="black"/>
                <w:lang w:eastAsia="en-US"/>
              </w:rPr>
              <w:t>''''''''''' ''''</w:t>
            </w:r>
          </w:p>
        </w:tc>
        <w:tc>
          <w:tcPr>
            <w:tcW w:w="606" w:type="pct"/>
            <w:tcMar>
              <w:top w:w="0" w:type="dxa"/>
              <w:left w:w="28" w:type="dxa"/>
              <w:bottom w:w="0" w:type="dxa"/>
              <w:right w:w="28" w:type="dxa"/>
            </w:tcMar>
          </w:tcPr>
          <w:p w14:paraId="78199E86" w14:textId="77777777" w:rsidR="009D114F" w:rsidRPr="00470B0C" w:rsidRDefault="00470B0C" w:rsidP="004258AE">
            <w:pPr>
              <w:pStyle w:val="TableText"/>
              <w:keepNext w:val="0"/>
              <w:spacing w:line="252" w:lineRule="auto"/>
              <w:jc w:val="center"/>
              <w:rPr>
                <w:highlight w:val="black"/>
                <w:vertAlign w:val="superscript"/>
                <w:lang w:eastAsia="en-US"/>
              </w:rPr>
            </w:pPr>
            <w:r>
              <w:rPr>
                <w:noProof/>
                <w:color w:val="000000"/>
                <w:highlight w:val="black"/>
                <w:lang w:eastAsia="en-US"/>
              </w:rPr>
              <w:t>''''''''''''''''''''''''''''''</w:t>
            </w:r>
          </w:p>
          <w:p w14:paraId="09E37351"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w:t>
            </w:r>
          </w:p>
          <w:p w14:paraId="75CBAEFB"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w:t>
            </w:r>
          </w:p>
          <w:p w14:paraId="2204DB1B"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w:t>
            </w:r>
          </w:p>
          <w:p w14:paraId="2F566178"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w:t>
            </w:r>
          </w:p>
          <w:p w14:paraId="1FE5F716"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w:t>
            </w:r>
          </w:p>
          <w:p w14:paraId="5444CD33"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w:t>
            </w:r>
          </w:p>
        </w:tc>
        <w:tc>
          <w:tcPr>
            <w:tcW w:w="606" w:type="pct"/>
            <w:tcMar>
              <w:left w:w="28" w:type="dxa"/>
              <w:right w:w="28" w:type="dxa"/>
            </w:tcMar>
          </w:tcPr>
          <w:p w14:paraId="6E80FEEE" w14:textId="77777777" w:rsidR="009D114F" w:rsidRPr="00470B0C" w:rsidRDefault="00470B0C" w:rsidP="004258AE">
            <w:pPr>
              <w:pStyle w:val="TableText"/>
              <w:keepNext w:val="0"/>
              <w:spacing w:line="252" w:lineRule="auto"/>
              <w:jc w:val="center"/>
              <w:rPr>
                <w:highlight w:val="black"/>
                <w:vertAlign w:val="superscript"/>
                <w:lang w:eastAsia="en-US"/>
              </w:rPr>
            </w:pPr>
            <w:r>
              <w:rPr>
                <w:noProof/>
                <w:color w:val="000000"/>
                <w:highlight w:val="black"/>
                <w:lang w:eastAsia="en-US"/>
              </w:rPr>
              <w:t>'''''''''''''''''''''''''</w:t>
            </w:r>
          </w:p>
          <w:p w14:paraId="65C0F5C2"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w:t>
            </w:r>
          </w:p>
          <w:p w14:paraId="36A0F2B6"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w:t>
            </w:r>
          </w:p>
          <w:p w14:paraId="578C04C9"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w:t>
            </w:r>
          </w:p>
          <w:p w14:paraId="31A0769A"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w:t>
            </w:r>
          </w:p>
          <w:p w14:paraId="73F2B4C7"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w:t>
            </w:r>
          </w:p>
          <w:p w14:paraId="410E3765"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w:t>
            </w:r>
          </w:p>
        </w:tc>
        <w:tc>
          <w:tcPr>
            <w:tcW w:w="1281" w:type="pct"/>
            <w:tcMar>
              <w:top w:w="0" w:type="dxa"/>
              <w:left w:w="28" w:type="dxa"/>
              <w:bottom w:w="0" w:type="dxa"/>
              <w:right w:w="28" w:type="dxa"/>
            </w:tcMar>
          </w:tcPr>
          <w:p w14:paraId="596FF655" w14:textId="77777777" w:rsidR="009D114F" w:rsidRPr="00470B0C" w:rsidRDefault="009D114F" w:rsidP="004258AE">
            <w:pPr>
              <w:pStyle w:val="TableText"/>
              <w:keepNext w:val="0"/>
              <w:spacing w:line="252" w:lineRule="auto"/>
              <w:jc w:val="center"/>
              <w:rPr>
                <w:highlight w:val="yellow"/>
                <w:lang w:eastAsia="en-US"/>
              </w:rPr>
            </w:pPr>
          </w:p>
          <w:p w14:paraId="3749F026"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w:t>
            </w:r>
          </w:p>
          <w:p w14:paraId="2A8EB068"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w:t>
            </w:r>
          </w:p>
          <w:p w14:paraId="3F124E03"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w:t>
            </w:r>
          </w:p>
          <w:p w14:paraId="3C47A6D3"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w:t>
            </w:r>
          </w:p>
          <w:p w14:paraId="23D7CF69"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w:t>
            </w:r>
          </w:p>
          <w:p w14:paraId="293CB20F"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w:t>
            </w:r>
          </w:p>
        </w:tc>
        <w:tc>
          <w:tcPr>
            <w:tcW w:w="605" w:type="pct"/>
            <w:tcMar>
              <w:top w:w="0" w:type="dxa"/>
              <w:left w:w="28" w:type="dxa"/>
              <w:bottom w:w="0" w:type="dxa"/>
              <w:right w:w="28" w:type="dxa"/>
            </w:tcMar>
            <w:vAlign w:val="center"/>
          </w:tcPr>
          <w:p w14:paraId="1887A4CC"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 '''''''''''''</w:t>
            </w:r>
          </w:p>
          <w:p w14:paraId="26C9D431"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w:t>
            </w:r>
          </w:p>
          <w:p w14:paraId="27DE2A7A"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w:t>
            </w:r>
          </w:p>
          <w:p w14:paraId="11105986"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w:t>
            </w:r>
          </w:p>
          <w:p w14:paraId="3B471CEE"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w:t>
            </w:r>
          </w:p>
          <w:p w14:paraId="322DB998"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w:t>
            </w:r>
          </w:p>
          <w:p w14:paraId="1F35BB9C"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w:t>
            </w:r>
          </w:p>
        </w:tc>
        <w:tc>
          <w:tcPr>
            <w:tcW w:w="607" w:type="pct"/>
            <w:tcMar>
              <w:left w:w="28" w:type="dxa"/>
              <w:right w:w="28" w:type="dxa"/>
            </w:tcMar>
            <w:vAlign w:val="center"/>
          </w:tcPr>
          <w:p w14:paraId="6B6B1CC5"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w:t>
            </w:r>
          </w:p>
          <w:p w14:paraId="073BAE40"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w:t>
            </w:r>
          </w:p>
          <w:p w14:paraId="17988A52"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w:t>
            </w:r>
          </w:p>
          <w:p w14:paraId="51FF20B0"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w:t>
            </w:r>
          </w:p>
          <w:p w14:paraId="4395E2EB"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w:t>
            </w:r>
          </w:p>
          <w:p w14:paraId="682F292F"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w:t>
            </w:r>
          </w:p>
          <w:p w14:paraId="744BEBC7"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w:t>
            </w:r>
          </w:p>
        </w:tc>
      </w:tr>
      <w:tr w:rsidR="009D114F" w:rsidRPr="009D19CE" w14:paraId="4EF0CAA8" w14:textId="77777777" w:rsidTr="00055FF2">
        <w:trPr>
          <w:cantSplit/>
        </w:trPr>
        <w:tc>
          <w:tcPr>
            <w:tcW w:w="1295" w:type="pct"/>
            <w:tcMar>
              <w:top w:w="0" w:type="dxa"/>
              <w:left w:w="28" w:type="dxa"/>
              <w:bottom w:w="0" w:type="dxa"/>
              <w:right w:w="28" w:type="dxa"/>
            </w:tcMar>
          </w:tcPr>
          <w:p w14:paraId="0550CE55" w14:textId="77777777" w:rsidR="009D114F" w:rsidRPr="00470B0C" w:rsidRDefault="00470B0C" w:rsidP="004258AE">
            <w:pPr>
              <w:pStyle w:val="TableText"/>
              <w:keepNext w:val="0"/>
              <w:spacing w:line="252" w:lineRule="auto"/>
              <w:rPr>
                <w:highlight w:val="black"/>
                <w:lang w:eastAsia="en-US"/>
              </w:rPr>
            </w:pPr>
            <w:r>
              <w:rPr>
                <w:noProof/>
                <w:color w:val="000000"/>
                <w:highlight w:val="black"/>
                <w:lang w:eastAsia="en-US"/>
              </w:rPr>
              <w:t>'''''''''''''''''''''''''</w:t>
            </w:r>
          </w:p>
        </w:tc>
        <w:tc>
          <w:tcPr>
            <w:tcW w:w="1212" w:type="pct"/>
            <w:gridSpan w:val="2"/>
            <w:tcMar>
              <w:top w:w="0" w:type="dxa"/>
              <w:left w:w="28" w:type="dxa"/>
              <w:bottom w:w="0" w:type="dxa"/>
              <w:right w:w="28" w:type="dxa"/>
            </w:tcMar>
            <w:vAlign w:val="center"/>
          </w:tcPr>
          <w:p w14:paraId="08085891"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 '''''''''' '''''''''''''''''''''''''''''''''</w:t>
            </w:r>
          </w:p>
          <w:p w14:paraId="433A634E"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 '''''''''' ''''''''''''''' ''''''' ''''''''''' ''''''''''''''''' '''''''''''''''''''''''''</w:t>
            </w:r>
          </w:p>
        </w:tc>
        <w:tc>
          <w:tcPr>
            <w:tcW w:w="1281" w:type="pct"/>
            <w:tcMar>
              <w:top w:w="0" w:type="dxa"/>
              <w:left w:w="28" w:type="dxa"/>
              <w:bottom w:w="0" w:type="dxa"/>
              <w:right w:w="28" w:type="dxa"/>
            </w:tcMar>
            <w:vAlign w:val="center"/>
          </w:tcPr>
          <w:p w14:paraId="32007CC1"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 ''''''''''''''''''''''''''' '''''''''''''''</w:t>
            </w:r>
          </w:p>
        </w:tc>
        <w:tc>
          <w:tcPr>
            <w:tcW w:w="1212" w:type="pct"/>
            <w:gridSpan w:val="2"/>
            <w:tcMar>
              <w:top w:w="0" w:type="dxa"/>
              <w:left w:w="28" w:type="dxa"/>
              <w:bottom w:w="0" w:type="dxa"/>
              <w:right w:w="28" w:type="dxa"/>
            </w:tcMar>
            <w:vAlign w:val="center"/>
          </w:tcPr>
          <w:p w14:paraId="57BED4A6"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 '''''''''''''''''''''''''''' ''''''''''''' ''''''''''''''''''''''''''''' '''''''' ''''''''''''''''' '''''''''''''''''''''''''''</w:t>
            </w:r>
          </w:p>
        </w:tc>
      </w:tr>
      <w:tr w:rsidR="009D114F" w:rsidRPr="009D19CE" w14:paraId="13C53CAB" w14:textId="77777777" w:rsidTr="00055FF2">
        <w:trPr>
          <w:cantSplit/>
        </w:trPr>
        <w:tc>
          <w:tcPr>
            <w:tcW w:w="5000" w:type="pct"/>
            <w:gridSpan w:val="6"/>
            <w:tcMar>
              <w:top w:w="0" w:type="dxa"/>
              <w:left w:w="28" w:type="dxa"/>
              <w:bottom w:w="0" w:type="dxa"/>
              <w:right w:w="28" w:type="dxa"/>
            </w:tcMar>
          </w:tcPr>
          <w:p w14:paraId="069B6D85" w14:textId="77777777" w:rsidR="009D114F" w:rsidRPr="00470B0C" w:rsidRDefault="00470B0C" w:rsidP="004258AE">
            <w:pPr>
              <w:pStyle w:val="TableText"/>
              <w:keepNext w:val="0"/>
              <w:rPr>
                <w:b/>
                <w:highlight w:val="yellow"/>
                <w:lang w:eastAsia="en-US"/>
              </w:rPr>
            </w:pPr>
            <w:r>
              <w:rPr>
                <w:b/>
                <w:noProof/>
                <w:color w:val="000000"/>
                <w:highlight w:val="black"/>
                <w:lang w:eastAsia="en-US"/>
              </w:rPr>
              <w:t xml:space="preserve">''''''''''''''''''''''''''''''''''''''''' '''''''''''''''''''' ''''''''''''' ''''''''''''''' ''''''''' ''''''''''''''''''''''''' </w:t>
            </w:r>
            <w:r>
              <w:rPr>
                <w:noProof/>
                <w:color w:val="000000"/>
                <w:highlight w:val="black"/>
                <w:lang w:eastAsia="en-US"/>
              </w:rPr>
              <w:t>''''''''''''' '''''''''''' '''''''''''''''''''''' ''''''''''''''''''''' '''''''''''''''''' '''''''''' ''''''''''''''''''''' ''''' ''''''''''''''''' '''''''' ''''' ''''''''''''''''''''''''''''''''''''''''''''''' ''''' '''' '''''''''''''''''''''''''''''''''' ''''''''''''</w:t>
            </w:r>
          </w:p>
        </w:tc>
      </w:tr>
      <w:tr w:rsidR="009D114F" w:rsidRPr="009D19CE" w14:paraId="74506734" w14:textId="77777777" w:rsidTr="00055FF2">
        <w:trPr>
          <w:cantSplit/>
        </w:trPr>
        <w:tc>
          <w:tcPr>
            <w:tcW w:w="1295" w:type="pct"/>
            <w:tcMar>
              <w:top w:w="0" w:type="dxa"/>
              <w:left w:w="28" w:type="dxa"/>
              <w:bottom w:w="0" w:type="dxa"/>
              <w:right w:w="28" w:type="dxa"/>
            </w:tcMar>
            <w:vAlign w:val="center"/>
          </w:tcPr>
          <w:p w14:paraId="10B52C30" w14:textId="77777777" w:rsidR="009D114F" w:rsidRPr="00470B0C" w:rsidRDefault="00470B0C" w:rsidP="004258AE">
            <w:pPr>
              <w:pStyle w:val="TableText"/>
              <w:keepNext w:val="0"/>
              <w:rPr>
                <w:highlight w:val="black"/>
                <w:vertAlign w:val="superscript"/>
              </w:rPr>
            </w:pPr>
            <w:r>
              <w:rPr>
                <w:noProof/>
                <w:color w:val="000000"/>
                <w:highlight w:val="black"/>
              </w:rPr>
              <w:t>''''''''''''''''''</w:t>
            </w:r>
          </w:p>
          <w:p w14:paraId="116CEC88" w14:textId="77777777" w:rsidR="009D114F" w:rsidRPr="00470B0C" w:rsidRDefault="00470B0C" w:rsidP="004258AE">
            <w:pPr>
              <w:pStyle w:val="TableText"/>
              <w:keepNext w:val="0"/>
              <w:rPr>
                <w:highlight w:val="black"/>
              </w:rPr>
            </w:pPr>
            <w:r>
              <w:rPr>
                <w:noProof/>
                <w:color w:val="000000"/>
                <w:highlight w:val="black"/>
              </w:rPr>
              <w:t>'''''''''' ''''</w:t>
            </w:r>
          </w:p>
          <w:p w14:paraId="1ABACEA3" w14:textId="77777777" w:rsidR="009D114F" w:rsidRPr="00470B0C" w:rsidRDefault="00470B0C" w:rsidP="004258AE">
            <w:pPr>
              <w:pStyle w:val="TableText"/>
              <w:keepNext w:val="0"/>
              <w:rPr>
                <w:highlight w:val="black"/>
              </w:rPr>
            </w:pPr>
            <w:r>
              <w:rPr>
                <w:noProof/>
                <w:color w:val="000000"/>
                <w:highlight w:val="black"/>
              </w:rPr>
              <w:t>'''''''''' ''''</w:t>
            </w:r>
          </w:p>
          <w:p w14:paraId="0B9603A8" w14:textId="77777777" w:rsidR="009D114F" w:rsidRPr="00470B0C" w:rsidRDefault="00470B0C" w:rsidP="004258AE">
            <w:pPr>
              <w:pStyle w:val="TableText"/>
              <w:keepNext w:val="0"/>
              <w:rPr>
                <w:highlight w:val="black"/>
              </w:rPr>
            </w:pPr>
            <w:r>
              <w:rPr>
                <w:noProof/>
                <w:color w:val="000000"/>
                <w:highlight w:val="black"/>
              </w:rPr>
              <w:t>''''''''''' ''''</w:t>
            </w:r>
          </w:p>
          <w:p w14:paraId="1516FF9A" w14:textId="77777777" w:rsidR="009D114F" w:rsidRPr="00470B0C" w:rsidRDefault="00470B0C" w:rsidP="004258AE">
            <w:pPr>
              <w:pStyle w:val="TableText"/>
              <w:keepNext w:val="0"/>
              <w:rPr>
                <w:highlight w:val="black"/>
              </w:rPr>
            </w:pPr>
            <w:r>
              <w:rPr>
                <w:noProof/>
                <w:color w:val="000000"/>
                <w:highlight w:val="black"/>
              </w:rPr>
              <w:t>''''''''''''' ''''</w:t>
            </w:r>
          </w:p>
          <w:p w14:paraId="2E5879EF" w14:textId="77777777" w:rsidR="009D114F" w:rsidRPr="00470B0C" w:rsidRDefault="00470B0C" w:rsidP="004258AE">
            <w:pPr>
              <w:pStyle w:val="TableText"/>
              <w:keepNext w:val="0"/>
              <w:rPr>
                <w:highlight w:val="black"/>
              </w:rPr>
            </w:pPr>
            <w:r>
              <w:rPr>
                <w:noProof/>
                <w:color w:val="000000"/>
                <w:highlight w:val="black"/>
              </w:rPr>
              <w:t>''''''''''' ''''</w:t>
            </w:r>
          </w:p>
          <w:p w14:paraId="134A8824" w14:textId="77777777" w:rsidR="009D114F" w:rsidRPr="00470B0C" w:rsidRDefault="00470B0C" w:rsidP="004258AE">
            <w:pPr>
              <w:pStyle w:val="TableText"/>
              <w:keepNext w:val="0"/>
              <w:rPr>
                <w:highlight w:val="black"/>
              </w:rPr>
            </w:pPr>
            <w:r>
              <w:rPr>
                <w:noProof/>
                <w:color w:val="000000"/>
                <w:highlight w:val="black"/>
              </w:rPr>
              <w:t>'''''''''' ''''</w:t>
            </w:r>
          </w:p>
        </w:tc>
        <w:tc>
          <w:tcPr>
            <w:tcW w:w="1212" w:type="pct"/>
            <w:gridSpan w:val="2"/>
            <w:tcMar>
              <w:top w:w="0" w:type="dxa"/>
              <w:left w:w="28" w:type="dxa"/>
              <w:bottom w:w="0" w:type="dxa"/>
              <w:right w:w="28" w:type="dxa"/>
            </w:tcMar>
          </w:tcPr>
          <w:p w14:paraId="2D55770A" w14:textId="77777777" w:rsidR="009D114F" w:rsidRPr="00470B0C" w:rsidRDefault="009D114F" w:rsidP="004258AE">
            <w:pPr>
              <w:pStyle w:val="TableText"/>
              <w:keepNext w:val="0"/>
              <w:jc w:val="center"/>
              <w:rPr>
                <w:highlight w:val="yellow"/>
              </w:rPr>
            </w:pPr>
          </w:p>
          <w:p w14:paraId="42C489AF" w14:textId="77777777" w:rsidR="009D114F" w:rsidRPr="00470B0C" w:rsidRDefault="00470B0C" w:rsidP="004258AE">
            <w:pPr>
              <w:pStyle w:val="TableText"/>
              <w:keepNext w:val="0"/>
              <w:jc w:val="center"/>
              <w:rPr>
                <w:highlight w:val="black"/>
              </w:rPr>
            </w:pPr>
            <w:r>
              <w:rPr>
                <w:noProof/>
                <w:color w:val="000000"/>
                <w:highlight w:val="black"/>
              </w:rPr>
              <w:t>'''''''''''' '''''''''''''''</w:t>
            </w:r>
          </w:p>
          <w:p w14:paraId="08E2CA41" w14:textId="77777777" w:rsidR="009D114F" w:rsidRPr="00470B0C" w:rsidRDefault="00470B0C" w:rsidP="004258AE">
            <w:pPr>
              <w:pStyle w:val="TableText"/>
              <w:keepNext w:val="0"/>
              <w:jc w:val="center"/>
              <w:rPr>
                <w:highlight w:val="black"/>
              </w:rPr>
            </w:pPr>
            <w:r>
              <w:rPr>
                <w:noProof/>
                <w:color w:val="000000"/>
                <w:highlight w:val="black"/>
              </w:rPr>
              <w:t>'''''''''''''' ''''''''''''''''</w:t>
            </w:r>
          </w:p>
          <w:p w14:paraId="7F75E49E" w14:textId="77777777" w:rsidR="009D114F" w:rsidRPr="00470B0C" w:rsidRDefault="00470B0C" w:rsidP="004258AE">
            <w:pPr>
              <w:pStyle w:val="TableText"/>
              <w:keepNext w:val="0"/>
              <w:jc w:val="center"/>
              <w:rPr>
                <w:highlight w:val="black"/>
              </w:rPr>
            </w:pPr>
            <w:r>
              <w:rPr>
                <w:noProof/>
                <w:color w:val="000000"/>
                <w:highlight w:val="black"/>
              </w:rPr>
              <w:t>''''''''''''' '''''''''''''''''</w:t>
            </w:r>
          </w:p>
          <w:p w14:paraId="68D08CC3" w14:textId="77777777" w:rsidR="009D114F" w:rsidRPr="00470B0C" w:rsidRDefault="00470B0C" w:rsidP="004258AE">
            <w:pPr>
              <w:pStyle w:val="TableText"/>
              <w:keepNext w:val="0"/>
              <w:jc w:val="center"/>
              <w:rPr>
                <w:highlight w:val="black"/>
              </w:rPr>
            </w:pPr>
            <w:r>
              <w:rPr>
                <w:noProof/>
                <w:color w:val="000000"/>
                <w:highlight w:val="black"/>
              </w:rPr>
              <w:t>''''''''''''' ''''''''''''''''''</w:t>
            </w:r>
          </w:p>
          <w:p w14:paraId="23B50F5A" w14:textId="77777777" w:rsidR="009D114F" w:rsidRPr="00470B0C" w:rsidRDefault="00470B0C" w:rsidP="004258AE">
            <w:pPr>
              <w:pStyle w:val="TableText"/>
              <w:keepNext w:val="0"/>
              <w:jc w:val="center"/>
              <w:rPr>
                <w:highlight w:val="black"/>
              </w:rPr>
            </w:pPr>
            <w:r>
              <w:rPr>
                <w:noProof/>
                <w:color w:val="000000"/>
                <w:highlight w:val="black"/>
              </w:rPr>
              <w:t>''''''''''''''' ''''''''''''''''</w:t>
            </w:r>
          </w:p>
          <w:p w14:paraId="741AA27E" w14:textId="77777777" w:rsidR="009D114F" w:rsidRPr="00470B0C" w:rsidRDefault="00470B0C" w:rsidP="004258AE">
            <w:pPr>
              <w:pStyle w:val="TableText"/>
              <w:keepNext w:val="0"/>
              <w:jc w:val="center"/>
              <w:rPr>
                <w:highlight w:val="black"/>
              </w:rPr>
            </w:pPr>
            <w:r>
              <w:rPr>
                <w:noProof/>
                <w:color w:val="000000"/>
                <w:highlight w:val="black"/>
              </w:rPr>
              <w:t>'''''''''''''' '''''''''''''''''</w:t>
            </w:r>
          </w:p>
        </w:tc>
        <w:tc>
          <w:tcPr>
            <w:tcW w:w="1281" w:type="pct"/>
            <w:tcMar>
              <w:top w:w="0" w:type="dxa"/>
              <w:left w:w="28" w:type="dxa"/>
              <w:bottom w:w="0" w:type="dxa"/>
              <w:right w:w="28" w:type="dxa"/>
            </w:tcMar>
          </w:tcPr>
          <w:p w14:paraId="3CD8C1D2" w14:textId="77777777" w:rsidR="009D114F" w:rsidRPr="00470B0C" w:rsidRDefault="009D114F" w:rsidP="004258AE">
            <w:pPr>
              <w:pStyle w:val="TableText"/>
              <w:keepNext w:val="0"/>
              <w:jc w:val="center"/>
              <w:rPr>
                <w:highlight w:val="yellow"/>
                <w:lang w:eastAsia="en-US"/>
              </w:rPr>
            </w:pPr>
          </w:p>
          <w:p w14:paraId="62906D7A" w14:textId="77777777" w:rsidR="009D114F" w:rsidRPr="00470B0C" w:rsidRDefault="00470B0C" w:rsidP="004258AE">
            <w:pPr>
              <w:pStyle w:val="TableText"/>
              <w:keepNext w:val="0"/>
              <w:jc w:val="center"/>
              <w:rPr>
                <w:highlight w:val="black"/>
                <w:lang w:eastAsia="en-US"/>
              </w:rPr>
            </w:pPr>
            <w:r>
              <w:rPr>
                <w:noProof/>
                <w:color w:val="000000"/>
                <w:highlight w:val="black"/>
                <w:lang w:eastAsia="en-US"/>
              </w:rPr>
              <w:t>'''''''''''''' '''''''''''''''''</w:t>
            </w:r>
          </w:p>
          <w:p w14:paraId="59C4D981" w14:textId="77777777" w:rsidR="009D114F" w:rsidRPr="00470B0C" w:rsidRDefault="00470B0C" w:rsidP="004258AE">
            <w:pPr>
              <w:pStyle w:val="TableText"/>
              <w:keepNext w:val="0"/>
              <w:jc w:val="center"/>
              <w:rPr>
                <w:highlight w:val="black"/>
                <w:lang w:eastAsia="en-US"/>
              </w:rPr>
            </w:pPr>
            <w:r>
              <w:rPr>
                <w:noProof/>
                <w:color w:val="000000"/>
                <w:highlight w:val="black"/>
                <w:lang w:eastAsia="en-US"/>
              </w:rPr>
              <w:t>''''''''''''' ''''''''''''''''''</w:t>
            </w:r>
          </w:p>
          <w:p w14:paraId="6FD91130" w14:textId="77777777" w:rsidR="009D114F" w:rsidRPr="00470B0C" w:rsidRDefault="00470B0C" w:rsidP="004258AE">
            <w:pPr>
              <w:pStyle w:val="TableText"/>
              <w:keepNext w:val="0"/>
              <w:jc w:val="center"/>
              <w:rPr>
                <w:highlight w:val="black"/>
                <w:lang w:eastAsia="en-US"/>
              </w:rPr>
            </w:pPr>
            <w:r>
              <w:rPr>
                <w:noProof/>
                <w:color w:val="000000"/>
                <w:highlight w:val="black"/>
                <w:lang w:eastAsia="en-US"/>
              </w:rPr>
              <w:t>'''''''''''' '''''''''''''''</w:t>
            </w:r>
          </w:p>
          <w:p w14:paraId="75754AC8" w14:textId="77777777" w:rsidR="009D114F" w:rsidRPr="00470B0C" w:rsidRDefault="00470B0C" w:rsidP="004258AE">
            <w:pPr>
              <w:pStyle w:val="TableText"/>
              <w:keepNext w:val="0"/>
              <w:jc w:val="center"/>
              <w:rPr>
                <w:highlight w:val="black"/>
                <w:lang w:eastAsia="en-US"/>
              </w:rPr>
            </w:pPr>
            <w:r>
              <w:rPr>
                <w:noProof/>
                <w:color w:val="000000"/>
                <w:highlight w:val="black"/>
                <w:lang w:eastAsia="en-US"/>
              </w:rPr>
              <w:t>'''''''''''''' '''''''''''''''</w:t>
            </w:r>
          </w:p>
          <w:p w14:paraId="2FC2CDAC" w14:textId="77777777" w:rsidR="009D114F" w:rsidRPr="00470B0C" w:rsidRDefault="00470B0C" w:rsidP="004258AE">
            <w:pPr>
              <w:pStyle w:val="TableText"/>
              <w:keepNext w:val="0"/>
              <w:jc w:val="center"/>
              <w:rPr>
                <w:highlight w:val="black"/>
                <w:lang w:eastAsia="en-US"/>
              </w:rPr>
            </w:pPr>
            <w:r>
              <w:rPr>
                <w:noProof/>
                <w:color w:val="000000"/>
                <w:highlight w:val="black"/>
                <w:lang w:eastAsia="en-US"/>
              </w:rPr>
              <w:t>''''''''''''' ''''''''''''''''</w:t>
            </w:r>
          </w:p>
          <w:p w14:paraId="5F59126E" w14:textId="77777777" w:rsidR="009D114F" w:rsidRPr="00470B0C" w:rsidRDefault="00470B0C" w:rsidP="004258AE">
            <w:pPr>
              <w:pStyle w:val="TableText"/>
              <w:keepNext w:val="0"/>
              <w:jc w:val="center"/>
              <w:rPr>
                <w:highlight w:val="black"/>
                <w:lang w:eastAsia="en-US"/>
              </w:rPr>
            </w:pPr>
            <w:r>
              <w:rPr>
                <w:noProof/>
                <w:color w:val="000000"/>
                <w:highlight w:val="black"/>
                <w:lang w:eastAsia="en-US"/>
              </w:rPr>
              <w:t>'''''''''</w:t>
            </w:r>
          </w:p>
        </w:tc>
        <w:tc>
          <w:tcPr>
            <w:tcW w:w="1212" w:type="pct"/>
            <w:gridSpan w:val="2"/>
            <w:tcMar>
              <w:top w:w="0" w:type="dxa"/>
              <w:left w:w="28" w:type="dxa"/>
              <w:bottom w:w="0" w:type="dxa"/>
              <w:right w:w="28" w:type="dxa"/>
            </w:tcMar>
          </w:tcPr>
          <w:p w14:paraId="7724E2B8" w14:textId="77777777" w:rsidR="009D114F" w:rsidRPr="00470B0C" w:rsidRDefault="009D114F" w:rsidP="004258AE">
            <w:pPr>
              <w:pStyle w:val="TableText"/>
              <w:keepNext w:val="0"/>
              <w:jc w:val="center"/>
              <w:rPr>
                <w:highlight w:val="yellow"/>
              </w:rPr>
            </w:pPr>
          </w:p>
          <w:p w14:paraId="5D1AA819" w14:textId="77777777" w:rsidR="009D114F" w:rsidRPr="00470B0C" w:rsidRDefault="00470B0C" w:rsidP="004258AE">
            <w:pPr>
              <w:pStyle w:val="TableText"/>
              <w:keepNext w:val="0"/>
              <w:jc w:val="center"/>
              <w:rPr>
                <w:highlight w:val="black"/>
              </w:rPr>
            </w:pPr>
            <w:r>
              <w:rPr>
                <w:noProof/>
                <w:color w:val="000000"/>
                <w:highlight w:val="black"/>
              </w:rPr>
              <w:t>'''''''''''''''' '''''''''''''''''</w:t>
            </w:r>
          </w:p>
          <w:p w14:paraId="62AFBFA4" w14:textId="77777777" w:rsidR="009D114F" w:rsidRPr="00470B0C" w:rsidRDefault="00470B0C" w:rsidP="004258AE">
            <w:pPr>
              <w:pStyle w:val="TableText"/>
              <w:keepNext w:val="0"/>
              <w:jc w:val="center"/>
              <w:rPr>
                <w:highlight w:val="black"/>
              </w:rPr>
            </w:pPr>
            <w:r>
              <w:rPr>
                <w:noProof/>
                <w:color w:val="000000"/>
                <w:highlight w:val="black"/>
              </w:rPr>
              <w:t>''''''''''''''''''' ''''''''''''''''''</w:t>
            </w:r>
          </w:p>
          <w:p w14:paraId="0B57DA63" w14:textId="77777777" w:rsidR="009D114F" w:rsidRPr="00470B0C" w:rsidRDefault="00470B0C" w:rsidP="004258AE">
            <w:pPr>
              <w:pStyle w:val="TableText"/>
              <w:keepNext w:val="0"/>
              <w:jc w:val="center"/>
              <w:rPr>
                <w:highlight w:val="black"/>
              </w:rPr>
            </w:pPr>
            <w:r>
              <w:rPr>
                <w:noProof/>
                <w:color w:val="000000"/>
                <w:highlight w:val="black"/>
              </w:rPr>
              <w:t>'''''''''''''''''' ''''''''''''''''</w:t>
            </w:r>
          </w:p>
          <w:p w14:paraId="4461B958" w14:textId="77777777" w:rsidR="009D114F" w:rsidRPr="00470B0C" w:rsidRDefault="00470B0C" w:rsidP="004258AE">
            <w:pPr>
              <w:pStyle w:val="TableText"/>
              <w:keepNext w:val="0"/>
              <w:jc w:val="center"/>
              <w:rPr>
                <w:highlight w:val="black"/>
              </w:rPr>
            </w:pPr>
            <w:r>
              <w:rPr>
                <w:noProof/>
                <w:color w:val="000000"/>
                <w:highlight w:val="black"/>
              </w:rPr>
              <w:t>''''''''''''''''''' ''''''''''''''''''</w:t>
            </w:r>
          </w:p>
          <w:p w14:paraId="74103357" w14:textId="77777777" w:rsidR="009D114F" w:rsidRPr="00470B0C" w:rsidRDefault="00470B0C" w:rsidP="004258AE">
            <w:pPr>
              <w:pStyle w:val="TableText"/>
              <w:keepNext w:val="0"/>
              <w:jc w:val="center"/>
              <w:rPr>
                <w:highlight w:val="black"/>
              </w:rPr>
            </w:pPr>
            <w:r>
              <w:rPr>
                <w:noProof/>
                <w:color w:val="000000"/>
                <w:highlight w:val="black"/>
              </w:rPr>
              <w:t>'''''''''''''''''' ''''''''''''''''''</w:t>
            </w:r>
          </w:p>
          <w:p w14:paraId="2C8E90A9" w14:textId="77777777" w:rsidR="009D114F" w:rsidRPr="00470B0C" w:rsidRDefault="00470B0C" w:rsidP="004258AE">
            <w:pPr>
              <w:pStyle w:val="TableText"/>
              <w:keepNext w:val="0"/>
              <w:jc w:val="center"/>
              <w:rPr>
                <w:highlight w:val="black"/>
              </w:rPr>
            </w:pPr>
            <w:r>
              <w:rPr>
                <w:noProof/>
                <w:color w:val="000000"/>
                <w:highlight w:val="black"/>
              </w:rPr>
              <w:t>''''''''''''''''' ''''''''''''''''''</w:t>
            </w:r>
          </w:p>
        </w:tc>
      </w:tr>
      <w:tr w:rsidR="009D114F" w:rsidRPr="009D19CE" w14:paraId="5A2D4794" w14:textId="77777777" w:rsidTr="00055FF2">
        <w:trPr>
          <w:cantSplit/>
        </w:trPr>
        <w:tc>
          <w:tcPr>
            <w:tcW w:w="1295" w:type="pct"/>
            <w:tcMar>
              <w:top w:w="0" w:type="dxa"/>
              <w:left w:w="28" w:type="dxa"/>
              <w:bottom w:w="0" w:type="dxa"/>
              <w:right w:w="28" w:type="dxa"/>
            </w:tcMar>
          </w:tcPr>
          <w:p w14:paraId="4B941E7D" w14:textId="77777777" w:rsidR="009D114F" w:rsidRPr="00470B0C" w:rsidRDefault="00470B0C" w:rsidP="004258AE">
            <w:pPr>
              <w:pStyle w:val="TableText"/>
              <w:keepNext w:val="0"/>
              <w:rPr>
                <w:highlight w:val="black"/>
              </w:rPr>
            </w:pPr>
            <w:r>
              <w:rPr>
                <w:noProof/>
                <w:color w:val="000000"/>
                <w:highlight w:val="black"/>
              </w:rPr>
              <w:lastRenderedPageBreak/>
              <w:t>'''''''''''''''''</w:t>
            </w:r>
          </w:p>
          <w:p w14:paraId="0C629122" w14:textId="77777777" w:rsidR="009D114F" w:rsidRPr="00470B0C" w:rsidRDefault="00470B0C" w:rsidP="004258AE">
            <w:pPr>
              <w:pStyle w:val="TableText"/>
              <w:keepNext w:val="0"/>
              <w:rPr>
                <w:highlight w:val="black"/>
              </w:rPr>
            </w:pPr>
            <w:r>
              <w:rPr>
                <w:noProof/>
                <w:color w:val="000000"/>
                <w:highlight w:val="black"/>
              </w:rPr>
              <w:t>''''''''''''' '''</w:t>
            </w:r>
          </w:p>
          <w:p w14:paraId="3C667229" w14:textId="77777777" w:rsidR="009D114F" w:rsidRPr="00470B0C" w:rsidRDefault="00470B0C" w:rsidP="004258AE">
            <w:pPr>
              <w:pStyle w:val="TableText"/>
              <w:keepNext w:val="0"/>
              <w:rPr>
                <w:highlight w:val="black"/>
              </w:rPr>
            </w:pPr>
            <w:r>
              <w:rPr>
                <w:noProof/>
                <w:color w:val="000000"/>
                <w:highlight w:val="black"/>
              </w:rPr>
              <w:t>'''''''''' '''</w:t>
            </w:r>
          </w:p>
          <w:p w14:paraId="41365A33" w14:textId="77777777" w:rsidR="009D114F" w:rsidRPr="00470B0C" w:rsidRDefault="00470B0C" w:rsidP="004258AE">
            <w:pPr>
              <w:pStyle w:val="TableText"/>
              <w:keepNext w:val="0"/>
              <w:rPr>
                <w:highlight w:val="black"/>
              </w:rPr>
            </w:pPr>
            <w:r>
              <w:rPr>
                <w:noProof/>
                <w:color w:val="000000"/>
                <w:highlight w:val="black"/>
              </w:rPr>
              <w:t>'''''''''''' ''''</w:t>
            </w:r>
          </w:p>
          <w:p w14:paraId="5D2F1F0E" w14:textId="77777777" w:rsidR="009D114F" w:rsidRPr="00470B0C" w:rsidRDefault="00470B0C" w:rsidP="004258AE">
            <w:pPr>
              <w:pStyle w:val="TableText"/>
              <w:keepNext w:val="0"/>
              <w:rPr>
                <w:highlight w:val="black"/>
              </w:rPr>
            </w:pPr>
            <w:r>
              <w:rPr>
                <w:noProof/>
                <w:color w:val="000000"/>
                <w:highlight w:val="black"/>
              </w:rPr>
              <w:t>''''''''''' '''</w:t>
            </w:r>
          </w:p>
          <w:p w14:paraId="73C755B1" w14:textId="77777777" w:rsidR="009D114F" w:rsidRPr="00470B0C" w:rsidRDefault="00470B0C" w:rsidP="004258AE">
            <w:pPr>
              <w:pStyle w:val="TableText"/>
              <w:keepNext w:val="0"/>
              <w:rPr>
                <w:highlight w:val="black"/>
              </w:rPr>
            </w:pPr>
            <w:r>
              <w:rPr>
                <w:noProof/>
                <w:color w:val="000000"/>
                <w:highlight w:val="black"/>
              </w:rPr>
              <w:t>''''''''''' '''</w:t>
            </w:r>
          </w:p>
          <w:p w14:paraId="412F5FF0" w14:textId="77777777" w:rsidR="009D114F" w:rsidRPr="00470B0C" w:rsidRDefault="00470B0C" w:rsidP="004258AE">
            <w:pPr>
              <w:pStyle w:val="TableText"/>
              <w:keepNext w:val="0"/>
              <w:rPr>
                <w:highlight w:val="black"/>
                <w:lang w:eastAsia="en-US"/>
              </w:rPr>
            </w:pPr>
            <w:r>
              <w:rPr>
                <w:noProof/>
                <w:color w:val="000000"/>
                <w:highlight w:val="black"/>
              </w:rPr>
              <w:t>''''''''''' '''</w:t>
            </w:r>
          </w:p>
        </w:tc>
        <w:tc>
          <w:tcPr>
            <w:tcW w:w="1212" w:type="pct"/>
            <w:gridSpan w:val="2"/>
            <w:tcMar>
              <w:top w:w="0" w:type="dxa"/>
              <w:left w:w="28" w:type="dxa"/>
              <w:bottom w:w="0" w:type="dxa"/>
              <w:right w:w="28" w:type="dxa"/>
            </w:tcMar>
          </w:tcPr>
          <w:p w14:paraId="51803EBF" w14:textId="77777777" w:rsidR="009D114F" w:rsidRPr="00470B0C" w:rsidRDefault="009D114F" w:rsidP="004258AE">
            <w:pPr>
              <w:pStyle w:val="TableText"/>
              <w:keepNext w:val="0"/>
              <w:jc w:val="center"/>
              <w:rPr>
                <w:highlight w:val="yellow"/>
              </w:rPr>
            </w:pPr>
          </w:p>
          <w:p w14:paraId="3FF406F2" w14:textId="77777777" w:rsidR="009D114F" w:rsidRPr="00470B0C" w:rsidRDefault="00470B0C" w:rsidP="004258AE">
            <w:pPr>
              <w:pStyle w:val="TableText"/>
              <w:keepNext w:val="0"/>
              <w:jc w:val="center"/>
              <w:rPr>
                <w:highlight w:val="black"/>
              </w:rPr>
            </w:pPr>
            <w:r>
              <w:rPr>
                <w:noProof/>
                <w:color w:val="000000"/>
                <w:highlight w:val="black"/>
              </w:rPr>
              <w:t>'''''''''''''' ''''''''''''''''''''</w:t>
            </w:r>
          </w:p>
          <w:p w14:paraId="0FBB386D" w14:textId="77777777" w:rsidR="009D114F" w:rsidRPr="00470B0C" w:rsidRDefault="00470B0C" w:rsidP="004258AE">
            <w:pPr>
              <w:pStyle w:val="TableText"/>
              <w:keepNext w:val="0"/>
              <w:jc w:val="center"/>
              <w:rPr>
                <w:highlight w:val="black"/>
              </w:rPr>
            </w:pPr>
            <w:r>
              <w:rPr>
                <w:noProof/>
                <w:color w:val="000000"/>
                <w:highlight w:val="black"/>
              </w:rPr>
              <w:t>''''''''''''' '''''''''''''''''''</w:t>
            </w:r>
          </w:p>
          <w:p w14:paraId="1C705E27" w14:textId="77777777" w:rsidR="009D114F" w:rsidRPr="00470B0C" w:rsidRDefault="00470B0C" w:rsidP="004258AE">
            <w:pPr>
              <w:pStyle w:val="TableText"/>
              <w:keepNext w:val="0"/>
              <w:jc w:val="center"/>
              <w:rPr>
                <w:highlight w:val="black"/>
              </w:rPr>
            </w:pPr>
            <w:r>
              <w:rPr>
                <w:noProof/>
                <w:color w:val="000000"/>
                <w:highlight w:val="black"/>
              </w:rPr>
              <w:t>''''''''''''''' ''''''''''''''''''''</w:t>
            </w:r>
          </w:p>
          <w:p w14:paraId="1DD8CC9F" w14:textId="77777777" w:rsidR="009D114F" w:rsidRPr="00470B0C" w:rsidRDefault="00470B0C" w:rsidP="004258AE">
            <w:pPr>
              <w:pStyle w:val="TableText"/>
              <w:keepNext w:val="0"/>
              <w:jc w:val="center"/>
              <w:rPr>
                <w:highlight w:val="black"/>
              </w:rPr>
            </w:pPr>
            <w:r>
              <w:rPr>
                <w:noProof/>
                <w:color w:val="000000"/>
                <w:highlight w:val="black"/>
              </w:rPr>
              <w:t>''''''''''''''' ''''''''''''''''''''</w:t>
            </w:r>
          </w:p>
          <w:p w14:paraId="212EAA0F" w14:textId="77777777" w:rsidR="009D114F" w:rsidRPr="00470B0C" w:rsidRDefault="00470B0C" w:rsidP="004258AE">
            <w:pPr>
              <w:pStyle w:val="TableText"/>
              <w:keepNext w:val="0"/>
              <w:jc w:val="center"/>
              <w:rPr>
                <w:highlight w:val="black"/>
              </w:rPr>
            </w:pPr>
            <w:r>
              <w:rPr>
                <w:noProof/>
                <w:color w:val="000000"/>
                <w:highlight w:val="black"/>
              </w:rPr>
              <w:t>'''''''''''''' '''''''''''''''''</w:t>
            </w:r>
          </w:p>
          <w:p w14:paraId="163EC111" w14:textId="77777777" w:rsidR="009D114F" w:rsidRPr="00470B0C" w:rsidRDefault="00470B0C" w:rsidP="004258AE">
            <w:pPr>
              <w:pStyle w:val="TableText"/>
              <w:keepNext w:val="0"/>
              <w:jc w:val="center"/>
              <w:rPr>
                <w:highlight w:val="black"/>
                <w:lang w:eastAsia="en-US"/>
              </w:rPr>
            </w:pPr>
            <w:r>
              <w:rPr>
                <w:noProof/>
                <w:color w:val="000000"/>
                <w:highlight w:val="black"/>
              </w:rPr>
              <w:t>''''''''''''' '''''''''''''''''''</w:t>
            </w:r>
          </w:p>
        </w:tc>
        <w:tc>
          <w:tcPr>
            <w:tcW w:w="1281" w:type="pct"/>
            <w:tcMar>
              <w:top w:w="0" w:type="dxa"/>
              <w:left w:w="28" w:type="dxa"/>
              <w:bottom w:w="0" w:type="dxa"/>
              <w:right w:w="28" w:type="dxa"/>
            </w:tcMar>
          </w:tcPr>
          <w:p w14:paraId="008164D3" w14:textId="77777777" w:rsidR="009D114F" w:rsidRPr="00470B0C" w:rsidRDefault="009D114F" w:rsidP="004258AE">
            <w:pPr>
              <w:pStyle w:val="TableText"/>
              <w:keepNext w:val="0"/>
              <w:jc w:val="center"/>
              <w:rPr>
                <w:highlight w:val="yellow"/>
                <w:lang w:eastAsia="en-US"/>
              </w:rPr>
            </w:pPr>
          </w:p>
          <w:p w14:paraId="7F05963D" w14:textId="77777777" w:rsidR="009D114F" w:rsidRPr="00470B0C" w:rsidRDefault="00470B0C" w:rsidP="004258AE">
            <w:pPr>
              <w:pStyle w:val="TableText"/>
              <w:keepNext w:val="0"/>
              <w:jc w:val="center"/>
              <w:rPr>
                <w:highlight w:val="black"/>
                <w:lang w:eastAsia="en-US"/>
              </w:rPr>
            </w:pPr>
            <w:r>
              <w:rPr>
                <w:noProof/>
                <w:color w:val="000000"/>
                <w:highlight w:val="black"/>
                <w:lang w:eastAsia="en-US"/>
              </w:rPr>
              <w:t>'''''''''''' ''''''''''''''''''''</w:t>
            </w:r>
          </w:p>
          <w:p w14:paraId="1461AD15" w14:textId="77777777" w:rsidR="009D114F" w:rsidRPr="00470B0C" w:rsidRDefault="00470B0C" w:rsidP="004258AE">
            <w:pPr>
              <w:pStyle w:val="TableText"/>
              <w:keepNext w:val="0"/>
              <w:jc w:val="center"/>
              <w:rPr>
                <w:highlight w:val="black"/>
                <w:lang w:eastAsia="en-US"/>
              </w:rPr>
            </w:pPr>
            <w:r>
              <w:rPr>
                <w:noProof/>
                <w:color w:val="000000"/>
                <w:highlight w:val="black"/>
                <w:lang w:eastAsia="en-US"/>
              </w:rPr>
              <w:t>'''''''''''''' '''''''''''''''''</w:t>
            </w:r>
          </w:p>
          <w:p w14:paraId="0239B482" w14:textId="77777777" w:rsidR="009D114F" w:rsidRPr="00470B0C" w:rsidRDefault="00470B0C" w:rsidP="004258AE">
            <w:pPr>
              <w:pStyle w:val="TableText"/>
              <w:keepNext w:val="0"/>
              <w:jc w:val="center"/>
              <w:rPr>
                <w:highlight w:val="black"/>
                <w:lang w:eastAsia="en-US"/>
              </w:rPr>
            </w:pPr>
            <w:r>
              <w:rPr>
                <w:noProof/>
                <w:color w:val="000000"/>
                <w:highlight w:val="black"/>
                <w:lang w:eastAsia="en-US"/>
              </w:rPr>
              <w:t>''''''''''''' '''''''''''''''''''</w:t>
            </w:r>
          </w:p>
          <w:p w14:paraId="7ACE8357" w14:textId="77777777" w:rsidR="009D114F" w:rsidRPr="00470B0C" w:rsidRDefault="00470B0C" w:rsidP="004258AE">
            <w:pPr>
              <w:pStyle w:val="TableText"/>
              <w:keepNext w:val="0"/>
              <w:jc w:val="center"/>
              <w:rPr>
                <w:highlight w:val="black"/>
                <w:lang w:eastAsia="en-US"/>
              </w:rPr>
            </w:pPr>
            <w:r>
              <w:rPr>
                <w:noProof/>
                <w:color w:val="000000"/>
                <w:highlight w:val="black"/>
                <w:lang w:eastAsia="en-US"/>
              </w:rPr>
              <w:t>'''''''''''''' '''''''''''''''''''''</w:t>
            </w:r>
          </w:p>
          <w:p w14:paraId="5F918F93" w14:textId="77777777" w:rsidR="009D114F" w:rsidRPr="00470B0C" w:rsidRDefault="00470B0C" w:rsidP="004258AE">
            <w:pPr>
              <w:pStyle w:val="TableText"/>
              <w:keepNext w:val="0"/>
              <w:jc w:val="center"/>
              <w:rPr>
                <w:highlight w:val="black"/>
                <w:lang w:eastAsia="en-US"/>
              </w:rPr>
            </w:pPr>
            <w:r>
              <w:rPr>
                <w:noProof/>
                <w:color w:val="000000"/>
                <w:highlight w:val="black"/>
                <w:lang w:eastAsia="en-US"/>
              </w:rPr>
              <w:t>'''''''''''' ''''''''''''''''''''</w:t>
            </w:r>
          </w:p>
          <w:p w14:paraId="6E3DEB9E" w14:textId="77777777" w:rsidR="009D114F" w:rsidRPr="00470B0C" w:rsidRDefault="00470B0C" w:rsidP="004258AE">
            <w:pPr>
              <w:pStyle w:val="TableText"/>
              <w:keepNext w:val="0"/>
              <w:jc w:val="center"/>
              <w:rPr>
                <w:highlight w:val="black"/>
                <w:lang w:eastAsia="en-US"/>
              </w:rPr>
            </w:pPr>
            <w:r>
              <w:rPr>
                <w:noProof/>
                <w:color w:val="000000"/>
                <w:highlight w:val="black"/>
                <w:lang w:eastAsia="en-US"/>
              </w:rPr>
              <w:t>''''''''</w:t>
            </w:r>
          </w:p>
        </w:tc>
        <w:tc>
          <w:tcPr>
            <w:tcW w:w="1212" w:type="pct"/>
            <w:gridSpan w:val="2"/>
            <w:tcMar>
              <w:top w:w="0" w:type="dxa"/>
              <w:left w:w="28" w:type="dxa"/>
              <w:bottom w:w="0" w:type="dxa"/>
              <w:right w:w="28" w:type="dxa"/>
            </w:tcMar>
          </w:tcPr>
          <w:p w14:paraId="5884F7D8" w14:textId="77777777" w:rsidR="009D114F" w:rsidRPr="00470B0C" w:rsidRDefault="009D114F" w:rsidP="004258AE">
            <w:pPr>
              <w:pStyle w:val="TableText"/>
              <w:keepNext w:val="0"/>
              <w:jc w:val="center"/>
              <w:rPr>
                <w:highlight w:val="yellow"/>
              </w:rPr>
            </w:pPr>
          </w:p>
          <w:p w14:paraId="00250598" w14:textId="77777777" w:rsidR="009D114F" w:rsidRPr="00470B0C" w:rsidRDefault="00470B0C" w:rsidP="004258AE">
            <w:pPr>
              <w:pStyle w:val="TableText"/>
              <w:keepNext w:val="0"/>
              <w:jc w:val="center"/>
              <w:rPr>
                <w:highlight w:val="black"/>
              </w:rPr>
            </w:pPr>
            <w:r>
              <w:rPr>
                <w:noProof/>
                <w:color w:val="000000"/>
                <w:highlight w:val="black"/>
              </w:rPr>
              <w:t>''''''''''''''''''' '''''''''''''''''''''</w:t>
            </w:r>
          </w:p>
          <w:p w14:paraId="27544FD1" w14:textId="77777777" w:rsidR="009D114F" w:rsidRPr="00470B0C" w:rsidRDefault="00470B0C" w:rsidP="004258AE">
            <w:pPr>
              <w:pStyle w:val="TableText"/>
              <w:keepNext w:val="0"/>
              <w:jc w:val="center"/>
              <w:rPr>
                <w:highlight w:val="black"/>
              </w:rPr>
            </w:pPr>
            <w:r>
              <w:rPr>
                <w:noProof/>
                <w:color w:val="000000"/>
                <w:highlight w:val="black"/>
              </w:rPr>
              <w:t>'''''''''''''''' '''''''''''''''''''</w:t>
            </w:r>
          </w:p>
          <w:p w14:paraId="6886D639" w14:textId="77777777" w:rsidR="009D114F" w:rsidRPr="00470B0C" w:rsidRDefault="00470B0C" w:rsidP="004258AE">
            <w:pPr>
              <w:pStyle w:val="TableText"/>
              <w:keepNext w:val="0"/>
              <w:jc w:val="center"/>
              <w:rPr>
                <w:highlight w:val="black"/>
              </w:rPr>
            </w:pPr>
            <w:r>
              <w:rPr>
                <w:noProof/>
                <w:color w:val="000000"/>
                <w:highlight w:val="black"/>
              </w:rPr>
              <w:t>''''''''''''''''''' '''''''''''''''''''''</w:t>
            </w:r>
          </w:p>
          <w:p w14:paraId="17D53402" w14:textId="77777777" w:rsidR="009D114F" w:rsidRPr="00470B0C" w:rsidRDefault="00470B0C" w:rsidP="004258AE">
            <w:pPr>
              <w:pStyle w:val="TableText"/>
              <w:keepNext w:val="0"/>
              <w:jc w:val="center"/>
              <w:rPr>
                <w:highlight w:val="black"/>
              </w:rPr>
            </w:pPr>
            <w:r>
              <w:rPr>
                <w:noProof/>
                <w:color w:val="000000"/>
                <w:highlight w:val="black"/>
              </w:rPr>
              <w:t>''''''''''''''''''' '''''''''''''''''''''</w:t>
            </w:r>
          </w:p>
          <w:p w14:paraId="6938E865" w14:textId="77777777" w:rsidR="009D114F" w:rsidRPr="00470B0C" w:rsidRDefault="00470B0C" w:rsidP="004258AE">
            <w:pPr>
              <w:pStyle w:val="TableText"/>
              <w:keepNext w:val="0"/>
              <w:jc w:val="center"/>
              <w:rPr>
                <w:highlight w:val="black"/>
              </w:rPr>
            </w:pPr>
            <w:r>
              <w:rPr>
                <w:noProof/>
                <w:color w:val="000000"/>
                <w:highlight w:val="black"/>
              </w:rPr>
              <w:t>'''''''''''''''''' ''''''''''''''''''''''</w:t>
            </w:r>
          </w:p>
          <w:p w14:paraId="47386952" w14:textId="77777777" w:rsidR="009D114F" w:rsidRPr="00470B0C" w:rsidRDefault="00470B0C" w:rsidP="004258AE">
            <w:pPr>
              <w:pStyle w:val="TableText"/>
              <w:keepNext w:val="0"/>
              <w:jc w:val="center"/>
              <w:rPr>
                <w:highlight w:val="black"/>
                <w:lang w:eastAsia="en-US"/>
              </w:rPr>
            </w:pPr>
            <w:r>
              <w:rPr>
                <w:noProof/>
                <w:color w:val="000000"/>
                <w:highlight w:val="black"/>
              </w:rPr>
              <w:t>'''''''''''''''' '''''''''''''''''''''''''</w:t>
            </w:r>
          </w:p>
        </w:tc>
      </w:tr>
      <w:tr w:rsidR="009D114F" w:rsidRPr="009D19CE" w14:paraId="5F46A5D0" w14:textId="77777777" w:rsidTr="00055FF2">
        <w:trPr>
          <w:cantSplit/>
        </w:trPr>
        <w:tc>
          <w:tcPr>
            <w:tcW w:w="5000" w:type="pct"/>
            <w:gridSpan w:val="6"/>
            <w:tcMar>
              <w:top w:w="0" w:type="dxa"/>
              <w:left w:w="28" w:type="dxa"/>
              <w:bottom w:w="0" w:type="dxa"/>
              <w:right w:w="28" w:type="dxa"/>
            </w:tcMar>
          </w:tcPr>
          <w:p w14:paraId="161FDBF9" w14:textId="77777777" w:rsidR="009D114F" w:rsidRPr="00470B0C" w:rsidRDefault="00470B0C" w:rsidP="004258AE">
            <w:pPr>
              <w:pStyle w:val="TableText"/>
              <w:keepNext w:val="0"/>
              <w:rPr>
                <w:highlight w:val="black"/>
              </w:rPr>
            </w:pPr>
            <w:r>
              <w:rPr>
                <w:b/>
                <w:noProof/>
                <w:color w:val="000000"/>
                <w:highlight w:val="black"/>
                <w:lang w:eastAsia="en-US"/>
              </w:rPr>
              <w:t>''''''''''''''''''''''''''''' ''''' ''''''''''''''''''''''''''''''''''''''' '''''''''''''''''''' '''''''''''' ''''''''''''''''''' '''''''''' ''''''''''''''''''''''</w:t>
            </w:r>
          </w:p>
        </w:tc>
      </w:tr>
      <w:tr w:rsidR="009D114F" w:rsidRPr="009D19CE" w14:paraId="2A4E1F04" w14:textId="77777777" w:rsidTr="00055FF2">
        <w:trPr>
          <w:cantSplit/>
        </w:trPr>
        <w:tc>
          <w:tcPr>
            <w:tcW w:w="1295" w:type="pct"/>
            <w:tcMar>
              <w:top w:w="0" w:type="dxa"/>
              <w:left w:w="28" w:type="dxa"/>
              <w:bottom w:w="0" w:type="dxa"/>
              <w:right w:w="28" w:type="dxa"/>
            </w:tcMar>
          </w:tcPr>
          <w:p w14:paraId="34540BE8" w14:textId="77777777" w:rsidR="009D114F" w:rsidRPr="00470B0C" w:rsidRDefault="00470B0C" w:rsidP="004258AE">
            <w:pPr>
              <w:pStyle w:val="TableText"/>
              <w:keepNext w:val="0"/>
              <w:rPr>
                <w:highlight w:val="black"/>
              </w:rPr>
            </w:pPr>
            <w:r>
              <w:rPr>
                <w:noProof/>
                <w:color w:val="000000"/>
                <w:highlight w:val="black"/>
              </w:rPr>
              <w:t>''''''''''''''''''</w:t>
            </w:r>
          </w:p>
          <w:p w14:paraId="175999FA" w14:textId="77777777" w:rsidR="009D114F" w:rsidRPr="00470B0C" w:rsidRDefault="00470B0C" w:rsidP="004258AE">
            <w:pPr>
              <w:pStyle w:val="TableText"/>
              <w:keepNext w:val="0"/>
              <w:rPr>
                <w:highlight w:val="black"/>
              </w:rPr>
            </w:pPr>
            <w:r>
              <w:rPr>
                <w:noProof/>
                <w:color w:val="000000"/>
                <w:highlight w:val="black"/>
              </w:rPr>
              <w:t>''''''''''' ''''</w:t>
            </w:r>
          </w:p>
          <w:p w14:paraId="6374C55D" w14:textId="77777777" w:rsidR="009D114F" w:rsidRPr="00470B0C" w:rsidRDefault="00470B0C" w:rsidP="004258AE">
            <w:pPr>
              <w:pStyle w:val="TableText"/>
              <w:keepNext w:val="0"/>
              <w:rPr>
                <w:highlight w:val="black"/>
              </w:rPr>
            </w:pPr>
            <w:r>
              <w:rPr>
                <w:noProof/>
                <w:color w:val="000000"/>
                <w:highlight w:val="black"/>
              </w:rPr>
              <w:t>''''''''''' ''''</w:t>
            </w:r>
          </w:p>
          <w:p w14:paraId="11C46DCF" w14:textId="77777777" w:rsidR="009D114F" w:rsidRPr="00470B0C" w:rsidRDefault="00470B0C" w:rsidP="004258AE">
            <w:pPr>
              <w:pStyle w:val="TableText"/>
              <w:keepNext w:val="0"/>
              <w:rPr>
                <w:highlight w:val="black"/>
              </w:rPr>
            </w:pPr>
            <w:r>
              <w:rPr>
                <w:noProof/>
                <w:color w:val="000000"/>
                <w:highlight w:val="black"/>
              </w:rPr>
              <w:t>''''''''''''' '''</w:t>
            </w:r>
          </w:p>
          <w:p w14:paraId="37B55CB1" w14:textId="77777777" w:rsidR="009D114F" w:rsidRPr="00470B0C" w:rsidRDefault="00470B0C" w:rsidP="004258AE">
            <w:pPr>
              <w:pStyle w:val="TableText"/>
              <w:keepNext w:val="0"/>
              <w:rPr>
                <w:highlight w:val="black"/>
              </w:rPr>
            </w:pPr>
            <w:r>
              <w:rPr>
                <w:noProof/>
                <w:color w:val="000000"/>
                <w:highlight w:val="black"/>
              </w:rPr>
              <w:t>'''''''''''' '''</w:t>
            </w:r>
          </w:p>
          <w:p w14:paraId="43B1B882" w14:textId="77777777" w:rsidR="009D114F" w:rsidRPr="00470B0C" w:rsidRDefault="00470B0C" w:rsidP="004258AE">
            <w:pPr>
              <w:pStyle w:val="TableText"/>
              <w:keepNext w:val="0"/>
              <w:rPr>
                <w:highlight w:val="black"/>
              </w:rPr>
            </w:pPr>
            <w:r>
              <w:rPr>
                <w:noProof/>
                <w:color w:val="000000"/>
                <w:highlight w:val="black"/>
              </w:rPr>
              <w:t>''''''''''' ''''</w:t>
            </w:r>
          </w:p>
          <w:p w14:paraId="140034A3" w14:textId="77777777" w:rsidR="009D114F" w:rsidRPr="00470B0C" w:rsidRDefault="00470B0C" w:rsidP="004258AE">
            <w:pPr>
              <w:pStyle w:val="TableText"/>
              <w:keepNext w:val="0"/>
              <w:rPr>
                <w:highlight w:val="black"/>
              </w:rPr>
            </w:pPr>
            <w:r>
              <w:rPr>
                <w:noProof/>
                <w:color w:val="000000"/>
                <w:highlight w:val="black"/>
              </w:rPr>
              <w:t>''''''''''' ''''</w:t>
            </w:r>
          </w:p>
        </w:tc>
        <w:tc>
          <w:tcPr>
            <w:tcW w:w="1212" w:type="pct"/>
            <w:gridSpan w:val="2"/>
            <w:tcMar>
              <w:top w:w="0" w:type="dxa"/>
              <w:left w:w="28" w:type="dxa"/>
              <w:bottom w:w="0" w:type="dxa"/>
              <w:right w:w="28" w:type="dxa"/>
            </w:tcMar>
          </w:tcPr>
          <w:p w14:paraId="66F009C9" w14:textId="77777777" w:rsidR="009D114F" w:rsidRPr="00470B0C" w:rsidRDefault="00470B0C" w:rsidP="004258AE">
            <w:pPr>
              <w:pStyle w:val="TableText"/>
              <w:jc w:val="center"/>
              <w:rPr>
                <w:highlight w:val="black"/>
              </w:rPr>
            </w:pPr>
            <w:r>
              <w:rPr>
                <w:noProof/>
                <w:color w:val="000000"/>
                <w:highlight w:val="black"/>
              </w:rPr>
              <w:t>'''''''''''''''''''''''''''''''' ''''''''''''''''''''</w:t>
            </w:r>
          </w:p>
          <w:p w14:paraId="21B4432E" w14:textId="77777777" w:rsidR="009D114F" w:rsidRPr="00470B0C" w:rsidRDefault="00470B0C" w:rsidP="004258AE">
            <w:pPr>
              <w:pStyle w:val="TableText"/>
              <w:jc w:val="center"/>
              <w:rPr>
                <w:highlight w:val="black"/>
              </w:rPr>
            </w:pPr>
            <w:r>
              <w:rPr>
                <w:noProof/>
                <w:color w:val="000000"/>
                <w:highlight w:val="black"/>
              </w:rPr>
              <w:t xml:space="preserve"> '''''''''''''''''' '''''''''''''''''''''''</w:t>
            </w:r>
          </w:p>
          <w:p w14:paraId="1B82096A" w14:textId="77777777" w:rsidR="009D114F" w:rsidRPr="00470B0C" w:rsidRDefault="00470B0C" w:rsidP="004258AE">
            <w:pPr>
              <w:pStyle w:val="TableText"/>
              <w:jc w:val="center"/>
              <w:rPr>
                <w:highlight w:val="black"/>
              </w:rPr>
            </w:pPr>
            <w:r>
              <w:rPr>
                <w:noProof/>
                <w:color w:val="000000"/>
                <w:highlight w:val="black"/>
              </w:rPr>
              <w:t>'''''''''''''''''''' '''''''''''''''''''''''''</w:t>
            </w:r>
          </w:p>
          <w:p w14:paraId="66AFE8D8" w14:textId="77777777" w:rsidR="009D114F" w:rsidRPr="00470B0C" w:rsidRDefault="00470B0C" w:rsidP="004258AE">
            <w:pPr>
              <w:pStyle w:val="TableText"/>
              <w:jc w:val="center"/>
              <w:rPr>
                <w:highlight w:val="black"/>
              </w:rPr>
            </w:pPr>
            <w:r>
              <w:rPr>
                <w:noProof/>
                <w:color w:val="000000"/>
                <w:highlight w:val="black"/>
              </w:rPr>
              <w:t>'''''''''''''''''' '''''''''''''''''''''</w:t>
            </w:r>
          </w:p>
          <w:p w14:paraId="05848F4C" w14:textId="77777777" w:rsidR="009D114F" w:rsidRPr="00470B0C" w:rsidRDefault="00470B0C" w:rsidP="004258AE">
            <w:pPr>
              <w:pStyle w:val="TableText"/>
              <w:jc w:val="center"/>
              <w:rPr>
                <w:highlight w:val="black"/>
              </w:rPr>
            </w:pPr>
            <w:r>
              <w:rPr>
                <w:noProof/>
                <w:color w:val="000000"/>
                <w:highlight w:val="black"/>
              </w:rPr>
              <w:t>''''''''''''''''''''' '''''''''''''''''''''''</w:t>
            </w:r>
          </w:p>
          <w:p w14:paraId="497A0E81" w14:textId="77777777" w:rsidR="009D114F" w:rsidRPr="00470B0C" w:rsidRDefault="00470B0C" w:rsidP="004258AE">
            <w:pPr>
              <w:pStyle w:val="TableText"/>
              <w:jc w:val="center"/>
              <w:rPr>
                <w:highlight w:val="black"/>
              </w:rPr>
            </w:pPr>
            <w:r>
              <w:rPr>
                <w:noProof/>
                <w:color w:val="000000"/>
                <w:highlight w:val="black"/>
              </w:rPr>
              <w:t>''''''''''''''''''' '''''''''''''''''''''</w:t>
            </w:r>
          </w:p>
          <w:p w14:paraId="6A8B5808" w14:textId="77777777" w:rsidR="009D114F" w:rsidRPr="00470B0C" w:rsidRDefault="00470B0C" w:rsidP="004258AE">
            <w:pPr>
              <w:pStyle w:val="TableText"/>
              <w:keepNext w:val="0"/>
              <w:jc w:val="center"/>
              <w:rPr>
                <w:highlight w:val="black"/>
              </w:rPr>
            </w:pPr>
            <w:r>
              <w:rPr>
                <w:noProof/>
                <w:color w:val="000000"/>
                <w:highlight w:val="black"/>
              </w:rPr>
              <w:t>'''''''''''''''''' '''''''''''''''''''''''</w:t>
            </w:r>
          </w:p>
        </w:tc>
        <w:tc>
          <w:tcPr>
            <w:tcW w:w="1281" w:type="pct"/>
            <w:tcMar>
              <w:top w:w="0" w:type="dxa"/>
              <w:left w:w="28" w:type="dxa"/>
              <w:bottom w:w="0" w:type="dxa"/>
              <w:right w:w="28" w:type="dxa"/>
            </w:tcMar>
          </w:tcPr>
          <w:p w14:paraId="7EBD1DB1" w14:textId="77777777" w:rsidR="009D114F" w:rsidRPr="00470B0C" w:rsidRDefault="009D114F" w:rsidP="004258AE">
            <w:pPr>
              <w:pStyle w:val="TableText"/>
              <w:keepNext w:val="0"/>
              <w:jc w:val="center"/>
              <w:rPr>
                <w:highlight w:val="yellow"/>
                <w:lang w:eastAsia="en-US"/>
              </w:rPr>
            </w:pPr>
          </w:p>
          <w:p w14:paraId="382919FE" w14:textId="77777777" w:rsidR="009D114F" w:rsidRPr="00470B0C" w:rsidRDefault="00470B0C" w:rsidP="004258AE">
            <w:pPr>
              <w:pStyle w:val="TableText"/>
              <w:keepNext w:val="0"/>
              <w:jc w:val="center"/>
              <w:rPr>
                <w:highlight w:val="black"/>
                <w:lang w:eastAsia="en-US"/>
              </w:rPr>
            </w:pPr>
            <w:r>
              <w:rPr>
                <w:noProof/>
                <w:color w:val="000000"/>
                <w:highlight w:val="black"/>
                <w:lang w:eastAsia="en-US"/>
              </w:rPr>
              <w:t>''''''''''''''''''</w:t>
            </w:r>
          </w:p>
          <w:p w14:paraId="1BD70782" w14:textId="77777777" w:rsidR="009D114F" w:rsidRPr="00470B0C" w:rsidRDefault="00470B0C" w:rsidP="004258AE">
            <w:pPr>
              <w:pStyle w:val="TableText"/>
              <w:keepNext w:val="0"/>
              <w:jc w:val="center"/>
              <w:rPr>
                <w:highlight w:val="black"/>
                <w:lang w:eastAsia="en-US"/>
              </w:rPr>
            </w:pPr>
            <w:r>
              <w:rPr>
                <w:noProof/>
                <w:color w:val="000000"/>
                <w:highlight w:val="black"/>
                <w:lang w:eastAsia="en-US"/>
              </w:rPr>
              <w:t>''''''''''''''''''</w:t>
            </w:r>
          </w:p>
          <w:p w14:paraId="2347BEB9" w14:textId="77777777" w:rsidR="009D114F" w:rsidRPr="00470B0C" w:rsidRDefault="00470B0C" w:rsidP="004258AE">
            <w:pPr>
              <w:pStyle w:val="TableText"/>
              <w:keepNext w:val="0"/>
              <w:jc w:val="center"/>
              <w:rPr>
                <w:highlight w:val="black"/>
                <w:lang w:eastAsia="en-US"/>
              </w:rPr>
            </w:pPr>
            <w:r>
              <w:rPr>
                <w:noProof/>
                <w:color w:val="000000"/>
                <w:highlight w:val="black"/>
                <w:lang w:eastAsia="en-US"/>
              </w:rPr>
              <w:t>'''''''''''''''''</w:t>
            </w:r>
          </w:p>
          <w:p w14:paraId="126C9767" w14:textId="77777777" w:rsidR="009D114F" w:rsidRPr="00470B0C" w:rsidRDefault="00470B0C" w:rsidP="004258AE">
            <w:pPr>
              <w:pStyle w:val="TableText"/>
              <w:keepNext w:val="0"/>
              <w:jc w:val="center"/>
              <w:rPr>
                <w:highlight w:val="black"/>
                <w:lang w:eastAsia="en-US"/>
              </w:rPr>
            </w:pPr>
            <w:r>
              <w:rPr>
                <w:noProof/>
                <w:color w:val="000000"/>
                <w:highlight w:val="black"/>
                <w:lang w:eastAsia="en-US"/>
              </w:rPr>
              <w:t>''''''''''''''''''''</w:t>
            </w:r>
          </w:p>
          <w:p w14:paraId="6AF8F5E0" w14:textId="77777777" w:rsidR="009D114F" w:rsidRPr="00470B0C" w:rsidRDefault="00470B0C" w:rsidP="004258AE">
            <w:pPr>
              <w:pStyle w:val="TableText"/>
              <w:keepNext w:val="0"/>
              <w:jc w:val="center"/>
              <w:rPr>
                <w:highlight w:val="black"/>
                <w:lang w:eastAsia="en-US"/>
              </w:rPr>
            </w:pPr>
            <w:r>
              <w:rPr>
                <w:noProof/>
                <w:color w:val="000000"/>
                <w:highlight w:val="black"/>
                <w:lang w:eastAsia="en-US"/>
              </w:rPr>
              <w:t>'''''''''''''''''''</w:t>
            </w:r>
          </w:p>
          <w:p w14:paraId="6BFD79B3" w14:textId="77777777" w:rsidR="009D114F" w:rsidRPr="00470B0C" w:rsidRDefault="00470B0C" w:rsidP="004258AE">
            <w:pPr>
              <w:pStyle w:val="TableText"/>
              <w:keepNext w:val="0"/>
              <w:jc w:val="center"/>
              <w:rPr>
                <w:highlight w:val="black"/>
                <w:lang w:eastAsia="en-US"/>
              </w:rPr>
            </w:pPr>
            <w:r>
              <w:rPr>
                <w:noProof/>
                <w:color w:val="000000"/>
                <w:highlight w:val="black"/>
                <w:lang w:eastAsia="en-US"/>
              </w:rPr>
              <w:t>'''''''</w:t>
            </w:r>
          </w:p>
        </w:tc>
        <w:tc>
          <w:tcPr>
            <w:tcW w:w="1212" w:type="pct"/>
            <w:gridSpan w:val="2"/>
            <w:tcMar>
              <w:top w:w="0" w:type="dxa"/>
              <w:left w:w="28" w:type="dxa"/>
              <w:bottom w:w="0" w:type="dxa"/>
              <w:right w:w="28" w:type="dxa"/>
            </w:tcMar>
          </w:tcPr>
          <w:p w14:paraId="7632B472" w14:textId="77777777" w:rsidR="009D114F" w:rsidRPr="00470B0C" w:rsidRDefault="009D114F" w:rsidP="004258AE">
            <w:pPr>
              <w:pStyle w:val="TableText"/>
              <w:keepNext w:val="0"/>
              <w:jc w:val="center"/>
              <w:rPr>
                <w:highlight w:val="yellow"/>
              </w:rPr>
            </w:pPr>
          </w:p>
          <w:p w14:paraId="12417353" w14:textId="77777777" w:rsidR="009D114F" w:rsidRPr="00470B0C" w:rsidRDefault="00470B0C" w:rsidP="004258AE">
            <w:pPr>
              <w:pStyle w:val="TableText"/>
              <w:keepNext w:val="0"/>
              <w:jc w:val="center"/>
              <w:rPr>
                <w:highlight w:val="black"/>
              </w:rPr>
            </w:pPr>
            <w:r>
              <w:rPr>
                <w:noProof/>
                <w:color w:val="000000"/>
                <w:highlight w:val="black"/>
              </w:rPr>
              <w:t>''''''''''''''''''''</w:t>
            </w:r>
          </w:p>
          <w:p w14:paraId="73F1FF01" w14:textId="77777777" w:rsidR="009D114F" w:rsidRPr="00470B0C" w:rsidRDefault="00470B0C" w:rsidP="004258AE">
            <w:pPr>
              <w:pStyle w:val="TableText"/>
              <w:keepNext w:val="0"/>
              <w:jc w:val="center"/>
              <w:rPr>
                <w:highlight w:val="black"/>
              </w:rPr>
            </w:pPr>
            <w:r>
              <w:rPr>
                <w:noProof/>
                <w:color w:val="000000"/>
                <w:highlight w:val="black"/>
              </w:rPr>
              <w:t>''''''''''''''''''''</w:t>
            </w:r>
          </w:p>
          <w:p w14:paraId="25D0D0FC" w14:textId="77777777" w:rsidR="009D114F" w:rsidRPr="00470B0C" w:rsidRDefault="00470B0C" w:rsidP="004258AE">
            <w:pPr>
              <w:pStyle w:val="TableText"/>
              <w:keepNext w:val="0"/>
              <w:jc w:val="center"/>
              <w:rPr>
                <w:highlight w:val="black"/>
              </w:rPr>
            </w:pPr>
            <w:r>
              <w:rPr>
                <w:noProof/>
                <w:color w:val="000000"/>
                <w:highlight w:val="black"/>
              </w:rPr>
              <w:t>'''''''''''''''''''</w:t>
            </w:r>
          </w:p>
          <w:p w14:paraId="56EE24B1" w14:textId="77777777" w:rsidR="009D114F" w:rsidRPr="00470B0C" w:rsidRDefault="00470B0C" w:rsidP="004258AE">
            <w:pPr>
              <w:pStyle w:val="TableText"/>
              <w:keepNext w:val="0"/>
              <w:jc w:val="center"/>
              <w:rPr>
                <w:highlight w:val="black"/>
              </w:rPr>
            </w:pPr>
            <w:r>
              <w:rPr>
                <w:noProof/>
                <w:color w:val="000000"/>
                <w:highlight w:val="black"/>
              </w:rPr>
              <w:t>'''''''''''''''''''</w:t>
            </w:r>
          </w:p>
          <w:p w14:paraId="09028FA4" w14:textId="77777777" w:rsidR="009D114F" w:rsidRPr="00470B0C" w:rsidRDefault="00470B0C" w:rsidP="004258AE">
            <w:pPr>
              <w:pStyle w:val="TableText"/>
              <w:keepNext w:val="0"/>
              <w:jc w:val="center"/>
              <w:rPr>
                <w:highlight w:val="black"/>
              </w:rPr>
            </w:pPr>
            <w:r>
              <w:rPr>
                <w:noProof/>
                <w:color w:val="000000"/>
                <w:highlight w:val="black"/>
              </w:rPr>
              <w:t>''''''''''''''''''''''</w:t>
            </w:r>
          </w:p>
          <w:p w14:paraId="424D4B4A" w14:textId="77777777" w:rsidR="009D114F" w:rsidRPr="00470B0C" w:rsidRDefault="00470B0C" w:rsidP="004258AE">
            <w:pPr>
              <w:pStyle w:val="TableText"/>
              <w:keepNext w:val="0"/>
              <w:jc w:val="center"/>
              <w:rPr>
                <w:highlight w:val="black"/>
              </w:rPr>
            </w:pPr>
            <w:r>
              <w:rPr>
                <w:noProof/>
                <w:color w:val="000000"/>
                <w:highlight w:val="black"/>
              </w:rPr>
              <w:t>'''''''''''''''''''''''''</w:t>
            </w:r>
          </w:p>
        </w:tc>
      </w:tr>
      <w:tr w:rsidR="009D114F" w:rsidRPr="009D19CE" w14:paraId="6F245C82" w14:textId="77777777" w:rsidTr="00055FF2">
        <w:trPr>
          <w:cantSplit/>
        </w:trPr>
        <w:tc>
          <w:tcPr>
            <w:tcW w:w="5000" w:type="pct"/>
            <w:gridSpan w:val="6"/>
            <w:tcMar>
              <w:top w:w="0" w:type="dxa"/>
              <w:left w:w="28" w:type="dxa"/>
              <w:bottom w:w="0" w:type="dxa"/>
              <w:right w:w="28" w:type="dxa"/>
            </w:tcMar>
            <w:vAlign w:val="center"/>
          </w:tcPr>
          <w:p w14:paraId="12089AB9" w14:textId="77777777" w:rsidR="009D114F" w:rsidRPr="00470B0C" w:rsidRDefault="00470B0C" w:rsidP="004258AE">
            <w:pPr>
              <w:pStyle w:val="TableText"/>
              <w:keepNext w:val="0"/>
              <w:rPr>
                <w:b/>
                <w:highlight w:val="black"/>
              </w:rPr>
            </w:pPr>
            <w:r>
              <w:rPr>
                <w:b/>
                <w:noProof/>
                <w:color w:val="000000"/>
                <w:highlight w:val="black"/>
              </w:rPr>
              <w:t>''''''' ''''''''' '''' ''''''''''''''''''''''''''' ''''''''''''''''''''''''' ''''' ''''''''''''''''''''''''''''''''''''''' '''''''''''''''''''' '''''''''''''''''''''''' '''''''' '''''''''''''''''' '''''''''''''' '''''''''''''''''''''''''''</w:t>
            </w:r>
          </w:p>
        </w:tc>
      </w:tr>
      <w:tr w:rsidR="009D114F" w:rsidRPr="009D19CE" w14:paraId="12E81428" w14:textId="77777777" w:rsidTr="00055FF2">
        <w:trPr>
          <w:cantSplit/>
          <w:trHeight w:val="1373"/>
        </w:trPr>
        <w:tc>
          <w:tcPr>
            <w:tcW w:w="1295" w:type="pct"/>
            <w:tcMar>
              <w:top w:w="0" w:type="dxa"/>
              <w:left w:w="28" w:type="dxa"/>
              <w:bottom w:w="0" w:type="dxa"/>
              <w:right w:w="28" w:type="dxa"/>
            </w:tcMar>
          </w:tcPr>
          <w:p w14:paraId="60FDD4FF" w14:textId="77777777" w:rsidR="009D114F" w:rsidRPr="00470B0C" w:rsidRDefault="009D114F" w:rsidP="004258AE">
            <w:pPr>
              <w:pStyle w:val="TableText"/>
              <w:keepNext w:val="0"/>
              <w:rPr>
                <w:highlight w:val="yellow"/>
              </w:rPr>
            </w:pPr>
          </w:p>
          <w:p w14:paraId="04E11887" w14:textId="77777777" w:rsidR="009D114F" w:rsidRPr="00470B0C" w:rsidRDefault="00470B0C" w:rsidP="004258AE">
            <w:pPr>
              <w:pStyle w:val="TableText"/>
              <w:keepNext w:val="0"/>
              <w:rPr>
                <w:highlight w:val="black"/>
              </w:rPr>
            </w:pPr>
            <w:r>
              <w:rPr>
                <w:noProof/>
                <w:color w:val="000000"/>
                <w:highlight w:val="black"/>
              </w:rPr>
              <w:t>''''''''''''' ''''</w:t>
            </w:r>
          </w:p>
          <w:p w14:paraId="4A769702" w14:textId="77777777" w:rsidR="009D114F" w:rsidRPr="00470B0C" w:rsidRDefault="00470B0C" w:rsidP="004258AE">
            <w:pPr>
              <w:pStyle w:val="TableText"/>
              <w:keepNext w:val="0"/>
              <w:rPr>
                <w:highlight w:val="black"/>
              </w:rPr>
            </w:pPr>
            <w:r>
              <w:rPr>
                <w:noProof/>
                <w:color w:val="000000"/>
                <w:highlight w:val="black"/>
              </w:rPr>
              <w:t>'''''''''''' ''''</w:t>
            </w:r>
          </w:p>
          <w:p w14:paraId="428C08C2" w14:textId="77777777" w:rsidR="009D114F" w:rsidRPr="00470B0C" w:rsidRDefault="00470B0C" w:rsidP="004258AE">
            <w:pPr>
              <w:pStyle w:val="TableText"/>
              <w:keepNext w:val="0"/>
              <w:rPr>
                <w:highlight w:val="black"/>
              </w:rPr>
            </w:pPr>
            <w:r>
              <w:rPr>
                <w:noProof/>
                <w:color w:val="000000"/>
                <w:highlight w:val="black"/>
              </w:rPr>
              <w:t>''''''''''''' '''</w:t>
            </w:r>
          </w:p>
          <w:p w14:paraId="1138DCEF" w14:textId="77777777" w:rsidR="009D114F" w:rsidRPr="00470B0C" w:rsidRDefault="00470B0C" w:rsidP="004258AE">
            <w:pPr>
              <w:pStyle w:val="TableText"/>
              <w:keepNext w:val="0"/>
              <w:rPr>
                <w:highlight w:val="black"/>
              </w:rPr>
            </w:pPr>
            <w:r>
              <w:rPr>
                <w:noProof/>
                <w:color w:val="000000"/>
                <w:highlight w:val="black"/>
              </w:rPr>
              <w:t>'''''''''''' '''</w:t>
            </w:r>
          </w:p>
          <w:p w14:paraId="4D808A3A" w14:textId="77777777" w:rsidR="009D114F" w:rsidRPr="00470B0C" w:rsidRDefault="00470B0C" w:rsidP="004258AE">
            <w:pPr>
              <w:pStyle w:val="TableText"/>
              <w:keepNext w:val="0"/>
              <w:rPr>
                <w:highlight w:val="black"/>
              </w:rPr>
            </w:pPr>
            <w:r>
              <w:rPr>
                <w:noProof/>
                <w:color w:val="000000"/>
                <w:highlight w:val="black"/>
              </w:rPr>
              <w:t>''''''''''' '''</w:t>
            </w:r>
          </w:p>
          <w:p w14:paraId="57439EE6" w14:textId="77777777" w:rsidR="009D114F" w:rsidRPr="00470B0C" w:rsidRDefault="00470B0C" w:rsidP="004258AE">
            <w:pPr>
              <w:pStyle w:val="TableText"/>
              <w:keepNext w:val="0"/>
              <w:rPr>
                <w:highlight w:val="black"/>
              </w:rPr>
            </w:pPr>
            <w:r>
              <w:rPr>
                <w:noProof/>
                <w:color w:val="000000"/>
                <w:highlight w:val="black"/>
              </w:rPr>
              <w:t>''''''''''' ''''</w:t>
            </w:r>
          </w:p>
        </w:tc>
        <w:tc>
          <w:tcPr>
            <w:tcW w:w="1212" w:type="pct"/>
            <w:gridSpan w:val="2"/>
            <w:tcMar>
              <w:top w:w="0" w:type="dxa"/>
              <w:left w:w="28" w:type="dxa"/>
              <w:bottom w:w="0" w:type="dxa"/>
              <w:right w:w="28" w:type="dxa"/>
            </w:tcMar>
          </w:tcPr>
          <w:p w14:paraId="5833B080" w14:textId="77777777" w:rsidR="009D114F" w:rsidRPr="00470B0C" w:rsidRDefault="00470B0C" w:rsidP="004258AE">
            <w:pPr>
              <w:pStyle w:val="TableText"/>
              <w:keepNext w:val="0"/>
              <w:jc w:val="center"/>
              <w:rPr>
                <w:highlight w:val="black"/>
              </w:rPr>
            </w:pPr>
            <w:r>
              <w:rPr>
                <w:noProof/>
                <w:color w:val="000000"/>
                <w:highlight w:val="black"/>
              </w:rPr>
              <w:t>''''''''''''''''' ''''''' ''''''''''''''' ''''''''''''''''''''</w:t>
            </w:r>
          </w:p>
          <w:p w14:paraId="5206FB43" w14:textId="77777777" w:rsidR="009D114F" w:rsidRPr="00470B0C" w:rsidRDefault="00470B0C" w:rsidP="004258AE">
            <w:pPr>
              <w:pStyle w:val="TableText"/>
              <w:jc w:val="center"/>
              <w:rPr>
                <w:highlight w:val="black"/>
              </w:rPr>
            </w:pPr>
            <w:r>
              <w:rPr>
                <w:noProof/>
                <w:color w:val="000000"/>
                <w:highlight w:val="black"/>
              </w:rPr>
              <w:t>''''''''''''''''''''''''''''</w:t>
            </w:r>
          </w:p>
          <w:p w14:paraId="70E20E3B" w14:textId="77777777" w:rsidR="009D114F" w:rsidRPr="00470B0C" w:rsidRDefault="00470B0C" w:rsidP="004258AE">
            <w:pPr>
              <w:pStyle w:val="TableText"/>
              <w:jc w:val="center"/>
              <w:rPr>
                <w:highlight w:val="black"/>
              </w:rPr>
            </w:pPr>
            <w:r>
              <w:rPr>
                <w:noProof/>
                <w:color w:val="000000"/>
                <w:highlight w:val="black"/>
              </w:rPr>
              <w:t>'''''''''''''''''''''''''''</w:t>
            </w:r>
          </w:p>
          <w:p w14:paraId="2B48E5EB" w14:textId="77777777" w:rsidR="009D114F" w:rsidRPr="00470B0C" w:rsidRDefault="00470B0C" w:rsidP="004258AE">
            <w:pPr>
              <w:pStyle w:val="TableText"/>
              <w:jc w:val="center"/>
              <w:rPr>
                <w:highlight w:val="black"/>
              </w:rPr>
            </w:pPr>
            <w:r>
              <w:rPr>
                <w:noProof/>
                <w:color w:val="000000"/>
                <w:highlight w:val="black"/>
              </w:rPr>
              <w:t>'''''''''''''''''''''''''''''</w:t>
            </w:r>
          </w:p>
          <w:p w14:paraId="26A94536" w14:textId="77777777" w:rsidR="009D114F" w:rsidRPr="00470B0C" w:rsidRDefault="00470B0C" w:rsidP="004258AE">
            <w:pPr>
              <w:pStyle w:val="TableText"/>
              <w:jc w:val="center"/>
              <w:rPr>
                <w:highlight w:val="black"/>
              </w:rPr>
            </w:pPr>
            <w:r>
              <w:rPr>
                <w:noProof/>
                <w:color w:val="000000"/>
                <w:highlight w:val="black"/>
              </w:rPr>
              <w:t>''''''''''''''''''''''''''''</w:t>
            </w:r>
          </w:p>
          <w:p w14:paraId="46D0DE1E" w14:textId="77777777" w:rsidR="009D114F" w:rsidRPr="00470B0C" w:rsidRDefault="00470B0C" w:rsidP="004258AE">
            <w:pPr>
              <w:pStyle w:val="TableText"/>
              <w:jc w:val="center"/>
              <w:rPr>
                <w:highlight w:val="black"/>
              </w:rPr>
            </w:pPr>
            <w:r>
              <w:rPr>
                <w:noProof/>
                <w:color w:val="000000"/>
                <w:highlight w:val="black"/>
              </w:rPr>
              <w:t>'''''''''''''''''''''''''''''''</w:t>
            </w:r>
          </w:p>
          <w:p w14:paraId="55E5F2E6" w14:textId="77777777" w:rsidR="009D114F" w:rsidRPr="00470B0C" w:rsidRDefault="00470B0C" w:rsidP="004258AE">
            <w:pPr>
              <w:pStyle w:val="TableText"/>
              <w:keepNext w:val="0"/>
              <w:jc w:val="center"/>
              <w:rPr>
                <w:highlight w:val="black"/>
              </w:rPr>
            </w:pPr>
            <w:r>
              <w:rPr>
                <w:noProof/>
                <w:color w:val="000000"/>
                <w:highlight w:val="black"/>
              </w:rPr>
              <w:t>'''''''''''''''''''''''''''</w:t>
            </w:r>
          </w:p>
        </w:tc>
        <w:tc>
          <w:tcPr>
            <w:tcW w:w="1281" w:type="pct"/>
            <w:tcMar>
              <w:top w:w="0" w:type="dxa"/>
              <w:left w:w="28" w:type="dxa"/>
              <w:bottom w:w="0" w:type="dxa"/>
              <w:right w:w="28" w:type="dxa"/>
            </w:tcMar>
          </w:tcPr>
          <w:p w14:paraId="71A43EC3" w14:textId="77777777" w:rsidR="009D114F" w:rsidRPr="00470B0C" w:rsidRDefault="00470B0C" w:rsidP="004258AE">
            <w:pPr>
              <w:pStyle w:val="TableText"/>
              <w:keepNext w:val="0"/>
              <w:jc w:val="center"/>
              <w:rPr>
                <w:highlight w:val="black"/>
                <w:vertAlign w:val="superscript"/>
              </w:rPr>
            </w:pPr>
            <w:r>
              <w:rPr>
                <w:noProof/>
                <w:color w:val="000000"/>
                <w:highlight w:val="black"/>
                <w:lang w:eastAsia="en-US"/>
              </w:rPr>
              <w:t>''''''''' '''''''''''' '''</w:t>
            </w:r>
          </w:p>
          <w:p w14:paraId="4508BD8B" w14:textId="77777777" w:rsidR="009D114F" w:rsidRPr="00470B0C" w:rsidRDefault="00470B0C" w:rsidP="004258AE">
            <w:pPr>
              <w:pStyle w:val="TableText"/>
              <w:keepNext w:val="0"/>
              <w:jc w:val="center"/>
              <w:rPr>
                <w:highlight w:val="black"/>
                <w:lang w:eastAsia="en-US"/>
              </w:rPr>
            </w:pPr>
            <w:r>
              <w:rPr>
                <w:noProof/>
                <w:color w:val="000000"/>
                <w:highlight w:val="black"/>
                <w:lang w:eastAsia="en-US"/>
              </w:rPr>
              <w:t>'''''''''''''''''''''''''''''''</w:t>
            </w:r>
          </w:p>
          <w:p w14:paraId="7B5C5D53" w14:textId="77777777" w:rsidR="009D114F" w:rsidRPr="00470B0C" w:rsidRDefault="00470B0C" w:rsidP="004258AE">
            <w:pPr>
              <w:pStyle w:val="TableText"/>
              <w:keepNext w:val="0"/>
              <w:jc w:val="center"/>
              <w:rPr>
                <w:highlight w:val="black"/>
                <w:lang w:eastAsia="en-US"/>
              </w:rPr>
            </w:pPr>
            <w:r>
              <w:rPr>
                <w:noProof/>
                <w:color w:val="000000"/>
                <w:highlight w:val="black"/>
                <w:lang w:eastAsia="en-US"/>
              </w:rPr>
              <w:t>''''''''''''''''''''''''''''''''</w:t>
            </w:r>
          </w:p>
          <w:p w14:paraId="21754592" w14:textId="77777777" w:rsidR="009D114F" w:rsidRPr="00470B0C" w:rsidRDefault="00470B0C" w:rsidP="004258AE">
            <w:pPr>
              <w:pStyle w:val="TableText"/>
              <w:keepNext w:val="0"/>
              <w:jc w:val="center"/>
              <w:rPr>
                <w:highlight w:val="black"/>
                <w:lang w:eastAsia="en-US"/>
              </w:rPr>
            </w:pPr>
            <w:r>
              <w:rPr>
                <w:noProof/>
                <w:color w:val="000000"/>
                <w:highlight w:val="black"/>
                <w:lang w:eastAsia="en-US"/>
              </w:rPr>
              <w:t>'''''''''''''''''''''''''''''</w:t>
            </w:r>
          </w:p>
          <w:p w14:paraId="2AFAB4CD" w14:textId="77777777" w:rsidR="009D114F" w:rsidRPr="00470B0C" w:rsidRDefault="00470B0C" w:rsidP="004258AE">
            <w:pPr>
              <w:pStyle w:val="TableText"/>
              <w:keepNext w:val="0"/>
              <w:jc w:val="center"/>
              <w:rPr>
                <w:highlight w:val="black"/>
                <w:lang w:eastAsia="en-US"/>
              </w:rPr>
            </w:pPr>
            <w:r>
              <w:rPr>
                <w:noProof/>
                <w:color w:val="000000"/>
                <w:highlight w:val="black"/>
                <w:lang w:eastAsia="en-US"/>
              </w:rPr>
              <w:t>'''''''''''''''''''''''''''''</w:t>
            </w:r>
          </w:p>
          <w:p w14:paraId="6EF6F03D" w14:textId="77777777" w:rsidR="009D114F" w:rsidRPr="00470B0C" w:rsidRDefault="00470B0C" w:rsidP="004258AE">
            <w:pPr>
              <w:pStyle w:val="TableText"/>
              <w:keepNext w:val="0"/>
              <w:jc w:val="center"/>
              <w:rPr>
                <w:highlight w:val="black"/>
                <w:lang w:eastAsia="en-US"/>
              </w:rPr>
            </w:pPr>
            <w:r>
              <w:rPr>
                <w:noProof/>
                <w:color w:val="000000"/>
                <w:highlight w:val="black"/>
                <w:lang w:eastAsia="en-US"/>
              </w:rPr>
              <w:t>'''''''''''''''''''''''''''''''''''</w:t>
            </w:r>
          </w:p>
          <w:p w14:paraId="126B5736" w14:textId="77777777" w:rsidR="009D114F" w:rsidRPr="00470B0C" w:rsidRDefault="00470B0C" w:rsidP="004258AE">
            <w:pPr>
              <w:pStyle w:val="TableText"/>
              <w:keepNext w:val="0"/>
              <w:jc w:val="center"/>
              <w:rPr>
                <w:highlight w:val="black"/>
                <w:lang w:eastAsia="en-US"/>
              </w:rPr>
            </w:pPr>
            <w:r>
              <w:rPr>
                <w:noProof/>
                <w:color w:val="000000"/>
                <w:highlight w:val="black"/>
                <w:lang w:eastAsia="en-US"/>
              </w:rPr>
              <w:t>'''''''</w:t>
            </w:r>
          </w:p>
        </w:tc>
        <w:tc>
          <w:tcPr>
            <w:tcW w:w="1212" w:type="pct"/>
            <w:gridSpan w:val="2"/>
            <w:tcMar>
              <w:top w:w="0" w:type="dxa"/>
              <w:left w:w="28" w:type="dxa"/>
              <w:bottom w:w="0" w:type="dxa"/>
              <w:right w:w="28" w:type="dxa"/>
            </w:tcMar>
          </w:tcPr>
          <w:p w14:paraId="3AFD809E" w14:textId="77777777" w:rsidR="009D114F" w:rsidRPr="00470B0C" w:rsidRDefault="00470B0C" w:rsidP="004258AE">
            <w:pPr>
              <w:pStyle w:val="TableText"/>
              <w:keepNext w:val="0"/>
              <w:jc w:val="center"/>
              <w:rPr>
                <w:highlight w:val="black"/>
              </w:rPr>
            </w:pPr>
            <w:r>
              <w:rPr>
                <w:noProof/>
                <w:color w:val="000000"/>
                <w:highlight w:val="black"/>
              </w:rPr>
              <w:t>'''''''''''''''''''' ''''''''''''''''''</w:t>
            </w:r>
          </w:p>
          <w:p w14:paraId="2A3C0A9C" w14:textId="77777777" w:rsidR="009D114F" w:rsidRPr="00470B0C" w:rsidRDefault="00470B0C" w:rsidP="004258AE">
            <w:pPr>
              <w:pStyle w:val="TableText"/>
              <w:keepNext w:val="0"/>
              <w:jc w:val="center"/>
              <w:rPr>
                <w:highlight w:val="black"/>
              </w:rPr>
            </w:pPr>
            <w:r>
              <w:rPr>
                <w:noProof/>
                <w:color w:val="000000"/>
                <w:highlight w:val="black"/>
              </w:rPr>
              <w:t>''''''''''''''''''''''''''''''</w:t>
            </w:r>
          </w:p>
          <w:p w14:paraId="5C6FDB03" w14:textId="77777777" w:rsidR="009D114F" w:rsidRPr="00470B0C" w:rsidRDefault="00470B0C" w:rsidP="004258AE">
            <w:pPr>
              <w:pStyle w:val="TableText"/>
              <w:keepNext w:val="0"/>
              <w:jc w:val="center"/>
              <w:rPr>
                <w:highlight w:val="black"/>
              </w:rPr>
            </w:pPr>
            <w:r>
              <w:rPr>
                <w:noProof/>
                <w:color w:val="000000"/>
                <w:highlight w:val="black"/>
              </w:rPr>
              <w:t>'''''''''''''''''''''''''''''''</w:t>
            </w:r>
          </w:p>
          <w:p w14:paraId="4A31E1D9" w14:textId="77777777" w:rsidR="009D114F" w:rsidRPr="00470B0C" w:rsidRDefault="00470B0C" w:rsidP="004258AE">
            <w:pPr>
              <w:pStyle w:val="TableText"/>
              <w:keepNext w:val="0"/>
              <w:jc w:val="center"/>
              <w:rPr>
                <w:highlight w:val="black"/>
              </w:rPr>
            </w:pPr>
            <w:r>
              <w:rPr>
                <w:noProof/>
                <w:color w:val="000000"/>
                <w:highlight w:val="black"/>
              </w:rPr>
              <w:t>'''''''''''''''''''''''''''''</w:t>
            </w:r>
          </w:p>
          <w:p w14:paraId="76B220EA" w14:textId="77777777" w:rsidR="009D114F" w:rsidRPr="00470B0C" w:rsidRDefault="00470B0C" w:rsidP="004258AE">
            <w:pPr>
              <w:pStyle w:val="TableText"/>
              <w:keepNext w:val="0"/>
              <w:jc w:val="center"/>
              <w:rPr>
                <w:highlight w:val="black"/>
              </w:rPr>
            </w:pPr>
            <w:r>
              <w:rPr>
                <w:noProof/>
                <w:color w:val="000000"/>
                <w:highlight w:val="black"/>
              </w:rPr>
              <w:t>''''''''''''''''''''''''''''''''</w:t>
            </w:r>
          </w:p>
          <w:p w14:paraId="2AA59E1B" w14:textId="77777777" w:rsidR="009D114F" w:rsidRPr="00470B0C" w:rsidRDefault="00470B0C" w:rsidP="004258AE">
            <w:pPr>
              <w:pStyle w:val="TableText"/>
              <w:keepNext w:val="0"/>
              <w:jc w:val="center"/>
              <w:rPr>
                <w:highlight w:val="black"/>
              </w:rPr>
            </w:pPr>
            <w:r>
              <w:rPr>
                <w:noProof/>
                <w:color w:val="000000"/>
                <w:highlight w:val="black"/>
              </w:rPr>
              <w:t>''''''''''''''''''''''''''''''''''</w:t>
            </w:r>
          </w:p>
          <w:p w14:paraId="2EAF3745" w14:textId="77777777" w:rsidR="009D114F" w:rsidRPr="00470B0C" w:rsidRDefault="00470B0C" w:rsidP="004258AE">
            <w:pPr>
              <w:pStyle w:val="TableText"/>
              <w:keepNext w:val="0"/>
              <w:jc w:val="center"/>
              <w:rPr>
                <w:highlight w:val="black"/>
              </w:rPr>
            </w:pPr>
            <w:r>
              <w:rPr>
                <w:noProof/>
                <w:color w:val="000000"/>
                <w:highlight w:val="black"/>
              </w:rPr>
              <w:t>'''''''''''''''''''''''''''''''''''</w:t>
            </w:r>
          </w:p>
        </w:tc>
      </w:tr>
      <w:tr w:rsidR="009D114F" w:rsidRPr="009D19CE" w14:paraId="779A2171" w14:textId="77777777" w:rsidTr="00055FF2">
        <w:trPr>
          <w:cantSplit/>
        </w:trPr>
        <w:tc>
          <w:tcPr>
            <w:tcW w:w="1295" w:type="pct"/>
            <w:tcMar>
              <w:top w:w="0" w:type="dxa"/>
              <w:left w:w="28" w:type="dxa"/>
              <w:bottom w:w="0" w:type="dxa"/>
              <w:right w:w="28" w:type="dxa"/>
            </w:tcMar>
          </w:tcPr>
          <w:p w14:paraId="6C59FDF2" w14:textId="77777777" w:rsidR="009D114F" w:rsidRPr="00470B0C" w:rsidRDefault="00470B0C" w:rsidP="004258AE">
            <w:pPr>
              <w:pStyle w:val="TableText"/>
              <w:keepNext w:val="0"/>
              <w:spacing w:line="252" w:lineRule="auto"/>
              <w:rPr>
                <w:highlight w:val="black"/>
                <w:lang w:eastAsia="en-US"/>
              </w:rPr>
            </w:pPr>
            <w:r>
              <w:rPr>
                <w:noProof/>
                <w:color w:val="000000"/>
                <w:highlight w:val="black"/>
                <w:lang w:eastAsia="en-US"/>
              </w:rPr>
              <w:t>''''''''''' ''''''''''''''' ''''''''''''''''''''''''''''''''</w:t>
            </w:r>
          </w:p>
        </w:tc>
        <w:tc>
          <w:tcPr>
            <w:tcW w:w="1212" w:type="pct"/>
            <w:gridSpan w:val="2"/>
            <w:tcMar>
              <w:top w:w="0" w:type="dxa"/>
              <w:left w:w="28" w:type="dxa"/>
              <w:bottom w:w="0" w:type="dxa"/>
              <w:right w:w="28" w:type="dxa"/>
            </w:tcMar>
            <w:vAlign w:val="center"/>
          </w:tcPr>
          <w:p w14:paraId="53702EB0"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 '''''''''''''''''''''</w:t>
            </w:r>
          </w:p>
        </w:tc>
        <w:tc>
          <w:tcPr>
            <w:tcW w:w="1281" w:type="pct"/>
            <w:tcMar>
              <w:top w:w="0" w:type="dxa"/>
              <w:left w:w="28" w:type="dxa"/>
              <w:bottom w:w="0" w:type="dxa"/>
              <w:right w:w="28" w:type="dxa"/>
            </w:tcMar>
            <w:vAlign w:val="center"/>
          </w:tcPr>
          <w:p w14:paraId="11BC06DC"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 '''''''' ''''''' '''''''''</w:t>
            </w:r>
          </w:p>
        </w:tc>
        <w:tc>
          <w:tcPr>
            <w:tcW w:w="1212" w:type="pct"/>
            <w:gridSpan w:val="2"/>
            <w:tcMar>
              <w:top w:w="0" w:type="dxa"/>
              <w:left w:w="28" w:type="dxa"/>
              <w:bottom w:w="0" w:type="dxa"/>
              <w:right w:w="28" w:type="dxa"/>
            </w:tcMar>
            <w:vAlign w:val="center"/>
          </w:tcPr>
          <w:p w14:paraId="755FCF21" w14:textId="77777777" w:rsidR="009D114F" w:rsidRPr="00470B0C" w:rsidRDefault="00470B0C" w:rsidP="004258AE">
            <w:pPr>
              <w:pStyle w:val="TableText"/>
              <w:keepNext w:val="0"/>
              <w:spacing w:line="252" w:lineRule="auto"/>
              <w:jc w:val="center"/>
              <w:rPr>
                <w:highlight w:val="black"/>
                <w:lang w:eastAsia="en-US"/>
              </w:rPr>
            </w:pPr>
            <w:r>
              <w:rPr>
                <w:noProof/>
                <w:color w:val="000000"/>
                <w:highlight w:val="black"/>
                <w:lang w:eastAsia="en-US"/>
              </w:rPr>
              <w:t>'''''''''' ''''' '''''''' '''''''''''''''''''' ''''''''''''''''''''''''''''''''''''''''''''''' ''''''''''</w:t>
            </w:r>
          </w:p>
        </w:tc>
      </w:tr>
      <w:tr w:rsidR="009D114F" w:rsidRPr="009D19CE" w14:paraId="5602DD41" w14:textId="77777777" w:rsidTr="00055FF2">
        <w:trPr>
          <w:cantSplit/>
        </w:trPr>
        <w:tc>
          <w:tcPr>
            <w:tcW w:w="5000" w:type="pct"/>
            <w:gridSpan w:val="6"/>
            <w:tcMar>
              <w:top w:w="0" w:type="dxa"/>
              <w:left w:w="28" w:type="dxa"/>
              <w:bottom w:w="0" w:type="dxa"/>
              <w:right w:w="28" w:type="dxa"/>
            </w:tcMar>
          </w:tcPr>
          <w:p w14:paraId="6F01E103" w14:textId="77777777" w:rsidR="009D114F" w:rsidRPr="00470B0C" w:rsidRDefault="00470B0C" w:rsidP="004258AE">
            <w:pPr>
              <w:pStyle w:val="TableFigureFooter"/>
              <w:spacing w:after="0"/>
              <w:rPr>
                <w:highlight w:val="black"/>
              </w:rPr>
            </w:pPr>
            <w:r>
              <w:rPr>
                <w:noProof/>
                <w:color w:val="000000"/>
                <w:highlight w:val="black"/>
                <w:vertAlign w:val="superscript"/>
              </w:rPr>
              <w:t xml:space="preserve">''' ''''' ''''''' ''''''''''''''''''''''''''''''' '''''''''''''''''''''''''' ''''''''''''''''''''' ''''''''''''''''' ''''''''''' ''''''''''' ''''''''''''''''' '''' ''''''''''''''''''' '''''''''''''''''''''''''''''' ''''''' '''''''''''''''''''''''''''''''''''''''''' ''''''''' '''''''''''''''''''''''' ''''''''''''''' ''''''''''''''''''' ''''' '''''''' ''''''''''''''''' '''''''''''''''''''''''''''''''''''''''' ''''''''''''''''''''''''' '''''''''''''''' ''''''''''' '''''''''''''''''''''''' ''''''''''''''''''''''''''''''' ''''''''''''''''''' ''''''''''' ''''''''''''''''' '''' '''''''''''''''''''' ''''''''''''''''' ''''''''''''''''''''''''''' '''''''''' ''''''''''''''''''' ''''' ''''''''''''''''''''' ''''' '''''''''''''''''' '''' '''''''''''''''' </w:t>
            </w:r>
          </w:p>
          <w:p w14:paraId="36221EC3" w14:textId="77777777" w:rsidR="009D114F" w:rsidRPr="00470B0C" w:rsidRDefault="00470B0C" w:rsidP="004258AE">
            <w:pPr>
              <w:pStyle w:val="TableFigureFooter"/>
              <w:spacing w:after="0"/>
              <w:rPr>
                <w:highlight w:val="black"/>
              </w:rPr>
            </w:pPr>
            <w:r>
              <w:rPr>
                <w:noProof/>
                <w:color w:val="000000"/>
                <w:highlight w:val="black"/>
                <w:vertAlign w:val="superscript"/>
              </w:rPr>
              <w:t>'''' '''''''' '''''''''''''' '''''''''' ''''''''''' '''''''''''' '''''''''''''''''''''''''''''''''''''''''' '''''''''''''''''''''''''' ''''''''''' ''''''''''' '''' '''''''''' '''''''''' ''''''''''''''''''''''''''' ''''' '''''''' '''''''''''''''''' ''''''''''' ''''''''''''''' '''''''''''''''''''</w:t>
            </w:r>
          </w:p>
        </w:tc>
      </w:tr>
    </w:tbl>
    <w:p w14:paraId="46EEEC37" w14:textId="77777777" w:rsidR="009D114F" w:rsidRPr="00470B0C" w:rsidRDefault="00470B0C" w:rsidP="009D114F">
      <w:pPr>
        <w:pStyle w:val="TableFigureFooter"/>
        <w:rPr>
          <w:highlight w:val="black"/>
        </w:rPr>
      </w:pPr>
      <w:r>
        <w:rPr>
          <w:noProof/>
          <w:color w:val="000000"/>
          <w:highlight w:val="black"/>
        </w:rPr>
        <w:t>''''''''''''''''' ''''''''''''''''''''''''''''''' '''''''''''''''''''''''''''''' '''''''''''''''''''''' '''''''''''''' ''''''''''''''''''''''''''''''''''''''''' '''''''''''''''''''''''''''''' '''''''''''''''''''''''' ''''''''''''''' ''''''''''''''''''''''''''''''''''''''''''''''' ''''''''''''' '''''''''''''''''''' '''''''''' '''''''''''''</w:t>
      </w:r>
    </w:p>
    <w:p w14:paraId="56E8DF82" w14:textId="77777777" w:rsidR="009D114F" w:rsidRPr="00470B0C" w:rsidRDefault="00470B0C" w:rsidP="009D114F">
      <w:pPr>
        <w:pStyle w:val="TableFigureFooter"/>
        <w:rPr>
          <w:highlight w:val="black"/>
        </w:rPr>
      </w:pPr>
      <w:r>
        <w:rPr>
          <w:noProof/>
          <w:color w:val="000000"/>
          <w:highlight w:val="black"/>
        </w:rPr>
        <w:t>'''''''''''''''''''''''''''''''''''' '''''''''''' '''''''''''''''''''''''''''' ''''''''''''''''''''''' ''''''''''''''''''''' ''''''''''''' ''''''''''''''''''''''''' ''' '''''''''''''''''''' ''''''''''''''''' ''''''''''''''''''' ''''''''''''''''''''''' '''''''''''' ''''''' ''''''''''''''''''''''''' '''''''''''''''''''' '''''''''''''' ''''''' '''''''''''''''''''''''' '''''''''''' '''''''''''''''' '''''''''' '''''''' '''''''''''''''''''''''' '''''''''''''''''''' ''''''''''''''''''''''''''''''''''''''''''''''''</w:t>
      </w:r>
    </w:p>
    <w:p w14:paraId="3ED35CC9" w14:textId="77777777" w:rsidR="009D114F" w:rsidRPr="00470B0C" w:rsidRDefault="00470B0C" w:rsidP="009D114F">
      <w:pPr>
        <w:pStyle w:val="TableFigureFooter"/>
        <w:rPr>
          <w:highlight w:val="black"/>
        </w:rPr>
      </w:pPr>
      <w:r>
        <w:rPr>
          <w:noProof/>
          <w:color w:val="000000"/>
          <w:highlight w:val="black"/>
        </w:rPr>
        <w:t>'''''''''''''' ''''''''''''''' '''''' '''''''''''''''''''''''''''''''''''''''' ''''''''''''''''''''' '''' ''''''' '''''''''''''''''''''''''' ''''''''' '''''''''''''''''' '''' ''''''''''''''''' ''''''' ''''''''''''''''''''' '''' ''''''''''''''''''''''' '''''''''''''''''''''''''''' '''''''' ''''''''''''''''''''' '''''''''''' ''''' ''' ''''''''''' ''''''''''''</w:t>
      </w:r>
    </w:p>
    <w:p w14:paraId="4D9B6DB3" w14:textId="77777777" w:rsidR="00A405B2" w:rsidRDefault="008A3C3E" w:rsidP="00465989">
      <w:pPr>
        <w:pStyle w:val="4-SubsectSubhead"/>
        <w:jc w:val="center"/>
      </w:pPr>
      <w:r w:rsidRPr="008621F4">
        <w:t>End Committee-In-Confidence information</w:t>
      </w:r>
    </w:p>
    <w:p w14:paraId="5ECC4E55" w14:textId="77777777" w:rsidR="00A405B2" w:rsidRPr="00D52702" w:rsidRDefault="00A405B2" w:rsidP="00465989">
      <w:pPr>
        <w:keepNext/>
        <w:widowControl w:val="0"/>
        <w:numPr>
          <w:ilvl w:val="0"/>
          <w:numId w:val="1"/>
        </w:numPr>
        <w:spacing w:before="240" w:after="120"/>
        <w:outlineLvl w:val="0"/>
        <w:rPr>
          <w:rFonts w:asciiTheme="minorHAnsi" w:hAnsiTheme="minorHAnsi"/>
          <w:b/>
          <w:bCs/>
          <w:snapToGrid w:val="0"/>
          <w:sz w:val="32"/>
        </w:rPr>
      </w:pPr>
      <w:r w:rsidRPr="00D52702">
        <w:rPr>
          <w:rFonts w:asciiTheme="minorHAnsi" w:hAnsiTheme="minorHAnsi"/>
          <w:b/>
          <w:bCs/>
          <w:snapToGrid w:val="0"/>
          <w:sz w:val="32"/>
        </w:rPr>
        <w:t>PBAC Outcome</w:t>
      </w:r>
    </w:p>
    <w:p w14:paraId="5EE5F8B4" w14:textId="77777777" w:rsidR="00485797" w:rsidRPr="00485797" w:rsidRDefault="00485797" w:rsidP="00485797">
      <w:pPr>
        <w:widowControl w:val="0"/>
        <w:numPr>
          <w:ilvl w:val="1"/>
          <w:numId w:val="1"/>
        </w:numPr>
        <w:spacing w:after="120"/>
        <w:ind w:left="720"/>
        <w:rPr>
          <w:rFonts w:asciiTheme="minorHAnsi" w:hAnsiTheme="minorHAnsi"/>
          <w:bCs/>
          <w:snapToGrid w:val="0"/>
          <w:lang w:val="en-GB"/>
        </w:rPr>
      </w:pPr>
      <w:r>
        <w:rPr>
          <w:rFonts w:asciiTheme="minorHAnsi" w:hAnsiTheme="minorHAnsi"/>
          <w:bCs/>
          <w:snapToGrid w:val="0"/>
          <w:lang w:val="en-GB"/>
        </w:rPr>
        <w:t>The PBAC noted the submission lacked</w:t>
      </w:r>
      <w:r w:rsidRPr="00485797">
        <w:rPr>
          <w:rFonts w:asciiTheme="minorHAnsi" w:hAnsiTheme="minorHAnsi"/>
          <w:bCs/>
          <w:snapToGrid w:val="0"/>
          <w:lang w:val="en-GB"/>
        </w:rPr>
        <w:t xml:space="preserve"> standard information </w:t>
      </w:r>
      <w:r>
        <w:rPr>
          <w:rFonts w:asciiTheme="minorHAnsi" w:hAnsiTheme="minorHAnsi"/>
          <w:bCs/>
          <w:snapToGrid w:val="0"/>
          <w:lang w:val="en-GB"/>
        </w:rPr>
        <w:t xml:space="preserve">expected in a major submission, including the </w:t>
      </w:r>
      <w:r w:rsidRPr="00485797">
        <w:rPr>
          <w:rFonts w:asciiTheme="minorHAnsi" w:hAnsiTheme="minorHAnsi"/>
          <w:bCs/>
          <w:snapToGrid w:val="0"/>
          <w:lang w:val="en-GB"/>
        </w:rPr>
        <w:t>literature search, clinical tr</w:t>
      </w:r>
      <w:r>
        <w:rPr>
          <w:rFonts w:asciiTheme="minorHAnsi" w:hAnsiTheme="minorHAnsi"/>
          <w:bCs/>
          <w:snapToGrid w:val="0"/>
          <w:lang w:val="en-GB"/>
        </w:rPr>
        <w:t xml:space="preserve">ial reports, economic analysis, clinical study reports (CSRs) and discussion of the </w:t>
      </w:r>
      <w:r w:rsidRPr="00485797">
        <w:rPr>
          <w:rFonts w:asciiTheme="minorHAnsi" w:hAnsiTheme="minorHAnsi"/>
          <w:bCs/>
          <w:snapToGrid w:val="0"/>
          <w:lang w:val="en-GB"/>
        </w:rPr>
        <w:t>applicability of trial data to PBS population</w:t>
      </w:r>
      <w:r w:rsidR="000F7730">
        <w:rPr>
          <w:rFonts w:asciiTheme="minorHAnsi" w:hAnsiTheme="minorHAnsi"/>
          <w:bCs/>
          <w:snapToGrid w:val="0"/>
          <w:lang w:val="en-GB"/>
        </w:rPr>
        <w:t>.</w:t>
      </w:r>
      <w:r w:rsidRPr="00485797">
        <w:rPr>
          <w:rFonts w:asciiTheme="minorHAnsi" w:hAnsiTheme="minorHAnsi"/>
          <w:bCs/>
          <w:snapToGrid w:val="0"/>
          <w:lang w:val="en-GB"/>
        </w:rPr>
        <w:t xml:space="preserve"> </w:t>
      </w:r>
      <w:r w:rsidR="000F7730">
        <w:rPr>
          <w:rFonts w:asciiTheme="minorHAnsi" w:hAnsiTheme="minorHAnsi"/>
          <w:bCs/>
          <w:snapToGrid w:val="0"/>
          <w:lang w:val="en-GB"/>
        </w:rPr>
        <w:t>T</w:t>
      </w:r>
      <w:r>
        <w:rPr>
          <w:rFonts w:asciiTheme="minorHAnsi" w:hAnsiTheme="minorHAnsi"/>
          <w:bCs/>
          <w:snapToGrid w:val="0"/>
          <w:lang w:val="en-GB"/>
        </w:rPr>
        <w:t xml:space="preserve">hese deficiencies impeded the Committee’s ability to consider the submission. The Committee agreed any resubmission should include all standard information expected in a </w:t>
      </w:r>
      <w:r w:rsidR="00067B4D">
        <w:rPr>
          <w:rFonts w:asciiTheme="minorHAnsi" w:hAnsiTheme="minorHAnsi"/>
          <w:bCs/>
          <w:snapToGrid w:val="0"/>
          <w:lang w:val="en-GB"/>
        </w:rPr>
        <w:t>major submission</w:t>
      </w:r>
      <w:r>
        <w:rPr>
          <w:rFonts w:asciiTheme="minorHAnsi" w:hAnsiTheme="minorHAnsi"/>
          <w:bCs/>
          <w:snapToGrid w:val="0"/>
          <w:lang w:val="en-GB"/>
        </w:rPr>
        <w:t>.</w:t>
      </w:r>
    </w:p>
    <w:p w14:paraId="37830BD3" w14:textId="77777777" w:rsidR="00A405B2" w:rsidRDefault="000F7730" w:rsidP="00A405B2">
      <w:pPr>
        <w:widowControl w:val="0"/>
        <w:numPr>
          <w:ilvl w:val="1"/>
          <w:numId w:val="1"/>
        </w:numPr>
        <w:spacing w:after="120"/>
        <w:ind w:left="720"/>
        <w:rPr>
          <w:rFonts w:asciiTheme="minorHAnsi" w:hAnsiTheme="minorHAnsi"/>
          <w:bCs/>
          <w:snapToGrid w:val="0"/>
          <w:lang w:val="en-GB"/>
        </w:rPr>
      </w:pPr>
      <w:r>
        <w:rPr>
          <w:rFonts w:asciiTheme="minorHAnsi" w:hAnsiTheme="minorHAnsi"/>
          <w:bCs/>
          <w:snapToGrid w:val="0"/>
          <w:lang w:val="en-GB"/>
        </w:rPr>
        <w:t>W</w:t>
      </w:r>
      <w:r w:rsidR="00465989">
        <w:rPr>
          <w:rFonts w:asciiTheme="minorHAnsi" w:hAnsiTheme="minorHAnsi"/>
          <w:bCs/>
          <w:snapToGrid w:val="0"/>
          <w:lang w:val="en-GB"/>
        </w:rPr>
        <w:t xml:space="preserve">ith respect to the core propositions of the submission, </w:t>
      </w:r>
      <w:r>
        <w:rPr>
          <w:rFonts w:asciiTheme="minorHAnsi" w:hAnsiTheme="minorHAnsi"/>
          <w:bCs/>
          <w:snapToGrid w:val="0"/>
          <w:lang w:val="en-GB"/>
        </w:rPr>
        <w:t xml:space="preserve">the PBAC did not recommend </w:t>
      </w:r>
      <w:r w:rsidR="00465989">
        <w:rPr>
          <w:rFonts w:asciiTheme="minorHAnsi" w:hAnsiTheme="minorHAnsi"/>
          <w:bCs/>
          <w:snapToGrid w:val="0"/>
          <w:lang w:val="en-GB"/>
        </w:rPr>
        <w:t xml:space="preserve">amending </w:t>
      </w:r>
      <w:r w:rsidR="000E1542">
        <w:rPr>
          <w:rFonts w:asciiTheme="minorHAnsi" w:hAnsiTheme="minorHAnsi"/>
          <w:bCs/>
          <w:snapToGrid w:val="0"/>
          <w:lang w:val="en-GB"/>
        </w:rPr>
        <w:t>the listing of sacubitril/</w:t>
      </w:r>
      <w:r w:rsidR="00465989">
        <w:rPr>
          <w:rFonts w:asciiTheme="minorHAnsi" w:hAnsiTheme="minorHAnsi"/>
          <w:bCs/>
          <w:snapToGrid w:val="0"/>
          <w:lang w:val="en-GB"/>
        </w:rPr>
        <w:t xml:space="preserve">valsartan to amend the ejection fraction threshold in the restriction to </w:t>
      </w:r>
      <w:r w:rsidR="00873093">
        <w:rPr>
          <w:rFonts w:asciiTheme="minorHAnsi" w:hAnsiTheme="minorHAnsi"/>
          <w:bCs/>
          <w:snapToGrid w:val="0"/>
          <w:lang w:val="en-GB"/>
        </w:rPr>
        <w:t>include patients with an LVEF between 41% -</w:t>
      </w:r>
      <w:r w:rsidR="00465989">
        <w:rPr>
          <w:rFonts w:asciiTheme="minorHAnsi" w:hAnsiTheme="minorHAnsi"/>
          <w:bCs/>
          <w:snapToGrid w:val="0"/>
          <w:lang w:val="en-GB"/>
        </w:rPr>
        <w:t xml:space="preserve"> </w:t>
      </w:r>
      <w:r w:rsidR="00465989">
        <w:rPr>
          <w:rFonts w:asciiTheme="minorHAnsi" w:hAnsiTheme="minorHAnsi" w:cstheme="minorHAnsi"/>
          <w:bCs/>
          <w:snapToGrid w:val="0"/>
          <w:lang w:val="en-GB"/>
        </w:rPr>
        <w:t>≤</w:t>
      </w:r>
      <w:r w:rsidR="00465989">
        <w:rPr>
          <w:rFonts w:asciiTheme="minorHAnsi" w:hAnsiTheme="minorHAnsi"/>
          <w:bCs/>
          <w:snapToGrid w:val="0"/>
          <w:lang w:val="en-GB"/>
        </w:rPr>
        <w:t xml:space="preserve">50% </w:t>
      </w:r>
      <w:r w:rsidR="000E1542">
        <w:rPr>
          <w:rFonts w:asciiTheme="minorHAnsi" w:hAnsiTheme="minorHAnsi"/>
          <w:bCs/>
          <w:snapToGrid w:val="0"/>
          <w:lang w:val="en-GB"/>
        </w:rPr>
        <w:t xml:space="preserve">(from the current </w:t>
      </w:r>
      <w:r w:rsidR="000E1542">
        <w:rPr>
          <w:rFonts w:asciiTheme="minorHAnsi" w:hAnsiTheme="minorHAnsi" w:cstheme="minorHAnsi"/>
          <w:bCs/>
          <w:snapToGrid w:val="0"/>
          <w:lang w:val="en-GB"/>
        </w:rPr>
        <w:t>≤</w:t>
      </w:r>
      <w:r w:rsidR="000E1542">
        <w:rPr>
          <w:rFonts w:asciiTheme="minorHAnsi" w:hAnsiTheme="minorHAnsi"/>
          <w:bCs/>
          <w:snapToGrid w:val="0"/>
          <w:lang w:val="en-GB"/>
        </w:rPr>
        <w:t xml:space="preserve">40%), </w:t>
      </w:r>
      <w:r w:rsidR="00465989">
        <w:rPr>
          <w:rFonts w:asciiTheme="minorHAnsi" w:hAnsiTheme="minorHAnsi"/>
          <w:bCs/>
          <w:snapToGrid w:val="0"/>
          <w:lang w:val="en-GB"/>
        </w:rPr>
        <w:t xml:space="preserve">nor to remove the requirements for prior treatment with an ACE </w:t>
      </w:r>
      <w:r w:rsidR="00465989">
        <w:rPr>
          <w:rFonts w:asciiTheme="minorHAnsi" w:hAnsiTheme="minorHAnsi"/>
          <w:bCs/>
          <w:snapToGrid w:val="0"/>
          <w:lang w:val="en-GB"/>
        </w:rPr>
        <w:lastRenderedPageBreak/>
        <w:t xml:space="preserve">inhibitor </w:t>
      </w:r>
      <w:r w:rsidR="000E1542">
        <w:rPr>
          <w:rFonts w:asciiTheme="minorHAnsi" w:hAnsiTheme="minorHAnsi"/>
          <w:bCs/>
          <w:snapToGrid w:val="0"/>
          <w:lang w:val="en-GB"/>
        </w:rPr>
        <w:t xml:space="preserve">or ARB before commencing treatment. However, with respect to the requirement for patients to be on a maximally tolerated dose of a </w:t>
      </w:r>
      <w:r w:rsidR="007261F5">
        <w:rPr>
          <w:rFonts w:asciiTheme="minorHAnsi" w:hAnsiTheme="minorHAnsi"/>
          <w:bCs/>
          <w:snapToGrid w:val="0"/>
          <w:lang w:val="en-GB"/>
        </w:rPr>
        <w:t>beta-blocker</w:t>
      </w:r>
      <w:r w:rsidR="000E1542">
        <w:rPr>
          <w:rFonts w:asciiTheme="minorHAnsi" w:hAnsiTheme="minorHAnsi"/>
          <w:bCs/>
          <w:snapToGrid w:val="0"/>
          <w:lang w:val="en-GB"/>
        </w:rPr>
        <w:t xml:space="preserve"> prior to commencing treatment</w:t>
      </w:r>
      <w:r w:rsidR="00873093">
        <w:rPr>
          <w:rFonts w:asciiTheme="minorHAnsi" w:hAnsiTheme="minorHAnsi"/>
          <w:bCs/>
          <w:snapToGrid w:val="0"/>
          <w:lang w:val="en-GB"/>
        </w:rPr>
        <w:t>,</w:t>
      </w:r>
      <w:r w:rsidR="000E1542">
        <w:rPr>
          <w:rFonts w:asciiTheme="minorHAnsi" w:hAnsiTheme="minorHAnsi"/>
          <w:bCs/>
          <w:snapToGrid w:val="0"/>
          <w:lang w:val="en-GB"/>
        </w:rPr>
        <w:t xml:space="preserve"> </w:t>
      </w:r>
      <w:r w:rsidR="006D74F9">
        <w:rPr>
          <w:rFonts w:asciiTheme="minorHAnsi" w:hAnsiTheme="minorHAnsi"/>
          <w:bCs/>
          <w:snapToGrid w:val="0"/>
          <w:lang w:val="en-GB"/>
        </w:rPr>
        <w:t xml:space="preserve">the PBAC recommended amending the listing, noting the current wording </w:t>
      </w:r>
      <w:r w:rsidR="000E1542">
        <w:rPr>
          <w:rFonts w:asciiTheme="minorHAnsi" w:hAnsiTheme="minorHAnsi"/>
          <w:bCs/>
          <w:snapToGrid w:val="0"/>
          <w:lang w:val="en-GB"/>
        </w:rPr>
        <w:t>was inconsistent with clinical guidelines and may complicate clinical management of patients. The PBAC also recommended changes to nurse practitioner prescribing arrangements. These four outcomes are discussed individually below.</w:t>
      </w:r>
    </w:p>
    <w:p w14:paraId="39696FD9" w14:textId="77777777" w:rsidR="002304D7" w:rsidRPr="002304D7" w:rsidRDefault="002304D7" w:rsidP="002304D7">
      <w:pPr>
        <w:widowControl w:val="0"/>
        <w:numPr>
          <w:ilvl w:val="1"/>
          <w:numId w:val="1"/>
        </w:numPr>
        <w:spacing w:after="120"/>
        <w:ind w:left="720"/>
        <w:rPr>
          <w:rFonts w:asciiTheme="minorHAnsi" w:hAnsiTheme="minorHAnsi"/>
          <w:bCs/>
          <w:snapToGrid w:val="0"/>
          <w:lang w:val="en-GB"/>
        </w:rPr>
      </w:pPr>
      <w:r>
        <w:rPr>
          <w:rFonts w:asciiTheme="minorHAnsi" w:hAnsiTheme="minorHAnsi"/>
          <w:bCs/>
          <w:snapToGrid w:val="0"/>
          <w:lang w:val="en-GB"/>
        </w:rPr>
        <w:t>The PBAC considered the nominated comparator of enalapril, as a proxy for all ACE inhibitors and previously accepted by the PBAC for the current sacubitril/valsartan population, was reasonable.</w:t>
      </w:r>
    </w:p>
    <w:p w14:paraId="1CF4BBA4" w14:textId="77777777" w:rsidR="000E1542" w:rsidRDefault="000E1542" w:rsidP="00A405B2">
      <w:pPr>
        <w:widowControl w:val="0"/>
        <w:numPr>
          <w:ilvl w:val="1"/>
          <w:numId w:val="1"/>
        </w:numPr>
        <w:spacing w:after="120"/>
        <w:ind w:left="720"/>
        <w:rPr>
          <w:rFonts w:asciiTheme="minorHAnsi" w:hAnsiTheme="minorHAnsi"/>
          <w:bCs/>
          <w:snapToGrid w:val="0"/>
          <w:lang w:val="en-GB"/>
        </w:rPr>
      </w:pPr>
      <w:r>
        <w:rPr>
          <w:rFonts w:asciiTheme="minorHAnsi" w:hAnsiTheme="minorHAnsi"/>
          <w:bCs/>
          <w:snapToGrid w:val="0"/>
          <w:lang w:val="en-GB"/>
        </w:rPr>
        <w:t xml:space="preserve">The PBAC considered the request to amend the </w:t>
      </w:r>
      <w:r w:rsidR="001E7359">
        <w:rPr>
          <w:rFonts w:asciiTheme="minorHAnsi" w:hAnsiTheme="minorHAnsi"/>
          <w:bCs/>
          <w:snapToGrid w:val="0"/>
          <w:lang w:val="en-GB"/>
        </w:rPr>
        <w:t xml:space="preserve">listing to permit use in patients with an LVEF of </w:t>
      </w:r>
      <w:r w:rsidR="001E7359">
        <w:rPr>
          <w:rFonts w:asciiTheme="minorHAnsi" w:hAnsiTheme="minorHAnsi" w:cstheme="minorHAnsi"/>
          <w:bCs/>
          <w:snapToGrid w:val="0"/>
          <w:lang w:val="en-GB"/>
        </w:rPr>
        <w:t>≤</w:t>
      </w:r>
      <w:r w:rsidR="001E7359">
        <w:rPr>
          <w:rFonts w:asciiTheme="minorHAnsi" w:hAnsiTheme="minorHAnsi"/>
          <w:bCs/>
          <w:snapToGrid w:val="0"/>
          <w:lang w:val="en-GB"/>
        </w:rPr>
        <w:t>50% was poorly justified</w:t>
      </w:r>
      <w:r w:rsidR="00953731">
        <w:rPr>
          <w:rFonts w:asciiTheme="minorHAnsi" w:hAnsiTheme="minorHAnsi"/>
          <w:bCs/>
          <w:snapToGrid w:val="0"/>
          <w:lang w:val="en-GB"/>
        </w:rPr>
        <w:t>,</w:t>
      </w:r>
      <w:r w:rsidR="001E7359">
        <w:rPr>
          <w:rFonts w:asciiTheme="minorHAnsi" w:hAnsiTheme="minorHAnsi"/>
          <w:bCs/>
          <w:snapToGrid w:val="0"/>
          <w:lang w:val="en-GB"/>
        </w:rPr>
        <w:t xml:space="preserve"> as no data or economic analysis was presented to support the </w:t>
      </w:r>
      <w:r w:rsidR="00953731">
        <w:rPr>
          <w:rFonts w:asciiTheme="minorHAnsi" w:hAnsiTheme="minorHAnsi"/>
          <w:bCs/>
          <w:snapToGrid w:val="0"/>
          <w:lang w:val="en-GB"/>
        </w:rPr>
        <w:t xml:space="preserve">position </w:t>
      </w:r>
      <w:r w:rsidR="001E7359">
        <w:rPr>
          <w:rFonts w:asciiTheme="minorHAnsi" w:hAnsiTheme="minorHAnsi"/>
          <w:bCs/>
          <w:snapToGrid w:val="0"/>
          <w:lang w:val="en-GB"/>
        </w:rPr>
        <w:t xml:space="preserve">that sacubitril/valsartan was of equivalent </w:t>
      </w:r>
      <w:r w:rsidR="003E7285">
        <w:rPr>
          <w:rFonts w:asciiTheme="minorHAnsi" w:hAnsiTheme="minorHAnsi"/>
          <w:bCs/>
          <w:snapToGrid w:val="0"/>
          <w:lang w:val="en-GB"/>
        </w:rPr>
        <w:t>cost effectiv</w:t>
      </w:r>
      <w:r w:rsidR="001E7359">
        <w:rPr>
          <w:rFonts w:asciiTheme="minorHAnsi" w:hAnsiTheme="minorHAnsi"/>
          <w:bCs/>
          <w:snapToGrid w:val="0"/>
          <w:lang w:val="en-GB"/>
        </w:rPr>
        <w:t>eness</w:t>
      </w:r>
      <w:r w:rsidR="00A35916">
        <w:rPr>
          <w:rFonts w:asciiTheme="minorHAnsi" w:hAnsiTheme="minorHAnsi"/>
          <w:bCs/>
          <w:snapToGrid w:val="0"/>
          <w:lang w:val="en-GB"/>
        </w:rPr>
        <w:t xml:space="preserve"> to its current listing</w:t>
      </w:r>
      <w:r w:rsidR="001E7359">
        <w:rPr>
          <w:rFonts w:asciiTheme="minorHAnsi" w:hAnsiTheme="minorHAnsi"/>
          <w:bCs/>
          <w:snapToGrid w:val="0"/>
          <w:lang w:val="en-GB"/>
        </w:rPr>
        <w:t xml:space="preserve"> in this expanded population.</w:t>
      </w:r>
      <w:r w:rsidR="00FD0C03">
        <w:rPr>
          <w:rFonts w:asciiTheme="minorHAnsi" w:hAnsiTheme="minorHAnsi"/>
          <w:bCs/>
          <w:snapToGrid w:val="0"/>
          <w:lang w:val="en-GB"/>
        </w:rPr>
        <w:t xml:space="preserve"> The Committee noted the Solomon 2020 pooled analysis of the PARADIGM-HF and PARAGON-HF trials indicated similar point estimates</w:t>
      </w:r>
      <w:r w:rsidR="00413583">
        <w:rPr>
          <w:rFonts w:asciiTheme="minorHAnsi" w:hAnsiTheme="minorHAnsi"/>
          <w:bCs/>
          <w:snapToGrid w:val="0"/>
          <w:lang w:val="en-GB"/>
        </w:rPr>
        <w:t xml:space="preserve"> for the sacubitril/valsartan versus enalapril or valsartan comparisons</w:t>
      </w:r>
      <w:r w:rsidR="00FD0C03">
        <w:rPr>
          <w:rFonts w:asciiTheme="minorHAnsi" w:hAnsiTheme="minorHAnsi"/>
          <w:bCs/>
          <w:snapToGrid w:val="0"/>
          <w:lang w:val="en-GB"/>
        </w:rPr>
        <w:t xml:space="preserve"> </w:t>
      </w:r>
      <w:r w:rsidR="00413583">
        <w:rPr>
          <w:rFonts w:asciiTheme="minorHAnsi" w:hAnsiTheme="minorHAnsi"/>
          <w:bCs/>
          <w:snapToGrid w:val="0"/>
          <w:lang w:val="en-GB"/>
        </w:rPr>
        <w:t>in both the</w:t>
      </w:r>
      <w:r w:rsidR="00FD0C03">
        <w:rPr>
          <w:rFonts w:asciiTheme="minorHAnsi" w:hAnsiTheme="minorHAnsi"/>
          <w:bCs/>
          <w:snapToGrid w:val="0"/>
          <w:lang w:val="en-GB"/>
        </w:rPr>
        <w:t xml:space="preserve"> LVEF </w:t>
      </w:r>
      <w:r w:rsidR="00FD0C03">
        <w:rPr>
          <w:rFonts w:asciiTheme="minorHAnsi" w:hAnsiTheme="minorHAnsi" w:cstheme="minorHAnsi"/>
          <w:bCs/>
          <w:snapToGrid w:val="0"/>
          <w:lang w:val="en-GB"/>
        </w:rPr>
        <w:t>≤</w:t>
      </w:r>
      <w:r w:rsidR="00FD0C03">
        <w:rPr>
          <w:rFonts w:asciiTheme="minorHAnsi" w:hAnsiTheme="minorHAnsi"/>
          <w:bCs/>
          <w:snapToGrid w:val="0"/>
          <w:lang w:val="en-GB"/>
        </w:rPr>
        <w:t>40% and &gt;40%</w:t>
      </w:r>
      <w:r w:rsidR="00413583">
        <w:rPr>
          <w:rFonts w:asciiTheme="minorHAnsi" w:hAnsiTheme="minorHAnsi"/>
          <w:bCs/>
          <w:snapToGrid w:val="0"/>
          <w:lang w:val="en-GB"/>
        </w:rPr>
        <w:t xml:space="preserve"> </w:t>
      </w:r>
      <w:r w:rsidR="00FD0C03">
        <w:rPr>
          <w:rFonts w:asciiTheme="minorHAnsi" w:hAnsiTheme="minorHAnsi"/>
          <w:bCs/>
          <w:snapToGrid w:val="0"/>
          <w:lang w:val="en-GB"/>
        </w:rPr>
        <w:t>-</w:t>
      </w:r>
      <w:r w:rsidR="00413583">
        <w:rPr>
          <w:rFonts w:asciiTheme="minorHAnsi" w:hAnsiTheme="minorHAnsi"/>
          <w:bCs/>
          <w:snapToGrid w:val="0"/>
          <w:lang w:val="en-GB"/>
        </w:rPr>
        <w:t xml:space="preserve"> </w:t>
      </w:r>
      <w:r w:rsidR="00FD0C03">
        <w:rPr>
          <w:rFonts w:asciiTheme="minorHAnsi" w:hAnsiTheme="minorHAnsi" w:cstheme="minorHAnsi"/>
          <w:bCs/>
          <w:snapToGrid w:val="0"/>
          <w:lang w:val="en-GB"/>
        </w:rPr>
        <w:t>≤</w:t>
      </w:r>
      <w:r w:rsidR="00FD0C03">
        <w:rPr>
          <w:rFonts w:asciiTheme="minorHAnsi" w:hAnsiTheme="minorHAnsi"/>
          <w:bCs/>
          <w:snapToGrid w:val="0"/>
          <w:lang w:val="en-GB"/>
        </w:rPr>
        <w:t>50% populations in terms of heart failure related hospitalisations or cardiovascular death</w:t>
      </w:r>
      <w:r w:rsidR="002E0510">
        <w:rPr>
          <w:rFonts w:asciiTheme="minorHAnsi" w:hAnsiTheme="minorHAnsi"/>
          <w:bCs/>
          <w:snapToGrid w:val="0"/>
          <w:lang w:val="en-GB"/>
        </w:rPr>
        <w:t>. H</w:t>
      </w:r>
      <w:r w:rsidR="00FD0C03">
        <w:rPr>
          <w:rFonts w:asciiTheme="minorHAnsi" w:hAnsiTheme="minorHAnsi"/>
          <w:bCs/>
          <w:snapToGrid w:val="0"/>
          <w:lang w:val="en-GB"/>
        </w:rPr>
        <w:t>owever</w:t>
      </w:r>
      <w:r w:rsidR="002E0510">
        <w:rPr>
          <w:rFonts w:asciiTheme="minorHAnsi" w:hAnsiTheme="minorHAnsi"/>
          <w:bCs/>
          <w:snapToGrid w:val="0"/>
          <w:lang w:val="en-GB"/>
        </w:rPr>
        <w:t>, the PBAC considered the subgroup analyses in Solomon 2020 were uncertain</w:t>
      </w:r>
      <w:r w:rsidR="00953731">
        <w:rPr>
          <w:rFonts w:asciiTheme="minorHAnsi" w:hAnsiTheme="minorHAnsi"/>
          <w:bCs/>
          <w:snapToGrid w:val="0"/>
          <w:lang w:val="en-GB"/>
        </w:rPr>
        <w:t>,</w:t>
      </w:r>
      <w:r w:rsidR="000836DD">
        <w:rPr>
          <w:rFonts w:asciiTheme="minorHAnsi" w:hAnsiTheme="minorHAnsi"/>
          <w:bCs/>
          <w:snapToGrid w:val="0"/>
          <w:lang w:val="en-GB"/>
        </w:rPr>
        <w:t xml:space="preserve"> as</w:t>
      </w:r>
      <w:r w:rsidR="00A35916">
        <w:rPr>
          <w:rFonts w:asciiTheme="minorHAnsi" w:hAnsiTheme="minorHAnsi"/>
          <w:bCs/>
          <w:snapToGrid w:val="0"/>
          <w:lang w:val="en-GB"/>
        </w:rPr>
        <w:t xml:space="preserve"> clinical measures were secondary outcomes in one of the included studies and</w:t>
      </w:r>
      <w:r w:rsidR="002E0510">
        <w:rPr>
          <w:rFonts w:asciiTheme="minorHAnsi" w:hAnsiTheme="minorHAnsi"/>
          <w:bCs/>
          <w:snapToGrid w:val="0"/>
          <w:lang w:val="en-GB"/>
        </w:rPr>
        <w:t xml:space="preserve"> sample sizes</w:t>
      </w:r>
      <w:r w:rsidR="00191C89">
        <w:rPr>
          <w:rFonts w:asciiTheme="minorHAnsi" w:hAnsiTheme="minorHAnsi"/>
          <w:bCs/>
          <w:snapToGrid w:val="0"/>
          <w:lang w:val="en-GB"/>
        </w:rPr>
        <w:t xml:space="preserve"> </w:t>
      </w:r>
      <w:r w:rsidR="00953731">
        <w:rPr>
          <w:rFonts w:asciiTheme="minorHAnsi" w:hAnsiTheme="minorHAnsi"/>
          <w:bCs/>
          <w:snapToGrid w:val="0"/>
          <w:lang w:val="en-GB"/>
        </w:rPr>
        <w:t xml:space="preserve">differed </w:t>
      </w:r>
      <w:r w:rsidR="00191C89">
        <w:rPr>
          <w:rFonts w:asciiTheme="minorHAnsi" w:hAnsiTheme="minorHAnsi"/>
          <w:bCs/>
          <w:snapToGrid w:val="0"/>
          <w:lang w:val="en-GB"/>
        </w:rPr>
        <w:t>between the LVEF groups</w:t>
      </w:r>
      <w:r w:rsidR="000836DD">
        <w:rPr>
          <w:rFonts w:asciiTheme="minorHAnsi" w:hAnsiTheme="minorHAnsi"/>
          <w:bCs/>
          <w:snapToGrid w:val="0"/>
          <w:lang w:val="en-GB"/>
        </w:rPr>
        <w:t>. Furthermore, the PBAC noted</w:t>
      </w:r>
      <w:r w:rsidR="003538C3">
        <w:rPr>
          <w:rFonts w:asciiTheme="minorHAnsi" w:hAnsiTheme="minorHAnsi"/>
          <w:bCs/>
          <w:snapToGrid w:val="0"/>
          <w:lang w:val="en-GB"/>
        </w:rPr>
        <w:t xml:space="preserve"> </w:t>
      </w:r>
      <w:r w:rsidR="00FD0C03">
        <w:rPr>
          <w:rFonts w:asciiTheme="minorHAnsi" w:hAnsiTheme="minorHAnsi"/>
          <w:bCs/>
          <w:snapToGrid w:val="0"/>
          <w:lang w:val="en-GB"/>
        </w:rPr>
        <w:t>the</w:t>
      </w:r>
      <w:r w:rsidR="003538C3">
        <w:rPr>
          <w:rFonts w:asciiTheme="minorHAnsi" w:hAnsiTheme="minorHAnsi"/>
          <w:bCs/>
          <w:snapToGrid w:val="0"/>
          <w:lang w:val="en-GB"/>
        </w:rPr>
        <w:t xml:space="preserve"> </w:t>
      </w:r>
      <w:r w:rsidR="002E0510">
        <w:rPr>
          <w:rFonts w:asciiTheme="minorHAnsi" w:hAnsiTheme="minorHAnsi"/>
          <w:bCs/>
          <w:snapToGrid w:val="0"/>
          <w:lang w:val="en-GB"/>
        </w:rPr>
        <w:t>LVEF &gt;</w:t>
      </w:r>
      <w:r w:rsidR="003538C3">
        <w:rPr>
          <w:rFonts w:asciiTheme="minorHAnsi" w:hAnsiTheme="minorHAnsi"/>
          <w:bCs/>
          <w:snapToGrid w:val="0"/>
          <w:lang w:val="en-GB"/>
        </w:rPr>
        <w:t>40%</w:t>
      </w:r>
      <w:r w:rsidR="00953731">
        <w:rPr>
          <w:rFonts w:asciiTheme="minorHAnsi" w:hAnsiTheme="minorHAnsi"/>
          <w:bCs/>
          <w:snapToGrid w:val="0"/>
          <w:lang w:val="en-GB"/>
        </w:rPr>
        <w:t> </w:t>
      </w:r>
      <w:r w:rsidR="003538C3">
        <w:rPr>
          <w:rFonts w:asciiTheme="minorHAnsi" w:hAnsiTheme="minorHAnsi"/>
          <w:bCs/>
          <w:snapToGrid w:val="0"/>
          <w:lang w:val="en-GB"/>
        </w:rPr>
        <w:t>-</w:t>
      </w:r>
      <w:r w:rsidR="00953731">
        <w:rPr>
          <w:rFonts w:asciiTheme="minorHAnsi" w:hAnsiTheme="minorHAnsi"/>
          <w:bCs/>
          <w:snapToGrid w:val="0"/>
          <w:lang w:val="en-GB"/>
        </w:rPr>
        <w:t> </w:t>
      </w:r>
      <w:r w:rsidR="003538C3">
        <w:rPr>
          <w:rFonts w:asciiTheme="minorHAnsi" w:hAnsiTheme="minorHAnsi" w:cstheme="minorHAnsi"/>
          <w:bCs/>
          <w:snapToGrid w:val="0"/>
          <w:lang w:val="en-GB"/>
        </w:rPr>
        <w:t>≤</w:t>
      </w:r>
      <w:r w:rsidR="003538C3">
        <w:rPr>
          <w:rFonts w:asciiTheme="minorHAnsi" w:hAnsiTheme="minorHAnsi"/>
          <w:bCs/>
          <w:snapToGrid w:val="0"/>
          <w:lang w:val="en-GB"/>
        </w:rPr>
        <w:t>50% population</w:t>
      </w:r>
      <w:r w:rsidR="002E0510">
        <w:rPr>
          <w:rFonts w:asciiTheme="minorHAnsi" w:hAnsiTheme="minorHAnsi"/>
          <w:bCs/>
          <w:snapToGrid w:val="0"/>
          <w:lang w:val="en-GB"/>
        </w:rPr>
        <w:t xml:space="preserve"> </w:t>
      </w:r>
      <w:r w:rsidR="000836DD">
        <w:rPr>
          <w:rFonts w:asciiTheme="minorHAnsi" w:hAnsiTheme="minorHAnsi"/>
          <w:bCs/>
          <w:snapToGrid w:val="0"/>
          <w:lang w:val="en-GB"/>
        </w:rPr>
        <w:t>had</w:t>
      </w:r>
      <w:r w:rsidR="003538C3">
        <w:rPr>
          <w:rFonts w:asciiTheme="minorHAnsi" w:hAnsiTheme="minorHAnsi"/>
          <w:bCs/>
          <w:snapToGrid w:val="0"/>
          <w:lang w:val="en-GB"/>
        </w:rPr>
        <w:t xml:space="preserve"> less severe disease</w:t>
      </w:r>
      <w:r w:rsidR="00953731">
        <w:rPr>
          <w:rFonts w:asciiTheme="minorHAnsi" w:hAnsiTheme="minorHAnsi"/>
          <w:bCs/>
          <w:snapToGrid w:val="0"/>
          <w:lang w:val="en-GB"/>
        </w:rPr>
        <w:t xml:space="preserve"> than the currently eligible population,</w:t>
      </w:r>
      <w:r w:rsidR="002E0510">
        <w:rPr>
          <w:rFonts w:asciiTheme="minorHAnsi" w:hAnsiTheme="minorHAnsi"/>
          <w:bCs/>
          <w:snapToGrid w:val="0"/>
          <w:lang w:val="en-GB"/>
        </w:rPr>
        <w:t xml:space="preserve"> and</w:t>
      </w:r>
      <w:r w:rsidR="003538C3">
        <w:rPr>
          <w:rFonts w:asciiTheme="minorHAnsi" w:hAnsiTheme="minorHAnsi"/>
          <w:bCs/>
          <w:snapToGrid w:val="0"/>
          <w:lang w:val="en-GB"/>
        </w:rPr>
        <w:t xml:space="preserve"> were likely to have better </w:t>
      </w:r>
      <w:r w:rsidR="000836DD">
        <w:rPr>
          <w:rFonts w:asciiTheme="minorHAnsi" w:hAnsiTheme="minorHAnsi"/>
          <w:bCs/>
          <w:snapToGrid w:val="0"/>
          <w:lang w:val="en-GB"/>
        </w:rPr>
        <w:t>prognoses</w:t>
      </w:r>
      <w:r w:rsidR="00953731">
        <w:rPr>
          <w:rFonts w:asciiTheme="minorHAnsi" w:hAnsiTheme="minorHAnsi"/>
          <w:bCs/>
          <w:snapToGrid w:val="0"/>
          <w:lang w:val="en-GB"/>
        </w:rPr>
        <w:t>;</w:t>
      </w:r>
      <w:r w:rsidR="000836DD">
        <w:rPr>
          <w:rFonts w:asciiTheme="minorHAnsi" w:hAnsiTheme="minorHAnsi"/>
          <w:bCs/>
          <w:snapToGrid w:val="0"/>
          <w:lang w:val="en-GB"/>
        </w:rPr>
        <w:t xml:space="preserve"> an assumption of equivalent </w:t>
      </w:r>
      <w:r w:rsidR="003E7285">
        <w:rPr>
          <w:rFonts w:asciiTheme="minorHAnsi" w:hAnsiTheme="minorHAnsi"/>
          <w:bCs/>
          <w:snapToGrid w:val="0"/>
          <w:lang w:val="en-GB"/>
        </w:rPr>
        <w:t>cost effectiv</w:t>
      </w:r>
      <w:r w:rsidR="000836DD">
        <w:rPr>
          <w:rFonts w:asciiTheme="minorHAnsi" w:hAnsiTheme="minorHAnsi"/>
          <w:bCs/>
          <w:snapToGrid w:val="0"/>
          <w:lang w:val="en-GB"/>
        </w:rPr>
        <w:t xml:space="preserve">eness to a population with more severe disease was </w:t>
      </w:r>
      <w:r w:rsidR="00953731">
        <w:rPr>
          <w:rFonts w:asciiTheme="minorHAnsi" w:hAnsiTheme="minorHAnsi"/>
          <w:bCs/>
          <w:snapToGrid w:val="0"/>
          <w:lang w:val="en-GB"/>
        </w:rPr>
        <w:t xml:space="preserve">considered </w:t>
      </w:r>
      <w:r w:rsidR="000836DD">
        <w:rPr>
          <w:rFonts w:asciiTheme="minorHAnsi" w:hAnsiTheme="minorHAnsi"/>
          <w:bCs/>
          <w:snapToGrid w:val="0"/>
          <w:lang w:val="en-GB"/>
        </w:rPr>
        <w:t>highly implausible</w:t>
      </w:r>
      <w:r w:rsidR="00191C89">
        <w:rPr>
          <w:rFonts w:asciiTheme="minorHAnsi" w:hAnsiTheme="minorHAnsi"/>
          <w:bCs/>
          <w:snapToGrid w:val="0"/>
          <w:lang w:val="en-GB"/>
        </w:rPr>
        <w:t>. Therefore, the PBAC</w:t>
      </w:r>
      <w:r w:rsidR="003538C3">
        <w:rPr>
          <w:rFonts w:asciiTheme="minorHAnsi" w:hAnsiTheme="minorHAnsi"/>
          <w:bCs/>
          <w:snapToGrid w:val="0"/>
          <w:lang w:val="en-GB"/>
        </w:rPr>
        <w:t xml:space="preserve"> did not accept the </w:t>
      </w:r>
      <w:r w:rsidR="00953731">
        <w:rPr>
          <w:rFonts w:asciiTheme="minorHAnsi" w:hAnsiTheme="minorHAnsi"/>
          <w:bCs/>
          <w:snapToGrid w:val="0"/>
          <w:lang w:val="en-GB"/>
        </w:rPr>
        <w:t xml:space="preserve">claim </w:t>
      </w:r>
      <w:r w:rsidR="003538C3">
        <w:rPr>
          <w:rFonts w:asciiTheme="minorHAnsi" w:hAnsiTheme="minorHAnsi"/>
          <w:bCs/>
          <w:snapToGrid w:val="0"/>
          <w:lang w:val="en-GB"/>
        </w:rPr>
        <w:t xml:space="preserve">that a cost minimisation to the current sacubitril/valsartan LVEF </w:t>
      </w:r>
      <w:r w:rsidR="003538C3">
        <w:rPr>
          <w:rFonts w:asciiTheme="minorHAnsi" w:hAnsiTheme="minorHAnsi" w:cstheme="minorHAnsi"/>
          <w:bCs/>
          <w:snapToGrid w:val="0"/>
          <w:lang w:val="en-GB"/>
        </w:rPr>
        <w:t>≤</w:t>
      </w:r>
      <w:r w:rsidR="003538C3">
        <w:rPr>
          <w:rFonts w:asciiTheme="minorHAnsi" w:hAnsiTheme="minorHAnsi"/>
          <w:bCs/>
          <w:snapToGrid w:val="0"/>
          <w:lang w:val="en-GB"/>
        </w:rPr>
        <w:t xml:space="preserve">40% population was appropriate. </w:t>
      </w:r>
      <w:r w:rsidR="00953731">
        <w:rPr>
          <w:rFonts w:asciiTheme="minorHAnsi" w:hAnsiTheme="minorHAnsi"/>
          <w:bCs/>
          <w:snapToGrid w:val="0"/>
          <w:lang w:val="en-GB"/>
        </w:rPr>
        <w:t>While t</w:t>
      </w:r>
      <w:r w:rsidR="003538C3">
        <w:rPr>
          <w:rFonts w:asciiTheme="minorHAnsi" w:hAnsiTheme="minorHAnsi"/>
          <w:bCs/>
          <w:snapToGrid w:val="0"/>
          <w:lang w:val="en-GB"/>
        </w:rPr>
        <w:t xml:space="preserve">he Committee noted the argument in the Pre-PBAC Response that </w:t>
      </w:r>
      <w:r w:rsidR="002E0510">
        <w:rPr>
          <w:rFonts w:asciiTheme="minorHAnsi" w:hAnsiTheme="minorHAnsi"/>
          <w:bCs/>
          <w:snapToGrid w:val="0"/>
          <w:lang w:val="en-GB"/>
        </w:rPr>
        <w:t>there was a margin of error in echocardiogram</w:t>
      </w:r>
      <w:r w:rsidR="0014218E">
        <w:rPr>
          <w:rFonts w:asciiTheme="minorHAnsi" w:hAnsiTheme="minorHAnsi"/>
          <w:bCs/>
          <w:snapToGrid w:val="0"/>
          <w:lang w:val="en-GB"/>
        </w:rPr>
        <w:t xml:space="preserve"> measurements of LVEF that meant some patients with a true LVEF </w:t>
      </w:r>
      <w:r w:rsidR="0014218E">
        <w:rPr>
          <w:rFonts w:asciiTheme="minorHAnsi" w:hAnsiTheme="minorHAnsi" w:cstheme="minorHAnsi"/>
          <w:bCs/>
          <w:snapToGrid w:val="0"/>
          <w:lang w:val="en-GB"/>
        </w:rPr>
        <w:t>≤</w:t>
      </w:r>
      <w:r w:rsidR="0014218E">
        <w:rPr>
          <w:rFonts w:asciiTheme="minorHAnsi" w:hAnsiTheme="minorHAnsi"/>
          <w:bCs/>
          <w:snapToGrid w:val="0"/>
          <w:lang w:val="en-GB"/>
        </w:rPr>
        <w:t xml:space="preserve">40% may not be treated, </w:t>
      </w:r>
      <w:r w:rsidR="00E077FA">
        <w:rPr>
          <w:rFonts w:asciiTheme="minorHAnsi" w:hAnsiTheme="minorHAnsi"/>
          <w:bCs/>
          <w:snapToGrid w:val="0"/>
          <w:lang w:val="en-GB"/>
        </w:rPr>
        <w:t xml:space="preserve">the Committee felt that this also applied to the PARADIGM-HF study and hence was not applicable and </w:t>
      </w:r>
      <w:r w:rsidR="0014218E">
        <w:rPr>
          <w:rFonts w:asciiTheme="minorHAnsi" w:hAnsiTheme="minorHAnsi"/>
          <w:bCs/>
          <w:snapToGrid w:val="0"/>
          <w:lang w:val="en-GB"/>
        </w:rPr>
        <w:t xml:space="preserve">was </w:t>
      </w:r>
      <w:r w:rsidR="00E077FA">
        <w:rPr>
          <w:rFonts w:asciiTheme="minorHAnsi" w:hAnsiTheme="minorHAnsi"/>
          <w:bCs/>
          <w:snapToGrid w:val="0"/>
          <w:lang w:val="en-GB"/>
        </w:rPr>
        <w:t xml:space="preserve">certainly </w:t>
      </w:r>
      <w:r w:rsidR="0014218E">
        <w:rPr>
          <w:rFonts w:asciiTheme="minorHAnsi" w:hAnsiTheme="minorHAnsi"/>
          <w:bCs/>
          <w:snapToGrid w:val="0"/>
          <w:lang w:val="en-GB"/>
        </w:rPr>
        <w:t>insufficient to justify the requested change in the absence of a modelled cost effectiveness analysis to support the use of sacubitril/valsartan in this population.</w:t>
      </w:r>
      <w:r w:rsidR="003538C3">
        <w:rPr>
          <w:rFonts w:asciiTheme="minorHAnsi" w:hAnsiTheme="minorHAnsi"/>
          <w:bCs/>
          <w:snapToGrid w:val="0"/>
          <w:lang w:val="en-GB"/>
        </w:rPr>
        <w:t xml:space="preserve"> </w:t>
      </w:r>
    </w:p>
    <w:p w14:paraId="73CF33F4" w14:textId="77777777" w:rsidR="0014218E" w:rsidRDefault="0014218E" w:rsidP="00A405B2">
      <w:pPr>
        <w:widowControl w:val="0"/>
        <w:numPr>
          <w:ilvl w:val="1"/>
          <w:numId w:val="1"/>
        </w:numPr>
        <w:spacing w:after="120"/>
        <w:ind w:left="720"/>
        <w:rPr>
          <w:rFonts w:asciiTheme="minorHAnsi" w:hAnsiTheme="minorHAnsi"/>
          <w:bCs/>
          <w:snapToGrid w:val="0"/>
          <w:lang w:val="en-GB"/>
        </w:rPr>
      </w:pPr>
      <w:r>
        <w:rPr>
          <w:rFonts w:asciiTheme="minorHAnsi" w:hAnsiTheme="minorHAnsi"/>
          <w:bCs/>
          <w:snapToGrid w:val="0"/>
          <w:lang w:val="en-GB"/>
        </w:rPr>
        <w:t xml:space="preserve">The PBAC noted the request to remove the requirement for prior treatment with an ACE inhibitor or ARB would have the net effect of placing sacubitril/valsartan as a first line treatment option for the LVEF </w:t>
      </w:r>
      <w:r>
        <w:rPr>
          <w:rFonts w:asciiTheme="minorHAnsi" w:hAnsiTheme="minorHAnsi" w:cstheme="minorHAnsi"/>
          <w:bCs/>
          <w:snapToGrid w:val="0"/>
          <w:lang w:val="en-GB"/>
        </w:rPr>
        <w:t>≤</w:t>
      </w:r>
      <w:r>
        <w:rPr>
          <w:rFonts w:asciiTheme="minorHAnsi" w:hAnsiTheme="minorHAnsi"/>
          <w:bCs/>
          <w:snapToGrid w:val="0"/>
          <w:lang w:val="en-GB"/>
        </w:rPr>
        <w:t>4</w:t>
      </w:r>
      <w:r w:rsidR="00F845EF">
        <w:rPr>
          <w:rFonts w:asciiTheme="minorHAnsi" w:hAnsiTheme="minorHAnsi"/>
          <w:bCs/>
          <w:snapToGrid w:val="0"/>
          <w:lang w:val="en-GB"/>
        </w:rPr>
        <w:t>0% population. The Committee considered that whilst the presented evidence</w:t>
      </w:r>
      <w:r w:rsidR="00902E4D">
        <w:rPr>
          <w:rFonts w:asciiTheme="minorHAnsi" w:hAnsiTheme="minorHAnsi"/>
          <w:bCs/>
          <w:snapToGrid w:val="0"/>
          <w:lang w:val="en-GB"/>
        </w:rPr>
        <w:t xml:space="preserve"> in the PARADIGM HF and PIONEER HF trials</w:t>
      </w:r>
      <w:r w:rsidR="00F845EF">
        <w:rPr>
          <w:rFonts w:asciiTheme="minorHAnsi" w:hAnsiTheme="minorHAnsi"/>
          <w:bCs/>
          <w:snapToGrid w:val="0"/>
          <w:lang w:val="en-GB"/>
        </w:rPr>
        <w:t xml:space="preserve"> supported a conclusion that sacubitril/valsartan was of similar effectiveness</w:t>
      </w:r>
      <w:r w:rsidR="001816E0">
        <w:rPr>
          <w:rFonts w:asciiTheme="minorHAnsi" w:hAnsiTheme="minorHAnsi"/>
          <w:bCs/>
          <w:snapToGrid w:val="0"/>
          <w:lang w:val="en-GB"/>
        </w:rPr>
        <w:t xml:space="preserve"> and safety</w:t>
      </w:r>
      <w:r w:rsidR="00F845EF">
        <w:rPr>
          <w:rFonts w:asciiTheme="minorHAnsi" w:hAnsiTheme="minorHAnsi"/>
          <w:bCs/>
          <w:snapToGrid w:val="0"/>
          <w:lang w:val="en-GB"/>
        </w:rPr>
        <w:t xml:space="preserve"> in the ACE inhibitor/ARB</w:t>
      </w:r>
      <w:r w:rsidR="001816E0">
        <w:rPr>
          <w:rFonts w:asciiTheme="minorHAnsi" w:hAnsiTheme="minorHAnsi"/>
          <w:bCs/>
          <w:snapToGrid w:val="0"/>
          <w:lang w:val="en-GB"/>
        </w:rPr>
        <w:t>-</w:t>
      </w:r>
      <w:r w:rsidR="00F845EF">
        <w:rPr>
          <w:rFonts w:asciiTheme="minorHAnsi" w:hAnsiTheme="minorHAnsi"/>
          <w:bCs/>
          <w:snapToGrid w:val="0"/>
          <w:lang w:val="en-GB"/>
        </w:rPr>
        <w:t xml:space="preserve">naïve </w:t>
      </w:r>
      <w:r w:rsidR="001816E0">
        <w:rPr>
          <w:rFonts w:asciiTheme="minorHAnsi" w:hAnsiTheme="minorHAnsi"/>
          <w:bCs/>
          <w:snapToGrid w:val="0"/>
          <w:lang w:val="en-GB"/>
        </w:rPr>
        <w:t xml:space="preserve">and experienced populations, the cost effectiveness of sacubitril/valsartan would be different when used in a first or second line setting. </w:t>
      </w:r>
      <w:r w:rsidR="00902E4D">
        <w:rPr>
          <w:rFonts w:asciiTheme="minorHAnsi" w:hAnsiTheme="minorHAnsi"/>
          <w:bCs/>
          <w:snapToGrid w:val="0"/>
          <w:lang w:val="en-GB"/>
        </w:rPr>
        <w:t xml:space="preserve">Given the magnitude of price difference between sacubitril/valsartan and first-line ACE inhibitors and ARBs, the PBAC considered sacubitril/valsartan would likely not be cost effective </w:t>
      </w:r>
      <w:r w:rsidR="003E78ED">
        <w:rPr>
          <w:rFonts w:asciiTheme="minorHAnsi" w:hAnsiTheme="minorHAnsi"/>
          <w:bCs/>
          <w:snapToGrid w:val="0"/>
          <w:lang w:val="en-GB"/>
        </w:rPr>
        <w:t xml:space="preserve">at current price </w:t>
      </w:r>
      <w:r w:rsidR="00902E4D">
        <w:rPr>
          <w:rFonts w:asciiTheme="minorHAnsi" w:hAnsiTheme="minorHAnsi"/>
          <w:bCs/>
          <w:snapToGrid w:val="0"/>
          <w:lang w:val="en-GB"/>
        </w:rPr>
        <w:t>when replacing these agents in a first line setting</w:t>
      </w:r>
      <w:r w:rsidR="001604B1">
        <w:rPr>
          <w:rFonts w:asciiTheme="minorHAnsi" w:hAnsiTheme="minorHAnsi"/>
          <w:bCs/>
          <w:snapToGrid w:val="0"/>
          <w:lang w:val="en-GB"/>
        </w:rPr>
        <w:t>,</w:t>
      </w:r>
      <w:r w:rsidR="00902E4D">
        <w:rPr>
          <w:rFonts w:asciiTheme="minorHAnsi" w:hAnsiTheme="minorHAnsi"/>
          <w:bCs/>
          <w:snapToGrid w:val="0"/>
          <w:lang w:val="en-GB"/>
        </w:rPr>
        <w:t xml:space="preserve"> as some patients would otherwise be adequately treated on these substantially less </w:t>
      </w:r>
      <w:r w:rsidR="00902E4D">
        <w:rPr>
          <w:rFonts w:asciiTheme="minorHAnsi" w:hAnsiTheme="minorHAnsi"/>
          <w:bCs/>
          <w:snapToGrid w:val="0"/>
          <w:lang w:val="en-GB"/>
        </w:rPr>
        <w:lastRenderedPageBreak/>
        <w:t>costly therapies</w:t>
      </w:r>
      <w:r w:rsidR="002559D0">
        <w:rPr>
          <w:rFonts w:asciiTheme="minorHAnsi" w:hAnsiTheme="minorHAnsi"/>
          <w:bCs/>
          <w:snapToGrid w:val="0"/>
          <w:lang w:val="en-GB"/>
        </w:rPr>
        <w:t xml:space="preserve"> and sacubitril/valsartan would not </w:t>
      </w:r>
      <w:r w:rsidR="001604B1">
        <w:rPr>
          <w:rFonts w:asciiTheme="minorHAnsi" w:hAnsiTheme="minorHAnsi"/>
          <w:bCs/>
          <w:snapToGrid w:val="0"/>
          <w:lang w:val="en-GB"/>
        </w:rPr>
        <w:t>provide better outcomes</w:t>
      </w:r>
      <w:r w:rsidR="002559D0">
        <w:rPr>
          <w:rFonts w:asciiTheme="minorHAnsi" w:hAnsiTheme="minorHAnsi"/>
          <w:bCs/>
          <w:snapToGrid w:val="0"/>
          <w:lang w:val="en-GB"/>
        </w:rPr>
        <w:t xml:space="preserve"> in these patients</w:t>
      </w:r>
      <w:r w:rsidR="00902E4D">
        <w:rPr>
          <w:rFonts w:asciiTheme="minorHAnsi" w:hAnsiTheme="minorHAnsi"/>
          <w:bCs/>
          <w:snapToGrid w:val="0"/>
          <w:lang w:val="en-GB"/>
        </w:rPr>
        <w:t xml:space="preserve">. Therefore, the PBAC considered a modelled cost effectiveness analysis would be required to establish the </w:t>
      </w:r>
      <w:r w:rsidR="003E7285">
        <w:rPr>
          <w:rFonts w:asciiTheme="minorHAnsi" w:hAnsiTheme="minorHAnsi"/>
          <w:bCs/>
          <w:snapToGrid w:val="0"/>
          <w:lang w:val="en-GB"/>
        </w:rPr>
        <w:t>cost effectiv</w:t>
      </w:r>
      <w:r w:rsidR="00902E4D">
        <w:rPr>
          <w:rFonts w:asciiTheme="minorHAnsi" w:hAnsiTheme="minorHAnsi"/>
          <w:bCs/>
          <w:snapToGrid w:val="0"/>
          <w:lang w:val="en-GB"/>
        </w:rPr>
        <w:t>eness of sacubitril/valsartan as a first line therapy, which would likely indicate the need for a substantial price reduction for use in this setting to be cost effective. Alternatively, the PBAC considered a cost minimisation</w:t>
      </w:r>
      <w:r w:rsidR="00FD7ED7">
        <w:rPr>
          <w:rFonts w:asciiTheme="minorHAnsi" w:hAnsiTheme="minorHAnsi"/>
          <w:bCs/>
          <w:snapToGrid w:val="0"/>
          <w:lang w:val="en-GB"/>
        </w:rPr>
        <w:t xml:space="preserve"> analysis with ACE inhibitors and</w:t>
      </w:r>
      <w:r w:rsidR="00902E4D">
        <w:rPr>
          <w:rFonts w:asciiTheme="minorHAnsi" w:hAnsiTheme="minorHAnsi"/>
          <w:bCs/>
          <w:snapToGrid w:val="0"/>
          <w:lang w:val="en-GB"/>
        </w:rPr>
        <w:t xml:space="preserve"> ARBs for use in this setting may be reasonable in the absence of a formal cost effectiveness analysis.</w:t>
      </w:r>
    </w:p>
    <w:p w14:paraId="6F090C60" w14:textId="77777777" w:rsidR="00FD7ED7" w:rsidRPr="008D6FD5" w:rsidRDefault="00FD7ED7" w:rsidP="00A405B2">
      <w:pPr>
        <w:widowControl w:val="0"/>
        <w:numPr>
          <w:ilvl w:val="1"/>
          <w:numId w:val="1"/>
        </w:numPr>
        <w:spacing w:after="120"/>
        <w:ind w:left="720"/>
        <w:rPr>
          <w:rFonts w:asciiTheme="minorHAnsi" w:hAnsiTheme="minorHAnsi"/>
          <w:bCs/>
          <w:snapToGrid w:val="0"/>
          <w:lang w:val="en-GB"/>
        </w:rPr>
      </w:pPr>
      <w:r>
        <w:rPr>
          <w:rFonts w:asciiTheme="minorHAnsi" w:hAnsiTheme="minorHAnsi"/>
          <w:bCs/>
          <w:snapToGrid w:val="0"/>
          <w:lang w:val="en-GB"/>
        </w:rPr>
        <w:t xml:space="preserve">The PBAC noted the current </w:t>
      </w:r>
      <w:r w:rsidR="007261F5">
        <w:rPr>
          <w:rFonts w:asciiTheme="minorHAnsi" w:hAnsiTheme="minorHAnsi"/>
          <w:bCs/>
          <w:snapToGrid w:val="0"/>
          <w:lang w:val="en-GB"/>
        </w:rPr>
        <w:t>beta-blocker</w:t>
      </w:r>
      <w:r>
        <w:rPr>
          <w:rFonts w:asciiTheme="minorHAnsi" w:hAnsiTheme="minorHAnsi"/>
          <w:bCs/>
          <w:snapToGrid w:val="0"/>
          <w:lang w:val="en-GB"/>
        </w:rPr>
        <w:t xml:space="preserve"> requirement in the sacubitril/valsartan </w:t>
      </w:r>
      <w:r w:rsidR="009F7CFD">
        <w:rPr>
          <w:rFonts w:asciiTheme="minorHAnsi" w:hAnsiTheme="minorHAnsi"/>
          <w:bCs/>
          <w:snapToGrid w:val="0"/>
          <w:lang w:val="en-GB"/>
        </w:rPr>
        <w:t xml:space="preserve">restriction </w:t>
      </w:r>
      <w:r>
        <w:rPr>
          <w:rFonts w:asciiTheme="minorHAnsi" w:hAnsiTheme="minorHAnsi"/>
          <w:bCs/>
          <w:snapToGrid w:val="0"/>
          <w:lang w:val="en-GB"/>
        </w:rPr>
        <w:t>require</w:t>
      </w:r>
      <w:r w:rsidR="009F7CFD">
        <w:rPr>
          <w:rFonts w:asciiTheme="minorHAnsi" w:hAnsiTheme="minorHAnsi"/>
          <w:bCs/>
          <w:snapToGrid w:val="0"/>
          <w:lang w:val="en-GB"/>
        </w:rPr>
        <w:t>s</w:t>
      </w:r>
      <w:r>
        <w:rPr>
          <w:rFonts w:asciiTheme="minorHAnsi" w:hAnsiTheme="minorHAnsi"/>
          <w:bCs/>
          <w:snapToGrid w:val="0"/>
          <w:lang w:val="en-GB"/>
        </w:rPr>
        <w:t xml:space="preserve"> </w:t>
      </w:r>
      <w:r w:rsidR="009F7CFD">
        <w:rPr>
          <w:rFonts w:asciiTheme="minorHAnsi" w:hAnsiTheme="minorHAnsi"/>
          <w:bCs/>
          <w:snapToGrid w:val="0"/>
          <w:lang w:val="en-GB"/>
        </w:rPr>
        <w:t xml:space="preserve">a </w:t>
      </w:r>
      <w:r>
        <w:rPr>
          <w:rFonts w:asciiTheme="minorHAnsi" w:hAnsiTheme="minorHAnsi"/>
          <w:bCs/>
          <w:snapToGrid w:val="0"/>
          <w:lang w:val="en-GB"/>
        </w:rPr>
        <w:t>patient to be at the maximally tolerated dose (unless contraindicated or not tolerated)</w:t>
      </w:r>
      <w:r w:rsidR="009F7CFD">
        <w:rPr>
          <w:rFonts w:asciiTheme="minorHAnsi" w:hAnsiTheme="minorHAnsi"/>
          <w:bCs/>
          <w:snapToGrid w:val="0"/>
          <w:lang w:val="en-GB"/>
        </w:rPr>
        <w:t>.</w:t>
      </w:r>
      <w:r>
        <w:rPr>
          <w:rFonts w:asciiTheme="minorHAnsi" w:hAnsiTheme="minorHAnsi"/>
          <w:bCs/>
          <w:snapToGrid w:val="0"/>
          <w:lang w:val="en-GB"/>
        </w:rPr>
        <w:t xml:space="preserve">  </w:t>
      </w:r>
      <w:r w:rsidR="009F7CFD">
        <w:rPr>
          <w:rFonts w:asciiTheme="minorHAnsi" w:hAnsiTheme="minorHAnsi"/>
          <w:bCs/>
          <w:snapToGrid w:val="0"/>
          <w:lang w:val="en-GB"/>
        </w:rPr>
        <w:t xml:space="preserve">The PBAC </w:t>
      </w:r>
      <w:r>
        <w:rPr>
          <w:rFonts w:asciiTheme="minorHAnsi" w:hAnsiTheme="minorHAnsi"/>
          <w:bCs/>
          <w:snapToGrid w:val="0"/>
          <w:lang w:val="en-GB"/>
        </w:rPr>
        <w:t xml:space="preserve">considered this requirement inconsistent with clinical guidelines and may complicate management of patients. The Committee noted the CSANZ Guidelines do not recommend patients with congested disease commence heart failure treatment with </w:t>
      </w:r>
      <w:r w:rsidR="007261F5">
        <w:rPr>
          <w:rFonts w:asciiTheme="minorHAnsi" w:hAnsiTheme="minorHAnsi"/>
          <w:bCs/>
          <w:snapToGrid w:val="0"/>
          <w:lang w:val="en-GB"/>
        </w:rPr>
        <w:t>beta-blocker</w:t>
      </w:r>
      <w:r>
        <w:rPr>
          <w:rFonts w:asciiTheme="minorHAnsi" w:hAnsiTheme="minorHAnsi"/>
          <w:bCs/>
          <w:snapToGrid w:val="0"/>
          <w:lang w:val="en-GB"/>
        </w:rPr>
        <w:t xml:space="preserve">s and provide flexibility for whether patients with euvolaemic disease should commence </w:t>
      </w:r>
      <w:r w:rsidR="001604B1">
        <w:rPr>
          <w:rFonts w:asciiTheme="minorHAnsi" w:hAnsiTheme="minorHAnsi"/>
          <w:bCs/>
          <w:snapToGrid w:val="0"/>
          <w:lang w:val="en-GB"/>
        </w:rPr>
        <w:t xml:space="preserve">treatment with </w:t>
      </w:r>
      <w:r>
        <w:rPr>
          <w:rFonts w:asciiTheme="minorHAnsi" w:hAnsiTheme="minorHAnsi"/>
          <w:bCs/>
          <w:snapToGrid w:val="0"/>
          <w:lang w:val="en-GB"/>
        </w:rPr>
        <w:t xml:space="preserve">a </w:t>
      </w:r>
      <w:r w:rsidR="007261F5">
        <w:rPr>
          <w:rFonts w:asciiTheme="minorHAnsi" w:hAnsiTheme="minorHAnsi"/>
          <w:bCs/>
          <w:snapToGrid w:val="0"/>
          <w:lang w:val="en-GB"/>
        </w:rPr>
        <w:t>beta-blocker</w:t>
      </w:r>
      <w:r w:rsidR="001604B1">
        <w:rPr>
          <w:rFonts w:asciiTheme="minorHAnsi" w:hAnsiTheme="minorHAnsi"/>
          <w:bCs/>
          <w:snapToGrid w:val="0"/>
          <w:lang w:val="en-GB"/>
        </w:rPr>
        <w:t>. The Committee</w:t>
      </w:r>
      <w:r>
        <w:rPr>
          <w:rFonts w:asciiTheme="minorHAnsi" w:hAnsiTheme="minorHAnsi"/>
          <w:bCs/>
          <w:snapToGrid w:val="0"/>
          <w:lang w:val="en-GB"/>
        </w:rPr>
        <w:t xml:space="preserve"> agreed it would be appropriate for the listing of sacubitril/valsartan to be </w:t>
      </w:r>
      <w:r w:rsidR="003E78ED">
        <w:rPr>
          <w:rFonts w:asciiTheme="minorHAnsi" w:hAnsiTheme="minorHAnsi"/>
          <w:bCs/>
          <w:snapToGrid w:val="0"/>
          <w:lang w:val="en-GB"/>
        </w:rPr>
        <w:t xml:space="preserve">more flexible in regard to the timing and dosing of beta-blocker therapy.  </w:t>
      </w:r>
      <w:r>
        <w:rPr>
          <w:rFonts w:asciiTheme="minorHAnsi" w:hAnsiTheme="minorHAnsi"/>
          <w:bCs/>
          <w:snapToGrid w:val="0"/>
          <w:lang w:val="en-GB"/>
        </w:rPr>
        <w:t xml:space="preserve">As such, the PBAC recommended the phrase ‘must include the maximum tolerated dose of a </w:t>
      </w:r>
      <w:r w:rsidR="007261F5">
        <w:rPr>
          <w:rFonts w:asciiTheme="minorHAnsi" w:hAnsiTheme="minorHAnsi"/>
          <w:bCs/>
          <w:snapToGrid w:val="0"/>
          <w:lang w:val="en-GB"/>
        </w:rPr>
        <w:t>beta-blocker, unless contraindicated or not tolerated</w:t>
      </w:r>
      <w:r>
        <w:rPr>
          <w:rFonts w:asciiTheme="minorHAnsi" w:hAnsiTheme="minorHAnsi"/>
          <w:bCs/>
          <w:snapToGrid w:val="0"/>
          <w:lang w:val="en-GB"/>
        </w:rPr>
        <w:t>’ should be amended to, ‘</w:t>
      </w:r>
      <w:r w:rsidR="007261F5">
        <w:rPr>
          <w:rFonts w:asciiTheme="minorHAnsi" w:hAnsiTheme="minorHAnsi"/>
          <w:bCs/>
          <w:snapToGrid w:val="0"/>
          <w:lang w:val="en-GB"/>
        </w:rPr>
        <w:t>which should include a beta-blocker, unless contraindicated or not tolerated’ to allow for individual</w:t>
      </w:r>
      <w:r w:rsidR="001604B1">
        <w:rPr>
          <w:rFonts w:asciiTheme="minorHAnsi" w:hAnsiTheme="minorHAnsi"/>
          <w:bCs/>
          <w:snapToGrid w:val="0"/>
          <w:lang w:val="en-GB"/>
        </w:rPr>
        <w:t xml:space="preserve"> prescriber</w:t>
      </w:r>
      <w:r w:rsidR="007261F5">
        <w:rPr>
          <w:rFonts w:asciiTheme="minorHAnsi" w:hAnsiTheme="minorHAnsi"/>
          <w:bCs/>
          <w:snapToGrid w:val="0"/>
          <w:lang w:val="en-GB"/>
        </w:rPr>
        <w:t xml:space="preserve"> decision making.</w:t>
      </w:r>
    </w:p>
    <w:p w14:paraId="492CBF14" w14:textId="77777777" w:rsidR="00A405B2" w:rsidRPr="00BD3B03" w:rsidRDefault="007261F5" w:rsidP="00BD3B03">
      <w:pPr>
        <w:widowControl w:val="0"/>
        <w:numPr>
          <w:ilvl w:val="1"/>
          <w:numId w:val="1"/>
        </w:numPr>
        <w:spacing w:after="120"/>
        <w:ind w:left="720"/>
        <w:rPr>
          <w:rFonts w:asciiTheme="minorHAnsi" w:hAnsiTheme="minorHAnsi"/>
          <w:bCs/>
          <w:snapToGrid w:val="0"/>
          <w:lang w:val="en-GB"/>
        </w:rPr>
      </w:pPr>
      <w:r w:rsidRPr="00BD3B03">
        <w:rPr>
          <w:rFonts w:asciiTheme="minorHAnsi" w:hAnsiTheme="minorHAnsi"/>
          <w:bCs/>
          <w:snapToGrid w:val="0"/>
          <w:lang w:val="en-GB"/>
        </w:rPr>
        <w:t>The PBAC considered</w:t>
      </w:r>
      <w:r w:rsidR="005E17D6" w:rsidRPr="00BD3B03">
        <w:rPr>
          <w:rFonts w:asciiTheme="minorHAnsi" w:hAnsiTheme="minorHAnsi"/>
          <w:bCs/>
          <w:snapToGrid w:val="0"/>
          <w:lang w:val="en-GB"/>
        </w:rPr>
        <w:t xml:space="preserve"> it</w:t>
      </w:r>
      <w:r w:rsidRPr="00BD3B03">
        <w:rPr>
          <w:rFonts w:asciiTheme="minorHAnsi" w:hAnsiTheme="minorHAnsi"/>
          <w:bCs/>
          <w:snapToGrid w:val="0"/>
          <w:lang w:val="en-GB"/>
        </w:rPr>
        <w:t xml:space="preserve"> was reasonable to </w:t>
      </w:r>
      <w:r w:rsidR="00800AB0" w:rsidRPr="00BD3B03">
        <w:rPr>
          <w:rFonts w:asciiTheme="minorHAnsi" w:hAnsiTheme="minorHAnsi"/>
          <w:bCs/>
          <w:snapToGrid w:val="0"/>
          <w:lang w:val="en-GB"/>
        </w:rPr>
        <w:t xml:space="preserve">clarify that </w:t>
      </w:r>
      <w:r w:rsidRPr="00BD3B03">
        <w:rPr>
          <w:rFonts w:asciiTheme="minorHAnsi" w:hAnsiTheme="minorHAnsi"/>
          <w:bCs/>
          <w:snapToGrid w:val="0"/>
          <w:lang w:val="en-GB"/>
        </w:rPr>
        <w:t xml:space="preserve">nurse practitioner prescribing arrangements </w:t>
      </w:r>
      <w:r w:rsidR="00800AB0" w:rsidRPr="00BD3B03">
        <w:rPr>
          <w:rFonts w:asciiTheme="minorHAnsi" w:hAnsiTheme="minorHAnsi"/>
          <w:bCs/>
          <w:snapToGrid w:val="0"/>
          <w:lang w:val="en-GB"/>
        </w:rPr>
        <w:t xml:space="preserve">for </w:t>
      </w:r>
      <w:r w:rsidRPr="00BD3B03">
        <w:rPr>
          <w:rFonts w:asciiTheme="minorHAnsi" w:hAnsiTheme="minorHAnsi"/>
          <w:bCs/>
          <w:snapToGrid w:val="0"/>
          <w:lang w:val="en-GB"/>
        </w:rPr>
        <w:t>continuing therapy include</w:t>
      </w:r>
      <w:r w:rsidR="00800AB0" w:rsidRPr="00BD3B03">
        <w:rPr>
          <w:rFonts w:asciiTheme="minorHAnsi" w:hAnsiTheme="minorHAnsi"/>
          <w:bCs/>
          <w:snapToGrid w:val="0"/>
          <w:lang w:val="en-GB"/>
        </w:rPr>
        <w:t>s</w:t>
      </w:r>
      <w:r w:rsidRPr="00BD3B03">
        <w:rPr>
          <w:rFonts w:asciiTheme="minorHAnsi" w:hAnsiTheme="minorHAnsi"/>
          <w:bCs/>
          <w:snapToGrid w:val="0"/>
          <w:lang w:val="en-GB"/>
        </w:rPr>
        <w:t xml:space="preserve"> prescribing sacubitril/valsartan in</w:t>
      </w:r>
      <w:r w:rsidR="002542B7">
        <w:rPr>
          <w:rFonts w:asciiTheme="minorHAnsi" w:hAnsiTheme="minorHAnsi"/>
          <w:bCs/>
          <w:snapToGrid w:val="0"/>
          <w:lang w:val="en-GB"/>
        </w:rPr>
        <w:t xml:space="preserve"> </w:t>
      </w:r>
      <w:r w:rsidR="00C82DAB" w:rsidRPr="00BD3B03">
        <w:rPr>
          <w:rFonts w:asciiTheme="minorHAnsi" w:hAnsiTheme="minorHAnsi"/>
          <w:bCs/>
          <w:snapToGrid w:val="0"/>
          <w:lang w:val="en-GB"/>
        </w:rPr>
        <w:t>circumstances where therapy had been commenced by a medical practitioner, but a stable dose had yet to be ach</w:t>
      </w:r>
      <w:r w:rsidR="003641F8" w:rsidRPr="00BD3B03">
        <w:rPr>
          <w:rFonts w:asciiTheme="minorHAnsi" w:hAnsiTheme="minorHAnsi"/>
          <w:bCs/>
          <w:snapToGrid w:val="0"/>
          <w:lang w:val="en-GB"/>
        </w:rPr>
        <w:t>ie</w:t>
      </w:r>
      <w:r w:rsidR="00C82DAB" w:rsidRPr="00BD3B03">
        <w:rPr>
          <w:rFonts w:asciiTheme="minorHAnsi" w:hAnsiTheme="minorHAnsi"/>
          <w:bCs/>
          <w:snapToGrid w:val="0"/>
          <w:lang w:val="en-GB"/>
        </w:rPr>
        <w:t>ved</w:t>
      </w:r>
      <w:r w:rsidR="00D228B0" w:rsidRPr="00BD3B03">
        <w:rPr>
          <w:rFonts w:asciiTheme="minorHAnsi" w:hAnsiTheme="minorHAnsi"/>
          <w:bCs/>
          <w:snapToGrid w:val="0"/>
          <w:lang w:val="en-GB"/>
        </w:rPr>
        <w:t xml:space="preserve">. </w:t>
      </w:r>
      <w:r w:rsidRPr="00BD3B03">
        <w:rPr>
          <w:rFonts w:asciiTheme="minorHAnsi" w:hAnsiTheme="minorHAnsi"/>
          <w:bCs/>
          <w:snapToGrid w:val="0"/>
          <w:lang w:val="en-GB"/>
        </w:rPr>
        <w:t xml:space="preserve"> </w:t>
      </w:r>
      <w:r w:rsidR="003641F8" w:rsidRPr="00BD3B03">
        <w:rPr>
          <w:rFonts w:asciiTheme="minorHAnsi" w:hAnsiTheme="minorHAnsi"/>
          <w:bCs/>
          <w:snapToGrid w:val="0"/>
          <w:lang w:val="en-GB"/>
        </w:rPr>
        <w:t>T</w:t>
      </w:r>
      <w:r w:rsidR="00D228B0" w:rsidRPr="00BD3B03">
        <w:rPr>
          <w:rFonts w:asciiTheme="minorHAnsi" w:hAnsiTheme="minorHAnsi"/>
          <w:bCs/>
          <w:snapToGrid w:val="0"/>
          <w:lang w:val="en-GB"/>
        </w:rPr>
        <w:t>he Committee</w:t>
      </w:r>
      <w:r w:rsidRPr="00BD3B03">
        <w:rPr>
          <w:rFonts w:asciiTheme="minorHAnsi" w:hAnsiTheme="minorHAnsi"/>
          <w:bCs/>
          <w:snapToGrid w:val="0"/>
          <w:lang w:val="en-GB"/>
        </w:rPr>
        <w:t xml:space="preserve"> </w:t>
      </w:r>
      <w:r w:rsidR="00DE45F5" w:rsidRPr="00BD3B03">
        <w:rPr>
          <w:rFonts w:asciiTheme="minorHAnsi" w:hAnsiTheme="minorHAnsi"/>
          <w:bCs/>
          <w:snapToGrid w:val="0"/>
          <w:lang w:val="en-GB"/>
        </w:rPr>
        <w:t xml:space="preserve">reaffirmed that </w:t>
      </w:r>
      <w:r w:rsidRPr="00BD3B03">
        <w:rPr>
          <w:rFonts w:asciiTheme="minorHAnsi" w:hAnsiTheme="minorHAnsi"/>
          <w:bCs/>
          <w:snapToGrid w:val="0"/>
          <w:lang w:val="en-GB"/>
        </w:rPr>
        <w:t>initiating treatment should continue to be restricted to medical practitioners</w:t>
      </w:r>
      <w:r w:rsidR="009F52EC" w:rsidRPr="00BD3B03">
        <w:rPr>
          <w:rFonts w:asciiTheme="minorHAnsi" w:hAnsiTheme="minorHAnsi"/>
          <w:bCs/>
          <w:snapToGrid w:val="0"/>
          <w:lang w:val="en-GB"/>
        </w:rPr>
        <w:t xml:space="preserve">. The PBAC considered it was reasonable to include an additional administrative note in the restriction clarifying that continuing therapy only provisions for nurse practitioners </w:t>
      </w:r>
      <w:r w:rsidR="003F2B30">
        <w:rPr>
          <w:rFonts w:asciiTheme="minorHAnsi" w:hAnsiTheme="minorHAnsi"/>
          <w:bCs/>
          <w:snapToGrid w:val="0"/>
          <w:lang w:val="en-GB"/>
        </w:rPr>
        <w:t>are</w:t>
      </w:r>
      <w:r w:rsidR="009F52EC" w:rsidRPr="00BD3B03">
        <w:rPr>
          <w:rFonts w:asciiTheme="minorHAnsi" w:hAnsiTheme="minorHAnsi"/>
          <w:bCs/>
          <w:snapToGrid w:val="0"/>
          <w:lang w:val="en-GB"/>
        </w:rPr>
        <w:t xml:space="preserve"> intended to include any dose titration patients may require.</w:t>
      </w:r>
      <w:r w:rsidR="00BD3B03" w:rsidRPr="00BD3B03">
        <w:rPr>
          <w:rFonts w:asciiTheme="minorHAnsi" w:hAnsiTheme="minorHAnsi"/>
          <w:bCs/>
          <w:snapToGrid w:val="0"/>
          <w:lang w:val="en-GB"/>
        </w:rPr>
        <w:t xml:space="preserve"> How such clarification is expressed in the PBS listing would be left to the Secretariat to determine.</w:t>
      </w:r>
      <w:r w:rsidR="003641F8" w:rsidRPr="00BD3B03">
        <w:rPr>
          <w:rFonts w:asciiTheme="minorHAnsi" w:hAnsiTheme="minorHAnsi"/>
          <w:bCs/>
          <w:snapToGrid w:val="0"/>
          <w:lang w:val="en-GB"/>
        </w:rPr>
        <w:t xml:space="preserve"> </w:t>
      </w:r>
    </w:p>
    <w:p w14:paraId="54AB3403" w14:textId="77777777" w:rsidR="00A405B2" w:rsidRPr="001B03EA" w:rsidRDefault="00D228B0" w:rsidP="00A405B2">
      <w:pPr>
        <w:widowControl w:val="0"/>
        <w:numPr>
          <w:ilvl w:val="1"/>
          <w:numId w:val="1"/>
        </w:numPr>
        <w:spacing w:after="120"/>
        <w:ind w:left="720"/>
        <w:rPr>
          <w:rFonts w:asciiTheme="minorHAnsi" w:hAnsiTheme="minorHAnsi"/>
          <w:bCs/>
          <w:snapToGrid w:val="0"/>
          <w:lang w:val="en-GB"/>
        </w:rPr>
      </w:pPr>
      <w:r>
        <w:rPr>
          <w:rFonts w:asciiTheme="minorHAnsi" w:hAnsiTheme="minorHAnsi"/>
          <w:bCs/>
          <w:snapToGrid w:val="0"/>
          <w:lang w:val="en-GB"/>
        </w:rPr>
        <w:t>While t</w:t>
      </w:r>
      <w:r w:rsidR="001B03EA" w:rsidRPr="001B03EA">
        <w:rPr>
          <w:rFonts w:asciiTheme="minorHAnsi" w:hAnsiTheme="minorHAnsi"/>
          <w:bCs/>
          <w:snapToGrid w:val="0"/>
          <w:lang w:val="en-GB"/>
        </w:rPr>
        <w:t>he PBAC considered there may be a clinical place for sacubitril/valsartan in an expanded</w:t>
      </w:r>
      <w:r w:rsidR="00102EE9">
        <w:rPr>
          <w:rFonts w:asciiTheme="minorHAnsi" w:hAnsiTheme="minorHAnsi"/>
          <w:bCs/>
          <w:snapToGrid w:val="0"/>
          <w:lang w:val="en-GB"/>
        </w:rPr>
        <w:t xml:space="preserve"> heart failure with reduced ejection fraction</w:t>
      </w:r>
      <w:r w:rsidR="001B03EA" w:rsidRPr="001B03EA">
        <w:rPr>
          <w:rFonts w:asciiTheme="minorHAnsi" w:hAnsiTheme="minorHAnsi"/>
          <w:bCs/>
          <w:snapToGrid w:val="0"/>
          <w:lang w:val="en-GB"/>
        </w:rPr>
        <w:t xml:space="preserve"> </w:t>
      </w:r>
      <w:r w:rsidR="00102EE9">
        <w:rPr>
          <w:rFonts w:asciiTheme="minorHAnsi" w:hAnsiTheme="minorHAnsi"/>
          <w:bCs/>
          <w:snapToGrid w:val="0"/>
          <w:lang w:val="en-GB"/>
        </w:rPr>
        <w:t>(</w:t>
      </w:r>
      <w:r w:rsidR="005E17D6">
        <w:rPr>
          <w:rFonts w:asciiTheme="minorHAnsi" w:hAnsiTheme="minorHAnsi"/>
          <w:bCs/>
          <w:snapToGrid w:val="0"/>
          <w:lang w:val="en-GB"/>
        </w:rPr>
        <w:t>HFrEF</w:t>
      </w:r>
      <w:r w:rsidR="00102EE9">
        <w:rPr>
          <w:rFonts w:asciiTheme="minorHAnsi" w:hAnsiTheme="minorHAnsi"/>
          <w:bCs/>
          <w:snapToGrid w:val="0"/>
          <w:lang w:val="en-GB"/>
        </w:rPr>
        <w:t>)</w:t>
      </w:r>
      <w:r w:rsidR="001B03EA" w:rsidRPr="001B03EA">
        <w:rPr>
          <w:rFonts w:asciiTheme="minorHAnsi" w:hAnsiTheme="minorHAnsi"/>
          <w:bCs/>
          <w:snapToGrid w:val="0"/>
          <w:lang w:val="en-GB"/>
        </w:rPr>
        <w:t xml:space="preserve"> population</w:t>
      </w:r>
      <w:r w:rsidR="00377BA2" w:rsidRPr="001B03EA">
        <w:rPr>
          <w:rFonts w:asciiTheme="minorHAnsi" w:hAnsiTheme="minorHAnsi"/>
          <w:bCs/>
          <w:snapToGrid w:val="0"/>
          <w:lang w:val="en-GB"/>
        </w:rPr>
        <w:t>, the</w:t>
      </w:r>
      <w:r w:rsidR="001B03EA" w:rsidRPr="001B03EA">
        <w:rPr>
          <w:rFonts w:asciiTheme="minorHAnsi" w:hAnsiTheme="minorHAnsi"/>
          <w:bCs/>
          <w:snapToGrid w:val="0"/>
          <w:lang w:val="en-GB"/>
        </w:rPr>
        <w:t xml:space="preserve"> submission did not provide sufficient information to make a determination about the comparative effectiveness or </w:t>
      </w:r>
      <w:r w:rsidR="003E7285">
        <w:rPr>
          <w:rFonts w:asciiTheme="minorHAnsi" w:hAnsiTheme="minorHAnsi"/>
          <w:bCs/>
          <w:snapToGrid w:val="0"/>
          <w:lang w:val="en-GB"/>
        </w:rPr>
        <w:t>cost effectiv</w:t>
      </w:r>
      <w:r w:rsidR="001B03EA" w:rsidRPr="001B03EA">
        <w:rPr>
          <w:rFonts w:asciiTheme="minorHAnsi" w:hAnsiTheme="minorHAnsi"/>
          <w:bCs/>
          <w:snapToGrid w:val="0"/>
          <w:lang w:val="en-GB"/>
        </w:rPr>
        <w:t xml:space="preserve">eness </w:t>
      </w:r>
      <w:r w:rsidR="005E17D6">
        <w:rPr>
          <w:rFonts w:asciiTheme="minorHAnsi" w:hAnsiTheme="minorHAnsi"/>
          <w:bCs/>
          <w:snapToGrid w:val="0"/>
          <w:lang w:val="en-GB"/>
        </w:rPr>
        <w:t>versus the current treatment options for these</w:t>
      </w:r>
      <w:r w:rsidR="001B03EA" w:rsidRPr="001B03EA">
        <w:rPr>
          <w:rFonts w:asciiTheme="minorHAnsi" w:hAnsiTheme="minorHAnsi"/>
          <w:bCs/>
          <w:snapToGrid w:val="0"/>
          <w:lang w:val="en-GB"/>
        </w:rPr>
        <w:t xml:space="preserve"> populations.</w:t>
      </w:r>
    </w:p>
    <w:p w14:paraId="46F73773" w14:textId="77777777" w:rsidR="00A405B2" w:rsidRPr="00525B39" w:rsidRDefault="00D23457" w:rsidP="00A405B2">
      <w:pPr>
        <w:widowControl w:val="0"/>
        <w:numPr>
          <w:ilvl w:val="1"/>
          <w:numId w:val="1"/>
        </w:numPr>
        <w:spacing w:after="120"/>
        <w:ind w:left="720"/>
        <w:rPr>
          <w:rFonts w:asciiTheme="minorHAnsi" w:hAnsiTheme="minorHAnsi"/>
          <w:bCs/>
          <w:snapToGrid w:val="0"/>
          <w:lang w:val="en-GB"/>
        </w:rPr>
      </w:pPr>
      <w:r>
        <w:rPr>
          <w:rFonts w:asciiTheme="minorHAnsi" w:hAnsiTheme="minorHAnsi"/>
          <w:bCs/>
          <w:snapToGrid w:val="0"/>
          <w:lang w:val="en-GB"/>
        </w:rPr>
        <w:t xml:space="preserve">The PBAC considered that overall the comparative benefits and harms were difficult to assess due to the lack of data, however considered that sacubitril/valsartan </w:t>
      </w:r>
      <w:r w:rsidR="004A2064">
        <w:rPr>
          <w:rFonts w:asciiTheme="minorHAnsi" w:hAnsiTheme="minorHAnsi"/>
          <w:bCs/>
          <w:snapToGrid w:val="0"/>
          <w:lang w:val="en-GB"/>
        </w:rPr>
        <w:t>may</w:t>
      </w:r>
      <w:r>
        <w:rPr>
          <w:rFonts w:asciiTheme="minorHAnsi" w:hAnsiTheme="minorHAnsi"/>
          <w:bCs/>
          <w:snapToGrid w:val="0"/>
          <w:lang w:val="en-GB"/>
        </w:rPr>
        <w:t xml:space="preserve"> be of similar overall effectiveness and safety (but not cost effectiveness) to its current listings when used in either the LVEF 41%</w:t>
      </w:r>
      <w:r w:rsidR="00102EE9">
        <w:rPr>
          <w:rFonts w:asciiTheme="minorHAnsi" w:hAnsiTheme="minorHAnsi"/>
          <w:bCs/>
          <w:snapToGrid w:val="0"/>
          <w:lang w:val="en-GB"/>
        </w:rPr>
        <w:t xml:space="preserve"> </w:t>
      </w:r>
      <w:r>
        <w:rPr>
          <w:rFonts w:asciiTheme="minorHAnsi" w:hAnsiTheme="minorHAnsi"/>
          <w:bCs/>
          <w:snapToGrid w:val="0"/>
          <w:lang w:val="en-GB"/>
        </w:rPr>
        <w:t>-</w:t>
      </w:r>
      <w:r w:rsidR="00102EE9">
        <w:rPr>
          <w:rFonts w:asciiTheme="minorHAnsi" w:hAnsiTheme="minorHAnsi"/>
          <w:bCs/>
          <w:snapToGrid w:val="0"/>
          <w:lang w:val="en-GB"/>
        </w:rPr>
        <w:t xml:space="preserve"> </w:t>
      </w:r>
      <w:r>
        <w:rPr>
          <w:rFonts w:asciiTheme="minorHAnsi" w:hAnsiTheme="minorHAnsi"/>
          <w:bCs/>
          <w:snapToGrid w:val="0"/>
          <w:lang w:val="en-GB"/>
        </w:rPr>
        <w:t>≤50% or ACE inhibitor/ARB-naïve populations.</w:t>
      </w:r>
    </w:p>
    <w:p w14:paraId="151700E2" w14:textId="77777777" w:rsidR="00A405B2" w:rsidRPr="00525B39" w:rsidRDefault="007261F5" w:rsidP="00A405B2">
      <w:pPr>
        <w:widowControl w:val="0"/>
        <w:numPr>
          <w:ilvl w:val="1"/>
          <w:numId w:val="1"/>
        </w:numPr>
        <w:spacing w:after="120"/>
        <w:ind w:left="720"/>
        <w:rPr>
          <w:rFonts w:asciiTheme="minorHAnsi" w:hAnsiTheme="minorHAnsi"/>
          <w:bCs/>
          <w:snapToGrid w:val="0"/>
          <w:lang w:val="en-GB"/>
        </w:rPr>
      </w:pPr>
      <w:r>
        <w:rPr>
          <w:rFonts w:asciiTheme="minorHAnsi" w:hAnsiTheme="minorHAnsi"/>
          <w:bCs/>
          <w:snapToGrid w:val="0"/>
          <w:lang w:val="en-GB"/>
        </w:rPr>
        <w:t xml:space="preserve">The PBAC did not accept the </w:t>
      </w:r>
      <w:r w:rsidR="00DE45F5">
        <w:rPr>
          <w:rFonts w:asciiTheme="minorHAnsi" w:hAnsiTheme="minorHAnsi"/>
          <w:bCs/>
          <w:snapToGrid w:val="0"/>
          <w:lang w:val="en-GB"/>
        </w:rPr>
        <w:t xml:space="preserve">reasoning </w:t>
      </w:r>
      <w:r>
        <w:rPr>
          <w:rFonts w:asciiTheme="minorHAnsi" w:hAnsiTheme="minorHAnsi"/>
          <w:bCs/>
          <w:snapToGrid w:val="0"/>
          <w:lang w:val="en-GB"/>
        </w:rPr>
        <w:t>in the submission that an economic analysis was not necessary</w:t>
      </w:r>
      <w:r w:rsidR="00A727D7">
        <w:rPr>
          <w:rFonts w:asciiTheme="minorHAnsi" w:hAnsiTheme="minorHAnsi"/>
          <w:bCs/>
          <w:snapToGrid w:val="0"/>
          <w:lang w:val="en-GB"/>
        </w:rPr>
        <w:t>.</w:t>
      </w:r>
      <w:r>
        <w:rPr>
          <w:rFonts w:asciiTheme="minorHAnsi" w:hAnsiTheme="minorHAnsi"/>
          <w:bCs/>
          <w:snapToGrid w:val="0"/>
          <w:lang w:val="en-GB"/>
        </w:rPr>
        <w:t xml:space="preserve"> </w:t>
      </w:r>
      <w:r w:rsidR="00A727D7">
        <w:rPr>
          <w:rFonts w:asciiTheme="minorHAnsi" w:hAnsiTheme="minorHAnsi"/>
          <w:bCs/>
          <w:snapToGrid w:val="0"/>
          <w:lang w:val="en-GB"/>
        </w:rPr>
        <w:t>T</w:t>
      </w:r>
      <w:r w:rsidR="00C73DC8">
        <w:rPr>
          <w:rFonts w:asciiTheme="minorHAnsi" w:hAnsiTheme="minorHAnsi"/>
          <w:bCs/>
          <w:snapToGrid w:val="0"/>
          <w:lang w:val="en-GB"/>
        </w:rPr>
        <w:t xml:space="preserve">he proposition that </w:t>
      </w:r>
      <w:r w:rsidR="00A727D7">
        <w:rPr>
          <w:rFonts w:asciiTheme="minorHAnsi" w:hAnsiTheme="minorHAnsi"/>
          <w:bCs/>
          <w:snapToGrid w:val="0"/>
          <w:lang w:val="en-GB"/>
        </w:rPr>
        <w:t xml:space="preserve">established </w:t>
      </w:r>
      <w:r w:rsidR="003E7285">
        <w:rPr>
          <w:rFonts w:asciiTheme="minorHAnsi" w:hAnsiTheme="minorHAnsi"/>
          <w:bCs/>
          <w:snapToGrid w:val="0"/>
          <w:lang w:val="en-GB"/>
        </w:rPr>
        <w:t>cost effectiv</w:t>
      </w:r>
      <w:r w:rsidR="00C73DC8">
        <w:rPr>
          <w:rFonts w:asciiTheme="minorHAnsi" w:hAnsiTheme="minorHAnsi"/>
          <w:bCs/>
          <w:snapToGrid w:val="0"/>
          <w:lang w:val="en-GB"/>
        </w:rPr>
        <w:t xml:space="preserve">eness in the ACE </w:t>
      </w:r>
      <w:r w:rsidR="00C73DC8">
        <w:rPr>
          <w:rFonts w:asciiTheme="minorHAnsi" w:hAnsiTheme="minorHAnsi"/>
          <w:bCs/>
          <w:snapToGrid w:val="0"/>
          <w:lang w:val="en-GB"/>
        </w:rPr>
        <w:lastRenderedPageBreak/>
        <w:t xml:space="preserve">inhibitor/ARB experienced LVEF </w:t>
      </w:r>
      <w:r w:rsidR="00C73DC8">
        <w:rPr>
          <w:rFonts w:asciiTheme="minorHAnsi" w:hAnsiTheme="minorHAnsi" w:cstheme="minorHAnsi"/>
          <w:bCs/>
          <w:snapToGrid w:val="0"/>
          <w:lang w:val="en-GB"/>
        </w:rPr>
        <w:t>≤</w:t>
      </w:r>
      <w:r w:rsidR="00C73DC8">
        <w:rPr>
          <w:rFonts w:asciiTheme="minorHAnsi" w:hAnsiTheme="minorHAnsi"/>
          <w:bCs/>
          <w:snapToGrid w:val="0"/>
          <w:lang w:val="en-GB"/>
        </w:rPr>
        <w:t>40% population could be extended to the LVEF 41%</w:t>
      </w:r>
      <w:r w:rsidR="00A727D7">
        <w:rPr>
          <w:rFonts w:asciiTheme="minorHAnsi" w:hAnsiTheme="minorHAnsi"/>
          <w:bCs/>
          <w:snapToGrid w:val="0"/>
          <w:lang w:val="en-GB"/>
        </w:rPr>
        <w:t> </w:t>
      </w:r>
      <w:r w:rsidR="00C73DC8">
        <w:rPr>
          <w:rFonts w:asciiTheme="minorHAnsi" w:hAnsiTheme="minorHAnsi"/>
          <w:bCs/>
          <w:snapToGrid w:val="0"/>
          <w:lang w:val="en-GB"/>
        </w:rPr>
        <w:t>-</w:t>
      </w:r>
      <w:r w:rsidR="00A727D7">
        <w:rPr>
          <w:rFonts w:asciiTheme="minorHAnsi" w:hAnsiTheme="minorHAnsi"/>
          <w:bCs/>
          <w:snapToGrid w:val="0"/>
          <w:lang w:val="en-GB"/>
        </w:rPr>
        <w:t> </w:t>
      </w:r>
      <w:r w:rsidR="00C73DC8">
        <w:rPr>
          <w:rFonts w:asciiTheme="minorHAnsi" w:hAnsiTheme="minorHAnsi" w:cstheme="minorHAnsi"/>
          <w:bCs/>
          <w:snapToGrid w:val="0"/>
          <w:lang w:val="en-GB"/>
        </w:rPr>
        <w:t>≤</w:t>
      </w:r>
      <w:r w:rsidR="00C73DC8">
        <w:rPr>
          <w:rFonts w:asciiTheme="minorHAnsi" w:hAnsiTheme="minorHAnsi"/>
          <w:bCs/>
          <w:snapToGrid w:val="0"/>
          <w:lang w:val="en-GB"/>
        </w:rPr>
        <w:t xml:space="preserve">50% and treatment naïve populations without a formal economic analysis was unreasonable and inappropriate. </w:t>
      </w:r>
    </w:p>
    <w:p w14:paraId="2E89AA3B" w14:textId="77777777" w:rsidR="00A405B2" w:rsidRPr="00620921" w:rsidRDefault="002304D7" w:rsidP="00A405B2">
      <w:pPr>
        <w:widowControl w:val="0"/>
        <w:numPr>
          <w:ilvl w:val="1"/>
          <w:numId w:val="1"/>
        </w:numPr>
        <w:spacing w:after="120"/>
        <w:ind w:left="720"/>
      </w:pPr>
      <w:r>
        <w:rPr>
          <w:rFonts w:asciiTheme="minorHAnsi" w:hAnsiTheme="minorHAnsi"/>
          <w:bCs/>
          <w:snapToGrid w:val="0"/>
          <w:lang w:val="en-GB"/>
        </w:rPr>
        <w:t>The PBAC agreed with the DUSC</w:t>
      </w:r>
      <w:r w:rsidR="00A405B2" w:rsidRPr="00D8553E">
        <w:rPr>
          <w:rFonts w:asciiTheme="minorHAnsi" w:hAnsiTheme="minorHAnsi"/>
          <w:bCs/>
          <w:snapToGrid w:val="0"/>
          <w:lang w:val="en-GB"/>
        </w:rPr>
        <w:t xml:space="preserve"> </w:t>
      </w:r>
      <w:r w:rsidR="00A447CC">
        <w:rPr>
          <w:rFonts w:asciiTheme="minorHAnsi" w:hAnsiTheme="minorHAnsi"/>
          <w:bCs/>
          <w:snapToGrid w:val="0"/>
          <w:lang w:val="en-GB"/>
        </w:rPr>
        <w:t>that</w:t>
      </w:r>
      <w:r w:rsidR="00833971">
        <w:rPr>
          <w:rFonts w:asciiTheme="minorHAnsi" w:hAnsiTheme="minorHAnsi"/>
          <w:bCs/>
          <w:snapToGrid w:val="0"/>
          <w:lang w:val="en-GB"/>
        </w:rPr>
        <w:t xml:space="preserve"> the utilisation estimates </w:t>
      </w:r>
      <w:r w:rsidR="00A447CC">
        <w:rPr>
          <w:rFonts w:asciiTheme="minorHAnsi" w:hAnsiTheme="minorHAnsi"/>
          <w:bCs/>
          <w:snapToGrid w:val="0"/>
          <w:lang w:val="en-GB"/>
        </w:rPr>
        <w:t>were</w:t>
      </w:r>
      <w:r w:rsidR="00833971">
        <w:rPr>
          <w:rFonts w:asciiTheme="minorHAnsi" w:hAnsiTheme="minorHAnsi"/>
          <w:bCs/>
          <w:snapToGrid w:val="0"/>
          <w:lang w:val="en-GB"/>
        </w:rPr>
        <w:t xml:space="preserve"> highly uncertain and considered </w:t>
      </w:r>
      <w:r w:rsidR="003D12B4">
        <w:rPr>
          <w:rFonts w:asciiTheme="minorHAnsi" w:hAnsiTheme="minorHAnsi"/>
          <w:bCs/>
          <w:snapToGrid w:val="0"/>
          <w:lang w:val="en-GB"/>
        </w:rPr>
        <w:t>the request</w:t>
      </w:r>
      <w:r w:rsidR="00833971">
        <w:rPr>
          <w:rFonts w:asciiTheme="minorHAnsi" w:hAnsiTheme="minorHAnsi"/>
          <w:bCs/>
          <w:snapToGrid w:val="0"/>
          <w:lang w:val="en-GB"/>
        </w:rPr>
        <w:t xml:space="preserve"> w</w:t>
      </w:r>
      <w:r w:rsidR="00102EE9">
        <w:rPr>
          <w:rFonts w:asciiTheme="minorHAnsi" w:hAnsiTheme="minorHAnsi"/>
          <w:bCs/>
          <w:snapToGrid w:val="0"/>
          <w:lang w:val="en-GB"/>
        </w:rPr>
        <w:t>ould</w:t>
      </w:r>
      <w:r w:rsidR="00833971">
        <w:rPr>
          <w:rFonts w:asciiTheme="minorHAnsi" w:hAnsiTheme="minorHAnsi"/>
          <w:bCs/>
          <w:snapToGrid w:val="0"/>
          <w:lang w:val="en-GB"/>
        </w:rPr>
        <w:t xml:space="preserve"> likely substantially expand the population who would be e</w:t>
      </w:r>
      <w:r w:rsidR="00EC7CAE">
        <w:rPr>
          <w:rFonts w:asciiTheme="minorHAnsi" w:hAnsiTheme="minorHAnsi"/>
          <w:bCs/>
          <w:snapToGrid w:val="0"/>
          <w:lang w:val="en-GB"/>
        </w:rPr>
        <w:t>ligible for sacubitril/valsarta</w:t>
      </w:r>
      <w:r w:rsidR="00833971">
        <w:rPr>
          <w:rFonts w:asciiTheme="minorHAnsi" w:hAnsiTheme="minorHAnsi"/>
          <w:bCs/>
          <w:snapToGrid w:val="0"/>
          <w:lang w:val="en-GB"/>
        </w:rPr>
        <w:t>n</w:t>
      </w:r>
      <w:r w:rsidR="00EC7CAE">
        <w:rPr>
          <w:rFonts w:asciiTheme="minorHAnsi" w:hAnsiTheme="minorHAnsi"/>
          <w:bCs/>
          <w:snapToGrid w:val="0"/>
          <w:lang w:val="en-GB"/>
        </w:rPr>
        <w:t xml:space="preserve">. In particular, the PBAC shared the concerns of the DUSC that the expanded population would include patients with less severe disease who may have preserved ejection fraction (HFpEF) who would receive no </w:t>
      </w:r>
      <w:r w:rsidR="004A2064">
        <w:rPr>
          <w:rFonts w:asciiTheme="minorHAnsi" w:hAnsiTheme="minorHAnsi"/>
          <w:bCs/>
          <w:snapToGrid w:val="0"/>
          <w:lang w:val="en-GB"/>
        </w:rPr>
        <w:t xml:space="preserve">incremental </w:t>
      </w:r>
      <w:r w:rsidR="00EC7CAE">
        <w:rPr>
          <w:rFonts w:asciiTheme="minorHAnsi" w:hAnsiTheme="minorHAnsi"/>
          <w:bCs/>
          <w:snapToGrid w:val="0"/>
          <w:lang w:val="en-GB"/>
        </w:rPr>
        <w:t>be</w:t>
      </w:r>
      <w:r w:rsidR="005405C6">
        <w:rPr>
          <w:rFonts w:asciiTheme="minorHAnsi" w:hAnsiTheme="minorHAnsi"/>
          <w:bCs/>
          <w:snapToGrid w:val="0"/>
          <w:lang w:val="en-GB"/>
        </w:rPr>
        <w:t>nefit from sacubitril/valsartan</w:t>
      </w:r>
      <w:r w:rsidR="004A2064">
        <w:rPr>
          <w:rFonts w:asciiTheme="minorHAnsi" w:hAnsiTheme="minorHAnsi"/>
          <w:bCs/>
          <w:snapToGrid w:val="0"/>
          <w:lang w:val="en-GB"/>
        </w:rPr>
        <w:t xml:space="preserve"> over substantially less costly ACE inhibitors or ARBs</w:t>
      </w:r>
      <w:r w:rsidR="00A23EEE">
        <w:rPr>
          <w:rFonts w:asciiTheme="minorHAnsi" w:hAnsiTheme="minorHAnsi"/>
          <w:bCs/>
          <w:snapToGrid w:val="0"/>
          <w:lang w:val="en-GB"/>
        </w:rPr>
        <w:t xml:space="preserve">. Furthermore, the PBAC agreed with the DUSC </w:t>
      </w:r>
      <w:r w:rsidR="007862C0">
        <w:rPr>
          <w:rFonts w:asciiTheme="minorHAnsi" w:hAnsiTheme="minorHAnsi"/>
          <w:bCs/>
          <w:snapToGrid w:val="0"/>
          <w:lang w:val="en-GB"/>
        </w:rPr>
        <w:t>that</w:t>
      </w:r>
      <w:r w:rsidR="00A23EEE">
        <w:rPr>
          <w:rFonts w:asciiTheme="minorHAnsi" w:hAnsiTheme="minorHAnsi"/>
          <w:bCs/>
          <w:snapToGrid w:val="0"/>
          <w:lang w:val="en-GB"/>
        </w:rPr>
        <w:t xml:space="preserve"> the methodology used to estimate use</w:t>
      </w:r>
      <w:r w:rsidR="00513D6E">
        <w:rPr>
          <w:rFonts w:asciiTheme="minorHAnsi" w:hAnsiTheme="minorHAnsi"/>
          <w:bCs/>
          <w:snapToGrid w:val="0"/>
          <w:lang w:val="en-GB"/>
        </w:rPr>
        <w:t xml:space="preserve"> and uptake</w:t>
      </w:r>
      <w:r w:rsidR="00A23EEE">
        <w:rPr>
          <w:rFonts w:asciiTheme="minorHAnsi" w:hAnsiTheme="minorHAnsi"/>
          <w:bCs/>
          <w:snapToGrid w:val="0"/>
          <w:lang w:val="en-GB"/>
        </w:rPr>
        <w:t xml:space="preserve"> in the expanded population, which was based </w:t>
      </w:r>
      <w:r w:rsidR="00513D6E">
        <w:rPr>
          <w:rFonts w:asciiTheme="minorHAnsi" w:hAnsiTheme="minorHAnsi"/>
          <w:bCs/>
          <w:snapToGrid w:val="0"/>
          <w:lang w:val="en-GB"/>
        </w:rPr>
        <w:t xml:space="preserve">on use of sacubitril/valsartan in the LVEF </w:t>
      </w:r>
      <w:r w:rsidR="00513D6E">
        <w:rPr>
          <w:rFonts w:asciiTheme="minorHAnsi" w:hAnsiTheme="minorHAnsi" w:cstheme="minorHAnsi"/>
          <w:bCs/>
          <w:snapToGrid w:val="0"/>
          <w:lang w:val="en-GB"/>
        </w:rPr>
        <w:t>≤</w:t>
      </w:r>
      <w:r w:rsidR="00513D6E">
        <w:rPr>
          <w:rFonts w:asciiTheme="minorHAnsi" w:hAnsiTheme="minorHAnsi"/>
          <w:bCs/>
          <w:snapToGrid w:val="0"/>
          <w:lang w:val="en-GB"/>
        </w:rPr>
        <w:t xml:space="preserve">40%, post-ACE inhibitor/ARB population was unlikely to be reliable. </w:t>
      </w:r>
    </w:p>
    <w:p w14:paraId="725461E3" w14:textId="77777777" w:rsidR="00A405B2" w:rsidRDefault="00D23457" w:rsidP="00A405B2">
      <w:pPr>
        <w:widowControl w:val="0"/>
        <w:numPr>
          <w:ilvl w:val="1"/>
          <w:numId w:val="1"/>
        </w:numPr>
        <w:spacing w:after="120"/>
        <w:ind w:left="720"/>
        <w:rPr>
          <w:rFonts w:asciiTheme="minorHAnsi" w:hAnsiTheme="minorHAnsi"/>
          <w:bCs/>
          <w:snapToGrid w:val="0"/>
          <w:lang w:val="en-GB"/>
        </w:rPr>
      </w:pPr>
      <w:r>
        <w:rPr>
          <w:rFonts w:asciiTheme="minorHAnsi" w:hAnsiTheme="minorHAnsi"/>
          <w:bCs/>
          <w:snapToGrid w:val="0"/>
          <w:lang w:val="en-GB"/>
        </w:rPr>
        <w:t>The PBAC reiterated that any resubmission should be a major resubmission that includes all of the standard components expected for a major submission and address</w:t>
      </w:r>
      <w:r w:rsidR="00D6678D">
        <w:rPr>
          <w:rFonts w:asciiTheme="minorHAnsi" w:hAnsiTheme="minorHAnsi"/>
          <w:bCs/>
          <w:snapToGrid w:val="0"/>
          <w:lang w:val="en-GB"/>
        </w:rPr>
        <w:t>es</w:t>
      </w:r>
      <w:r>
        <w:rPr>
          <w:rFonts w:asciiTheme="minorHAnsi" w:hAnsiTheme="minorHAnsi"/>
          <w:bCs/>
          <w:snapToGrid w:val="0"/>
          <w:lang w:val="en-GB"/>
        </w:rPr>
        <w:t xml:space="preserve"> the following:</w:t>
      </w:r>
    </w:p>
    <w:p w14:paraId="2A3C341B" w14:textId="77777777" w:rsidR="00D23457" w:rsidRDefault="00513D6E" w:rsidP="00D23457">
      <w:pPr>
        <w:pStyle w:val="ListParagraph"/>
        <w:widowControl w:val="0"/>
        <w:numPr>
          <w:ilvl w:val="0"/>
          <w:numId w:val="20"/>
        </w:numPr>
        <w:spacing w:after="120"/>
        <w:rPr>
          <w:rFonts w:asciiTheme="minorHAnsi" w:hAnsiTheme="minorHAnsi"/>
          <w:bCs/>
          <w:snapToGrid w:val="0"/>
          <w:lang w:val="en-GB"/>
        </w:rPr>
      </w:pPr>
      <w:r>
        <w:rPr>
          <w:rFonts w:asciiTheme="minorHAnsi" w:hAnsiTheme="minorHAnsi"/>
          <w:bCs/>
          <w:snapToGrid w:val="0"/>
          <w:lang w:val="en-GB"/>
        </w:rPr>
        <w:t xml:space="preserve">For the LVEF 41% - </w:t>
      </w:r>
      <w:r>
        <w:rPr>
          <w:rFonts w:asciiTheme="minorHAnsi" w:hAnsiTheme="minorHAnsi" w:cstheme="minorHAnsi"/>
          <w:bCs/>
          <w:snapToGrid w:val="0"/>
          <w:lang w:val="en-GB"/>
        </w:rPr>
        <w:t>≤</w:t>
      </w:r>
      <w:r>
        <w:rPr>
          <w:rFonts w:asciiTheme="minorHAnsi" w:hAnsiTheme="minorHAnsi"/>
          <w:bCs/>
          <w:snapToGrid w:val="0"/>
          <w:lang w:val="en-GB"/>
        </w:rPr>
        <w:t>50% population, the PBAC</w:t>
      </w:r>
      <w:r w:rsidR="005771B1">
        <w:rPr>
          <w:rFonts w:asciiTheme="minorHAnsi" w:hAnsiTheme="minorHAnsi"/>
          <w:bCs/>
          <w:snapToGrid w:val="0"/>
          <w:lang w:val="en-GB"/>
        </w:rPr>
        <w:t xml:space="preserve"> considered that as the Sponsor has indicated no additional data will be forthcoming or made available, that a resubmission for this population would require a formal economic analysis which could be either:</w:t>
      </w:r>
    </w:p>
    <w:p w14:paraId="62A7C659" w14:textId="77777777" w:rsidR="005771B1" w:rsidRDefault="005771B1" w:rsidP="005771B1">
      <w:pPr>
        <w:pStyle w:val="ListParagraph"/>
        <w:widowControl w:val="0"/>
        <w:numPr>
          <w:ilvl w:val="1"/>
          <w:numId w:val="20"/>
        </w:numPr>
        <w:spacing w:after="120"/>
        <w:rPr>
          <w:rFonts w:asciiTheme="minorHAnsi" w:hAnsiTheme="minorHAnsi"/>
          <w:bCs/>
          <w:snapToGrid w:val="0"/>
          <w:lang w:val="en-GB"/>
        </w:rPr>
      </w:pPr>
      <w:r>
        <w:rPr>
          <w:rFonts w:asciiTheme="minorHAnsi" w:hAnsiTheme="minorHAnsi"/>
          <w:bCs/>
          <w:snapToGrid w:val="0"/>
          <w:lang w:val="en-GB"/>
        </w:rPr>
        <w:t xml:space="preserve">A modelled cost effectiveness analysis for the LVEF 41% - </w:t>
      </w:r>
      <w:r>
        <w:rPr>
          <w:rFonts w:asciiTheme="minorHAnsi" w:hAnsiTheme="minorHAnsi" w:cstheme="minorHAnsi"/>
          <w:bCs/>
          <w:snapToGrid w:val="0"/>
          <w:lang w:val="en-GB"/>
        </w:rPr>
        <w:t>≤</w:t>
      </w:r>
      <w:r>
        <w:rPr>
          <w:rFonts w:asciiTheme="minorHAnsi" w:hAnsiTheme="minorHAnsi"/>
          <w:bCs/>
          <w:snapToGrid w:val="0"/>
          <w:lang w:val="en-GB"/>
        </w:rPr>
        <w:t>50% population, that may be in a subpopulation of that group such as in patients who have been hospitalised for heart failure</w:t>
      </w:r>
      <w:r w:rsidR="004A2064">
        <w:rPr>
          <w:rFonts w:asciiTheme="minorHAnsi" w:hAnsiTheme="minorHAnsi"/>
          <w:bCs/>
          <w:snapToGrid w:val="0"/>
          <w:lang w:val="en-GB"/>
        </w:rPr>
        <w:t xml:space="preserve"> or were still symptomatic (NYHA Class II-IV)</w:t>
      </w:r>
      <w:r>
        <w:rPr>
          <w:rFonts w:asciiTheme="minorHAnsi" w:hAnsiTheme="minorHAnsi"/>
          <w:bCs/>
          <w:snapToGrid w:val="0"/>
          <w:lang w:val="en-GB"/>
        </w:rPr>
        <w:t>; or</w:t>
      </w:r>
    </w:p>
    <w:p w14:paraId="59713CAA" w14:textId="77777777" w:rsidR="005771B1" w:rsidRDefault="005771B1" w:rsidP="005771B1">
      <w:pPr>
        <w:pStyle w:val="ListParagraph"/>
        <w:widowControl w:val="0"/>
        <w:numPr>
          <w:ilvl w:val="1"/>
          <w:numId w:val="20"/>
        </w:numPr>
        <w:spacing w:after="120"/>
        <w:rPr>
          <w:rFonts w:asciiTheme="minorHAnsi" w:hAnsiTheme="minorHAnsi"/>
          <w:bCs/>
          <w:snapToGrid w:val="0"/>
          <w:lang w:val="en-GB"/>
        </w:rPr>
      </w:pPr>
      <w:r>
        <w:rPr>
          <w:rFonts w:asciiTheme="minorHAnsi" w:hAnsiTheme="minorHAnsi"/>
          <w:bCs/>
          <w:snapToGrid w:val="0"/>
          <w:lang w:val="en-GB"/>
        </w:rPr>
        <w:t xml:space="preserve">a clinical claim of non-inferiority to ACE </w:t>
      </w:r>
      <w:r w:rsidR="00102EE9">
        <w:rPr>
          <w:rFonts w:asciiTheme="minorHAnsi" w:hAnsiTheme="minorHAnsi"/>
          <w:bCs/>
          <w:snapToGrid w:val="0"/>
          <w:lang w:val="en-GB"/>
        </w:rPr>
        <w:t>inhibitors</w:t>
      </w:r>
      <w:r>
        <w:rPr>
          <w:rFonts w:asciiTheme="minorHAnsi" w:hAnsiTheme="minorHAnsi"/>
          <w:bCs/>
          <w:snapToGrid w:val="0"/>
          <w:lang w:val="en-GB"/>
        </w:rPr>
        <w:t xml:space="preserve">/ARBs and a cost minimisation analysis </w:t>
      </w:r>
      <w:r w:rsidR="005E17D6">
        <w:rPr>
          <w:rFonts w:asciiTheme="minorHAnsi" w:hAnsiTheme="minorHAnsi"/>
          <w:bCs/>
          <w:snapToGrid w:val="0"/>
          <w:lang w:val="en-GB"/>
        </w:rPr>
        <w:t>versus these</w:t>
      </w:r>
      <w:r>
        <w:rPr>
          <w:rFonts w:asciiTheme="minorHAnsi" w:hAnsiTheme="minorHAnsi"/>
          <w:bCs/>
          <w:snapToGrid w:val="0"/>
          <w:lang w:val="en-GB"/>
        </w:rPr>
        <w:t xml:space="preserve"> agents.</w:t>
      </w:r>
    </w:p>
    <w:p w14:paraId="68313B05" w14:textId="77777777" w:rsidR="00D23457" w:rsidRDefault="005E17D6" w:rsidP="00D23457">
      <w:pPr>
        <w:pStyle w:val="ListParagraph"/>
        <w:widowControl w:val="0"/>
        <w:numPr>
          <w:ilvl w:val="0"/>
          <w:numId w:val="20"/>
        </w:numPr>
        <w:spacing w:after="120"/>
        <w:rPr>
          <w:rFonts w:asciiTheme="minorHAnsi" w:hAnsiTheme="minorHAnsi"/>
          <w:bCs/>
          <w:snapToGrid w:val="0"/>
          <w:lang w:val="en-GB"/>
        </w:rPr>
      </w:pPr>
      <w:r>
        <w:rPr>
          <w:rFonts w:asciiTheme="minorHAnsi" w:hAnsiTheme="minorHAnsi"/>
          <w:bCs/>
          <w:snapToGrid w:val="0"/>
          <w:lang w:val="en-GB"/>
        </w:rPr>
        <w:t xml:space="preserve">For use in ACE </w:t>
      </w:r>
      <w:r w:rsidR="00102EE9">
        <w:rPr>
          <w:rFonts w:asciiTheme="minorHAnsi" w:hAnsiTheme="minorHAnsi"/>
          <w:bCs/>
          <w:snapToGrid w:val="0"/>
          <w:lang w:val="en-GB"/>
        </w:rPr>
        <w:t>inhibitor</w:t>
      </w:r>
      <w:r>
        <w:rPr>
          <w:rFonts w:asciiTheme="minorHAnsi" w:hAnsiTheme="minorHAnsi"/>
          <w:bCs/>
          <w:snapToGrid w:val="0"/>
          <w:lang w:val="en-GB"/>
        </w:rPr>
        <w:t>/ARB naïve patients (i.e. first line use), any resubmission for this population should include a formal economic analysis:</w:t>
      </w:r>
    </w:p>
    <w:p w14:paraId="43B212EC" w14:textId="77777777" w:rsidR="005E17D6" w:rsidRDefault="005E17D6" w:rsidP="005E17D6">
      <w:pPr>
        <w:pStyle w:val="ListParagraph"/>
        <w:widowControl w:val="0"/>
        <w:numPr>
          <w:ilvl w:val="1"/>
          <w:numId w:val="20"/>
        </w:numPr>
        <w:spacing w:after="120"/>
        <w:rPr>
          <w:rFonts w:asciiTheme="minorHAnsi" w:hAnsiTheme="minorHAnsi"/>
          <w:bCs/>
          <w:snapToGrid w:val="0"/>
          <w:lang w:val="en-GB"/>
        </w:rPr>
      </w:pPr>
      <w:r>
        <w:rPr>
          <w:rFonts w:asciiTheme="minorHAnsi" w:hAnsiTheme="minorHAnsi"/>
          <w:bCs/>
          <w:snapToGrid w:val="0"/>
          <w:lang w:val="en-GB"/>
        </w:rPr>
        <w:t>If a claim of superior comparative efficacy and/or safety is made over ACE inhibitors/ARBs for first line treatment, a modelled cost effectiveness analysis would be required; or</w:t>
      </w:r>
    </w:p>
    <w:p w14:paraId="218CB4FD" w14:textId="77777777" w:rsidR="005E17D6" w:rsidRPr="00D23457" w:rsidRDefault="005E17D6" w:rsidP="005E17D6">
      <w:pPr>
        <w:pStyle w:val="ListParagraph"/>
        <w:widowControl w:val="0"/>
        <w:numPr>
          <w:ilvl w:val="1"/>
          <w:numId w:val="20"/>
        </w:numPr>
        <w:spacing w:after="120"/>
        <w:rPr>
          <w:rFonts w:asciiTheme="minorHAnsi" w:hAnsiTheme="minorHAnsi"/>
          <w:bCs/>
          <w:snapToGrid w:val="0"/>
          <w:lang w:val="en-GB"/>
        </w:rPr>
      </w:pPr>
      <w:r>
        <w:rPr>
          <w:rFonts w:asciiTheme="minorHAnsi" w:hAnsiTheme="minorHAnsi"/>
          <w:bCs/>
          <w:snapToGrid w:val="0"/>
          <w:lang w:val="en-GB"/>
        </w:rPr>
        <w:t>If a claim of non-inferior comparative efficacy and/or safety to ACE inhibitors/ARBs is made, a cost minimisation analysis versus these agents would be reasonable.</w:t>
      </w:r>
    </w:p>
    <w:p w14:paraId="2E080BCD" w14:textId="77777777" w:rsidR="00A405B2" w:rsidRPr="00832867" w:rsidRDefault="00A405B2" w:rsidP="00832867">
      <w:pPr>
        <w:widowControl w:val="0"/>
        <w:numPr>
          <w:ilvl w:val="1"/>
          <w:numId w:val="1"/>
        </w:numPr>
        <w:spacing w:after="120"/>
        <w:ind w:left="720"/>
        <w:rPr>
          <w:rFonts w:asciiTheme="minorHAnsi" w:hAnsiTheme="minorHAnsi"/>
          <w:bCs/>
          <w:snapToGrid w:val="0"/>
          <w:lang w:val="en-GB"/>
        </w:rPr>
      </w:pPr>
      <w:r w:rsidRPr="00525B39">
        <w:rPr>
          <w:rFonts w:asciiTheme="minorHAnsi" w:hAnsiTheme="minorHAnsi"/>
          <w:bCs/>
          <w:snapToGrid w:val="0"/>
          <w:lang w:val="en-GB"/>
        </w:rPr>
        <w:t>The PBAC noted that this submission is eligible for an Independent Review</w:t>
      </w:r>
      <w:r w:rsidR="00832867">
        <w:rPr>
          <w:rFonts w:asciiTheme="minorHAnsi" w:hAnsiTheme="minorHAnsi"/>
          <w:bCs/>
          <w:snapToGrid w:val="0"/>
          <w:lang w:val="en-GB"/>
        </w:rPr>
        <w:t>.</w:t>
      </w:r>
    </w:p>
    <w:p w14:paraId="05B992AA" w14:textId="77777777" w:rsidR="00470B0C" w:rsidRDefault="00470B0C">
      <w:pPr>
        <w:jc w:val="left"/>
        <w:rPr>
          <w:rFonts w:asciiTheme="minorHAnsi" w:hAnsiTheme="minorHAnsi"/>
          <w:b/>
          <w:bCs/>
          <w:snapToGrid w:val="0"/>
          <w:lang w:val="en-GB"/>
        </w:rPr>
      </w:pPr>
      <w:r>
        <w:rPr>
          <w:rFonts w:asciiTheme="minorHAnsi" w:hAnsiTheme="minorHAnsi"/>
          <w:b/>
          <w:bCs/>
          <w:snapToGrid w:val="0"/>
          <w:lang w:val="en-GB"/>
        </w:rPr>
        <w:br w:type="page"/>
      </w:r>
    </w:p>
    <w:p w14:paraId="3B3C3968" w14:textId="77777777" w:rsidR="009D19CE" w:rsidRDefault="00D23457" w:rsidP="009D19CE">
      <w:pPr>
        <w:jc w:val="left"/>
        <w:rPr>
          <w:rFonts w:asciiTheme="minorHAnsi" w:hAnsiTheme="minorHAnsi"/>
          <w:bCs/>
          <w:i/>
          <w:snapToGrid w:val="0"/>
          <w:lang w:val="en-GB"/>
        </w:rPr>
      </w:pPr>
      <w:r>
        <w:rPr>
          <w:rFonts w:asciiTheme="minorHAnsi" w:hAnsiTheme="minorHAnsi"/>
          <w:b/>
          <w:bCs/>
          <w:snapToGrid w:val="0"/>
          <w:lang w:val="en-GB"/>
        </w:rPr>
        <w:lastRenderedPageBreak/>
        <w:t>Outcome</w:t>
      </w:r>
      <w:r w:rsidR="00832867">
        <w:rPr>
          <w:rFonts w:asciiTheme="minorHAnsi" w:hAnsiTheme="minorHAnsi"/>
          <w:b/>
          <w:bCs/>
          <w:snapToGrid w:val="0"/>
          <w:lang w:val="en-GB"/>
        </w:rPr>
        <w:t>(s)</w:t>
      </w:r>
      <w:r>
        <w:rPr>
          <w:rFonts w:asciiTheme="minorHAnsi" w:hAnsiTheme="minorHAnsi"/>
          <w:b/>
          <w:bCs/>
          <w:snapToGrid w:val="0"/>
          <w:lang w:val="en-GB"/>
        </w:rPr>
        <w:t xml:space="preserve">: </w:t>
      </w:r>
      <w:r>
        <w:rPr>
          <w:rFonts w:asciiTheme="minorHAnsi" w:hAnsiTheme="minorHAnsi"/>
          <w:b/>
          <w:bCs/>
          <w:snapToGrid w:val="0"/>
          <w:lang w:val="en-GB"/>
        </w:rPr>
        <w:br/>
      </w:r>
    </w:p>
    <w:p w14:paraId="107326B9" w14:textId="77777777" w:rsidR="00D23457" w:rsidRDefault="00832867" w:rsidP="009D19CE">
      <w:pPr>
        <w:spacing w:before="120"/>
        <w:jc w:val="left"/>
        <w:rPr>
          <w:rFonts w:asciiTheme="minorHAnsi" w:hAnsiTheme="minorHAnsi"/>
          <w:bCs/>
          <w:i/>
          <w:snapToGrid w:val="0"/>
          <w:lang w:val="en-GB"/>
        </w:rPr>
      </w:pPr>
      <w:r>
        <w:rPr>
          <w:rFonts w:asciiTheme="minorHAnsi" w:hAnsiTheme="minorHAnsi"/>
          <w:bCs/>
          <w:i/>
          <w:snapToGrid w:val="0"/>
          <w:lang w:val="en-GB"/>
        </w:rPr>
        <w:t>Amend listing to allow use in l</w:t>
      </w:r>
      <w:r w:rsidR="00D23457">
        <w:rPr>
          <w:rFonts w:asciiTheme="minorHAnsi" w:hAnsiTheme="minorHAnsi"/>
          <w:bCs/>
          <w:i/>
          <w:snapToGrid w:val="0"/>
          <w:lang w:val="en-GB"/>
        </w:rPr>
        <w:t>eft ventricular ejection fraction</w:t>
      </w:r>
      <w:r w:rsidR="00EC7CAE">
        <w:rPr>
          <w:rFonts w:asciiTheme="minorHAnsi" w:hAnsiTheme="minorHAnsi"/>
          <w:bCs/>
          <w:i/>
          <w:snapToGrid w:val="0"/>
          <w:lang w:val="en-GB"/>
        </w:rPr>
        <w:t xml:space="preserve"> (LVEF)</w:t>
      </w:r>
      <w:r w:rsidR="00D23457">
        <w:rPr>
          <w:rFonts w:asciiTheme="minorHAnsi" w:hAnsiTheme="minorHAnsi"/>
          <w:bCs/>
          <w:i/>
          <w:snapToGrid w:val="0"/>
          <w:lang w:val="en-GB"/>
        </w:rPr>
        <w:t xml:space="preserve"> 41% - ≤50% and ACE inhibitor/ARB naïve </w:t>
      </w:r>
      <w:r>
        <w:rPr>
          <w:rFonts w:asciiTheme="minorHAnsi" w:hAnsiTheme="minorHAnsi"/>
          <w:bCs/>
          <w:i/>
          <w:snapToGrid w:val="0"/>
          <w:lang w:val="en-GB"/>
        </w:rPr>
        <w:t>(i.e. first line use) populations:</w:t>
      </w:r>
      <w:r>
        <w:rPr>
          <w:rFonts w:asciiTheme="minorHAnsi" w:hAnsiTheme="minorHAnsi"/>
          <w:bCs/>
          <w:i/>
          <w:snapToGrid w:val="0"/>
          <w:lang w:val="en-GB"/>
        </w:rPr>
        <w:br/>
      </w:r>
    </w:p>
    <w:p w14:paraId="2CA135D0" w14:textId="77777777" w:rsidR="00267FDC" w:rsidRDefault="00A405B2" w:rsidP="00267FDC">
      <w:pPr>
        <w:jc w:val="left"/>
        <w:rPr>
          <w:rFonts w:asciiTheme="minorHAnsi" w:hAnsiTheme="minorHAnsi"/>
          <w:bCs/>
          <w:i/>
          <w:snapToGrid w:val="0"/>
          <w:lang w:val="en-GB"/>
        </w:rPr>
      </w:pPr>
      <w:r w:rsidRPr="00525B39">
        <w:rPr>
          <w:rFonts w:asciiTheme="minorHAnsi" w:hAnsiTheme="minorHAnsi"/>
          <w:bCs/>
          <w:snapToGrid w:val="0"/>
          <w:lang w:val="en-GB"/>
        </w:rPr>
        <w:t>Rejected</w:t>
      </w:r>
      <w:r w:rsidR="00D23457">
        <w:rPr>
          <w:rFonts w:asciiTheme="minorHAnsi" w:hAnsiTheme="minorHAnsi"/>
          <w:bCs/>
          <w:snapToGrid w:val="0"/>
          <w:lang w:val="en-GB"/>
        </w:rPr>
        <w:br/>
      </w:r>
      <w:r w:rsidR="00D23457">
        <w:rPr>
          <w:rFonts w:asciiTheme="minorHAnsi" w:hAnsiTheme="minorHAnsi"/>
          <w:bCs/>
          <w:snapToGrid w:val="0"/>
          <w:lang w:val="en-GB"/>
        </w:rPr>
        <w:br/>
      </w:r>
      <w:r w:rsidR="00832867">
        <w:rPr>
          <w:rFonts w:asciiTheme="minorHAnsi" w:hAnsiTheme="minorHAnsi"/>
          <w:bCs/>
          <w:i/>
          <w:snapToGrid w:val="0"/>
          <w:lang w:val="en-GB"/>
        </w:rPr>
        <w:t>Amend listing to allow greater flexibility for beta blocker use</w:t>
      </w:r>
      <w:r w:rsidR="00800F79">
        <w:rPr>
          <w:rFonts w:asciiTheme="minorHAnsi" w:hAnsiTheme="minorHAnsi"/>
          <w:bCs/>
          <w:i/>
          <w:snapToGrid w:val="0"/>
          <w:lang w:val="en-GB"/>
        </w:rPr>
        <w:t>/</w:t>
      </w:r>
      <w:r w:rsidR="00832867">
        <w:rPr>
          <w:rFonts w:asciiTheme="minorHAnsi" w:hAnsiTheme="minorHAnsi"/>
          <w:bCs/>
          <w:i/>
          <w:snapToGrid w:val="0"/>
          <w:lang w:val="en-GB"/>
        </w:rPr>
        <w:t>dosing and nurse practitioner prescribing in the titration phase:</w:t>
      </w:r>
      <w:r w:rsidR="00832867">
        <w:rPr>
          <w:rFonts w:asciiTheme="minorHAnsi" w:hAnsiTheme="minorHAnsi"/>
          <w:bCs/>
          <w:i/>
          <w:snapToGrid w:val="0"/>
          <w:lang w:val="en-GB"/>
        </w:rPr>
        <w:br/>
      </w:r>
      <w:r w:rsidR="00832867">
        <w:rPr>
          <w:rFonts w:asciiTheme="minorHAnsi" w:hAnsiTheme="minorHAnsi"/>
          <w:bCs/>
          <w:snapToGrid w:val="0"/>
          <w:lang w:val="en-GB"/>
        </w:rPr>
        <w:br/>
        <w:t>Recommended</w:t>
      </w:r>
    </w:p>
    <w:p w14:paraId="3F9A45A7" w14:textId="77777777" w:rsidR="00267FDC" w:rsidRDefault="00267FDC">
      <w:pPr>
        <w:jc w:val="left"/>
        <w:rPr>
          <w:rFonts w:asciiTheme="minorHAnsi" w:hAnsiTheme="minorHAnsi"/>
          <w:bCs/>
          <w:i/>
          <w:snapToGrid w:val="0"/>
          <w:lang w:val="en-GB"/>
        </w:rPr>
      </w:pPr>
    </w:p>
    <w:p w14:paraId="1C6EF063" w14:textId="77777777" w:rsidR="003D12B4" w:rsidRPr="00A84C4E" w:rsidRDefault="003D12B4" w:rsidP="00A84C4E">
      <w:pPr>
        <w:keepNext/>
        <w:widowControl w:val="0"/>
        <w:numPr>
          <w:ilvl w:val="0"/>
          <w:numId w:val="1"/>
        </w:numPr>
        <w:spacing w:before="240" w:after="120"/>
        <w:outlineLvl w:val="0"/>
        <w:rPr>
          <w:rFonts w:asciiTheme="minorHAnsi" w:hAnsiTheme="minorHAnsi"/>
          <w:b/>
          <w:bCs/>
          <w:snapToGrid w:val="0"/>
          <w:sz w:val="32"/>
        </w:rPr>
      </w:pPr>
      <w:r w:rsidRPr="00A84C4E">
        <w:rPr>
          <w:rFonts w:asciiTheme="minorHAnsi" w:hAnsiTheme="minorHAnsi"/>
          <w:b/>
          <w:bCs/>
          <w:snapToGrid w:val="0"/>
          <w:sz w:val="32"/>
        </w:rPr>
        <w:t>Recommended listing</w:t>
      </w:r>
    </w:p>
    <w:p w14:paraId="6708BBD6" w14:textId="77777777" w:rsidR="003D12B4" w:rsidRPr="003D12B4" w:rsidRDefault="003D12B4" w:rsidP="00267FDC">
      <w:pPr>
        <w:widowControl w:val="0"/>
        <w:numPr>
          <w:ilvl w:val="1"/>
          <w:numId w:val="1"/>
        </w:numPr>
        <w:ind w:left="720"/>
        <w:rPr>
          <w:rFonts w:asciiTheme="minorHAnsi" w:hAnsiTheme="minorHAnsi"/>
          <w:b/>
          <w:bCs/>
          <w:snapToGrid w:val="0"/>
        </w:rPr>
      </w:pPr>
      <w:r w:rsidRPr="003D12B4">
        <w:rPr>
          <w:rFonts w:asciiTheme="minorHAnsi" w:hAnsiTheme="minorHAnsi"/>
          <w:bCs/>
          <w:snapToGrid w:val="0"/>
        </w:rPr>
        <w:t>Amend existing listing as follows:</w:t>
      </w:r>
    </w:p>
    <w:p w14:paraId="551AF195" w14:textId="77777777" w:rsidR="00D26691" w:rsidRPr="00667C9C" w:rsidRDefault="00D26691" w:rsidP="003D12B4">
      <w:pPr>
        <w:pStyle w:val="NoSpacing"/>
        <w:rPr>
          <w:rFonts w:ascii="Arial Narrow" w:hAnsi="Arial Narrow" w:cstheme="minorHAnsi"/>
          <w:sz w:val="18"/>
          <w:szCs w:val="18"/>
        </w:rPr>
      </w:pPr>
    </w:p>
    <w:p w14:paraId="22E01F2F" w14:textId="77777777" w:rsidR="00192EE9" w:rsidRDefault="00192EE9">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
        <w:gridCol w:w="3163"/>
        <w:gridCol w:w="958"/>
        <w:gridCol w:w="817"/>
        <w:gridCol w:w="927"/>
        <w:gridCol w:w="678"/>
        <w:gridCol w:w="1511"/>
      </w:tblGrid>
      <w:tr w:rsidR="00D26691" w:rsidRPr="009A610D" w14:paraId="330D0D96" w14:textId="77777777" w:rsidTr="003E222F">
        <w:trPr>
          <w:cantSplit/>
          <w:trHeight w:val="471"/>
        </w:trPr>
        <w:tc>
          <w:tcPr>
            <w:tcW w:w="2288" w:type="pct"/>
            <w:gridSpan w:val="2"/>
          </w:tcPr>
          <w:p w14:paraId="05B2D01A" w14:textId="6CC0288A" w:rsidR="00D26691" w:rsidRDefault="00CF5D62" w:rsidP="00D22427">
            <w:pPr>
              <w:keepNext/>
              <w:ind w:left="-108"/>
              <w:rPr>
                <w:rFonts w:ascii="Arial Narrow" w:hAnsi="Arial Narrow"/>
                <w:b/>
                <w:bCs/>
                <w:sz w:val="18"/>
                <w:szCs w:val="18"/>
              </w:rPr>
            </w:pPr>
            <w:r>
              <w:rPr>
                <w:rFonts w:ascii="Arial Narrow" w:hAnsi="Arial Narrow"/>
                <w:b/>
                <w:bCs/>
                <w:sz w:val="18"/>
                <w:szCs w:val="18"/>
              </w:rPr>
              <w:lastRenderedPageBreak/>
              <w:t xml:space="preserve"> </w:t>
            </w:r>
            <w:r w:rsidR="00D26691">
              <w:rPr>
                <w:rFonts w:ascii="Arial Narrow" w:hAnsi="Arial Narrow"/>
                <w:b/>
                <w:bCs/>
                <w:sz w:val="18"/>
                <w:szCs w:val="18"/>
              </w:rPr>
              <w:t>MEDICINAL PRODUCT</w:t>
            </w:r>
          </w:p>
          <w:p w14:paraId="37E6294C" w14:textId="77777777" w:rsidR="00D26691" w:rsidRPr="009A610D" w:rsidRDefault="00D26691" w:rsidP="00D22427">
            <w:pPr>
              <w:keepNext/>
              <w:ind w:left="-108"/>
              <w:rPr>
                <w:rFonts w:ascii="Arial Narrow" w:hAnsi="Arial Narrow"/>
                <w:b/>
                <w:sz w:val="18"/>
                <w:szCs w:val="18"/>
              </w:rPr>
            </w:pPr>
            <w:r w:rsidRPr="003A5B23">
              <w:rPr>
                <w:rFonts w:ascii="Arial Narrow" w:hAnsi="Arial Narrow"/>
                <w:b/>
                <w:bCs/>
                <w:sz w:val="18"/>
                <w:szCs w:val="18"/>
              </w:rPr>
              <w:t xml:space="preserve"> </w:t>
            </w:r>
            <w:r w:rsidR="00CF5D62">
              <w:rPr>
                <w:rFonts w:ascii="Arial Narrow" w:hAnsi="Arial Narrow"/>
                <w:b/>
                <w:bCs/>
                <w:sz w:val="18"/>
                <w:szCs w:val="18"/>
              </w:rPr>
              <w:t>medicinal p</w:t>
            </w:r>
            <w:r>
              <w:rPr>
                <w:rFonts w:ascii="Arial Narrow" w:hAnsi="Arial Narrow"/>
                <w:b/>
                <w:bCs/>
                <w:sz w:val="18"/>
                <w:szCs w:val="18"/>
              </w:rPr>
              <w:t xml:space="preserve">roduct </w:t>
            </w:r>
            <w:r w:rsidR="00CF5D62">
              <w:rPr>
                <w:rFonts w:ascii="Arial Narrow" w:hAnsi="Arial Narrow"/>
                <w:b/>
                <w:bCs/>
                <w:sz w:val="18"/>
                <w:szCs w:val="18"/>
              </w:rPr>
              <w:t>p</w:t>
            </w:r>
            <w:r w:rsidRPr="003A5B23">
              <w:rPr>
                <w:rFonts w:ascii="Arial Narrow" w:hAnsi="Arial Narrow"/>
                <w:b/>
                <w:bCs/>
                <w:sz w:val="18"/>
                <w:szCs w:val="18"/>
              </w:rPr>
              <w:t>ack</w:t>
            </w:r>
          </w:p>
        </w:tc>
        <w:tc>
          <w:tcPr>
            <w:tcW w:w="531" w:type="pct"/>
          </w:tcPr>
          <w:p w14:paraId="13CB16C3" w14:textId="77777777" w:rsidR="00D26691" w:rsidRPr="009A610D" w:rsidRDefault="00D26691" w:rsidP="00D22427">
            <w:pPr>
              <w:keepNext/>
              <w:ind w:left="-108"/>
              <w:jc w:val="center"/>
              <w:rPr>
                <w:rFonts w:ascii="Arial Narrow" w:hAnsi="Arial Narrow"/>
                <w:b/>
                <w:sz w:val="18"/>
                <w:szCs w:val="18"/>
              </w:rPr>
            </w:pPr>
            <w:r>
              <w:rPr>
                <w:rFonts w:ascii="Arial Narrow" w:hAnsi="Arial Narrow"/>
                <w:b/>
                <w:sz w:val="18"/>
                <w:szCs w:val="18"/>
              </w:rPr>
              <w:t>PBS item code</w:t>
            </w:r>
          </w:p>
        </w:tc>
        <w:tc>
          <w:tcPr>
            <w:tcW w:w="453" w:type="pct"/>
          </w:tcPr>
          <w:p w14:paraId="7134FB9F" w14:textId="77777777" w:rsidR="00D26691" w:rsidRPr="009A610D" w:rsidRDefault="00D26691" w:rsidP="00D22427">
            <w:pPr>
              <w:keepNext/>
              <w:ind w:left="-108"/>
              <w:jc w:val="center"/>
              <w:rPr>
                <w:rFonts w:ascii="Arial Narrow" w:hAnsi="Arial Narrow"/>
                <w:b/>
                <w:sz w:val="18"/>
                <w:szCs w:val="18"/>
              </w:rPr>
            </w:pPr>
            <w:r w:rsidRPr="009A610D">
              <w:rPr>
                <w:rFonts w:ascii="Arial Narrow" w:hAnsi="Arial Narrow"/>
                <w:b/>
                <w:sz w:val="18"/>
                <w:szCs w:val="18"/>
              </w:rPr>
              <w:t>Max.</w:t>
            </w:r>
            <w:r>
              <w:rPr>
                <w:rFonts w:ascii="Arial Narrow" w:hAnsi="Arial Narrow"/>
                <w:b/>
                <w:sz w:val="18"/>
                <w:szCs w:val="18"/>
              </w:rPr>
              <w:t xml:space="preserve"> q</w:t>
            </w:r>
            <w:r w:rsidRPr="009A610D">
              <w:rPr>
                <w:rFonts w:ascii="Arial Narrow" w:hAnsi="Arial Narrow"/>
                <w:b/>
                <w:sz w:val="18"/>
                <w:szCs w:val="18"/>
              </w:rPr>
              <w:t>ty</w:t>
            </w:r>
            <w:r>
              <w:rPr>
                <w:rFonts w:ascii="Arial Narrow" w:hAnsi="Arial Narrow"/>
                <w:b/>
                <w:sz w:val="18"/>
                <w:szCs w:val="18"/>
              </w:rPr>
              <w:t xml:space="preserve"> packs</w:t>
            </w:r>
          </w:p>
        </w:tc>
        <w:tc>
          <w:tcPr>
            <w:tcW w:w="514" w:type="pct"/>
          </w:tcPr>
          <w:p w14:paraId="18A5F93A" w14:textId="77777777" w:rsidR="00D26691" w:rsidRPr="009A610D" w:rsidRDefault="00D26691" w:rsidP="00D22427">
            <w:pPr>
              <w:keepNext/>
              <w:ind w:left="-108"/>
              <w:jc w:val="center"/>
              <w:rPr>
                <w:rFonts w:ascii="Arial Narrow" w:hAnsi="Arial Narrow"/>
                <w:b/>
                <w:sz w:val="18"/>
                <w:szCs w:val="18"/>
              </w:rPr>
            </w:pPr>
            <w:r>
              <w:rPr>
                <w:rFonts w:ascii="Arial Narrow" w:hAnsi="Arial Narrow"/>
                <w:b/>
                <w:sz w:val="18"/>
                <w:szCs w:val="18"/>
              </w:rPr>
              <w:t>Max. qty units</w:t>
            </w:r>
          </w:p>
        </w:tc>
        <w:tc>
          <w:tcPr>
            <w:tcW w:w="376" w:type="pct"/>
          </w:tcPr>
          <w:p w14:paraId="3256E04A" w14:textId="77777777" w:rsidR="00D26691" w:rsidRPr="009A610D" w:rsidRDefault="00D26691" w:rsidP="00D22427">
            <w:pPr>
              <w:keepNext/>
              <w:ind w:left="-108"/>
              <w:jc w:val="center"/>
              <w:rPr>
                <w:rFonts w:ascii="Arial Narrow" w:hAnsi="Arial Narrow"/>
                <w:b/>
                <w:sz w:val="18"/>
                <w:szCs w:val="18"/>
              </w:rPr>
            </w:pPr>
            <w:r w:rsidRPr="009A610D">
              <w:rPr>
                <w:rFonts w:ascii="Arial Narrow" w:hAnsi="Arial Narrow"/>
                <w:b/>
                <w:sz w:val="18"/>
                <w:szCs w:val="18"/>
              </w:rPr>
              <w:t>№.of</w:t>
            </w:r>
          </w:p>
          <w:p w14:paraId="49E755E4" w14:textId="77777777" w:rsidR="00D26691" w:rsidRPr="009A610D" w:rsidRDefault="00D26691" w:rsidP="00D22427">
            <w:pPr>
              <w:keepNext/>
              <w:ind w:left="-108"/>
              <w:jc w:val="center"/>
              <w:rPr>
                <w:rFonts w:ascii="Arial Narrow" w:hAnsi="Arial Narrow"/>
                <w:b/>
                <w:sz w:val="18"/>
                <w:szCs w:val="18"/>
              </w:rPr>
            </w:pPr>
            <w:r w:rsidRPr="009A610D">
              <w:rPr>
                <w:rFonts w:ascii="Arial Narrow" w:hAnsi="Arial Narrow"/>
                <w:b/>
                <w:sz w:val="18"/>
                <w:szCs w:val="18"/>
              </w:rPr>
              <w:t>Rpts</w:t>
            </w:r>
          </w:p>
        </w:tc>
        <w:tc>
          <w:tcPr>
            <w:tcW w:w="838" w:type="pct"/>
          </w:tcPr>
          <w:p w14:paraId="4AD6F1F4" w14:textId="77777777" w:rsidR="00D26691" w:rsidRPr="009A610D" w:rsidRDefault="00D26691" w:rsidP="00D22427">
            <w:pPr>
              <w:keepNext/>
              <w:rPr>
                <w:rFonts w:ascii="Arial Narrow" w:hAnsi="Arial Narrow"/>
                <w:b/>
                <w:sz w:val="18"/>
                <w:szCs w:val="18"/>
                <w:lang w:val="fr-FR"/>
              </w:rPr>
            </w:pPr>
            <w:r>
              <w:rPr>
                <w:rFonts w:ascii="Arial Narrow" w:hAnsi="Arial Narrow"/>
                <w:b/>
                <w:sz w:val="18"/>
                <w:szCs w:val="18"/>
              </w:rPr>
              <w:t>Available brands</w:t>
            </w:r>
          </w:p>
        </w:tc>
      </w:tr>
      <w:tr w:rsidR="00CF5D62" w:rsidRPr="009A610D" w14:paraId="1CA1B132" w14:textId="77777777" w:rsidTr="00CF5D62">
        <w:trPr>
          <w:cantSplit/>
          <w:trHeight w:val="278"/>
        </w:trPr>
        <w:tc>
          <w:tcPr>
            <w:tcW w:w="5000" w:type="pct"/>
            <w:gridSpan w:val="7"/>
          </w:tcPr>
          <w:p w14:paraId="16CEF535" w14:textId="77777777" w:rsidR="00CF5D62" w:rsidRPr="00CF5D62" w:rsidRDefault="00CF5D62" w:rsidP="00CF5D62">
            <w:pPr>
              <w:keepNext/>
              <w:rPr>
                <w:rFonts w:ascii="Arial Narrow" w:hAnsi="Arial Narrow"/>
                <w:sz w:val="18"/>
                <w:szCs w:val="18"/>
              </w:rPr>
            </w:pPr>
            <w:r>
              <w:rPr>
                <w:rFonts w:ascii="Arial Narrow" w:hAnsi="Arial Narrow"/>
                <w:sz w:val="18"/>
                <w:szCs w:val="18"/>
              </w:rPr>
              <w:t>SACUBITRIL with VALSARTAN</w:t>
            </w:r>
          </w:p>
        </w:tc>
      </w:tr>
      <w:tr w:rsidR="00CF5D62" w:rsidRPr="009A610D" w14:paraId="36BA024E" w14:textId="77777777" w:rsidTr="003E222F">
        <w:trPr>
          <w:cantSplit/>
          <w:trHeight w:val="283"/>
        </w:trPr>
        <w:tc>
          <w:tcPr>
            <w:tcW w:w="2288" w:type="pct"/>
            <w:gridSpan w:val="2"/>
          </w:tcPr>
          <w:p w14:paraId="021794D3" w14:textId="77777777" w:rsidR="00CF5D62" w:rsidRPr="00CF5D62" w:rsidRDefault="00CF5D62" w:rsidP="00CF5D62">
            <w:pPr>
              <w:keepNext/>
              <w:rPr>
                <w:rFonts w:ascii="Arial Narrow" w:hAnsi="Arial Narrow"/>
                <w:sz w:val="18"/>
                <w:szCs w:val="18"/>
              </w:rPr>
            </w:pPr>
            <w:r>
              <w:rPr>
                <w:rFonts w:ascii="Arial Narrow" w:hAnsi="Arial Narrow"/>
                <w:sz w:val="18"/>
                <w:szCs w:val="18"/>
              </w:rPr>
              <w:t>s</w:t>
            </w:r>
            <w:r w:rsidRPr="00002BC6">
              <w:rPr>
                <w:rFonts w:ascii="Arial Narrow" w:hAnsi="Arial Narrow"/>
                <w:sz w:val="18"/>
                <w:szCs w:val="18"/>
              </w:rPr>
              <w:t>acubitril 24.3 mg + valsartan 25.7 mg tablet, 56</w:t>
            </w:r>
          </w:p>
        </w:tc>
        <w:tc>
          <w:tcPr>
            <w:tcW w:w="531" w:type="pct"/>
          </w:tcPr>
          <w:p w14:paraId="5DB504F8" w14:textId="77777777" w:rsidR="00CF5D62" w:rsidRPr="00CF5D62" w:rsidRDefault="00CF5D62" w:rsidP="00E932F4">
            <w:pPr>
              <w:keepNext/>
              <w:jc w:val="center"/>
              <w:rPr>
                <w:rFonts w:ascii="Arial Narrow" w:hAnsi="Arial Narrow"/>
                <w:sz w:val="18"/>
                <w:szCs w:val="18"/>
              </w:rPr>
            </w:pPr>
            <w:r w:rsidRPr="00CF5D62">
              <w:rPr>
                <w:rFonts w:ascii="Arial Narrow" w:hAnsi="Arial Narrow"/>
                <w:sz w:val="18"/>
                <w:szCs w:val="18"/>
              </w:rPr>
              <w:t>11123K</w:t>
            </w:r>
          </w:p>
        </w:tc>
        <w:tc>
          <w:tcPr>
            <w:tcW w:w="453" w:type="pct"/>
          </w:tcPr>
          <w:p w14:paraId="048C7F48" w14:textId="77777777" w:rsidR="00CF5D62" w:rsidRPr="00CF5D62" w:rsidRDefault="00CF5D62" w:rsidP="00E932F4">
            <w:pPr>
              <w:keepNext/>
              <w:jc w:val="center"/>
              <w:rPr>
                <w:rFonts w:ascii="Arial Narrow" w:hAnsi="Arial Narrow"/>
                <w:sz w:val="18"/>
                <w:szCs w:val="18"/>
              </w:rPr>
            </w:pPr>
            <w:r>
              <w:rPr>
                <w:rFonts w:ascii="Arial Narrow" w:hAnsi="Arial Narrow"/>
                <w:sz w:val="18"/>
                <w:szCs w:val="18"/>
              </w:rPr>
              <w:t>1</w:t>
            </w:r>
          </w:p>
        </w:tc>
        <w:tc>
          <w:tcPr>
            <w:tcW w:w="514" w:type="pct"/>
          </w:tcPr>
          <w:p w14:paraId="1CFBA7D4" w14:textId="77777777" w:rsidR="00CF5D62" w:rsidRPr="00CF5D62" w:rsidRDefault="00CF5D62" w:rsidP="00E932F4">
            <w:pPr>
              <w:keepNext/>
              <w:jc w:val="center"/>
              <w:rPr>
                <w:rFonts w:ascii="Arial Narrow" w:hAnsi="Arial Narrow"/>
                <w:sz w:val="18"/>
                <w:szCs w:val="18"/>
              </w:rPr>
            </w:pPr>
            <w:r>
              <w:rPr>
                <w:rFonts w:ascii="Arial Narrow" w:hAnsi="Arial Narrow"/>
                <w:sz w:val="18"/>
                <w:szCs w:val="18"/>
              </w:rPr>
              <w:t>56</w:t>
            </w:r>
          </w:p>
        </w:tc>
        <w:tc>
          <w:tcPr>
            <w:tcW w:w="376" w:type="pct"/>
          </w:tcPr>
          <w:p w14:paraId="7D622C1B" w14:textId="77777777" w:rsidR="00CF5D62" w:rsidRPr="00CF5D62" w:rsidRDefault="00CF5D62" w:rsidP="00E932F4">
            <w:pPr>
              <w:keepNext/>
              <w:jc w:val="center"/>
              <w:rPr>
                <w:rFonts w:ascii="Arial Narrow" w:hAnsi="Arial Narrow"/>
                <w:sz w:val="18"/>
                <w:szCs w:val="18"/>
              </w:rPr>
            </w:pPr>
            <w:r>
              <w:rPr>
                <w:rFonts w:ascii="Arial Narrow" w:hAnsi="Arial Narrow"/>
                <w:sz w:val="18"/>
                <w:szCs w:val="18"/>
              </w:rPr>
              <w:t>5</w:t>
            </w:r>
          </w:p>
        </w:tc>
        <w:tc>
          <w:tcPr>
            <w:tcW w:w="838" w:type="pct"/>
          </w:tcPr>
          <w:p w14:paraId="3A42FB93" w14:textId="77777777" w:rsidR="00CF5D62" w:rsidRPr="00CF5D62" w:rsidRDefault="00CF5D62" w:rsidP="00E932F4">
            <w:pPr>
              <w:keepNext/>
              <w:jc w:val="center"/>
              <w:rPr>
                <w:rFonts w:ascii="Arial Narrow" w:hAnsi="Arial Narrow"/>
                <w:sz w:val="18"/>
                <w:szCs w:val="18"/>
              </w:rPr>
            </w:pPr>
            <w:r>
              <w:rPr>
                <w:rFonts w:ascii="Arial Narrow" w:hAnsi="Arial Narrow"/>
                <w:sz w:val="18"/>
                <w:szCs w:val="18"/>
              </w:rPr>
              <w:t>Entresto</w:t>
            </w:r>
          </w:p>
        </w:tc>
      </w:tr>
      <w:tr w:rsidR="00CF5D62" w:rsidRPr="009A610D" w14:paraId="45D300CB" w14:textId="77777777" w:rsidTr="001F7C34">
        <w:trPr>
          <w:cantSplit/>
          <w:trHeight w:val="47"/>
        </w:trPr>
        <w:tc>
          <w:tcPr>
            <w:tcW w:w="2288" w:type="pct"/>
            <w:gridSpan w:val="2"/>
          </w:tcPr>
          <w:p w14:paraId="18F74441" w14:textId="77777777" w:rsidR="00CF5D62" w:rsidRPr="001F7C34" w:rsidRDefault="00CF5D62" w:rsidP="00CF5D62">
            <w:pPr>
              <w:keepNext/>
              <w:rPr>
                <w:rFonts w:ascii="Arial Narrow" w:hAnsi="Arial Narrow"/>
                <w:sz w:val="18"/>
                <w:szCs w:val="18"/>
              </w:rPr>
            </w:pPr>
            <w:r>
              <w:rPr>
                <w:rFonts w:ascii="Arial Narrow" w:hAnsi="Arial Narrow"/>
                <w:sz w:val="18"/>
                <w:szCs w:val="18"/>
              </w:rPr>
              <w:t>s</w:t>
            </w:r>
            <w:r w:rsidRPr="00002BC6">
              <w:rPr>
                <w:rFonts w:ascii="Arial Narrow" w:hAnsi="Arial Narrow"/>
                <w:sz w:val="18"/>
                <w:szCs w:val="18"/>
              </w:rPr>
              <w:t>acubitril 48.6 mg + valsartan 51.4 mg tablet, 56</w:t>
            </w:r>
          </w:p>
        </w:tc>
        <w:tc>
          <w:tcPr>
            <w:tcW w:w="531" w:type="pct"/>
          </w:tcPr>
          <w:p w14:paraId="610223E3" w14:textId="77777777" w:rsidR="00CF5D62" w:rsidRPr="00CF5D62" w:rsidRDefault="00CF5D62" w:rsidP="00CF5D62">
            <w:pPr>
              <w:keepNext/>
              <w:jc w:val="center"/>
              <w:rPr>
                <w:rFonts w:ascii="Arial Narrow" w:hAnsi="Arial Narrow"/>
                <w:sz w:val="18"/>
                <w:szCs w:val="18"/>
              </w:rPr>
            </w:pPr>
            <w:r w:rsidRPr="00CF5D62">
              <w:rPr>
                <w:rFonts w:ascii="Arial Narrow" w:hAnsi="Arial Narrow"/>
                <w:sz w:val="18"/>
                <w:szCs w:val="18"/>
              </w:rPr>
              <w:t>11131W</w:t>
            </w:r>
          </w:p>
        </w:tc>
        <w:tc>
          <w:tcPr>
            <w:tcW w:w="453" w:type="pct"/>
          </w:tcPr>
          <w:p w14:paraId="2A27B719" w14:textId="77777777" w:rsidR="00CF5D62" w:rsidRPr="00CF5D62" w:rsidRDefault="00CF5D62" w:rsidP="00E932F4">
            <w:pPr>
              <w:keepNext/>
              <w:jc w:val="center"/>
              <w:rPr>
                <w:rFonts w:ascii="Arial Narrow" w:hAnsi="Arial Narrow"/>
                <w:sz w:val="18"/>
                <w:szCs w:val="18"/>
              </w:rPr>
            </w:pPr>
            <w:r w:rsidRPr="009A610D">
              <w:rPr>
                <w:rFonts w:ascii="Arial Narrow" w:hAnsi="Arial Narrow"/>
                <w:sz w:val="18"/>
                <w:szCs w:val="18"/>
              </w:rPr>
              <w:t>1</w:t>
            </w:r>
          </w:p>
        </w:tc>
        <w:tc>
          <w:tcPr>
            <w:tcW w:w="514" w:type="pct"/>
          </w:tcPr>
          <w:p w14:paraId="50A808AE" w14:textId="77777777" w:rsidR="00CF5D62" w:rsidRPr="00CF5D62" w:rsidRDefault="00CF5D62" w:rsidP="00CF5D62">
            <w:pPr>
              <w:keepNext/>
              <w:jc w:val="center"/>
              <w:rPr>
                <w:rFonts w:ascii="Arial Narrow" w:hAnsi="Arial Narrow"/>
                <w:sz w:val="18"/>
                <w:szCs w:val="18"/>
              </w:rPr>
            </w:pPr>
            <w:r>
              <w:rPr>
                <w:rFonts w:ascii="Arial Narrow" w:hAnsi="Arial Narrow"/>
                <w:sz w:val="18"/>
                <w:szCs w:val="18"/>
              </w:rPr>
              <w:t>56</w:t>
            </w:r>
          </w:p>
        </w:tc>
        <w:tc>
          <w:tcPr>
            <w:tcW w:w="376" w:type="pct"/>
          </w:tcPr>
          <w:p w14:paraId="5961E9CE" w14:textId="77777777" w:rsidR="00CF5D62" w:rsidRPr="00CF5D62" w:rsidRDefault="00CF5D62" w:rsidP="001F7C34">
            <w:pPr>
              <w:keepNext/>
              <w:jc w:val="center"/>
              <w:rPr>
                <w:rFonts w:ascii="Arial Narrow" w:hAnsi="Arial Narrow"/>
                <w:sz w:val="18"/>
                <w:szCs w:val="18"/>
              </w:rPr>
            </w:pPr>
            <w:r>
              <w:rPr>
                <w:rFonts w:ascii="Arial Narrow" w:hAnsi="Arial Narrow"/>
                <w:sz w:val="18"/>
                <w:szCs w:val="18"/>
              </w:rPr>
              <w:t>5</w:t>
            </w:r>
          </w:p>
        </w:tc>
        <w:tc>
          <w:tcPr>
            <w:tcW w:w="838" w:type="pct"/>
          </w:tcPr>
          <w:p w14:paraId="1C536193" w14:textId="77777777" w:rsidR="00CF5D62" w:rsidRPr="00CF5D62" w:rsidRDefault="00CF5D62" w:rsidP="001F7C34">
            <w:pPr>
              <w:keepNext/>
              <w:jc w:val="center"/>
              <w:rPr>
                <w:rFonts w:ascii="Arial Narrow" w:hAnsi="Arial Narrow"/>
                <w:sz w:val="18"/>
                <w:szCs w:val="18"/>
              </w:rPr>
            </w:pPr>
            <w:r>
              <w:rPr>
                <w:rFonts w:ascii="Arial Narrow" w:hAnsi="Arial Narrow"/>
                <w:sz w:val="18"/>
                <w:szCs w:val="18"/>
              </w:rPr>
              <w:t>Entresto</w:t>
            </w:r>
          </w:p>
        </w:tc>
      </w:tr>
      <w:tr w:rsidR="00CF5D62" w:rsidRPr="009A610D" w14:paraId="4AF75025" w14:textId="77777777" w:rsidTr="003E222F">
        <w:trPr>
          <w:cantSplit/>
          <w:trHeight w:val="291"/>
        </w:trPr>
        <w:tc>
          <w:tcPr>
            <w:tcW w:w="2288" w:type="pct"/>
            <w:gridSpan w:val="2"/>
          </w:tcPr>
          <w:p w14:paraId="4AD25505" w14:textId="77777777" w:rsidR="00CF5D62" w:rsidRPr="003803A0" w:rsidRDefault="00CF5D62" w:rsidP="00CF5D62">
            <w:pPr>
              <w:keepNext/>
              <w:rPr>
                <w:rFonts w:ascii="Arial Narrow" w:hAnsi="Arial Narrow"/>
                <w:sz w:val="18"/>
                <w:szCs w:val="18"/>
              </w:rPr>
            </w:pPr>
            <w:r>
              <w:rPr>
                <w:rFonts w:ascii="Arial Narrow" w:hAnsi="Arial Narrow"/>
                <w:sz w:val="18"/>
                <w:szCs w:val="18"/>
              </w:rPr>
              <w:t>s</w:t>
            </w:r>
            <w:r w:rsidRPr="00002BC6">
              <w:rPr>
                <w:rFonts w:ascii="Arial Narrow" w:hAnsi="Arial Narrow"/>
                <w:sz w:val="18"/>
                <w:szCs w:val="18"/>
              </w:rPr>
              <w:t>acubitril 97.2 mg + valsartan 102.8 mg tablet, 56</w:t>
            </w:r>
          </w:p>
        </w:tc>
        <w:tc>
          <w:tcPr>
            <w:tcW w:w="531" w:type="pct"/>
          </w:tcPr>
          <w:p w14:paraId="02148287" w14:textId="77777777" w:rsidR="00CF5D62" w:rsidRPr="009A610D" w:rsidRDefault="00CF5D62" w:rsidP="00E932F4">
            <w:pPr>
              <w:keepNext/>
              <w:jc w:val="center"/>
              <w:rPr>
                <w:rFonts w:ascii="Arial Narrow" w:hAnsi="Arial Narrow"/>
                <w:sz w:val="18"/>
                <w:szCs w:val="18"/>
              </w:rPr>
            </w:pPr>
            <w:r>
              <w:rPr>
                <w:rFonts w:ascii="Arial Narrow" w:hAnsi="Arial Narrow"/>
                <w:sz w:val="18"/>
                <w:szCs w:val="18"/>
              </w:rPr>
              <w:t>11122J</w:t>
            </w:r>
          </w:p>
        </w:tc>
        <w:tc>
          <w:tcPr>
            <w:tcW w:w="453" w:type="pct"/>
          </w:tcPr>
          <w:p w14:paraId="67E0231F" w14:textId="77777777" w:rsidR="00CF5D62" w:rsidRPr="009A610D" w:rsidRDefault="00CF5D62" w:rsidP="00E932F4">
            <w:pPr>
              <w:keepNext/>
              <w:jc w:val="center"/>
              <w:rPr>
                <w:rFonts w:ascii="Arial Narrow" w:hAnsi="Arial Narrow"/>
                <w:sz w:val="18"/>
                <w:szCs w:val="18"/>
              </w:rPr>
            </w:pPr>
            <w:r>
              <w:rPr>
                <w:rFonts w:ascii="Arial Narrow" w:hAnsi="Arial Narrow"/>
                <w:sz w:val="18"/>
                <w:szCs w:val="18"/>
              </w:rPr>
              <w:t>1</w:t>
            </w:r>
          </w:p>
        </w:tc>
        <w:tc>
          <w:tcPr>
            <w:tcW w:w="514" w:type="pct"/>
          </w:tcPr>
          <w:p w14:paraId="1CB0514E" w14:textId="77777777" w:rsidR="00CF5D62" w:rsidRPr="009A610D" w:rsidRDefault="00CF5D62" w:rsidP="00700CA8">
            <w:pPr>
              <w:keepNext/>
              <w:jc w:val="center"/>
              <w:rPr>
                <w:rFonts w:ascii="Arial Narrow" w:hAnsi="Arial Narrow"/>
                <w:sz w:val="18"/>
                <w:szCs w:val="18"/>
              </w:rPr>
            </w:pPr>
            <w:r>
              <w:rPr>
                <w:rFonts w:ascii="Arial Narrow" w:hAnsi="Arial Narrow"/>
                <w:sz w:val="18"/>
                <w:szCs w:val="18"/>
              </w:rPr>
              <w:t>56</w:t>
            </w:r>
          </w:p>
        </w:tc>
        <w:tc>
          <w:tcPr>
            <w:tcW w:w="376" w:type="pct"/>
          </w:tcPr>
          <w:p w14:paraId="332BDD2D" w14:textId="77777777" w:rsidR="00CF5D62" w:rsidRPr="009A610D" w:rsidRDefault="00CF5D62" w:rsidP="00E932F4">
            <w:pPr>
              <w:keepNext/>
              <w:jc w:val="center"/>
              <w:rPr>
                <w:rFonts w:ascii="Arial Narrow" w:hAnsi="Arial Narrow"/>
                <w:sz w:val="18"/>
                <w:szCs w:val="18"/>
              </w:rPr>
            </w:pPr>
            <w:r>
              <w:rPr>
                <w:rFonts w:ascii="Arial Narrow" w:hAnsi="Arial Narrow"/>
                <w:sz w:val="18"/>
                <w:szCs w:val="18"/>
              </w:rPr>
              <w:t>5</w:t>
            </w:r>
          </w:p>
        </w:tc>
        <w:tc>
          <w:tcPr>
            <w:tcW w:w="838" w:type="pct"/>
          </w:tcPr>
          <w:p w14:paraId="34D0D7E6" w14:textId="77777777" w:rsidR="00CF5D62" w:rsidRPr="009A610D" w:rsidRDefault="00CF5D62" w:rsidP="00E932F4">
            <w:pPr>
              <w:keepNext/>
              <w:jc w:val="center"/>
              <w:rPr>
                <w:rFonts w:ascii="Arial Narrow" w:hAnsi="Arial Narrow"/>
                <w:sz w:val="18"/>
                <w:szCs w:val="18"/>
              </w:rPr>
            </w:pPr>
            <w:r>
              <w:rPr>
                <w:rFonts w:ascii="Arial Narrow" w:hAnsi="Arial Narrow"/>
                <w:sz w:val="18"/>
                <w:szCs w:val="18"/>
              </w:rPr>
              <w:t>Entresto</w:t>
            </w:r>
          </w:p>
        </w:tc>
      </w:tr>
      <w:tr w:rsidR="00CF5D62" w:rsidRPr="00120A12" w14:paraId="4FC84865" w14:textId="77777777" w:rsidTr="003641F8">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0CCA811F" w14:textId="77777777" w:rsidR="00CF5D62" w:rsidRPr="0020649C" w:rsidRDefault="00CF5D62" w:rsidP="00CF5D62">
            <w:pPr>
              <w:rPr>
                <w:rFonts w:ascii="Arial Narrow" w:hAnsi="Arial Narrow"/>
                <w:b/>
                <w:sz w:val="18"/>
                <w:szCs w:val="18"/>
              </w:rPr>
            </w:pPr>
          </w:p>
        </w:tc>
      </w:tr>
      <w:tr w:rsidR="00CF5D62" w:rsidRPr="00120A12" w14:paraId="5533460B" w14:textId="77777777" w:rsidTr="003641F8">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518E2521" w14:textId="77777777" w:rsidR="00CF5D62" w:rsidRPr="0020649C" w:rsidRDefault="00CF5D62" w:rsidP="00CF5D62">
            <w:pPr>
              <w:rPr>
                <w:rFonts w:ascii="Arial Narrow" w:hAnsi="Arial Narrow"/>
                <w:b/>
                <w:sz w:val="18"/>
                <w:szCs w:val="18"/>
              </w:rPr>
            </w:pPr>
            <w:r>
              <w:rPr>
                <w:rFonts w:ascii="Arial Narrow" w:hAnsi="Arial Narrow"/>
                <w:b/>
                <w:sz w:val="18"/>
                <w:szCs w:val="18"/>
              </w:rPr>
              <w:t>Amend</w:t>
            </w:r>
            <w:r w:rsidRPr="003641F8">
              <w:rPr>
                <w:rFonts w:ascii="Arial Narrow" w:hAnsi="Arial Narrow"/>
                <w:b/>
                <w:sz w:val="18"/>
                <w:szCs w:val="18"/>
              </w:rPr>
              <w:t xml:space="preserve"> Restriction Summary 6915 / Treatment of Concept: 6915</w:t>
            </w:r>
          </w:p>
        </w:tc>
      </w:tr>
      <w:tr w:rsidR="00CF5D62" w:rsidRPr="00120A12" w14:paraId="301994AF" w14:textId="77777777" w:rsidTr="003E222F">
        <w:tblPrEx>
          <w:tblCellMar>
            <w:top w:w="15" w:type="dxa"/>
            <w:left w:w="15" w:type="dxa"/>
            <w:bottom w:w="15" w:type="dxa"/>
            <w:right w:w="15" w:type="dxa"/>
          </w:tblCellMar>
          <w:tblLook w:val="04A0" w:firstRow="1" w:lastRow="0" w:firstColumn="1" w:lastColumn="0" w:noHBand="0" w:noVBand="1"/>
        </w:tblPrEx>
        <w:tc>
          <w:tcPr>
            <w:tcW w:w="534" w:type="pct"/>
            <w:vMerge w:val="restart"/>
            <w:tcBorders>
              <w:top w:val="single" w:sz="4" w:space="0" w:color="auto"/>
              <w:left w:val="single" w:sz="4" w:space="0" w:color="auto"/>
              <w:right w:val="single" w:sz="4" w:space="0" w:color="auto"/>
            </w:tcBorders>
          </w:tcPr>
          <w:p w14:paraId="2B12F2C8" w14:textId="77777777" w:rsidR="00CF5D62" w:rsidRPr="00507253" w:rsidRDefault="00CF5D62" w:rsidP="00CF5D62">
            <w:pPr>
              <w:rPr>
                <w:rFonts w:ascii="Arial Narrow" w:hAnsi="Arial Narrow"/>
                <w:b/>
                <w:sz w:val="18"/>
                <w:szCs w:val="18"/>
              </w:rPr>
            </w:pPr>
          </w:p>
        </w:tc>
        <w:tc>
          <w:tcPr>
            <w:tcW w:w="4466" w:type="pct"/>
            <w:gridSpan w:val="6"/>
            <w:tcBorders>
              <w:top w:val="single" w:sz="4" w:space="0" w:color="auto"/>
              <w:left w:val="single" w:sz="4" w:space="0" w:color="auto"/>
              <w:bottom w:val="single" w:sz="4" w:space="0" w:color="auto"/>
              <w:right w:val="single" w:sz="4" w:space="0" w:color="auto"/>
            </w:tcBorders>
          </w:tcPr>
          <w:p w14:paraId="10F8B3E2" w14:textId="77777777" w:rsidR="00CF5D62" w:rsidRPr="00120A12" w:rsidRDefault="00CF5D62" w:rsidP="00CF5D62">
            <w:pPr>
              <w:rPr>
                <w:rFonts w:ascii="Arial Narrow" w:hAnsi="Arial Narrow"/>
                <w:sz w:val="18"/>
                <w:szCs w:val="18"/>
              </w:rPr>
            </w:pPr>
            <w:r w:rsidRPr="0020649C">
              <w:rPr>
                <w:rFonts w:ascii="Arial Narrow" w:hAnsi="Arial Narrow"/>
                <w:b/>
                <w:sz w:val="18"/>
                <w:szCs w:val="18"/>
              </w:rPr>
              <w:t>Category / Program:</w:t>
            </w:r>
            <w:r>
              <w:rPr>
                <w:rFonts w:ascii="Arial Narrow" w:hAnsi="Arial Narrow"/>
                <w:b/>
                <w:sz w:val="18"/>
                <w:szCs w:val="18"/>
              </w:rPr>
              <w:t xml:space="preserve">   </w:t>
            </w:r>
            <w:r w:rsidRPr="003D201F">
              <w:rPr>
                <w:rFonts w:ascii="Arial Narrow" w:hAnsi="Arial Narrow"/>
                <w:sz w:val="18"/>
                <w:szCs w:val="18"/>
              </w:rPr>
              <w:t xml:space="preserve">GENERAL – General Schedule (Code GE) </w:t>
            </w:r>
          </w:p>
        </w:tc>
      </w:tr>
      <w:tr w:rsidR="00CF5D62" w:rsidRPr="00120A12" w14:paraId="4C5C8BF2" w14:textId="77777777" w:rsidTr="003E222F">
        <w:tblPrEx>
          <w:tblCellMar>
            <w:top w:w="15" w:type="dxa"/>
            <w:left w:w="15" w:type="dxa"/>
            <w:bottom w:w="15" w:type="dxa"/>
            <w:right w:w="15" w:type="dxa"/>
          </w:tblCellMar>
          <w:tblLook w:val="04A0" w:firstRow="1" w:lastRow="0" w:firstColumn="1" w:lastColumn="0" w:noHBand="0" w:noVBand="1"/>
        </w:tblPrEx>
        <w:trPr>
          <w:trHeight w:val="240"/>
        </w:trPr>
        <w:tc>
          <w:tcPr>
            <w:tcW w:w="534" w:type="pct"/>
            <w:vMerge/>
            <w:tcBorders>
              <w:left w:val="single" w:sz="4" w:space="0" w:color="auto"/>
              <w:right w:val="single" w:sz="4" w:space="0" w:color="auto"/>
            </w:tcBorders>
          </w:tcPr>
          <w:p w14:paraId="6069BE29" w14:textId="77777777" w:rsidR="00CF5D62" w:rsidRPr="0020649C" w:rsidRDefault="00CF5D62" w:rsidP="00CF5D62">
            <w:pPr>
              <w:rPr>
                <w:rFonts w:ascii="Arial Narrow" w:hAnsi="Arial Narrow"/>
                <w:sz w:val="18"/>
                <w:szCs w:val="18"/>
              </w:rPr>
            </w:pPr>
          </w:p>
        </w:tc>
        <w:tc>
          <w:tcPr>
            <w:tcW w:w="4466" w:type="pct"/>
            <w:gridSpan w:val="6"/>
            <w:tcBorders>
              <w:top w:val="single" w:sz="4" w:space="0" w:color="auto"/>
              <w:left w:val="single" w:sz="4" w:space="0" w:color="auto"/>
              <w:bottom w:val="single" w:sz="4" w:space="0" w:color="auto"/>
              <w:right w:val="single" w:sz="4" w:space="0" w:color="auto"/>
            </w:tcBorders>
          </w:tcPr>
          <w:p w14:paraId="53B11AC3" w14:textId="77777777" w:rsidR="00CF5D62" w:rsidRPr="00772067" w:rsidRDefault="00CF5D62" w:rsidP="00CF5D62">
            <w:pPr>
              <w:rPr>
                <w:rFonts w:ascii="Arial Narrow" w:hAnsi="Arial Narrow"/>
                <w:b/>
                <w:sz w:val="18"/>
                <w:szCs w:val="18"/>
              </w:rPr>
            </w:pPr>
            <w:r w:rsidRPr="00120A12">
              <w:rPr>
                <w:rFonts w:ascii="Arial Narrow" w:hAnsi="Arial Narrow"/>
                <w:b/>
                <w:sz w:val="18"/>
                <w:szCs w:val="18"/>
              </w:rPr>
              <w:t>Prescriber type:</w:t>
            </w:r>
            <w:r>
              <w:rPr>
                <w:rFonts w:ascii="Arial Narrow" w:hAnsi="Arial Narrow"/>
                <w:b/>
                <w:sz w:val="18"/>
                <w:szCs w:val="18"/>
              </w:rPr>
              <w:t xml:space="preserve">   </w:t>
            </w:r>
            <w:r>
              <w:rPr>
                <w:rFonts w:ascii="Arial Narrow" w:hAnsi="Arial Narrow"/>
                <w:sz w:val="18"/>
                <w:szCs w:val="18"/>
              </w:rPr>
              <w:fldChar w:fldCharType="begin">
                <w:ffData>
                  <w:name w:val=""/>
                  <w:enabled/>
                  <w:calcOnExit w:val="0"/>
                  <w:checkBox>
                    <w:sizeAuto/>
                    <w:default w:val="1"/>
                  </w:checkBox>
                </w:ffData>
              </w:fldChar>
            </w:r>
            <w:r>
              <w:rPr>
                <w:rFonts w:ascii="Arial Narrow" w:hAnsi="Arial Narrow"/>
                <w:sz w:val="18"/>
                <w:szCs w:val="18"/>
              </w:rPr>
              <w:instrText xml:space="preserve"> FORMCHECKBOX </w:instrText>
            </w:r>
            <w:r w:rsidR="00192EE9">
              <w:rPr>
                <w:rFonts w:ascii="Arial Narrow" w:hAnsi="Arial Narrow"/>
                <w:sz w:val="18"/>
                <w:szCs w:val="18"/>
              </w:rPr>
            </w:r>
            <w:r w:rsidR="00192EE9">
              <w:rPr>
                <w:rFonts w:ascii="Arial Narrow" w:hAnsi="Arial Narrow"/>
                <w:sz w:val="18"/>
                <w:szCs w:val="18"/>
              </w:rPr>
              <w:fldChar w:fldCharType="separate"/>
            </w:r>
            <w:r>
              <w:rPr>
                <w:rFonts w:ascii="Arial Narrow" w:hAnsi="Arial Narrow"/>
                <w:sz w:val="18"/>
                <w:szCs w:val="18"/>
              </w:rPr>
              <w:fldChar w:fldCharType="end"/>
            </w:r>
            <w:r w:rsidRPr="00120A12">
              <w:rPr>
                <w:rFonts w:ascii="Arial Narrow" w:hAnsi="Arial Narrow"/>
                <w:sz w:val="18"/>
                <w:szCs w:val="18"/>
              </w:rPr>
              <w:t>Medical Practitioners</w:t>
            </w:r>
            <w:r>
              <w:rPr>
                <w:rFonts w:ascii="Arial Narrow" w:hAnsi="Arial Narrow"/>
                <w:sz w:val="18"/>
                <w:szCs w:val="18"/>
              </w:rPr>
              <w:t xml:space="preserve">  </w:t>
            </w:r>
            <w:r w:rsidRPr="00120A12">
              <w:rPr>
                <w:rFonts w:ascii="Arial Narrow" w:hAnsi="Arial Narrow"/>
                <w:sz w:val="18"/>
                <w:szCs w:val="18"/>
              </w:rPr>
              <w:t xml:space="preserve">  </w:t>
            </w:r>
            <w:r>
              <w:rPr>
                <w:rFonts w:ascii="Arial Narrow" w:hAnsi="Arial Narrow"/>
                <w:sz w:val="18"/>
                <w:szCs w:val="18"/>
              </w:rPr>
              <w:fldChar w:fldCharType="begin">
                <w:ffData>
                  <w:name w:val="Check3"/>
                  <w:enabled/>
                  <w:calcOnExit w:val="0"/>
                  <w:checkBox>
                    <w:sizeAuto/>
                    <w:default w:val="1"/>
                  </w:checkBox>
                </w:ffData>
              </w:fldChar>
            </w:r>
            <w:r>
              <w:rPr>
                <w:rFonts w:ascii="Arial Narrow" w:hAnsi="Arial Narrow"/>
                <w:sz w:val="18"/>
                <w:szCs w:val="18"/>
              </w:rPr>
              <w:instrText xml:space="preserve"> FORMCHECKBOX </w:instrText>
            </w:r>
            <w:r w:rsidR="00192EE9">
              <w:rPr>
                <w:rFonts w:ascii="Arial Narrow" w:hAnsi="Arial Narrow"/>
                <w:sz w:val="18"/>
                <w:szCs w:val="18"/>
              </w:rPr>
            </w:r>
            <w:r w:rsidR="00192EE9">
              <w:rPr>
                <w:rFonts w:ascii="Arial Narrow" w:hAnsi="Arial Narrow"/>
                <w:sz w:val="18"/>
                <w:szCs w:val="18"/>
              </w:rPr>
              <w:fldChar w:fldCharType="separate"/>
            </w:r>
            <w:r>
              <w:rPr>
                <w:rFonts w:ascii="Arial Narrow" w:hAnsi="Arial Narrow"/>
                <w:sz w:val="18"/>
                <w:szCs w:val="18"/>
              </w:rPr>
              <w:fldChar w:fldCharType="end"/>
            </w:r>
            <w:r w:rsidRPr="00120A12">
              <w:rPr>
                <w:rFonts w:ascii="Arial Narrow" w:hAnsi="Arial Narrow"/>
                <w:sz w:val="18"/>
                <w:szCs w:val="18"/>
              </w:rPr>
              <w:t xml:space="preserve">Nurse practitioners </w:t>
            </w:r>
            <w:r w:rsidR="000C0C0C">
              <w:rPr>
                <w:rFonts w:ascii="Arial Narrow" w:hAnsi="Arial Narrow"/>
                <w:sz w:val="18"/>
                <w:szCs w:val="18"/>
              </w:rPr>
              <w:t>- CTO</w:t>
            </w:r>
            <w:r w:rsidRPr="00120A12">
              <w:rPr>
                <w:rFonts w:ascii="Arial Narrow" w:hAnsi="Arial Narrow"/>
                <w:sz w:val="18"/>
                <w:szCs w:val="18"/>
              </w:rPr>
              <w:t xml:space="preserve"> </w:t>
            </w:r>
            <w:r>
              <w:rPr>
                <w:rFonts w:ascii="Arial Narrow" w:hAnsi="Arial Narrow"/>
                <w:sz w:val="18"/>
                <w:szCs w:val="18"/>
              </w:rPr>
              <w:t xml:space="preserve">   </w:t>
            </w:r>
          </w:p>
        </w:tc>
      </w:tr>
      <w:tr w:rsidR="00CF5D62" w:rsidRPr="00120A12" w14:paraId="70F03D8B" w14:textId="77777777" w:rsidTr="009D19CE">
        <w:tblPrEx>
          <w:tblCellMar>
            <w:top w:w="15" w:type="dxa"/>
            <w:left w:w="15" w:type="dxa"/>
            <w:bottom w:w="15" w:type="dxa"/>
            <w:right w:w="15" w:type="dxa"/>
          </w:tblCellMar>
          <w:tblLook w:val="04A0" w:firstRow="1" w:lastRow="0" w:firstColumn="1" w:lastColumn="0" w:noHBand="0" w:noVBand="1"/>
        </w:tblPrEx>
        <w:trPr>
          <w:trHeight w:val="404"/>
        </w:trPr>
        <w:tc>
          <w:tcPr>
            <w:tcW w:w="534" w:type="pct"/>
            <w:vMerge/>
            <w:tcBorders>
              <w:left w:val="single" w:sz="4" w:space="0" w:color="auto"/>
              <w:bottom w:val="single" w:sz="4" w:space="0" w:color="auto"/>
              <w:right w:val="single" w:sz="4" w:space="0" w:color="auto"/>
            </w:tcBorders>
          </w:tcPr>
          <w:p w14:paraId="1571AC57" w14:textId="77777777" w:rsidR="00CF5D62" w:rsidRPr="0020649C" w:rsidRDefault="00CF5D62" w:rsidP="00CF5D62">
            <w:pPr>
              <w:rPr>
                <w:rFonts w:ascii="Arial Narrow" w:hAnsi="Arial Narrow"/>
                <w:sz w:val="18"/>
                <w:szCs w:val="18"/>
              </w:rPr>
            </w:pPr>
          </w:p>
        </w:tc>
        <w:tc>
          <w:tcPr>
            <w:tcW w:w="4466" w:type="pct"/>
            <w:gridSpan w:val="6"/>
            <w:tcBorders>
              <w:top w:val="single" w:sz="4" w:space="0" w:color="auto"/>
              <w:left w:val="single" w:sz="4" w:space="0" w:color="auto"/>
              <w:bottom w:val="single" w:sz="4" w:space="0" w:color="auto"/>
              <w:right w:val="single" w:sz="4" w:space="0" w:color="auto"/>
            </w:tcBorders>
          </w:tcPr>
          <w:p w14:paraId="44ED4EE3" w14:textId="77777777" w:rsidR="00CF5D62" w:rsidRPr="00BB270D" w:rsidRDefault="00CF5D62" w:rsidP="00CF5D62">
            <w:pPr>
              <w:rPr>
                <w:rFonts w:ascii="Arial Narrow" w:hAnsi="Arial Narrow"/>
                <w:b/>
                <w:sz w:val="18"/>
                <w:szCs w:val="18"/>
              </w:rPr>
            </w:pPr>
            <w:r w:rsidRPr="0020649C">
              <w:rPr>
                <w:rFonts w:ascii="Arial Narrow" w:hAnsi="Arial Narrow"/>
                <w:b/>
                <w:sz w:val="18"/>
                <w:szCs w:val="18"/>
              </w:rPr>
              <w:t xml:space="preserve">Restriction </w:t>
            </w:r>
            <w:r>
              <w:rPr>
                <w:rFonts w:ascii="Arial Narrow" w:hAnsi="Arial Narrow"/>
                <w:b/>
                <w:sz w:val="18"/>
                <w:szCs w:val="18"/>
              </w:rPr>
              <w:t>Type:</w:t>
            </w:r>
          </w:p>
          <w:p w14:paraId="5EF826AA" w14:textId="77777777" w:rsidR="00CF5D62" w:rsidRPr="00677540" w:rsidRDefault="00CF5D62" w:rsidP="00CF5D62">
            <w:pPr>
              <w:rPr>
                <w:rFonts w:ascii="Arial Narrow" w:eastAsia="Calibri" w:hAnsi="Arial Narrow"/>
                <w:color w:val="FF00FF"/>
                <w:sz w:val="18"/>
                <w:szCs w:val="18"/>
              </w:rPr>
            </w:pPr>
            <w:r>
              <w:rPr>
                <w:rFonts w:ascii="Arial Narrow" w:eastAsia="Calibri" w:hAnsi="Arial Narrow"/>
                <w:sz w:val="18"/>
                <w:szCs w:val="18"/>
              </w:rPr>
              <w:fldChar w:fldCharType="begin">
                <w:ffData>
                  <w:name w:val=""/>
                  <w:enabled/>
                  <w:calcOnExit w:val="0"/>
                  <w:checkBox>
                    <w:sizeAuto/>
                    <w:default w:val="1"/>
                  </w:checkBox>
                </w:ffData>
              </w:fldChar>
            </w:r>
            <w:r>
              <w:rPr>
                <w:rFonts w:ascii="Arial Narrow" w:eastAsia="Calibri" w:hAnsi="Arial Narrow"/>
                <w:sz w:val="18"/>
                <w:szCs w:val="18"/>
              </w:rPr>
              <w:instrText xml:space="preserve"> FORMCHECKBOX </w:instrText>
            </w:r>
            <w:r w:rsidR="00192EE9">
              <w:rPr>
                <w:rFonts w:ascii="Arial Narrow" w:eastAsia="Calibri" w:hAnsi="Arial Narrow"/>
                <w:sz w:val="18"/>
                <w:szCs w:val="18"/>
              </w:rPr>
            </w:r>
            <w:r w:rsidR="00192EE9">
              <w:rPr>
                <w:rFonts w:ascii="Arial Narrow" w:eastAsia="Calibri" w:hAnsi="Arial Narrow"/>
                <w:sz w:val="18"/>
                <w:szCs w:val="18"/>
              </w:rPr>
              <w:fldChar w:fldCharType="separate"/>
            </w:r>
            <w:r>
              <w:rPr>
                <w:rFonts w:ascii="Arial Narrow" w:eastAsia="Calibri" w:hAnsi="Arial Narrow"/>
                <w:sz w:val="18"/>
                <w:szCs w:val="18"/>
              </w:rPr>
              <w:fldChar w:fldCharType="end"/>
            </w:r>
            <w:r w:rsidRPr="00F86065">
              <w:rPr>
                <w:rFonts w:ascii="Arial Narrow" w:eastAsia="Calibri" w:hAnsi="Arial Narrow"/>
                <w:sz w:val="18"/>
                <w:szCs w:val="18"/>
              </w:rPr>
              <w:t>Authority Required – Streamlined</w:t>
            </w:r>
            <w:r>
              <w:rPr>
                <w:rFonts w:ascii="Arial Narrow" w:eastAsia="Calibri" w:hAnsi="Arial Narrow"/>
                <w:sz w:val="18"/>
                <w:szCs w:val="18"/>
              </w:rPr>
              <w:t xml:space="preserve"> [6915]</w:t>
            </w:r>
            <w:r w:rsidRPr="00F86065">
              <w:rPr>
                <w:rFonts w:ascii="Arial Narrow" w:eastAsia="Calibri" w:hAnsi="Arial Narrow"/>
                <w:sz w:val="18"/>
                <w:szCs w:val="18"/>
              </w:rPr>
              <w:t xml:space="preserve"> </w:t>
            </w:r>
          </w:p>
        </w:tc>
      </w:tr>
      <w:tr w:rsidR="00CF5D62" w:rsidRPr="00120A12" w14:paraId="506C2717" w14:textId="77777777" w:rsidTr="00986DC4">
        <w:tblPrEx>
          <w:tblCellMar>
            <w:top w:w="15" w:type="dxa"/>
            <w:left w:w="15" w:type="dxa"/>
            <w:bottom w:w="15" w:type="dxa"/>
            <w:right w:w="15" w:type="dxa"/>
          </w:tblCellMar>
          <w:tblLook w:val="04A0" w:firstRow="1" w:lastRow="0" w:firstColumn="1" w:lastColumn="0" w:noHBand="0" w:noVBand="1"/>
        </w:tblPrEx>
        <w:tc>
          <w:tcPr>
            <w:tcW w:w="534" w:type="pct"/>
            <w:vAlign w:val="center"/>
          </w:tcPr>
          <w:p w14:paraId="4B75EC04" w14:textId="77777777" w:rsidR="00CF5D62" w:rsidRPr="00120A12" w:rsidRDefault="00CF5D62" w:rsidP="00CF5D62">
            <w:pPr>
              <w:jc w:val="center"/>
              <w:rPr>
                <w:rFonts w:ascii="Arial Narrow" w:hAnsi="Arial Narrow"/>
                <w:color w:val="333333"/>
                <w:sz w:val="18"/>
                <w:szCs w:val="18"/>
              </w:rPr>
            </w:pPr>
          </w:p>
        </w:tc>
        <w:tc>
          <w:tcPr>
            <w:tcW w:w="4466" w:type="pct"/>
            <w:gridSpan w:val="6"/>
            <w:vAlign w:val="center"/>
            <w:hideMark/>
          </w:tcPr>
          <w:p w14:paraId="05EC2C4D" w14:textId="77777777" w:rsidR="00CF5D62" w:rsidRPr="003D12B4" w:rsidRDefault="00CF5D62" w:rsidP="00CF5D62">
            <w:pPr>
              <w:rPr>
                <w:rFonts w:ascii="Arial Narrow" w:hAnsi="Arial Narrow"/>
                <w:color w:val="333333"/>
                <w:sz w:val="18"/>
                <w:szCs w:val="18"/>
              </w:rPr>
            </w:pPr>
            <w:r w:rsidRPr="003D12B4">
              <w:rPr>
                <w:rFonts w:ascii="Arial Narrow" w:hAnsi="Arial Narrow"/>
                <w:b/>
                <w:bCs/>
                <w:color w:val="333333"/>
                <w:sz w:val="18"/>
                <w:szCs w:val="18"/>
              </w:rPr>
              <w:t>Indication:</w:t>
            </w:r>
            <w:r w:rsidRPr="003D12B4">
              <w:rPr>
                <w:rFonts w:ascii="Arial Narrow" w:hAnsi="Arial Narrow"/>
                <w:color w:val="333333"/>
                <w:sz w:val="18"/>
                <w:szCs w:val="18"/>
              </w:rPr>
              <w:t xml:space="preserve"> Chronic heart failure</w:t>
            </w:r>
          </w:p>
        </w:tc>
      </w:tr>
      <w:tr w:rsidR="00CF5D62" w:rsidRPr="00120A12" w14:paraId="0AEC712C" w14:textId="77777777" w:rsidTr="00986DC4">
        <w:tblPrEx>
          <w:tblCellMar>
            <w:top w:w="15" w:type="dxa"/>
            <w:left w:w="15" w:type="dxa"/>
            <w:bottom w:w="15" w:type="dxa"/>
            <w:right w:w="15" w:type="dxa"/>
          </w:tblCellMar>
          <w:tblLook w:val="04A0" w:firstRow="1" w:lastRow="0" w:firstColumn="1" w:lastColumn="0" w:noHBand="0" w:noVBand="1"/>
        </w:tblPrEx>
        <w:tc>
          <w:tcPr>
            <w:tcW w:w="534" w:type="pct"/>
            <w:vAlign w:val="center"/>
          </w:tcPr>
          <w:p w14:paraId="60248222" w14:textId="77777777" w:rsidR="00CF5D62" w:rsidRPr="00120A12" w:rsidRDefault="00CF5D62" w:rsidP="00CF5D62">
            <w:pPr>
              <w:jc w:val="center"/>
              <w:rPr>
                <w:rFonts w:ascii="Arial Narrow" w:hAnsi="Arial Narrow"/>
                <w:color w:val="333333"/>
                <w:sz w:val="18"/>
                <w:szCs w:val="18"/>
              </w:rPr>
            </w:pPr>
          </w:p>
        </w:tc>
        <w:tc>
          <w:tcPr>
            <w:tcW w:w="4466" w:type="pct"/>
            <w:gridSpan w:val="6"/>
            <w:vAlign w:val="center"/>
            <w:hideMark/>
          </w:tcPr>
          <w:p w14:paraId="73A137F4" w14:textId="77777777" w:rsidR="00CF5D62" w:rsidRPr="003D12B4" w:rsidRDefault="00CF5D62" w:rsidP="00CF5D62">
            <w:pPr>
              <w:rPr>
                <w:rFonts w:ascii="Arial Narrow" w:hAnsi="Arial Narrow"/>
                <w:color w:val="333333"/>
                <w:sz w:val="18"/>
                <w:szCs w:val="18"/>
              </w:rPr>
            </w:pPr>
            <w:r w:rsidRPr="003D12B4">
              <w:rPr>
                <w:rFonts w:ascii="Arial Narrow" w:hAnsi="Arial Narrow"/>
                <w:b/>
                <w:bCs/>
                <w:color w:val="333333"/>
                <w:sz w:val="18"/>
                <w:szCs w:val="18"/>
              </w:rPr>
              <w:t>Clinical criteria:</w:t>
            </w:r>
          </w:p>
        </w:tc>
      </w:tr>
      <w:tr w:rsidR="00CF5D62" w:rsidRPr="00120A12" w14:paraId="153B9887" w14:textId="77777777" w:rsidTr="00986DC4">
        <w:tblPrEx>
          <w:tblCellMar>
            <w:top w:w="15" w:type="dxa"/>
            <w:left w:w="15" w:type="dxa"/>
            <w:bottom w:w="15" w:type="dxa"/>
            <w:right w:w="15" w:type="dxa"/>
          </w:tblCellMar>
          <w:tblLook w:val="04A0" w:firstRow="1" w:lastRow="0" w:firstColumn="1" w:lastColumn="0" w:noHBand="0" w:noVBand="1"/>
        </w:tblPrEx>
        <w:tc>
          <w:tcPr>
            <w:tcW w:w="534" w:type="pct"/>
            <w:vAlign w:val="center"/>
          </w:tcPr>
          <w:p w14:paraId="2BBE5D42" w14:textId="77777777" w:rsidR="00CF5D62" w:rsidRPr="00120A12" w:rsidRDefault="00CF5D62" w:rsidP="00CF5D62">
            <w:pPr>
              <w:jc w:val="center"/>
              <w:rPr>
                <w:rFonts w:ascii="Arial Narrow" w:hAnsi="Arial Narrow"/>
                <w:color w:val="333333"/>
                <w:sz w:val="18"/>
                <w:szCs w:val="18"/>
              </w:rPr>
            </w:pPr>
          </w:p>
        </w:tc>
        <w:tc>
          <w:tcPr>
            <w:tcW w:w="4466" w:type="pct"/>
            <w:gridSpan w:val="6"/>
            <w:vAlign w:val="center"/>
            <w:hideMark/>
          </w:tcPr>
          <w:p w14:paraId="410C7043" w14:textId="77777777" w:rsidR="00CF5D62" w:rsidRPr="003D12B4" w:rsidRDefault="00CF5D62" w:rsidP="00CF5D62">
            <w:pPr>
              <w:rPr>
                <w:rFonts w:ascii="Arial Narrow" w:hAnsi="Arial Narrow"/>
                <w:color w:val="333333"/>
                <w:sz w:val="18"/>
                <w:szCs w:val="18"/>
              </w:rPr>
            </w:pPr>
            <w:r w:rsidRPr="003D12B4">
              <w:rPr>
                <w:rFonts w:ascii="Arial Narrow" w:hAnsi="Arial Narrow"/>
                <w:color w:val="333333"/>
                <w:sz w:val="18"/>
                <w:szCs w:val="18"/>
              </w:rPr>
              <w:t>Patient must be symptomatic with NYHA classes II, III or IV</w:t>
            </w:r>
          </w:p>
        </w:tc>
      </w:tr>
      <w:tr w:rsidR="00CF5D62" w:rsidRPr="00120A12" w14:paraId="554F3C42" w14:textId="77777777" w:rsidTr="00986DC4">
        <w:tblPrEx>
          <w:tblCellMar>
            <w:top w:w="15" w:type="dxa"/>
            <w:left w:w="15" w:type="dxa"/>
            <w:bottom w:w="15" w:type="dxa"/>
            <w:right w:w="15" w:type="dxa"/>
          </w:tblCellMar>
          <w:tblLook w:val="04A0" w:firstRow="1" w:lastRow="0" w:firstColumn="1" w:lastColumn="0" w:noHBand="0" w:noVBand="1"/>
        </w:tblPrEx>
        <w:tc>
          <w:tcPr>
            <w:tcW w:w="534" w:type="pct"/>
            <w:vAlign w:val="center"/>
          </w:tcPr>
          <w:p w14:paraId="2A5732E2" w14:textId="77777777" w:rsidR="00CF5D62" w:rsidRPr="00120A12" w:rsidRDefault="00CF5D62" w:rsidP="00CF5D62">
            <w:pPr>
              <w:jc w:val="center"/>
              <w:rPr>
                <w:rFonts w:ascii="Arial Narrow" w:hAnsi="Arial Narrow"/>
                <w:color w:val="333333"/>
                <w:sz w:val="18"/>
                <w:szCs w:val="18"/>
              </w:rPr>
            </w:pPr>
          </w:p>
        </w:tc>
        <w:tc>
          <w:tcPr>
            <w:tcW w:w="4466" w:type="pct"/>
            <w:gridSpan w:val="6"/>
            <w:vAlign w:val="center"/>
            <w:hideMark/>
          </w:tcPr>
          <w:p w14:paraId="6E47D8A6" w14:textId="77777777" w:rsidR="00CF5D62" w:rsidRPr="003D12B4" w:rsidRDefault="00CF5D62" w:rsidP="00CF5D62">
            <w:pPr>
              <w:rPr>
                <w:rFonts w:ascii="Arial Narrow" w:hAnsi="Arial Narrow"/>
                <w:color w:val="333333"/>
                <w:sz w:val="18"/>
                <w:szCs w:val="18"/>
              </w:rPr>
            </w:pPr>
            <w:r w:rsidRPr="003D12B4">
              <w:rPr>
                <w:rFonts w:ascii="Arial Narrow" w:hAnsi="Arial Narrow"/>
                <w:b/>
                <w:bCs/>
                <w:color w:val="333333"/>
                <w:sz w:val="18"/>
                <w:szCs w:val="18"/>
              </w:rPr>
              <w:t>AND</w:t>
            </w:r>
          </w:p>
        </w:tc>
      </w:tr>
      <w:tr w:rsidR="00CF5D62" w:rsidRPr="00120A12" w14:paraId="0A303D7B" w14:textId="77777777" w:rsidTr="003E222F">
        <w:tblPrEx>
          <w:tblCellMar>
            <w:top w:w="15" w:type="dxa"/>
            <w:left w:w="15" w:type="dxa"/>
            <w:bottom w:w="15" w:type="dxa"/>
            <w:right w:w="15" w:type="dxa"/>
          </w:tblCellMar>
          <w:tblLook w:val="04A0" w:firstRow="1" w:lastRow="0" w:firstColumn="1" w:lastColumn="0" w:noHBand="0" w:noVBand="1"/>
        </w:tblPrEx>
        <w:tc>
          <w:tcPr>
            <w:tcW w:w="534" w:type="pct"/>
            <w:vAlign w:val="center"/>
          </w:tcPr>
          <w:p w14:paraId="5BC795CE" w14:textId="77777777" w:rsidR="00CF5D62" w:rsidRPr="00120A12" w:rsidRDefault="00CF5D62" w:rsidP="00CF5D62">
            <w:pPr>
              <w:jc w:val="center"/>
              <w:rPr>
                <w:rFonts w:ascii="Arial Narrow" w:hAnsi="Arial Narrow"/>
                <w:color w:val="333333"/>
                <w:sz w:val="18"/>
                <w:szCs w:val="18"/>
              </w:rPr>
            </w:pPr>
          </w:p>
        </w:tc>
        <w:tc>
          <w:tcPr>
            <w:tcW w:w="4466" w:type="pct"/>
            <w:gridSpan w:val="6"/>
            <w:vAlign w:val="center"/>
            <w:hideMark/>
          </w:tcPr>
          <w:p w14:paraId="12CAD3E9" w14:textId="77777777" w:rsidR="00CF5D62" w:rsidRPr="003D12B4" w:rsidRDefault="00CF5D62" w:rsidP="00CF5D62">
            <w:pPr>
              <w:rPr>
                <w:rFonts w:ascii="Arial Narrow" w:hAnsi="Arial Narrow"/>
                <w:color w:val="333333"/>
                <w:sz w:val="18"/>
                <w:szCs w:val="18"/>
              </w:rPr>
            </w:pPr>
            <w:r w:rsidRPr="003D12B4">
              <w:rPr>
                <w:rFonts w:ascii="Arial Narrow" w:hAnsi="Arial Narrow"/>
                <w:b/>
                <w:bCs/>
                <w:color w:val="333333"/>
                <w:sz w:val="18"/>
                <w:szCs w:val="18"/>
              </w:rPr>
              <w:t>Clinical criteria:</w:t>
            </w:r>
          </w:p>
        </w:tc>
      </w:tr>
      <w:tr w:rsidR="00CF5D62" w:rsidRPr="00120A12" w14:paraId="5B43D899" w14:textId="77777777" w:rsidTr="003E222F">
        <w:tblPrEx>
          <w:tblCellMar>
            <w:top w:w="15" w:type="dxa"/>
            <w:left w:w="15" w:type="dxa"/>
            <w:bottom w:w="15" w:type="dxa"/>
            <w:right w:w="15" w:type="dxa"/>
          </w:tblCellMar>
          <w:tblLook w:val="04A0" w:firstRow="1" w:lastRow="0" w:firstColumn="1" w:lastColumn="0" w:noHBand="0" w:noVBand="1"/>
        </w:tblPrEx>
        <w:tc>
          <w:tcPr>
            <w:tcW w:w="534" w:type="pct"/>
            <w:vAlign w:val="center"/>
          </w:tcPr>
          <w:p w14:paraId="77B3551F" w14:textId="77777777" w:rsidR="00CF5D62" w:rsidRPr="00120A12" w:rsidRDefault="00CF5D62" w:rsidP="00CF5D62">
            <w:pPr>
              <w:jc w:val="center"/>
              <w:rPr>
                <w:rFonts w:ascii="Arial Narrow" w:hAnsi="Arial Narrow"/>
                <w:color w:val="333333"/>
                <w:sz w:val="18"/>
                <w:szCs w:val="18"/>
              </w:rPr>
            </w:pPr>
          </w:p>
        </w:tc>
        <w:tc>
          <w:tcPr>
            <w:tcW w:w="4466" w:type="pct"/>
            <w:gridSpan w:val="6"/>
            <w:vAlign w:val="center"/>
            <w:hideMark/>
          </w:tcPr>
          <w:p w14:paraId="35D5845E" w14:textId="77777777" w:rsidR="00CF5D62" w:rsidRPr="003D12B4" w:rsidRDefault="00CF5D62" w:rsidP="00CF5D62">
            <w:pPr>
              <w:rPr>
                <w:rFonts w:ascii="Arial Narrow" w:hAnsi="Arial Narrow"/>
                <w:color w:val="333333"/>
                <w:sz w:val="18"/>
                <w:szCs w:val="18"/>
              </w:rPr>
            </w:pPr>
            <w:r w:rsidRPr="003D12B4">
              <w:rPr>
                <w:rFonts w:ascii="Arial Narrow" w:hAnsi="Arial Narrow"/>
                <w:color w:val="333333"/>
                <w:sz w:val="18"/>
                <w:szCs w:val="18"/>
              </w:rPr>
              <w:t>Patient must have a documented left ventricular ejection fraction (LVEF) of less than or equal to 40%</w:t>
            </w:r>
          </w:p>
        </w:tc>
      </w:tr>
      <w:tr w:rsidR="00CF5D62" w:rsidRPr="00120A12" w14:paraId="78D5B8B8" w14:textId="77777777" w:rsidTr="003E222F">
        <w:tblPrEx>
          <w:tblCellMar>
            <w:top w:w="15" w:type="dxa"/>
            <w:left w:w="15" w:type="dxa"/>
            <w:bottom w:w="15" w:type="dxa"/>
            <w:right w:w="15" w:type="dxa"/>
          </w:tblCellMar>
          <w:tblLook w:val="04A0" w:firstRow="1" w:lastRow="0" w:firstColumn="1" w:lastColumn="0" w:noHBand="0" w:noVBand="1"/>
        </w:tblPrEx>
        <w:tc>
          <w:tcPr>
            <w:tcW w:w="534" w:type="pct"/>
            <w:vAlign w:val="center"/>
          </w:tcPr>
          <w:p w14:paraId="54D9463D" w14:textId="77777777" w:rsidR="00CF5D62" w:rsidRPr="00120A12" w:rsidRDefault="00CF5D62" w:rsidP="00CF5D62">
            <w:pPr>
              <w:jc w:val="center"/>
              <w:rPr>
                <w:rFonts w:ascii="Arial Narrow" w:hAnsi="Arial Narrow"/>
                <w:color w:val="333333"/>
                <w:sz w:val="18"/>
                <w:szCs w:val="18"/>
              </w:rPr>
            </w:pPr>
          </w:p>
        </w:tc>
        <w:tc>
          <w:tcPr>
            <w:tcW w:w="4466" w:type="pct"/>
            <w:gridSpan w:val="6"/>
            <w:vAlign w:val="center"/>
            <w:hideMark/>
          </w:tcPr>
          <w:p w14:paraId="2E687824" w14:textId="77777777" w:rsidR="00CF5D62" w:rsidRPr="003D12B4" w:rsidRDefault="00CF5D62" w:rsidP="00CF5D62">
            <w:pPr>
              <w:rPr>
                <w:rFonts w:ascii="Arial Narrow" w:hAnsi="Arial Narrow"/>
                <w:color w:val="333333"/>
                <w:sz w:val="18"/>
                <w:szCs w:val="18"/>
              </w:rPr>
            </w:pPr>
            <w:r w:rsidRPr="003D12B4">
              <w:rPr>
                <w:rFonts w:ascii="Arial Narrow" w:hAnsi="Arial Narrow"/>
                <w:b/>
                <w:bCs/>
                <w:color w:val="333333"/>
                <w:sz w:val="18"/>
                <w:szCs w:val="18"/>
              </w:rPr>
              <w:t>AND</w:t>
            </w:r>
          </w:p>
        </w:tc>
      </w:tr>
      <w:tr w:rsidR="00CF5D62" w:rsidRPr="00120A12" w14:paraId="38D3A459" w14:textId="77777777" w:rsidTr="003E222F">
        <w:tblPrEx>
          <w:tblCellMar>
            <w:top w:w="15" w:type="dxa"/>
            <w:left w:w="15" w:type="dxa"/>
            <w:bottom w:w="15" w:type="dxa"/>
            <w:right w:w="15" w:type="dxa"/>
          </w:tblCellMar>
          <w:tblLook w:val="04A0" w:firstRow="1" w:lastRow="0" w:firstColumn="1" w:lastColumn="0" w:noHBand="0" w:noVBand="1"/>
        </w:tblPrEx>
        <w:tc>
          <w:tcPr>
            <w:tcW w:w="534" w:type="pct"/>
            <w:vAlign w:val="center"/>
          </w:tcPr>
          <w:p w14:paraId="3A1C5B29" w14:textId="77777777" w:rsidR="00CF5D62" w:rsidRPr="00120A12" w:rsidRDefault="00CF5D62" w:rsidP="00CF5D62">
            <w:pPr>
              <w:jc w:val="center"/>
              <w:rPr>
                <w:rFonts w:ascii="Arial Narrow" w:hAnsi="Arial Narrow"/>
                <w:color w:val="333333"/>
                <w:sz w:val="18"/>
                <w:szCs w:val="18"/>
              </w:rPr>
            </w:pPr>
          </w:p>
        </w:tc>
        <w:tc>
          <w:tcPr>
            <w:tcW w:w="4466" w:type="pct"/>
            <w:gridSpan w:val="6"/>
            <w:vAlign w:val="center"/>
            <w:hideMark/>
          </w:tcPr>
          <w:p w14:paraId="6CE21885" w14:textId="77777777" w:rsidR="00CF5D62" w:rsidRPr="003D12B4" w:rsidRDefault="00CF5D62" w:rsidP="00CF5D62">
            <w:pPr>
              <w:rPr>
                <w:rFonts w:ascii="Arial Narrow" w:hAnsi="Arial Narrow"/>
                <w:color w:val="333333"/>
                <w:sz w:val="18"/>
                <w:szCs w:val="18"/>
              </w:rPr>
            </w:pPr>
            <w:r w:rsidRPr="003D12B4">
              <w:rPr>
                <w:rFonts w:ascii="Arial Narrow" w:hAnsi="Arial Narrow"/>
                <w:b/>
                <w:bCs/>
                <w:color w:val="333333"/>
                <w:sz w:val="18"/>
                <w:szCs w:val="18"/>
              </w:rPr>
              <w:t>Clinical criteria:</w:t>
            </w:r>
          </w:p>
        </w:tc>
      </w:tr>
      <w:tr w:rsidR="00CF5D62" w:rsidRPr="00120A12" w14:paraId="44EE2219" w14:textId="77777777" w:rsidTr="003E222F">
        <w:tblPrEx>
          <w:tblCellMar>
            <w:top w:w="15" w:type="dxa"/>
            <w:left w:w="15" w:type="dxa"/>
            <w:bottom w:w="15" w:type="dxa"/>
            <w:right w:w="15" w:type="dxa"/>
          </w:tblCellMar>
          <w:tblLook w:val="04A0" w:firstRow="1" w:lastRow="0" w:firstColumn="1" w:lastColumn="0" w:noHBand="0" w:noVBand="1"/>
        </w:tblPrEx>
        <w:tc>
          <w:tcPr>
            <w:tcW w:w="534" w:type="pct"/>
            <w:vAlign w:val="center"/>
          </w:tcPr>
          <w:p w14:paraId="2A54B1E4" w14:textId="77777777" w:rsidR="00CF5D62" w:rsidRPr="00120A12" w:rsidRDefault="00CF5D62" w:rsidP="00CF5D62">
            <w:pPr>
              <w:jc w:val="center"/>
              <w:rPr>
                <w:rFonts w:ascii="Arial Narrow" w:hAnsi="Arial Narrow"/>
                <w:color w:val="333333"/>
                <w:sz w:val="18"/>
                <w:szCs w:val="18"/>
              </w:rPr>
            </w:pPr>
          </w:p>
        </w:tc>
        <w:tc>
          <w:tcPr>
            <w:tcW w:w="4466" w:type="pct"/>
            <w:gridSpan w:val="6"/>
            <w:vAlign w:val="center"/>
            <w:hideMark/>
          </w:tcPr>
          <w:p w14:paraId="0E393D37" w14:textId="77777777" w:rsidR="00CF5D62" w:rsidRPr="00BD3B03" w:rsidRDefault="00CF5D62" w:rsidP="00BF6C74">
            <w:pPr>
              <w:rPr>
                <w:rFonts w:ascii="Arial Narrow" w:hAnsi="Arial Narrow"/>
                <w:color w:val="333333"/>
                <w:sz w:val="18"/>
                <w:szCs w:val="18"/>
              </w:rPr>
            </w:pPr>
            <w:r w:rsidRPr="00BD3B03">
              <w:rPr>
                <w:rFonts w:ascii="Arial Narrow" w:hAnsi="Arial Narrow"/>
                <w:color w:val="333333"/>
                <w:sz w:val="18"/>
                <w:szCs w:val="18"/>
              </w:rPr>
              <w:t>Patient must receive concomitant optimal standard chronic heart failure treatment</w:t>
            </w:r>
            <w:r w:rsidRPr="00BD3B03">
              <w:rPr>
                <w:rFonts w:ascii="Arial Narrow" w:hAnsi="Arial Narrow"/>
                <w:b/>
                <w:color w:val="333333"/>
                <w:sz w:val="18"/>
                <w:szCs w:val="18"/>
              </w:rPr>
              <w:t xml:space="preserve">, </w:t>
            </w:r>
            <w:r w:rsidRPr="00BD3B03">
              <w:rPr>
                <w:rFonts w:ascii="Arial Narrow" w:hAnsi="Arial Narrow"/>
                <w:i/>
                <w:color w:val="333333"/>
                <w:sz w:val="18"/>
                <w:szCs w:val="18"/>
              </w:rPr>
              <w:t>which should include a beta-blocker, unless contra-indicated or not tolerated</w:t>
            </w:r>
            <w:r w:rsidRPr="00BD3B03">
              <w:rPr>
                <w:rFonts w:ascii="Arial Narrow" w:hAnsi="Arial Narrow"/>
                <w:b/>
                <w:color w:val="333333"/>
                <w:sz w:val="18"/>
                <w:szCs w:val="18"/>
              </w:rPr>
              <w:t xml:space="preserve"> </w:t>
            </w:r>
            <w:r w:rsidRPr="00BD3B03">
              <w:rPr>
                <w:rFonts w:ascii="Arial Narrow" w:hAnsi="Arial Narrow"/>
                <w:strike/>
                <w:color w:val="333333"/>
                <w:sz w:val="18"/>
                <w:szCs w:val="18"/>
              </w:rPr>
              <w:t>which must include the maximum tolerated dose of a beta-blocker, unless contraindicated or not tolerated,</w:t>
            </w:r>
          </w:p>
        </w:tc>
      </w:tr>
      <w:tr w:rsidR="00CF5D62" w:rsidRPr="00120A12" w14:paraId="4E561CA4" w14:textId="77777777" w:rsidTr="003E222F">
        <w:tblPrEx>
          <w:tblCellMar>
            <w:top w:w="15" w:type="dxa"/>
            <w:left w:w="15" w:type="dxa"/>
            <w:bottom w:w="15" w:type="dxa"/>
            <w:right w:w="15" w:type="dxa"/>
          </w:tblCellMar>
          <w:tblLook w:val="04A0" w:firstRow="1" w:lastRow="0" w:firstColumn="1" w:lastColumn="0" w:noHBand="0" w:noVBand="1"/>
        </w:tblPrEx>
        <w:tc>
          <w:tcPr>
            <w:tcW w:w="534" w:type="pct"/>
            <w:vAlign w:val="center"/>
          </w:tcPr>
          <w:p w14:paraId="7E9EFEFB" w14:textId="77777777" w:rsidR="00CF5D62" w:rsidRDefault="00CF5D62" w:rsidP="00CF5D62">
            <w:pPr>
              <w:jc w:val="center"/>
              <w:rPr>
                <w:rFonts w:ascii="Arial Narrow" w:hAnsi="Arial Narrow"/>
                <w:color w:val="333333"/>
                <w:sz w:val="18"/>
                <w:szCs w:val="18"/>
              </w:rPr>
            </w:pPr>
          </w:p>
        </w:tc>
        <w:tc>
          <w:tcPr>
            <w:tcW w:w="4466" w:type="pct"/>
            <w:gridSpan w:val="6"/>
            <w:vAlign w:val="center"/>
          </w:tcPr>
          <w:p w14:paraId="34A8E496" w14:textId="77777777" w:rsidR="00CF5D62" w:rsidRPr="003D12B4" w:rsidRDefault="00CF5D62" w:rsidP="00CF5D62">
            <w:pPr>
              <w:rPr>
                <w:rFonts w:ascii="Arial Narrow" w:hAnsi="Arial Narrow"/>
                <w:color w:val="333333"/>
                <w:sz w:val="18"/>
                <w:szCs w:val="18"/>
              </w:rPr>
            </w:pPr>
            <w:r w:rsidRPr="003D12B4">
              <w:rPr>
                <w:rFonts w:ascii="Arial Narrow" w:hAnsi="Arial Narrow"/>
                <w:b/>
                <w:bCs/>
                <w:color w:val="333333"/>
                <w:sz w:val="18"/>
                <w:szCs w:val="18"/>
              </w:rPr>
              <w:t>AND</w:t>
            </w:r>
          </w:p>
        </w:tc>
      </w:tr>
      <w:tr w:rsidR="00CF5D62" w:rsidRPr="00120A12" w14:paraId="64EC8DA0" w14:textId="77777777" w:rsidTr="003E222F">
        <w:tblPrEx>
          <w:tblCellMar>
            <w:top w:w="15" w:type="dxa"/>
            <w:left w:w="15" w:type="dxa"/>
            <w:bottom w:w="15" w:type="dxa"/>
            <w:right w:w="15" w:type="dxa"/>
          </w:tblCellMar>
          <w:tblLook w:val="04A0" w:firstRow="1" w:lastRow="0" w:firstColumn="1" w:lastColumn="0" w:noHBand="0" w:noVBand="1"/>
        </w:tblPrEx>
        <w:tc>
          <w:tcPr>
            <w:tcW w:w="534" w:type="pct"/>
            <w:vAlign w:val="center"/>
          </w:tcPr>
          <w:p w14:paraId="5895AAB9" w14:textId="77777777" w:rsidR="00CF5D62" w:rsidRDefault="00CF5D62" w:rsidP="00CF5D62">
            <w:pPr>
              <w:jc w:val="center"/>
              <w:rPr>
                <w:rFonts w:ascii="Arial Narrow" w:hAnsi="Arial Narrow"/>
                <w:color w:val="333333"/>
                <w:sz w:val="18"/>
                <w:szCs w:val="18"/>
              </w:rPr>
            </w:pPr>
          </w:p>
        </w:tc>
        <w:tc>
          <w:tcPr>
            <w:tcW w:w="4466" w:type="pct"/>
            <w:gridSpan w:val="6"/>
            <w:vAlign w:val="center"/>
          </w:tcPr>
          <w:p w14:paraId="00C371AC" w14:textId="77777777" w:rsidR="00CF5D62" w:rsidRPr="003D12B4" w:rsidRDefault="00CF5D62" w:rsidP="00CF5D62">
            <w:pPr>
              <w:rPr>
                <w:rFonts w:ascii="Arial Narrow" w:hAnsi="Arial Narrow"/>
                <w:color w:val="333333"/>
                <w:sz w:val="18"/>
                <w:szCs w:val="18"/>
              </w:rPr>
            </w:pPr>
            <w:r w:rsidRPr="003D12B4">
              <w:rPr>
                <w:rFonts w:ascii="Arial Narrow" w:hAnsi="Arial Narrow"/>
                <w:b/>
                <w:bCs/>
                <w:color w:val="333333"/>
                <w:sz w:val="18"/>
                <w:szCs w:val="18"/>
              </w:rPr>
              <w:t>Clinical criteria:</w:t>
            </w:r>
          </w:p>
        </w:tc>
      </w:tr>
      <w:tr w:rsidR="00D70B1A" w:rsidRPr="00120A12" w14:paraId="043DBCAB" w14:textId="77777777" w:rsidTr="00D70B1A">
        <w:tblPrEx>
          <w:tblCellMar>
            <w:top w:w="15" w:type="dxa"/>
            <w:left w:w="15" w:type="dxa"/>
            <w:bottom w:w="15" w:type="dxa"/>
            <w:right w:w="15" w:type="dxa"/>
          </w:tblCellMar>
          <w:tblLook w:val="04A0" w:firstRow="1" w:lastRow="0" w:firstColumn="1" w:lastColumn="0" w:noHBand="0" w:noVBand="1"/>
        </w:tblPrEx>
        <w:trPr>
          <w:trHeight w:val="323"/>
        </w:trPr>
        <w:tc>
          <w:tcPr>
            <w:tcW w:w="534" w:type="pct"/>
            <w:vAlign w:val="center"/>
          </w:tcPr>
          <w:p w14:paraId="62023187" w14:textId="77777777" w:rsidR="00D70B1A" w:rsidRPr="00120A12" w:rsidRDefault="00D70B1A" w:rsidP="00D70B1A">
            <w:pPr>
              <w:jc w:val="center"/>
              <w:rPr>
                <w:rFonts w:ascii="Arial Narrow" w:hAnsi="Arial Narrow"/>
                <w:color w:val="333333"/>
                <w:sz w:val="18"/>
                <w:szCs w:val="18"/>
              </w:rPr>
            </w:pPr>
          </w:p>
        </w:tc>
        <w:tc>
          <w:tcPr>
            <w:tcW w:w="4466" w:type="pct"/>
            <w:gridSpan w:val="6"/>
            <w:vAlign w:val="center"/>
            <w:hideMark/>
          </w:tcPr>
          <w:p w14:paraId="0932FDC2" w14:textId="77777777" w:rsidR="00D70B1A" w:rsidRPr="00D70B1A" w:rsidRDefault="00D70B1A" w:rsidP="00CF5D62">
            <w:pPr>
              <w:autoSpaceDE w:val="0"/>
              <w:autoSpaceDN w:val="0"/>
              <w:adjustRightInd w:val="0"/>
              <w:rPr>
                <w:rFonts w:ascii="Arial Narrow" w:hAnsi="Arial Narrow" w:cs="Arial Narrow"/>
                <w:iCs/>
                <w:sz w:val="18"/>
                <w:szCs w:val="18"/>
              </w:rPr>
            </w:pPr>
            <w:r w:rsidRPr="003D12B4">
              <w:rPr>
                <w:rFonts w:ascii="Arial Narrow" w:hAnsi="Arial Narrow" w:cs="Arial Narrow"/>
                <w:iCs/>
                <w:sz w:val="18"/>
                <w:szCs w:val="18"/>
              </w:rPr>
              <w:t>Patient must have been stabilised on an ACE inhibitor at the time of initiation with this drug, unless such treatment is contraindicated according to the TGA-approved Product Informa</w:t>
            </w:r>
            <w:r>
              <w:rPr>
                <w:rFonts w:ascii="Arial Narrow" w:hAnsi="Arial Narrow" w:cs="Arial Narrow"/>
                <w:iCs/>
                <w:sz w:val="18"/>
                <w:szCs w:val="18"/>
              </w:rPr>
              <w:t>tion or cannot be tolerated; or</w:t>
            </w:r>
          </w:p>
        </w:tc>
      </w:tr>
      <w:tr w:rsidR="00D70B1A" w:rsidRPr="00120A12" w14:paraId="1AB99B7A" w14:textId="77777777" w:rsidTr="003E222F">
        <w:tblPrEx>
          <w:tblCellMar>
            <w:top w:w="15" w:type="dxa"/>
            <w:left w:w="15" w:type="dxa"/>
            <w:bottom w:w="15" w:type="dxa"/>
            <w:right w:w="15" w:type="dxa"/>
          </w:tblCellMar>
          <w:tblLook w:val="04A0" w:firstRow="1" w:lastRow="0" w:firstColumn="1" w:lastColumn="0" w:noHBand="0" w:noVBand="1"/>
        </w:tblPrEx>
        <w:trPr>
          <w:trHeight w:val="322"/>
        </w:trPr>
        <w:tc>
          <w:tcPr>
            <w:tcW w:w="534" w:type="pct"/>
            <w:vAlign w:val="center"/>
          </w:tcPr>
          <w:p w14:paraId="4F7BA0A5" w14:textId="77777777" w:rsidR="00D70B1A" w:rsidRDefault="00D70B1A" w:rsidP="00CF5D62">
            <w:pPr>
              <w:jc w:val="center"/>
              <w:rPr>
                <w:rFonts w:ascii="Arial Narrow" w:hAnsi="Arial Narrow"/>
                <w:color w:val="333333"/>
                <w:sz w:val="18"/>
                <w:szCs w:val="18"/>
              </w:rPr>
            </w:pPr>
          </w:p>
        </w:tc>
        <w:tc>
          <w:tcPr>
            <w:tcW w:w="4466" w:type="pct"/>
            <w:gridSpan w:val="6"/>
            <w:vAlign w:val="center"/>
          </w:tcPr>
          <w:p w14:paraId="54CEC071" w14:textId="77777777" w:rsidR="00D70B1A" w:rsidRPr="003D12B4" w:rsidRDefault="00D70B1A" w:rsidP="00CF5D62">
            <w:pPr>
              <w:autoSpaceDE w:val="0"/>
              <w:autoSpaceDN w:val="0"/>
              <w:adjustRightInd w:val="0"/>
              <w:rPr>
                <w:rFonts w:ascii="Arial Narrow" w:hAnsi="Arial Narrow" w:cs="Arial Narrow"/>
                <w:iCs/>
                <w:sz w:val="18"/>
                <w:szCs w:val="18"/>
              </w:rPr>
            </w:pPr>
            <w:r w:rsidRPr="00D70B1A">
              <w:rPr>
                <w:rFonts w:ascii="Arial Narrow" w:hAnsi="Arial Narrow" w:cs="Arial Narrow"/>
                <w:iCs/>
                <w:sz w:val="18"/>
                <w:szCs w:val="18"/>
              </w:rPr>
              <w:t>Patient must have been stabilised on an angiotensin II antagonist at the time of initiation with this drug, unless such treatment is contraindicated according to the TGA-approved Product Information or cannot be tolerated</w:t>
            </w:r>
          </w:p>
        </w:tc>
      </w:tr>
      <w:tr w:rsidR="00D70B1A" w:rsidRPr="00120A12" w14:paraId="0498BA58" w14:textId="77777777" w:rsidTr="003E222F">
        <w:tblPrEx>
          <w:tblCellMar>
            <w:top w:w="15" w:type="dxa"/>
            <w:left w:w="15" w:type="dxa"/>
            <w:bottom w:w="15" w:type="dxa"/>
            <w:right w:w="15" w:type="dxa"/>
          </w:tblCellMar>
          <w:tblLook w:val="04A0" w:firstRow="1" w:lastRow="0" w:firstColumn="1" w:lastColumn="0" w:noHBand="0" w:noVBand="1"/>
        </w:tblPrEx>
        <w:tc>
          <w:tcPr>
            <w:tcW w:w="534" w:type="pct"/>
            <w:vAlign w:val="center"/>
          </w:tcPr>
          <w:p w14:paraId="5D8E446D" w14:textId="77777777" w:rsidR="00D70B1A" w:rsidRDefault="00D70B1A" w:rsidP="00D70B1A">
            <w:pPr>
              <w:jc w:val="center"/>
              <w:rPr>
                <w:rFonts w:ascii="Arial Narrow" w:hAnsi="Arial Narrow"/>
                <w:color w:val="333333"/>
                <w:sz w:val="18"/>
                <w:szCs w:val="18"/>
              </w:rPr>
            </w:pPr>
          </w:p>
        </w:tc>
        <w:tc>
          <w:tcPr>
            <w:tcW w:w="4466" w:type="pct"/>
            <w:gridSpan w:val="6"/>
            <w:vAlign w:val="center"/>
          </w:tcPr>
          <w:p w14:paraId="35E3F0C6" w14:textId="77777777" w:rsidR="00D70B1A" w:rsidRPr="003D12B4" w:rsidRDefault="00D70B1A" w:rsidP="00D70B1A">
            <w:pPr>
              <w:autoSpaceDE w:val="0"/>
              <w:autoSpaceDN w:val="0"/>
              <w:adjustRightInd w:val="0"/>
              <w:rPr>
                <w:rFonts w:ascii="Arial Narrow" w:hAnsi="Arial Narrow" w:cs="Arial Narrow"/>
                <w:iCs/>
                <w:sz w:val="18"/>
                <w:szCs w:val="18"/>
              </w:rPr>
            </w:pPr>
            <w:r w:rsidRPr="003D12B4">
              <w:rPr>
                <w:rFonts w:ascii="Arial Narrow" w:hAnsi="Arial Narrow"/>
                <w:b/>
                <w:bCs/>
                <w:color w:val="333333"/>
                <w:sz w:val="18"/>
                <w:szCs w:val="18"/>
              </w:rPr>
              <w:t>AND</w:t>
            </w:r>
          </w:p>
        </w:tc>
      </w:tr>
      <w:tr w:rsidR="00D70B1A" w:rsidRPr="00120A12" w14:paraId="11B8CCF8" w14:textId="77777777" w:rsidTr="003E222F">
        <w:tblPrEx>
          <w:tblCellMar>
            <w:top w:w="15" w:type="dxa"/>
            <w:left w:w="15" w:type="dxa"/>
            <w:bottom w:w="15" w:type="dxa"/>
            <w:right w:w="15" w:type="dxa"/>
          </w:tblCellMar>
          <w:tblLook w:val="04A0" w:firstRow="1" w:lastRow="0" w:firstColumn="1" w:lastColumn="0" w:noHBand="0" w:noVBand="1"/>
        </w:tblPrEx>
        <w:tc>
          <w:tcPr>
            <w:tcW w:w="534" w:type="pct"/>
            <w:vAlign w:val="center"/>
          </w:tcPr>
          <w:p w14:paraId="72317059" w14:textId="77777777" w:rsidR="00D70B1A" w:rsidRDefault="00D70B1A" w:rsidP="00D70B1A">
            <w:pPr>
              <w:jc w:val="center"/>
              <w:rPr>
                <w:rFonts w:ascii="Arial Narrow" w:hAnsi="Arial Narrow"/>
                <w:color w:val="333333"/>
                <w:sz w:val="18"/>
                <w:szCs w:val="18"/>
              </w:rPr>
            </w:pPr>
          </w:p>
        </w:tc>
        <w:tc>
          <w:tcPr>
            <w:tcW w:w="4466" w:type="pct"/>
            <w:gridSpan w:val="6"/>
            <w:vAlign w:val="center"/>
          </w:tcPr>
          <w:p w14:paraId="6DAFF0E1" w14:textId="77777777" w:rsidR="00D70B1A" w:rsidRPr="003D12B4" w:rsidRDefault="00D70B1A" w:rsidP="00D70B1A">
            <w:pPr>
              <w:autoSpaceDE w:val="0"/>
              <w:autoSpaceDN w:val="0"/>
              <w:adjustRightInd w:val="0"/>
              <w:rPr>
                <w:rFonts w:ascii="Arial Narrow" w:hAnsi="Arial Narrow" w:cs="Arial Narrow"/>
                <w:iCs/>
                <w:sz w:val="18"/>
                <w:szCs w:val="18"/>
              </w:rPr>
            </w:pPr>
            <w:r w:rsidRPr="003D12B4">
              <w:rPr>
                <w:rFonts w:ascii="Arial Narrow" w:hAnsi="Arial Narrow"/>
                <w:b/>
                <w:bCs/>
                <w:color w:val="333333"/>
                <w:sz w:val="18"/>
                <w:szCs w:val="18"/>
              </w:rPr>
              <w:t>Clinical criteria:</w:t>
            </w:r>
          </w:p>
        </w:tc>
      </w:tr>
      <w:tr w:rsidR="00D70B1A" w:rsidRPr="00120A12" w14:paraId="6696AC5A" w14:textId="77777777" w:rsidTr="003E222F">
        <w:tblPrEx>
          <w:tblCellMar>
            <w:top w:w="15" w:type="dxa"/>
            <w:left w:w="15" w:type="dxa"/>
            <w:bottom w:w="15" w:type="dxa"/>
            <w:right w:w="15" w:type="dxa"/>
          </w:tblCellMar>
          <w:tblLook w:val="04A0" w:firstRow="1" w:lastRow="0" w:firstColumn="1" w:lastColumn="0" w:noHBand="0" w:noVBand="1"/>
        </w:tblPrEx>
        <w:tc>
          <w:tcPr>
            <w:tcW w:w="534" w:type="pct"/>
            <w:vAlign w:val="center"/>
          </w:tcPr>
          <w:p w14:paraId="799C08DA" w14:textId="77777777" w:rsidR="00D70B1A" w:rsidRDefault="00D70B1A" w:rsidP="00D70B1A">
            <w:pPr>
              <w:jc w:val="center"/>
              <w:rPr>
                <w:rFonts w:ascii="Arial Narrow" w:hAnsi="Arial Narrow"/>
                <w:color w:val="333333"/>
                <w:sz w:val="18"/>
                <w:szCs w:val="18"/>
              </w:rPr>
            </w:pPr>
          </w:p>
        </w:tc>
        <w:tc>
          <w:tcPr>
            <w:tcW w:w="4466" w:type="pct"/>
            <w:gridSpan w:val="6"/>
            <w:vAlign w:val="center"/>
          </w:tcPr>
          <w:p w14:paraId="720C8D53" w14:textId="77777777" w:rsidR="00D70B1A" w:rsidRPr="003D12B4" w:rsidRDefault="00D70B1A" w:rsidP="00D70B1A">
            <w:pPr>
              <w:autoSpaceDE w:val="0"/>
              <w:autoSpaceDN w:val="0"/>
              <w:adjustRightInd w:val="0"/>
              <w:rPr>
                <w:rFonts w:ascii="Arial Narrow" w:hAnsi="Arial Narrow" w:cs="Arial Narrow"/>
                <w:iCs/>
                <w:sz w:val="18"/>
                <w:szCs w:val="18"/>
              </w:rPr>
            </w:pPr>
            <w:r w:rsidRPr="003D12B4">
              <w:rPr>
                <w:rFonts w:ascii="Arial Narrow" w:hAnsi="Arial Narrow"/>
                <w:color w:val="333333"/>
                <w:sz w:val="18"/>
                <w:szCs w:val="18"/>
              </w:rPr>
              <w:t>The treatment must not be co-administered with an ACE inhibitor or an angiotensin II antagonist.</w:t>
            </w:r>
          </w:p>
        </w:tc>
      </w:tr>
      <w:tr w:rsidR="00D70B1A" w:rsidRPr="00120A12" w14:paraId="0C55351C" w14:textId="77777777" w:rsidTr="003E222F">
        <w:tblPrEx>
          <w:tblCellMar>
            <w:top w:w="15" w:type="dxa"/>
            <w:left w:w="15" w:type="dxa"/>
            <w:bottom w:w="15" w:type="dxa"/>
            <w:right w:w="15" w:type="dxa"/>
          </w:tblCellMar>
          <w:tblLook w:val="04A0" w:firstRow="1" w:lastRow="0" w:firstColumn="1" w:lastColumn="0" w:noHBand="0" w:noVBand="1"/>
        </w:tblPrEx>
        <w:tc>
          <w:tcPr>
            <w:tcW w:w="534" w:type="pct"/>
            <w:vAlign w:val="center"/>
          </w:tcPr>
          <w:p w14:paraId="3D5ED4A2" w14:textId="77777777" w:rsidR="00D70B1A" w:rsidRDefault="00D70B1A" w:rsidP="00D70B1A">
            <w:pPr>
              <w:jc w:val="center"/>
              <w:rPr>
                <w:rFonts w:ascii="Arial Narrow" w:hAnsi="Arial Narrow"/>
                <w:color w:val="333333"/>
                <w:sz w:val="18"/>
                <w:szCs w:val="18"/>
              </w:rPr>
            </w:pPr>
          </w:p>
        </w:tc>
        <w:tc>
          <w:tcPr>
            <w:tcW w:w="4466" w:type="pct"/>
            <w:gridSpan w:val="6"/>
            <w:vAlign w:val="center"/>
          </w:tcPr>
          <w:p w14:paraId="7A101FD1" w14:textId="77777777" w:rsidR="00D70B1A" w:rsidRPr="003E222F" w:rsidRDefault="00D70B1A" w:rsidP="00D70B1A">
            <w:pPr>
              <w:autoSpaceDE w:val="0"/>
              <w:autoSpaceDN w:val="0"/>
              <w:adjustRightInd w:val="0"/>
              <w:rPr>
                <w:rFonts w:ascii="Arial Narrow" w:hAnsi="Arial Narrow" w:cs="Arial Narrow"/>
                <w:b/>
                <w:iCs/>
                <w:sz w:val="18"/>
                <w:szCs w:val="18"/>
              </w:rPr>
            </w:pPr>
            <w:r w:rsidRPr="003E222F">
              <w:rPr>
                <w:rFonts w:ascii="Arial Narrow" w:hAnsi="Arial Narrow" w:cs="Arial Narrow"/>
                <w:b/>
                <w:iCs/>
                <w:sz w:val="18"/>
                <w:szCs w:val="18"/>
              </w:rPr>
              <w:t>Administrative Advice:</w:t>
            </w:r>
          </w:p>
          <w:p w14:paraId="57A19461" w14:textId="77777777" w:rsidR="00D70B1A" w:rsidRPr="003E222F" w:rsidRDefault="00D70B1A" w:rsidP="00D70B1A">
            <w:pPr>
              <w:autoSpaceDE w:val="0"/>
              <w:autoSpaceDN w:val="0"/>
              <w:adjustRightInd w:val="0"/>
              <w:rPr>
                <w:rFonts w:ascii="Arial Narrow" w:hAnsi="Arial Narrow" w:cs="Arial Narrow"/>
                <w:iCs/>
                <w:sz w:val="18"/>
                <w:szCs w:val="18"/>
              </w:rPr>
            </w:pPr>
          </w:p>
          <w:p w14:paraId="6CC62607" w14:textId="77777777" w:rsidR="00D70B1A" w:rsidRPr="003E222F" w:rsidRDefault="00D70B1A" w:rsidP="00D70B1A">
            <w:pPr>
              <w:autoSpaceDE w:val="0"/>
              <w:autoSpaceDN w:val="0"/>
              <w:adjustRightInd w:val="0"/>
              <w:rPr>
                <w:rFonts w:ascii="Arial Narrow" w:hAnsi="Arial Narrow" w:cs="Arial Narrow"/>
                <w:b/>
                <w:iCs/>
                <w:sz w:val="18"/>
                <w:szCs w:val="18"/>
              </w:rPr>
            </w:pPr>
            <w:r w:rsidRPr="003E222F">
              <w:rPr>
                <w:rFonts w:ascii="Arial Narrow" w:hAnsi="Arial Narrow" w:cs="Arial Narrow"/>
                <w:b/>
                <w:iCs/>
                <w:sz w:val="18"/>
                <w:szCs w:val="18"/>
              </w:rPr>
              <w:t xml:space="preserve">Continuing Therapy Only: </w:t>
            </w:r>
          </w:p>
          <w:p w14:paraId="08ADBDC0" w14:textId="77777777" w:rsidR="00D70B1A" w:rsidRPr="003D12B4" w:rsidRDefault="00D70B1A" w:rsidP="00D70B1A">
            <w:pPr>
              <w:autoSpaceDE w:val="0"/>
              <w:autoSpaceDN w:val="0"/>
              <w:adjustRightInd w:val="0"/>
              <w:rPr>
                <w:rFonts w:ascii="Arial Narrow" w:hAnsi="Arial Narrow" w:cs="Arial Narrow"/>
                <w:iCs/>
                <w:sz w:val="18"/>
                <w:szCs w:val="18"/>
              </w:rPr>
            </w:pPr>
            <w:r w:rsidRPr="003E222F">
              <w:rPr>
                <w:rFonts w:ascii="Arial Narrow" w:hAnsi="Arial Narrow" w:cs="Arial Narrow"/>
                <w:iCs/>
                <w:sz w:val="18"/>
                <w:szCs w:val="18"/>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D70B1A" w:rsidRPr="00120A12" w14:paraId="0F651920" w14:textId="77777777" w:rsidTr="003E222F">
        <w:tblPrEx>
          <w:tblCellMar>
            <w:top w:w="15" w:type="dxa"/>
            <w:left w:w="15" w:type="dxa"/>
            <w:bottom w:w="15" w:type="dxa"/>
            <w:right w:w="15" w:type="dxa"/>
          </w:tblCellMar>
          <w:tblLook w:val="04A0" w:firstRow="1" w:lastRow="0" w:firstColumn="1" w:lastColumn="0" w:noHBand="0" w:noVBand="1"/>
        </w:tblPrEx>
        <w:tc>
          <w:tcPr>
            <w:tcW w:w="534" w:type="pct"/>
            <w:vAlign w:val="center"/>
          </w:tcPr>
          <w:p w14:paraId="3BE33C27" w14:textId="77777777" w:rsidR="00D70B1A" w:rsidRDefault="00D70B1A" w:rsidP="00D70B1A">
            <w:pPr>
              <w:jc w:val="center"/>
              <w:rPr>
                <w:rFonts w:ascii="Arial Narrow" w:hAnsi="Arial Narrow"/>
                <w:color w:val="333333"/>
                <w:sz w:val="18"/>
                <w:szCs w:val="18"/>
              </w:rPr>
            </w:pPr>
          </w:p>
        </w:tc>
        <w:tc>
          <w:tcPr>
            <w:tcW w:w="4466" w:type="pct"/>
            <w:gridSpan w:val="6"/>
            <w:vAlign w:val="center"/>
          </w:tcPr>
          <w:p w14:paraId="17877ADD" w14:textId="77777777" w:rsidR="00D70B1A" w:rsidRPr="003D12B4" w:rsidRDefault="00D70B1A" w:rsidP="00D70B1A">
            <w:pPr>
              <w:rPr>
                <w:rFonts w:ascii="Arial Narrow" w:hAnsi="Arial Narrow"/>
                <w:b/>
                <w:color w:val="333333"/>
                <w:sz w:val="18"/>
                <w:szCs w:val="18"/>
              </w:rPr>
            </w:pPr>
            <w:r w:rsidRPr="003E222F">
              <w:rPr>
                <w:rFonts w:ascii="Arial Narrow" w:hAnsi="Arial Narrow"/>
                <w:b/>
                <w:bCs/>
                <w:i/>
                <w:color w:val="333333"/>
                <w:sz w:val="18"/>
                <w:szCs w:val="18"/>
              </w:rPr>
              <w:t>Administrative Advice:</w:t>
            </w:r>
          </w:p>
          <w:p w14:paraId="438129D5" w14:textId="77777777" w:rsidR="00D70B1A" w:rsidRPr="003D12B4" w:rsidRDefault="00D70B1A" w:rsidP="00D70B1A">
            <w:pPr>
              <w:rPr>
                <w:rFonts w:ascii="Arial Narrow" w:hAnsi="Arial Narrow"/>
                <w:color w:val="333333"/>
                <w:sz w:val="18"/>
                <w:szCs w:val="18"/>
              </w:rPr>
            </w:pPr>
            <w:r w:rsidRPr="00722CDA">
              <w:rPr>
                <w:rFonts w:ascii="Arial Narrow" w:hAnsi="Arial Narrow"/>
                <w:i/>
                <w:color w:val="333333"/>
                <w:sz w:val="18"/>
                <w:szCs w:val="18"/>
              </w:rPr>
              <w:t>Continuing therapy by a nurse practitioner may include dose titrations/changes, but only after therapy was initiated by a medical practitioner</w:t>
            </w:r>
            <w:r>
              <w:rPr>
                <w:rFonts w:ascii="Arial Narrow" w:hAnsi="Arial Narrow"/>
                <w:color w:val="333333"/>
                <w:sz w:val="18"/>
                <w:szCs w:val="18"/>
              </w:rPr>
              <w:t>.</w:t>
            </w:r>
          </w:p>
          <w:p w14:paraId="4D2E9709" w14:textId="77777777" w:rsidR="00D70B1A" w:rsidRPr="003D12B4" w:rsidRDefault="00D70B1A" w:rsidP="00D70B1A">
            <w:pPr>
              <w:autoSpaceDE w:val="0"/>
              <w:autoSpaceDN w:val="0"/>
              <w:adjustRightInd w:val="0"/>
              <w:rPr>
                <w:rFonts w:ascii="Arial Narrow" w:hAnsi="Arial Narrow" w:cs="Arial Narrow"/>
                <w:iCs/>
                <w:sz w:val="18"/>
                <w:szCs w:val="18"/>
              </w:rPr>
            </w:pPr>
          </w:p>
        </w:tc>
      </w:tr>
      <w:tr w:rsidR="00D70B1A" w:rsidRPr="00120A12" w14:paraId="6C126FF4" w14:textId="77777777" w:rsidTr="003E222F">
        <w:tblPrEx>
          <w:tblCellMar>
            <w:top w:w="15" w:type="dxa"/>
            <w:left w:w="15" w:type="dxa"/>
            <w:bottom w:w="15" w:type="dxa"/>
            <w:right w:w="15" w:type="dxa"/>
          </w:tblCellMar>
          <w:tblLook w:val="04A0" w:firstRow="1" w:lastRow="0" w:firstColumn="1" w:lastColumn="0" w:noHBand="0" w:noVBand="1"/>
        </w:tblPrEx>
        <w:tc>
          <w:tcPr>
            <w:tcW w:w="534" w:type="pct"/>
            <w:vAlign w:val="center"/>
          </w:tcPr>
          <w:p w14:paraId="3481A6D5" w14:textId="77777777" w:rsidR="00D70B1A" w:rsidRDefault="00D70B1A" w:rsidP="00D70B1A">
            <w:pPr>
              <w:jc w:val="center"/>
              <w:rPr>
                <w:rFonts w:ascii="Arial Narrow" w:hAnsi="Arial Narrow"/>
                <w:color w:val="333333"/>
                <w:sz w:val="18"/>
                <w:szCs w:val="18"/>
              </w:rPr>
            </w:pPr>
          </w:p>
        </w:tc>
        <w:tc>
          <w:tcPr>
            <w:tcW w:w="4466" w:type="pct"/>
            <w:gridSpan w:val="6"/>
            <w:vAlign w:val="center"/>
          </w:tcPr>
          <w:p w14:paraId="6CEA1AC9" w14:textId="77777777" w:rsidR="00D70B1A" w:rsidRPr="003E222F" w:rsidRDefault="00D70B1A" w:rsidP="00D70B1A">
            <w:pPr>
              <w:rPr>
                <w:rFonts w:ascii="Arial Narrow" w:hAnsi="Arial Narrow"/>
                <w:b/>
                <w:bCs/>
                <w:color w:val="333333"/>
                <w:sz w:val="18"/>
                <w:szCs w:val="18"/>
              </w:rPr>
            </w:pPr>
            <w:r>
              <w:rPr>
                <w:rFonts w:ascii="Arial Narrow" w:hAnsi="Arial Narrow"/>
                <w:b/>
                <w:bCs/>
                <w:color w:val="333333"/>
                <w:sz w:val="18"/>
                <w:szCs w:val="18"/>
              </w:rPr>
              <w:t xml:space="preserve">Administrative Advice: </w:t>
            </w:r>
            <w:r w:rsidRPr="003E222F">
              <w:rPr>
                <w:rFonts w:ascii="Arial Narrow" w:hAnsi="Arial Narrow"/>
                <w:bCs/>
                <w:color w:val="333333"/>
                <w:sz w:val="18"/>
                <w:szCs w:val="18"/>
              </w:rPr>
              <w:t>Special Pricing Arrangements apply.</w:t>
            </w:r>
          </w:p>
        </w:tc>
      </w:tr>
    </w:tbl>
    <w:p w14:paraId="1A5DC2E1" w14:textId="77777777" w:rsidR="00E55915" w:rsidRDefault="00E55915" w:rsidP="00D26691">
      <w:pPr>
        <w:jc w:val="left"/>
        <w:rPr>
          <w:color w:val="3366FF"/>
        </w:rPr>
      </w:pPr>
    </w:p>
    <w:p w14:paraId="1A09E01F" w14:textId="77777777" w:rsidR="00573FAA" w:rsidRDefault="00573FAA" w:rsidP="00573FAA">
      <w:pPr>
        <w:spacing w:after="200" w:line="276" w:lineRule="auto"/>
        <w:jc w:val="left"/>
        <w:rPr>
          <w:rFonts w:asciiTheme="minorHAnsi" w:hAnsiTheme="minorHAnsi"/>
          <w:b/>
          <w:bCs/>
          <w:i/>
          <w:snapToGrid w:val="0"/>
        </w:rPr>
      </w:pPr>
      <w:r w:rsidRPr="00FE7F89">
        <w:rPr>
          <w:rFonts w:asciiTheme="minorHAnsi" w:hAnsiTheme="minorHAnsi"/>
          <w:b/>
          <w:bCs/>
          <w:i/>
          <w:snapToGrid w:val="0"/>
        </w:rPr>
        <w:t>Th</w:t>
      </w:r>
      <w:r>
        <w:rPr>
          <w:rFonts w:asciiTheme="minorHAnsi" w:hAnsiTheme="minorHAnsi"/>
          <w:b/>
          <w:bCs/>
          <w:i/>
          <w:snapToGrid w:val="0"/>
        </w:rPr>
        <w:t>ese</w:t>
      </w:r>
      <w:r w:rsidRPr="00FE7F89">
        <w:rPr>
          <w:rFonts w:asciiTheme="minorHAnsi" w:hAnsiTheme="minorHAnsi"/>
          <w:b/>
          <w:bCs/>
          <w:i/>
          <w:snapToGrid w:val="0"/>
        </w:rPr>
        <w:t xml:space="preserve"> restriction</w:t>
      </w:r>
      <w:r>
        <w:rPr>
          <w:rFonts w:asciiTheme="minorHAnsi" w:hAnsiTheme="minorHAnsi"/>
          <w:b/>
          <w:bCs/>
          <w:i/>
          <w:snapToGrid w:val="0"/>
        </w:rPr>
        <w:t>s</w:t>
      </w:r>
      <w:r w:rsidRPr="00FE7F89">
        <w:rPr>
          <w:rFonts w:asciiTheme="minorHAnsi" w:hAnsiTheme="minorHAnsi"/>
          <w:b/>
          <w:bCs/>
          <w:i/>
          <w:snapToGrid w:val="0"/>
        </w:rPr>
        <w:t xml:space="preserve"> may be subject to further review. Should there be any changes made to the restriction the Sponsor will be informed</w:t>
      </w:r>
      <w:r>
        <w:rPr>
          <w:rFonts w:asciiTheme="minorHAnsi" w:hAnsiTheme="minorHAnsi"/>
          <w:b/>
          <w:bCs/>
          <w:i/>
          <w:snapToGrid w:val="0"/>
        </w:rPr>
        <w:t xml:space="preserve">. </w:t>
      </w:r>
    </w:p>
    <w:p w14:paraId="07E7C973" w14:textId="77777777" w:rsidR="00573FAA" w:rsidRPr="00A84C4E" w:rsidRDefault="00573FAA" w:rsidP="00A84C4E">
      <w:pPr>
        <w:keepNext/>
        <w:widowControl w:val="0"/>
        <w:numPr>
          <w:ilvl w:val="0"/>
          <w:numId w:val="1"/>
        </w:numPr>
        <w:spacing w:before="240" w:after="120"/>
        <w:outlineLvl w:val="0"/>
        <w:rPr>
          <w:rFonts w:asciiTheme="minorHAnsi" w:hAnsiTheme="minorHAnsi"/>
          <w:b/>
          <w:bCs/>
          <w:snapToGrid w:val="0"/>
          <w:sz w:val="32"/>
        </w:rPr>
      </w:pPr>
      <w:r w:rsidRPr="00A84C4E">
        <w:rPr>
          <w:rFonts w:asciiTheme="minorHAnsi" w:hAnsiTheme="minorHAnsi"/>
          <w:b/>
          <w:bCs/>
          <w:snapToGrid w:val="0"/>
          <w:sz w:val="32"/>
        </w:rPr>
        <w:t>Context for Decision</w:t>
      </w:r>
    </w:p>
    <w:p w14:paraId="6227FF7E" w14:textId="77777777" w:rsidR="00573FAA" w:rsidRPr="007129F2" w:rsidRDefault="00573FAA" w:rsidP="00573FAA">
      <w:pPr>
        <w:spacing w:after="120"/>
        <w:ind w:left="709"/>
        <w:rPr>
          <w:rFonts w:asciiTheme="minorHAnsi" w:hAnsiTheme="minorHAnsi"/>
          <w:bCs/>
          <w:lang w:val="en-GB"/>
        </w:rPr>
      </w:pPr>
      <w:r w:rsidRPr="007129F2">
        <w:rPr>
          <w:rFonts w:asciiTheme="minorHAnsi" w:hAnsiTheme="minorHAnsi"/>
          <w:bCs/>
          <w:lang w:val="en-GB"/>
        </w:rPr>
        <w:t xml:space="preserve">The PBAC helps decide whether and, if so, how medicines should be subsidised through the Pharmaceutical Benefits Scheme (PBS) in Australia. It considers </w:t>
      </w:r>
      <w:r w:rsidRPr="007129F2">
        <w:rPr>
          <w:rFonts w:asciiTheme="minorHAnsi" w:hAnsiTheme="minorHAnsi"/>
          <w:bCs/>
          <w:lang w:val="en-GB"/>
        </w:rPr>
        <w:lastRenderedPageBreak/>
        <w:t>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3815FE3" w14:textId="77777777" w:rsidR="00573FAA" w:rsidRPr="00A84C4E" w:rsidRDefault="00573FAA" w:rsidP="00A84C4E">
      <w:pPr>
        <w:keepNext/>
        <w:widowControl w:val="0"/>
        <w:numPr>
          <w:ilvl w:val="0"/>
          <w:numId w:val="1"/>
        </w:numPr>
        <w:spacing w:before="240" w:after="120"/>
        <w:outlineLvl w:val="0"/>
        <w:rPr>
          <w:rFonts w:asciiTheme="minorHAnsi" w:hAnsiTheme="minorHAnsi"/>
          <w:b/>
          <w:bCs/>
          <w:snapToGrid w:val="0"/>
          <w:sz w:val="32"/>
        </w:rPr>
      </w:pPr>
      <w:r w:rsidRPr="00A84C4E" w:rsidDel="007129F2">
        <w:rPr>
          <w:rFonts w:asciiTheme="minorHAnsi" w:hAnsiTheme="minorHAnsi"/>
          <w:b/>
          <w:bCs/>
          <w:snapToGrid w:val="0"/>
          <w:sz w:val="32"/>
        </w:rPr>
        <w:t xml:space="preserve"> </w:t>
      </w:r>
      <w:r w:rsidRPr="00A84C4E">
        <w:rPr>
          <w:rFonts w:asciiTheme="minorHAnsi" w:hAnsiTheme="minorHAnsi"/>
          <w:b/>
          <w:bCs/>
          <w:snapToGrid w:val="0"/>
          <w:sz w:val="32"/>
        </w:rPr>
        <w:t>Sponsor’s Comment</w:t>
      </w:r>
    </w:p>
    <w:p w14:paraId="05485C83" w14:textId="77777777" w:rsidR="00411B48" w:rsidRPr="00411B48" w:rsidRDefault="00411B48" w:rsidP="00411B48">
      <w:pPr>
        <w:spacing w:after="120"/>
        <w:ind w:left="851"/>
        <w:rPr>
          <w:rFonts w:asciiTheme="minorHAnsi" w:hAnsiTheme="minorHAnsi"/>
          <w:bCs/>
          <w:lang w:val="en-GB"/>
        </w:rPr>
      </w:pPr>
      <w:r w:rsidRPr="00411B48">
        <w:rPr>
          <w:rFonts w:asciiTheme="minorHAnsi" w:hAnsiTheme="minorHAnsi"/>
          <w:bCs/>
          <w:lang w:val="en-GB"/>
        </w:rPr>
        <w:t>Novartis is disappointed that the PBAC did not recommend  changes to the PBS listing to include a broader patient population with HF. Novartis welcomes the amendments to beta blocker requirements in the restriction to be more consistent with clinical guidelines and allow greater flexibility for clinical decision making.</w:t>
      </w:r>
    </w:p>
    <w:p w14:paraId="4411C749" w14:textId="0EBD2DCB" w:rsidR="00573FAA" w:rsidRPr="00D26691" w:rsidRDefault="00411B48" w:rsidP="00D26691">
      <w:pPr>
        <w:jc w:val="left"/>
        <w:rPr>
          <w:color w:val="3366FF"/>
        </w:rPr>
      </w:pPr>
      <w:r w:rsidRPr="00411B48">
        <w:rPr>
          <w:rFonts w:asciiTheme="minorHAnsi" w:hAnsiTheme="minorHAnsi"/>
          <w:bCs/>
          <w:lang w:val="en-GB"/>
        </w:rPr>
        <w:t>This PSD was subject to the new process and standardised redaction criteria which allows for the publication of clinical data that are not already in the public domain. Novartis Australia did not have approval for the publishing</w:t>
      </w:r>
      <w:r w:rsidR="008C7D5D">
        <w:rPr>
          <w:rFonts w:asciiTheme="minorHAnsi" w:hAnsiTheme="minorHAnsi"/>
          <w:bCs/>
          <w:lang w:val="en-GB"/>
        </w:rPr>
        <w:t xml:space="preserve"> of</w:t>
      </w:r>
      <w:r w:rsidRPr="00411B48">
        <w:rPr>
          <w:rFonts w:asciiTheme="minorHAnsi" w:hAnsiTheme="minorHAnsi"/>
          <w:bCs/>
          <w:lang w:val="en-GB"/>
        </w:rPr>
        <w:t xml:space="preserve"> any additional data for the pivotal trial other than that presented in the published papers at the time of the PBAC submission and during the evaluation</w:t>
      </w:r>
      <w:r>
        <w:rPr>
          <w:rFonts w:asciiTheme="minorHAnsi" w:hAnsiTheme="minorHAnsi"/>
          <w:bCs/>
          <w:lang w:val="en-GB"/>
        </w:rPr>
        <w:t xml:space="preserve"> process.</w:t>
      </w:r>
    </w:p>
    <w:sectPr w:rsidR="00573FAA" w:rsidRPr="00D26691" w:rsidSect="00251006">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DADF7" w16cex:dateUtc="2020-12-10T21:36:00Z"/>
  <w16cex:commentExtensible w16cex:durableId="237DB120" w16cex:dateUtc="2020-12-10T21:49:00Z"/>
  <w16cex:commentExtensible w16cex:durableId="237DB384" w16cex:dateUtc="2020-12-10T21:59:00Z"/>
  <w16cex:commentExtensible w16cex:durableId="237DB5DB" w16cex:dateUtc="2020-12-10T2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F3F4D9" w16cid:durableId="237DADF7"/>
  <w16cid:commentId w16cid:paraId="0F239C1B" w16cid:durableId="237DB120"/>
  <w16cid:commentId w16cid:paraId="65E0ED42" w16cid:durableId="237DACEC"/>
  <w16cid:commentId w16cid:paraId="0CEFFF48" w16cid:durableId="237DB384"/>
  <w16cid:commentId w16cid:paraId="178A3DF8" w16cid:durableId="237DACED"/>
  <w16cid:commentId w16cid:paraId="735D128A" w16cid:durableId="237DB5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3F644" w14:textId="77777777" w:rsidR="00192EE9" w:rsidRDefault="00192EE9" w:rsidP="00124A51">
      <w:r>
        <w:separator/>
      </w:r>
    </w:p>
    <w:p w14:paraId="444B5FED" w14:textId="77777777" w:rsidR="00192EE9" w:rsidRDefault="00192EE9"/>
  </w:endnote>
  <w:endnote w:type="continuationSeparator" w:id="0">
    <w:p w14:paraId="4E4BAF95" w14:textId="77777777" w:rsidR="00192EE9" w:rsidRDefault="00192EE9" w:rsidP="00124A51">
      <w:r>
        <w:continuationSeparator/>
      </w:r>
    </w:p>
    <w:p w14:paraId="489BD6FF" w14:textId="77777777" w:rsidR="00192EE9" w:rsidRDefault="00192E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42124" w14:textId="77777777" w:rsidR="00192EE9" w:rsidRDefault="00192E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3A18B" w14:textId="77777777" w:rsidR="00192EE9" w:rsidRDefault="00192EE9">
    <w:pPr>
      <w:pStyle w:val="Footer"/>
    </w:pPr>
  </w:p>
  <w:p w14:paraId="5CE9105C" w14:textId="4000BF41" w:rsidR="00192EE9" w:rsidRPr="00C0061E" w:rsidRDefault="00192EE9" w:rsidP="00C0061E">
    <w:pPr>
      <w:pStyle w:val="Footer"/>
      <w:keepNext/>
      <w:ind w:left="360"/>
      <w:jc w:val="center"/>
      <w:rPr>
        <w:rFonts w:asciiTheme="minorHAnsi" w:hAnsiTheme="minorHAnsi"/>
      </w:rPr>
    </w:pPr>
    <w:r>
      <w:rPr>
        <w:b/>
      </w:rPr>
      <w:t xml:space="preserve"> </w:t>
    </w:r>
    <w:r w:rsidRPr="00836F75">
      <w:rPr>
        <w:b/>
      </w:rPr>
      <w:fldChar w:fldCharType="begin"/>
    </w:r>
    <w:r w:rsidRPr="00836F75">
      <w:rPr>
        <w:b/>
      </w:rPr>
      <w:instrText xml:space="preserve"> PAGE   \* MERGEFORMAT </w:instrText>
    </w:r>
    <w:r w:rsidRPr="00836F75">
      <w:rPr>
        <w:b/>
      </w:rPr>
      <w:fldChar w:fldCharType="separate"/>
    </w:r>
    <w:r w:rsidR="004863E2">
      <w:rPr>
        <w:b/>
        <w:noProof/>
      </w:rPr>
      <w:t>34</w:t>
    </w:r>
    <w:r w:rsidRPr="00836F75">
      <w:rPr>
        <w:b/>
        <w:noProof/>
      </w:rPr>
      <w:fldChar w:fldCharType="end"/>
    </w:r>
    <w:r>
      <w:rPr>
        <w:b/>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44CF1" w14:textId="77777777" w:rsidR="00192EE9" w:rsidRDefault="00192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236C2" w14:textId="77777777" w:rsidR="00192EE9" w:rsidRDefault="00192EE9" w:rsidP="00124A51">
      <w:r>
        <w:separator/>
      </w:r>
    </w:p>
    <w:p w14:paraId="61FB6E11" w14:textId="77777777" w:rsidR="00192EE9" w:rsidRDefault="00192EE9"/>
  </w:footnote>
  <w:footnote w:type="continuationSeparator" w:id="0">
    <w:p w14:paraId="5B2F02B1" w14:textId="77777777" w:rsidR="00192EE9" w:rsidRDefault="00192EE9" w:rsidP="00124A51">
      <w:r>
        <w:continuationSeparator/>
      </w:r>
    </w:p>
    <w:p w14:paraId="35871ABD" w14:textId="77777777" w:rsidR="00192EE9" w:rsidRDefault="00192EE9"/>
  </w:footnote>
  <w:footnote w:id="1">
    <w:p w14:paraId="5705F083" w14:textId="77777777" w:rsidR="00192EE9" w:rsidRDefault="00192EE9" w:rsidP="00C73DC8">
      <w:pPr>
        <w:pStyle w:val="FootnoteText"/>
      </w:pPr>
      <w:r>
        <w:rPr>
          <w:rStyle w:val="FootnoteReference"/>
        </w:rPr>
        <w:footnoteRef/>
      </w:r>
      <w:r>
        <w:t xml:space="preserve"> Ferreira J, et al. </w:t>
      </w:r>
      <w:r w:rsidRPr="0097037C">
        <w:t>Heart failure in the outpatient versus inpatient setting: findings from the BIOSTAT‐CHF study</w:t>
      </w:r>
      <w:r>
        <w:t>. European Journal of Heart Failure. 2019;21(1):112-120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BC372" w14:textId="77777777" w:rsidR="00192EE9" w:rsidRDefault="00192E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7F7A8" w14:textId="77777777" w:rsidR="00192EE9" w:rsidRPr="00056684" w:rsidRDefault="00192EE9" w:rsidP="00C0061E">
    <w:pPr>
      <w:pStyle w:val="Header"/>
      <w:keepNext/>
      <w:ind w:left="360"/>
      <w:jc w:val="center"/>
      <w:rPr>
        <w:rFonts w:asciiTheme="minorHAnsi" w:hAnsiTheme="minorHAnsi"/>
        <w:i/>
        <w:color w:val="808080"/>
      </w:rPr>
    </w:pPr>
    <w:r>
      <w:rPr>
        <w:rFonts w:asciiTheme="minorHAnsi" w:hAnsiTheme="minorHAnsi"/>
        <w:i/>
        <w:color w:val="808080"/>
      </w:rPr>
      <w:t xml:space="preserve">Public Summary Document </w:t>
    </w:r>
    <w:r w:rsidRPr="00056684">
      <w:rPr>
        <w:rFonts w:asciiTheme="minorHAnsi" w:hAnsiTheme="minorHAnsi"/>
        <w:i/>
        <w:color w:val="808080"/>
      </w:rPr>
      <w:t xml:space="preserve">– </w:t>
    </w:r>
    <w:r>
      <w:rPr>
        <w:rFonts w:asciiTheme="minorHAnsi" w:hAnsiTheme="minorHAnsi"/>
        <w:i/>
        <w:color w:val="808080"/>
      </w:rPr>
      <w:t>November 2020</w:t>
    </w:r>
    <w:r w:rsidRPr="00056684">
      <w:rPr>
        <w:rFonts w:asciiTheme="minorHAnsi" w:hAnsiTheme="minorHAnsi"/>
        <w:i/>
        <w:color w:val="808080"/>
      </w:rPr>
      <w:t xml:space="preserve"> PBAC Meeting</w:t>
    </w:r>
  </w:p>
  <w:p w14:paraId="3D449118" w14:textId="77777777" w:rsidR="00192EE9" w:rsidRDefault="00192EE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B28C2" w14:textId="77777777" w:rsidR="00192EE9" w:rsidRDefault="00192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3B6274A"/>
    <w:multiLevelType w:val="hybridMultilevel"/>
    <w:tmpl w:val="E07A47CC"/>
    <w:lvl w:ilvl="0" w:tplc="E1B6BF4A">
      <w:start w:val="1"/>
      <w:numFmt w:val="decimal"/>
      <w:lvlText w:val="%1."/>
      <w:lvlJc w:val="left"/>
      <w:pPr>
        <w:ind w:left="1778"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1E77D9"/>
    <w:multiLevelType w:val="hybridMultilevel"/>
    <w:tmpl w:val="1A3A8BF0"/>
    <w:lvl w:ilvl="0" w:tplc="0C090001">
      <w:start w:val="1"/>
      <w:numFmt w:val="bullet"/>
      <w:lvlText w:val=""/>
      <w:lvlJc w:val="left"/>
      <w:pPr>
        <w:ind w:left="1488" w:hanging="360"/>
      </w:pPr>
      <w:rPr>
        <w:rFonts w:ascii="Symbol" w:hAnsi="Symbol" w:hint="default"/>
      </w:rPr>
    </w:lvl>
    <w:lvl w:ilvl="1" w:tplc="0C090003" w:tentative="1">
      <w:start w:val="1"/>
      <w:numFmt w:val="bullet"/>
      <w:lvlText w:val="o"/>
      <w:lvlJc w:val="left"/>
      <w:pPr>
        <w:ind w:left="2208" w:hanging="360"/>
      </w:pPr>
      <w:rPr>
        <w:rFonts w:ascii="Courier New" w:hAnsi="Courier New" w:cs="Courier New" w:hint="default"/>
      </w:rPr>
    </w:lvl>
    <w:lvl w:ilvl="2" w:tplc="0C090005" w:tentative="1">
      <w:start w:val="1"/>
      <w:numFmt w:val="bullet"/>
      <w:lvlText w:val=""/>
      <w:lvlJc w:val="left"/>
      <w:pPr>
        <w:ind w:left="2928" w:hanging="360"/>
      </w:pPr>
      <w:rPr>
        <w:rFonts w:ascii="Wingdings" w:hAnsi="Wingdings" w:hint="default"/>
      </w:rPr>
    </w:lvl>
    <w:lvl w:ilvl="3" w:tplc="0C090001" w:tentative="1">
      <w:start w:val="1"/>
      <w:numFmt w:val="bullet"/>
      <w:lvlText w:val=""/>
      <w:lvlJc w:val="left"/>
      <w:pPr>
        <w:ind w:left="3648" w:hanging="360"/>
      </w:pPr>
      <w:rPr>
        <w:rFonts w:ascii="Symbol" w:hAnsi="Symbol" w:hint="default"/>
      </w:rPr>
    </w:lvl>
    <w:lvl w:ilvl="4" w:tplc="0C090003" w:tentative="1">
      <w:start w:val="1"/>
      <w:numFmt w:val="bullet"/>
      <w:lvlText w:val="o"/>
      <w:lvlJc w:val="left"/>
      <w:pPr>
        <w:ind w:left="4368" w:hanging="360"/>
      </w:pPr>
      <w:rPr>
        <w:rFonts w:ascii="Courier New" w:hAnsi="Courier New" w:cs="Courier New" w:hint="default"/>
      </w:rPr>
    </w:lvl>
    <w:lvl w:ilvl="5" w:tplc="0C090005" w:tentative="1">
      <w:start w:val="1"/>
      <w:numFmt w:val="bullet"/>
      <w:lvlText w:val=""/>
      <w:lvlJc w:val="left"/>
      <w:pPr>
        <w:ind w:left="5088" w:hanging="360"/>
      </w:pPr>
      <w:rPr>
        <w:rFonts w:ascii="Wingdings" w:hAnsi="Wingdings" w:hint="default"/>
      </w:rPr>
    </w:lvl>
    <w:lvl w:ilvl="6" w:tplc="0C090001" w:tentative="1">
      <w:start w:val="1"/>
      <w:numFmt w:val="bullet"/>
      <w:lvlText w:val=""/>
      <w:lvlJc w:val="left"/>
      <w:pPr>
        <w:ind w:left="5808" w:hanging="360"/>
      </w:pPr>
      <w:rPr>
        <w:rFonts w:ascii="Symbol" w:hAnsi="Symbol" w:hint="default"/>
      </w:rPr>
    </w:lvl>
    <w:lvl w:ilvl="7" w:tplc="0C090003" w:tentative="1">
      <w:start w:val="1"/>
      <w:numFmt w:val="bullet"/>
      <w:lvlText w:val="o"/>
      <w:lvlJc w:val="left"/>
      <w:pPr>
        <w:ind w:left="6528" w:hanging="360"/>
      </w:pPr>
      <w:rPr>
        <w:rFonts w:ascii="Courier New" w:hAnsi="Courier New" w:cs="Courier New" w:hint="default"/>
      </w:rPr>
    </w:lvl>
    <w:lvl w:ilvl="8" w:tplc="0C090005" w:tentative="1">
      <w:start w:val="1"/>
      <w:numFmt w:val="bullet"/>
      <w:lvlText w:val=""/>
      <w:lvlJc w:val="left"/>
      <w:pPr>
        <w:ind w:left="7248" w:hanging="360"/>
      </w:pPr>
      <w:rPr>
        <w:rFonts w:ascii="Wingdings" w:hAnsi="Wingdings" w:hint="default"/>
      </w:rPr>
    </w:lvl>
  </w:abstractNum>
  <w:abstractNum w:abstractNumId="8" w15:restartNumberingAfterBreak="0">
    <w:nsid w:val="348106E0"/>
    <w:multiLevelType w:val="hybridMultilevel"/>
    <w:tmpl w:val="51D02A82"/>
    <w:lvl w:ilvl="0" w:tplc="430A2742">
      <w:numFmt w:val="bullet"/>
      <w:lvlText w:val="-"/>
      <w:lvlJc w:val="left"/>
      <w:pPr>
        <w:ind w:left="720" w:hanging="360"/>
      </w:pPr>
      <w:rPr>
        <w:rFonts w:ascii="Arial Narrow" w:eastAsia="Times New Roman" w:hAnsi="Arial Narrow"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34515F"/>
    <w:multiLevelType w:val="hybridMultilevel"/>
    <w:tmpl w:val="E412371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CB74D12"/>
    <w:multiLevelType w:val="multilevel"/>
    <w:tmpl w:val="BE684A04"/>
    <w:lvl w:ilvl="0">
      <w:start w:val="1"/>
      <w:numFmt w:val="decimal"/>
      <w:lvlText w:val="%1"/>
      <w:lvlJc w:val="left"/>
      <w:pPr>
        <w:ind w:left="720" w:hanging="720"/>
      </w:pPr>
      <w:rPr>
        <w:rFonts w:hint="default"/>
        <w:b/>
      </w:rPr>
    </w:lvl>
    <w:lvl w:ilvl="1">
      <w:start w:val="1"/>
      <w:numFmt w:val="bullet"/>
      <w:lvlText w:val=""/>
      <w:lvlJc w:val="left"/>
      <w:pPr>
        <w:ind w:left="1004"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E4B5CAB"/>
    <w:multiLevelType w:val="hybridMultilevel"/>
    <w:tmpl w:val="C29EA6E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3" w15:restartNumberingAfterBreak="0">
    <w:nsid w:val="515A3DC3"/>
    <w:multiLevelType w:val="hybridMultilevel"/>
    <w:tmpl w:val="64662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462709"/>
    <w:multiLevelType w:val="hybridMultilevel"/>
    <w:tmpl w:val="4184E7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5AB6643"/>
    <w:multiLevelType w:val="multilevel"/>
    <w:tmpl w:val="E6FE4E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84D033C"/>
    <w:multiLevelType w:val="multilevel"/>
    <w:tmpl w:val="DD2EE938"/>
    <w:lvl w:ilvl="0">
      <w:start w:val="1"/>
      <w:numFmt w:val="decimal"/>
      <w:pStyle w:val="2-SectionHeading"/>
      <w:lvlText w:val="%1"/>
      <w:lvlJc w:val="left"/>
      <w:pPr>
        <w:ind w:left="720" w:hanging="720"/>
      </w:pPr>
      <w:rPr>
        <w:rFonts w:hint="default"/>
        <w:b/>
        <w:i w:val="0"/>
      </w:rPr>
    </w:lvl>
    <w:lvl w:ilvl="1">
      <w:start w:val="1"/>
      <w:numFmt w:val="decimal"/>
      <w:pStyle w:val="ExecSumBodyText"/>
      <w:lvlText w:val="%1.%2"/>
      <w:lvlJc w:val="left"/>
      <w:pPr>
        <w:ind w:left="143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18"/>
  </w:num>
  <w:num w:numId="2">
    <w:abstractNumId w:val="9"/>
  </w:num>
  <w:num w:numId="3">
    <w:abstractNumId w:val="0"/>
  </w:num>
  <w:num w:numId="4">
    <w:abstractNumId w:val="18"/>
  </w:num>
  <w:num w:numId="5">
    <w:abstractNumId w:val="11"/>
  </w:num>
  <w:num w:numId="6">
    <w:abstractNumId w:val="8"/>
  </w:num>
  <w:num w:numId="7">
    <w:abstractNumId w:val="4"/>
  </w:num>
  <w:num w:numId="8">
    <w:abstractNumId w:val="19"/>
  </w:num>
  <w:num w:numId="9">
    <w:abstractNumId w:val="12"/>
  </w:num>
  <w:num w:numId="10">
    <w:abstractNumId w:val="17"/>
  </w:num>
  <w:num w:numId="11">
    <w:abstractNumId w:val="14"/>
  </w:num>
  <w:num w:numId="12">
    <w:abstractNumId w:val="15"/>
  </w:num>
  <w:num w:numId="13">
    <w:abstractNumId w:val="2"/>
  </w:num>
  <w:num w:numId="14">
    <w:abstractNumId w:val="1"/>
  </w:num>
  <w:num w:numId="15">
    <w:abstractNumId w:val="5"/>
  </w:num>
  <w:num w:numId="16">
    <w:abstractNumId w:val="6"/>
  </w:num>
  <w:num w:numId="17">
    <w:abstractNumId w:val="3"/>
  </w:num>
  <w:num w:numId="18">
    <w:abstractNumId w:val="18"/>
  </w:num>
  <w:num w:numId="19">
    <w:abstractNumId w:val="16"/>
  </w:num>
  <w:num w:numId="20">
    <w:abstractNumId w:val="10"/>
  </w:num>
  <w:num w:numId="21">
    <w:abstractNumId w:val="18"/>
  </w:num>
  <w:num w:numId="22">
    <w:abstractNumId w:val="13"/>
  </w:num>
  <w:num w:numId="23">
    <w:abstractNumId w:val="7"/>
  </w:num>
  <w:num w:numId="24">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3499"/>
    <w:rsid w:val="000039B7"/>
    <w:rsid w:val="0000639A"/>
    <w:rsid w:val="00006978"/>
    <w:rsid w:val="00013247"/>
    <w:rsid w:val="00013F94"/>
    <w:rsid w:val="00015886"/>
    <w:rsid w:val="000162EF"/>
    <w:rsid w:val="000169A5"/>
    <w:rsid w:val="00016C54"/>
    <w:rsid w:val="000172A6"/>
    <w:rsid w:val="000207C9"/>
    <w:rsid w:val="000213DD"/>
    <w:rsid w:val="00021F98"/>
    <w:rsid w:val="0002225F"/>
    <w:rsid w:val="00023763"/>
    <w:rsid w:val="000274B8"/>
    <w:rsid w:val="00031E3D"/>
    <w:rsid w:val="00033863"/>
    <w:rsid w:val="00034B14"/>
    <w:rsid w:val="00035DC0"/>
    <w:rsid w:val="0003622C"/>
    <w:rsid w:val="00036496"/>
    <w:rsid w:val="00036829"/>
    <w:rsid w:val="000372CC"/>
    <w:rsid w:val="00040895"/>
    <w:rsid w:val="000413FF"/>
    <w:rsid w:val="00041593"/>
    <w:rsid w:val="000428B8"/>
    <w:rsid w:val="000435EE"/>
    <w:rsid w:val="00043C37"/>
    <w:rsid w:val="00045017"/>
    <w:rsid w:val="00045322"/>
    <w:rsid w:val="00045A2B"/>
    <w:rsid w:val="000462E1"/>
    <w:rsid w:val="0004698F"/>
    <w:rsid w:val="00050C46"/>
    <w:rsid w:val="00051281"/>
    <w:rsid w:val="00052A8F"/>
    <w:rsid w:val="000539D0"/>
    <w:rsid w:val="000540A9"/>
    <w:rsid w:val="00054621"/>
    <w:rsid w:val="000546D7"/>
    <w:rsid w:val="00055FF2"/>
    <w:rsid w:val="00056ECF"/>
    <w:rsid w:val="00060260"/>
    <w:rsid w:val="00060404"/>
    <w:rsid w:val="000604DF"/>
    <w:rsid w:val="000634A5"/>
    <w:rsid w:val="00064AAF"/>
    <w:rsid w:val="000653B5"/>
    <w:rsid w:val="00066360"/>
    <w:rsid w:val="00066AF8"/>
    <w:rsid w:val="00067B4D"/>
    <w:rsid w:val="00070E0F"/>
    <w:rsid w:val="00071248"/>
    <w:rsid w:val="000720B9"/>
    <w:rsid w:val="000737F7"/>
    <w:rsid w:val="00075233"/>
    <w:rsid w:val="0007672F"/>
    <w:rsid w:val="00076B24"/>
    <w:rsid w:val="00076B54"/>
    <w:rsid w:val="000774F0"/>
    <w:rsid w:val="00077ADC"/>
    <w:rsid w:val="000808C6"/>
    <w:rsid w:val="00080909"/>
    <w:rsid w:val="000812CA"/>
    <w:rsid w:val="00081E63"/>
    <w:rsid w:val="0008258D"/>
    <w:rsid w:val="000836DD"/>
    <w:rsid w:val="00083E99"/>
    <w:rsid w:val="00084FA8"/>
    <w:rsid w:val="000856C5"/>
    <w:rsid w:val="00085BCE"/>
    <w:rsid w:val="00085C31"/>
    <w:rsid w:val="000902D9"/>
    <w:rsid w:val="00090C7E"/>
    <w:rsid w:val="00091C18"/>
    <w:rsid w:val="00092600"/>
    <w:rsid w:val="0009262B"/>
    <w:rsid w:val="00093310"/>
    <w:rsid w:val="00093F23"/>
    <w:rsid w:val="0009445C"/>
    <w:rsid w:val="00095200"/>
    <w:rsid w:val="00095E16"/>
    <w:rsid w:val="00095F3E"/>
    <w:rsid w:val="00095FE5"/>
    <w:rsid w:val="00096284"/>
    <w:rsid w:val="00097001"/>
    <w:rsid w:val="00097290"/>
    <w:rsid w:val="0009789A"/>
    <w:rsid w:val="00097BBD"/>
    <w:rsid w:val="000A1BC0"/>
    <w:rsid w:val="000A5401"/>
    <w:rsid w:val="000A5509"/>
    <w:rsid w:val="000A6039"/>
    <w:rsid w:val="000A7453"/>
    <w:rsid w:val="000A7D08"/>
    <w:rsid w:val="000A7D6F"/>
    <w:rsid w:val="000B0121"/>
    <w:rsid w:val="000B0670"/>
    <w:rsid w:val="000B0E75"/>
    <w:rsid w:val="000B2DCB"/>
    <w:rsid w:val="000B4B30"/>
    <w:rsid w:val="000B5CE0"/>
    <w:rsid w:val="000B6CAC"/>
    <w:rsid w:val="000B729A"/>
    <w:rsid w:val="000B7612"/>
    <w:rsid w:val="000B78AE"/>
    <w:rsid w:val="000B7B02"/>
    <w:rsid w:val="000C0661"/>
    <w:rsid w:val="000C0C0C"/>
    <w:rsid w:val="000C3DF9"/>
    <w:rsid w:val="000C6713"/>
    <w:rsid w:val="000D1BFC"/>
    <w:rsid w:val="000D1D5D"/>
    <w:rsid w:val="000D281A"/>
    <w:rsid w:val="000D2833"/>
    <w:rsid w:val="000D2848"/>
    <w:rsid w:val="000D326A"/>
    <w:rsid w:val="000D51FB"/>
    <w:rsid w:val="000D6146"/>
    <w:rsid w:val="000E0640"/>
    <w:rsid w:val="000E135D"/>
    <w:rsid w:val="000E1542"/>
    <w:rsid w:val="000E1FDA"/>
    <w:rsid w:val="000E6A0A"/>
    <w:rsid w:val="000F00BA"/>
    <w:rsid w:val="000F316A"/>
    <w:rsid w:val="000F3C74"/>
    <w:rsid w:val="000F4BB8"/>
    <w:rsid w:val="000F4FA9"/>
    <w:rsid w:val="000F53FB"/>
    <w:rsid w:val="000F5C69"/>
    <w:rsid w:val="000F7127"/>
    <w:rsid w:val="000F7730"/>
    <w:rsid w:val="000F7B54"/>
    <w:rsid w:val="00100F8A"/>
    <w:rsid w:val="00102EE9"/>
    <w:rsid w:val="00103133"/>
    <w:rsid w:val="0010452E"/>
    <w:rsid w:val="001055CE"/>
    <w:rsid w:val="00105AE2"/>
    <w:rsid w:val="001060C6"/>
    <w:rsid w:val="00106B80"/>
    <w:rsid w:val="0011032E"/>
    <w:rsid w:val="00112D15"/>
    <w:rsid w:val="0011348B"/>
    <w:rsid w:val="00114C94"/>
    <w:rsid w:val="00115982"/>
    <w:rsid w:val="00116C53"/>
    <w:rsid w:val="00117589"/>
    <w:rsid w:val="00121799"/>
    <w:rsid w:val="001222FC"/>
    <w:rsid w:val="001233BE"/>
    <w:rsid w:val="00123902"/>
    <w:rsid w:val="00124A51"/>
    <w:rsid w:val="00126621"/>
    <w:rsid w:val="0012680A"/>
    <w:rsid w:val="00126B1D"/>
    <w:rsid w:val="001301E9"/>
    <w:rsid w:val="00130D66"/>
    <w:rsid w:val="001310F1"/>
    <w:rsid w:val="00131D82"/>
    <w:rsid w:val="00131FDC"/>
    <w:rsid w:val="00132B22"/>
    <w:rsid w:val="00133D36"/>
    <w:rsid w:val="001340CF"/>
    <w:rsid w:val="001365D1"/>
    <w:rsid w:val="00137645"/>
    <w:rsid w:val="0014015A"/>
    <w:rsid w:val="001409B3"/>
    <w:rsid w:val="00140E99"/>
    <w:rsid w:val="00141D33"/>
    <w:rsid w:val="0014218E"/>
    <w:rsid w:val="001432A2"/>
    <w:rsid w:val="00143F67"/>
    <w:rsid w:val="00144079"/>
    <w:rsid w:val="00145540"/>
    <w:rsid w:val="001456B0"/>
    <w:rsid w:val="001463FD"/>
    <w:rsid w:val="00147E21"/>
    <w:rsid w:val="001502C1"/>
    <w:rsid w:val="0015259A"/>
    <w:rsid w:val="001528D6"/>
    <w:rsid w:val="00156F8F"/>
    <w:rsid w:val="00157130"/>
    <w:rsid w:val="001576B1"/>
    <w:rsid w:val="00157E17"/>
    <w:rsid w:val="0016047B"/>
    <w:rsid w:val="001604B1"/>
    <w:rsid w:val="001605C5"/>
    <w:rsid w:val="00160A4C"/>
    <w:rsid w:val="001617FA"/>
    <w:rsid w:val="00162913"/>
    <w:rsid w:val="00163EFF"/>
    <w:rsid w:val="00163F66"/>
    <w:rsid w:val="001661FB"/>
    <w:rsid w:val="001671A0"/>
    <w:rsid w:val="0016767F"/>
    <w:rsid w:val="001732E2"/>
    <w:rsid w:val="00173565"/>
    <w:rsid w:val="00173B07"/>
    <w:rsid w:val="001751FA"/>
    <w:rsid w:val="001801A7"/>
    <w:rsid w:val="00180C31"/>
    <w:rsid w:val="001812FB"/>
    <w:rsid w:val="001816E0"/>
    <w:rsid w:val="00181D9C"/>
    <w:rsid w:val="00184397"/>
    <w:rsid w:val="00184B0E"/>
    <w:rsid w:val="0018688C"/>
    <w:rsid w:val="0018752F"/>
    <w:rsid w:val="00191C89"/>
    <w:rsid w:val="00192EE9"/>
    <w:rsid w:val="00193838"/>
    <w:rsid w:val="00194AD8"/>
    <w:rsid w:val="00195222"/>
    <w:rsid w:val="00196B1C"/>
    <w:rsid w:val="001975D8"/>
    <w:rsid w:val="001A0340"/>
    <w:rsid w:val="001A178E"/>
    <w:rsid w:val="001A1B26"/>
    <w:rsid w:val="001A36C5"/>
    <w:rsid w:val="001A4257"/>
    <w:rsid w:val="001A43FA"/>
    <w:rsid w:val="001A47C5"/>
    <w:rsid w:val="001A48EC"/>
    <w:rsid w:val="001A59FB"/>
    <w:rsid w:val="001A5E9E"/>
    <w:rsid w:val="001A6354"/>
    <w:rsid w:val="001A6366"/>
    <w:rsid w:val="001A7AE8"/>
    <w:rsid w:val="001B03EA"/>
    <w:rsid w:val="001B204E"/>
    <w:rsid w:val="001B2372"/>
    <w:rsid w:val="001B3443"/>
    <w:rsid w:val="001B4D20"/>
    <w:rsid w:val="001C0E12"/>
    <w:rsid w:val="001C2A9B"/>
    <w:rsid w:val="001C3A23"/>
    <w:rsid w:val="001C4299"/>
    <w:rsid w:val="001C4874"/>
    <w:rsid w:val="001C5F94"/>
    <w:rsid w:val="001C6E66"/>
    <w:rsid w:val="001D0F45"/>
    <w:rsid w:val="001D1100"/>
    <w:rsid w:val="001D1391"/>
    <w:rsid w:val="001D25D7"/>
    <w:rsid w:val="001D40DD"/>
    <w:rsid w:val="001D50B2"/>
    <w:rsid w:val="001D7645"/>
    <w:rsid w:val="001D7A02"/>
    <w:rsid w:val="001E1E86"/>
    <w:rsid w:val="001E20F6"/>
    <w:rsid w:val="001E238E"/>
    <w:rsid w:val="001E2483"/>
    <w:rsid w:val="001E2A96"/>
    <w:rsid w:val="001E2B1E"/>
    <w:rsid w:val="001E2CFF"/>
    <w:rsid w:val="001E2F24"/>
    <w:rsid w:val="001E30D4"/>
    <w:rsid w:val="001E34DF"/>
    <w:rsid w:val="001E3EA1"/>
    <w:rsid w:val="001E4D57"/>
    <w:rsid w:val="001E52EB"/>
    <w:rsid w:val="001E5B3E"/>
    <w:rsid w:val="001E61D2"/>
    <w:rsid w:val="001E7359"/>
    <w:rsid w:val="001E740C"/>
    <w:rsid w:val="001F1235"/>
    <w:rsid w:val="001F1CB3"/>
    <w:rsid w:val="001F2984"/>
    <w:rsid w:val="001F2987"/>
    <w:rsid w:val="001F38B5"/>
    <w:rsid w:val="001F4081"/>
    <w:rsid w:val="001F43B4"/>
    <w:rsid w:val="001F50D1"/>
    <w:rsid w:val="001F5EF5"/>
    <w:rsid w:val="001F7361"/>
    <w:rsid w:val="001F7C34"/>
    <w:rsid w:val="00200EF8"/>
    <w:rsid w:val="002011B0"/>
    <w:rsid w:val="00203181"/>
    <w:rsid w:val="00203783"/>
    <w:rsid w:val="0020385F"/>
    <w:rsid w:val="0020387C"/>
    <w:rsid w:val="00204206"/>
    <w:rsid w:val="002068A0"/>
    <w:rsid w:val="00206C14"/>
    <w:rsid w:val="00207021"/>
    <w:rsid w:val="0020732F"/>
    <w:rsid w:val="00207D00"/>
    <w:rsid w:val="002105C1"/>
    <w:rsid w:val="00212B8B"/>
    <w:rsid w:val="00213AE0"/>
    <w:rsid w:val="00213EF5"/>
    <w:rsid w:val="00214967"/>
    <w:rsid w:val="00214A47"/>
    <w:rsid w:val="00216BF5"/>
    <w:rsid w:val="00216FF5"/>
    <w:rsid w:val="002207E0"/>
    <w:rsid w:val="00220D86"/>
    <w:rsid w:val="00223B49"/>
    <w:rsid w:val="00223D5A"/>
    <w:rsid w:val="00224DD4"/>
    <w:rsid w:val="002269E9"/>
    <w:rsid w:val="002278A0"/>
    <w:rsid w:val="002304D7"/>
    <w:rsid w:val="002309CC"/>
    <w:rsid w:val="00230DB1"/>
    <w:rsid w:val="0023209F"/>
    <w:rsid w:val="00233C01"/>
    <w:rsid w:val="0023413C"/>
    <w:rsid w:val="002346F0"/>
    <w:rsid w:val="00236023"/>
    <w:rsid w:val="0023629D"/>
    <w:rsid w:val="00236891"/>
    <w:rsid w:val="00237255"/>
    <w:rsid w:val="002373C3"/>
    <w:rsid w:val="00241224"/>
    <w:rsid w:val="002424AF"/>
    <w:rsid w:val="002439DC"/>
    <w:rsid w:val="002441D2"/>
    <w:rsid w:val="00244DC8"/>
    <w:rsid w:val="002458BA"/>
    <w:rsid w:val="00245CE9"/>
    <w:rsid w:val="0024636C"/>
    <w:rsid w:val="00247925"/>
    <w:rsid w:val="002509E9"/>
    <w:rsid w:val="00251006"/>
    <w:rsid w:val="00251360"/>
    <w:rsid w:val="002524D5"/>
    <w:rsid w:val="00253B1D"/>
    <w:rsid w:val="002542B7"/>
    <w:rsid w:val="00254DCF"/>
    <w:rsid w:val="0025534B"/>
    <w:rsid w:val="002559D0"/>
    <w:rsid w:val="00255BB7"/>
    <w:rsid w:val="00257541"/>
    <w:rsid w:val="00257A39"/>
    <w:rsid w:val="00257AC4"/>
    <w:rsid w:val="00261EEF"/>
    <w:rsid w:val="00262A1A"/>
    <w:rsid w:val="00262A87"/>
    <w:rsid w:val="00264D26"/>
    <w:rsid w:val="00267642"/>
    <w:rsid w:val="002676BD"/>
    <w:rsid w:val="00267AEA"/>
    <w:rsid w:val="00267FDC"/>
    <w:rsid w:val="002700E6"/>
    <w:rsid w:val="00271AF2"/>
    <w:rsid w:val="0027294B"/>
    <w:rsid w:val="00273EB4"/>
    <w:rsid w:val="00274682"/>
    <w:rsid w:val="002749FB"/>
    <w:rsid w:val="00275C5A"/>
    <w:rsid w:val="00276346"/>
    <w:rsid w:val="002770B5"/>
    <w:rsid w:val="00281014"/>
    <w:rsid w:val="0028540D"/>
    <w:rsid w:val="0028665D"/>
    <w:rsid w:val="00286919"/>
    <w:rsid w:val="00286ED3"/>
    <w:rsid w:val="00287BBE"/>
    <w:rsid w:val="002901A0"/>
    <w:rsid w:val="0029676A"/>
    <w:rsid w:val="00296B30"/>
    <w:rsid w:val="002A14AB"/>
    <w:rsid w:val="002A2ADE"/>
    <w:rsid w:val="002A2F50"/>
    <w:rsid w:val="002A4483"/>
    <w:rsid w:val="002B05A1"/>
    <w:rsid w:val="002B09A4"/>
    <w:rsid w:val="002B1C1F"/>
    <w:rsid w:val="002B3378"/>
    <w:rsid w:val="002B3459"/>
    <w:rsid w:val="002B3D95"/>
    <w:rsid w:val="002B3FFA"/>
    <w:rsid w:val="002B432F"/>
    <w:rsid w:val="002B5883"/>
    <w:rsid w:val="002B62B3"/>
    <w:rsid w:val="002B6754"/>
    <w:rsid w:val="002B6CCE"/>
    <w:rsid w:val="002B6FB4"/>
    <w:rsid w:val="002B77AA"/>
    <w:rsid w:val="002C06BD"/>
    <w:rsid w:val="002C2510"/>
    <w:rsid w:val="002C2775"/>
    <w:rsid w:val="002C27C1"/>
    <w:rsid w:val="002C5099"/>
    <w:rsid w:val="002C5889"/>
    <w:rsid w:val="002C71CE"/>
    <w:rsid w:val="002C7501"/>
    <w:rsid w:val="002D08F8"/>
    <w:rsid w:val="002D577C"/>
    <w:rsid w:val="002D7589"/>
    <w:rsid w:val="002E035D"/>
    <w:rsid w:val="002E0510"/>
    <w:rsid w:val="002E1071"/>
    <w:rsid w:val="002E15B9"/>
    <w:rsid w:val="002E2158"/>
    <w:rsid w:val="002E4F02"/>
    <w:rsid w:val="002E7722"/>
    <w:rsid w:val="002F07BA"/>
    <w:rsid w:val="002F0DA9"/>
    <w:rsid w:val="002F1014"/>
    <w:rsid w:val="002F3FA5"/>
    <w:rsid w:val="002F50F2"/>
    <w:rsid w:val="002F615C"/>
    <w:rsid w:val="002F631E"/>
    <w:rsid w:val="002F643C"/>
    <w:rsid w:val="002F71C0"/>
    <w:rsid w:val="002F74F1"/>
    <w:rsid w:val="002F7BA6"/>
    <w:rsid w:val="00301017"/>
    <w:rsid w:val="0030155F"/>
    <w:rsid w:val="00303ECA"/>
    <w:rsid w:val="003048DD"/>
    <w:rsid w:val="0030587B"/>
    <w:rsid w:val="00305E50"/>
    <w:rsid w:val="0030650A"/>
    <w:rsid w:val="00306D98"/>
    <w:rsid w:val="0030772F"/>
    <w:rsid w:val="0030786C"/>
    <w:rsid w:val="0031031A"/>
    <w:rsid w:val="00310981"/>
    <w:rsid w:val="003124D9"/>
    <w:rsid w:val="00312594"/>
    <w:rsid w:val="00312FCE"/>
    <w:rsid w:val="003142B3"/>
    <w:rsid w:val="003142D8"/>
    <w:rsid w:val="00315498"/>
    <w:rsid w:val="00316474"/>
    <w:rsid w:val="00316B52"/>
    <w:rsid w:val="00317917"/>
    <w:rsid w:val="0032180A"/>
    <w:rsid w:val="00322107"/>
    <w:rsid w:val="00322355"/>
    <w:rsid w:val="003227A2"/>
    <w:rsid w:val="00322846"/>
    <w:rsid w:val="00322C1E"/>
    <w:rsid w:val="00323558"/>
    <w:rsid w:val="00325393"/>
    <w:rsid w:val="00326DA7"/>
    <w:rsid w:val="003270E4"/>
    <w:rsid w:val="00330DAA"/>
    <w:rsid w:val="00330F5C"/>
    <w:rsid w:val="0033103B"/>
    <w:rsid w:val="00332726"/>
    <w:rsid w:val="003334FA"/>
    <w:rsid w:val="003337C4"/>
    <w:rsid w:val="00334440"/>
    <w:rsid w:val="003366C9"/>
    <w:rsid w:val="003371B0"/>
    <w:rsid w:val="00340DF1"/>
    <w:rsid w:val="00341D98"/>
    <w:rsid w:val="00345766"/>
    <w:rsid w:val="003506C3"/>
    <w:rsid w:val="003517F9"/>
    <w:rsid w:val="00351BA9"/>
    <w:rsid w:val="0035329C"/>
    <w:rsid w:val="0035343D"/>
    <w:rsid w:val="003538C3"/>
    <w:rsid w:val="00353AF6"/>
    <w:rsid w:val="00353FC6"/>
    <w:rsid w:val="00354F64"/>
    <w:rsid w:val="0035620E"/>
    <w:rsid w:val="0035662D"/>
    <w:rsid w:val="003571EF"/>
    <w:rsid w:val="00360345"/>
    <w:rsid w:val="00360E46"/>
    <w:rsid w:val="00361A05"/>
    <w:rsid w:val="00362134"/>
    <w:rsid w:val="003624C4"/>
    <w:rsid w:val="00362649"/>
    <w:rsid w:val="00363B00"/>
    <w:rsid w:val="003641F8"/>
    <w:rsid w:val="003654AC"/>
    <w:rsid w:val="003702C0"/>
    <w:rsid w:val="003710CF"/>
    <w:rsid w:val="00371D09"/>
    <w:rsid w:val="0037221B"/>
    <w:rsid w:val="0037358A"/>
    <w:rsid w:val="00374959"/>
    <w:rsid w:val="003750F6"/>
    <w:rsid w:val="00375D46"/>
    <w:rsid w:val="003760FC"/>
    <w:rsid w:val="00377BA2"/>
    <w:rsid w:val="0038365C"/>
    <w:rsid w:val="0038369B"/>
    <w:rsid w:val="00383B78"/>
    <w:rsid w:val="003857D2"/>
    <w:rsid w:val="00385A9D"/>
    <w:rsid w:val="0038744C"/>
    <w:rsid w:val="003902B1"/>
    <w:rsid w:val="0039179C"/>
    <w:rsid w:val="00392155"/>
    <w:rsid w:val="003922AA"/>
    <w:rsid w:val="00395EF5"/>
    <w:rsid w:val="00396896"/>
    <w:rsid w:val="00396FD0"/>
    <w:rsid w:val="003A0FFB"/>
    <w:rsid w:val="003A1A7A"/>
    <w:rsid w:val="003A2392"/>
    <w:rsid w:val="003A2831"/>
    <w:rsid w:val="003A3CB6"/>
    <w:rsid w:val="003A3ED1"/>
    <w:rsid w:val="003A44DB"/>
    <w:rsid w:val="003A55F2"/>
    <w:rsid w:val="003A5C34"/>
    <w:rsid w:val="003A5E43"/>
    <w:rsid w:val="003A6D56"/>
    <w:rsid w:val="003B3971"/>
    <w:rsid w:val="003B4589"/>
    <w:rsid w:val="003B55D1"/>
    <w:rsid w:val="003B5B61"/>
    <w:rsid w:val="003C0B06"/>
    <w:rsid w:val="003C1285"/>
    <w:rsid w:val="003C1654"/>
    <w:rsid w:val="003C5542"/>
    <w:rsid w:val="003C7D19"/>
    <w:rsid w:val="003C7D2F"/>
    <w:rsid w:val="003D12B4"/>
    <w:rsid w:val="003D1828"/>
    <w:rsid w:val="003D1DE4"/>
    <w:rsid w:val="003D1E9A"/>
    <w:rsid w:val="003D2422"/>
    <w:rsid w:val="003D343E"/>
    <w:rsid w:val="003D39A1"/>
    <w:rsid w:val="003D3FBF"/>
    <w:rsid w:val="003D4A30"/>
    <w:rsid w:val="003D6C4B"/>
    <w:rsid w:val="003D7452"/>
    <w:rsid w:val="003D79BB"/>
    <w:rsid w:val="003D7C98"/>
    <w:rsid w:val="003D7D9D"/>
    <w:rsid w:val="003E0543"/>
    <w:rsid w:val="003E1298"/>
    <w:rsid w:val="003E222F"/>
    <w:rsid w:val="003E29AE"/>
    <w:rsid w:val="003E2EA5"/>
    <w:rsid w:val="003E54B7"/>
    <w:rsid w:val="003E7285"/>
    <w:rsid w:val="003E749E"/>
    <w:rsid w:val="003E78ED"/>
    <w:rsid w:val="003F250E"/>
    <w:rsid w:val="003F2B1D"/>
    <w:rsid w:val="003F2B30"/>
    <w:rsid w:val="003F4156"/>
    <w:rsid w:val="003F4CD0"/>
    <w:rsid w:val="003F5ADF"/>
    <w:rsid w:val="00400B29"/>
    <w:rsid w:val="0040230B"/>
    <w:rsid w:val="00402B11"/>
    <w:rsid w:val="004042EA"/>
    <w:rsid w:val="00404733"/>
    <w:rsid w:val="0040504B"/>
    <w:rsid w:val="004059F4"/>
    <w:rsid w:val="00406C30"/>
    <w:rsid w:val="00407FE5"/>
    <w:rsid w:val="004101B0"/>
    <w:rsid w:val="00410326"/>
    <w:rsid w:val="00410708"/>
    <w:rsid w:val="00410EC7"/>
    <w:rsid w:val="00411B39"/>
    <w:rsid w:val="00411B48"/>
    <w:rsid w:val="004127A7"/>
    <w:rsid w:val="00413372"/>
    <w:rsid w:val="00413583"/>
    <w:rsid w:val="00413A1E"/>
    <w:rsid w:val="00414476"/>
    <w:rsid w:val="00414C2E"/>
    <w:rsid w:val="004151CF"/>
    <w:rsid w:val="00416364"/>
    <w:rsid w:val="0042047F"/>
    <w:rsid w:val="00420AA6"/>
    <w:rsid w:val="00420B9F"/>
    <w:rsid w:val="00421018"/>
    <w:rsid w:val="00421033"/>
    <w:rsid w:val="0042192C"/>
    <w:rsid w:val="00422260"/>
    <w:rsid w:val="00423C55"/>
    <w:rsid w:val="0042413F"/>
    <w:rsid w:val="004248C0"/>
    <w:rsid w:val="004258AE"/>
    <w:rsid w:val="00431330"/>
    <w:rsid w:val="004319F8"/>
    <w:rsid w:val="00431E55"/>
    <w:rsid w:val="004321F6"/>
    <w:rsid w:val="004323A9"/>
    <w:rsid w:val="00433044"/>
    <w:rsid w:val="00434088"/>
    <w:rsid w:val="00435F72"/>
    <w:rsid w:val="00436FA6"/>
    <w:rsid w:val="004375B9"/>
    <w:rsid w:val="004428D0"/>
    <w:rsid w:val="00444185"/>
    <w:rsid w:val="004443A7"/>
    <w:rsid w:val="0044442C"/>
    <w:rsid w:val="00445941"/>
    <w:rsid w:val="004464EB"/>
    <w:rsid w:val="00447D26"/>
    <w:rsid w:val="00447DFC"/>
    <w:rsid w:val="0045075D"/>
    <w:rsid w:val="00453939"/>
    <w:rsid w:val="00454567"/>
    <w:rsid w:val="00455D45"/>
    <w:rsid w:val="00457AB3"/>
    <w:rsid w:val="00464595"/>
    <w:rsid w:val="004658A9"/>
    <w:rsid w:val="004658B5"/>
    <w:rsid w:val="00465989"/>
    <w:rsid w:val="00466A19"/>
    <w:rsid w:val="00470B0C"/>
    <w:rsid w:val="00471EA5"/>
    <w:rsid w:val="00472A79"/>
    <w:rsid w:val="00473565"/>
    <w:rsid w:val="00473F19"/>
    <w:rsid w:val="00474CA8"/>
    <w:rsid w:val="0047564E"/>
    <w:rsid w:val="00475E22"/>
    <w:rsid w:val="00477C93"/>
    <w:rsid w:val="004805AB"/>
    <w:rsid w:val="0048088E"/>
    <w:rsid w:val="00480F2B"/>
    <w:rsid w:val="00482720"/>
    <w:rsid w:val="004835E7"/>
    <w:rsid w:val="00483741"/>
    <w:rsid w:val="00485797"/>
    <w:rsid w:val="00485845"/>
    <w:rsid w:val="00485BE6"/>
    <w:rsid w:val="004863E2"/>
    <w:rsid w:val="004866F3"/>
    <w:rsid w:val="004867E2"/>
    <w:rsid w:val="0048683B"/>
    <w:rsid w:val="00487709"/>
    <w:rsid w:val="00487C0C"/>
    <w:rsid w:val="00490B17"/>
    <w:rsid w:val="00491B3A"/>
    <w:rsid w:val="00492CFD"/>
    <w:rsid w:val="00494207"/>
    <w:rsid w:val="0049491D"/>
    <w:rsid w:val="00494DD5"/>
    <w:rsid w:val="004962D2"/>
    <w:rsid w:val="004A0004"/>
    <w:rsid w:val="004A0DA1"/>
    <w:rsid w:val="004A13D6"/>
    <w:rsid w:val="004A1C91"/>
    <w:rsid w:val="004A2064"/>
    <w:rsid w:val="004A3ECC"/>
    <w:rsid w:val="004A49E0"/>
    <w:rsid w:val="004A52E9"/>
    <w:rsid w:val="004A5D5A"/>
    <w:rsid w:val="004A6040"/>
    <w:rsid w:val="004A6597"/>
    <w:rsid w:val="004A7848"/>
    <w:rsid w:val="004B1CB4"/>
    <w:rsid w:val="004B2F18"/>
    <w:rsid w:val="004B3DDB"/>
    <w:rsid w:val="004B44FD"/>
    <w:rsid w:val="004B5CFC"/>
    <w:rsid w:val="004B645A"/>
    <w:rsid w:val="004B6F79"/>
    <w:rsid w:val="004B774D"/>
    <w:rsid w:val="004B7C3B"/>
    <w:rsid w:val="004C4AED"/>
    <w:rsid w:val="004D012F"/>
    <w:rsid w:val="004D126F"/>
    <w:rsid w:val="004D19F7"/>
    <w:rsid w:val="004D1ACD"/>
    <w:rsid w:val="004D2C2D"/>
    <w:rsid w:val="004D5314"/>
    <w:rsid w:val="004D6579"/>
    <w:rsid w:val="004D69B5"/>
    <w:rsid w:val="004D7227"/>
    <w:rsid w:val="004E078B"/>
    <w:rsid w:val="004E0A6C"/>
    <w:rsid w:val="004E0E7F"/>
    <w:rsid w:val="004E0EB8"/>
    <w:rsid w:val="004E18E9"/>
    <w:rsid w:val="004E2ADC"/>
    <w:rsid w:val="004E43B2"/>
    <w:rsid w:val="004E4772"/>
    <w:rsid w:val="004F1D02"/>
    <w:rsid w:val="004F2679"/>
    <w:rsid w:val="004F2F21"/>
    <w:rsid w:val="004F3DE5"/>
    <w:rsid w:val="004F6913"/>
    <w:rsid w:val="004F7865"/>
    <w:rsid w:val="0050174E"/>
    <w:rsid w:val="00501854"/>
    <w:rsid w:val="0050219B"/>
    <w:rsid w:val="00503F17"/>
    <w:rsid w:val="00506928"/>
    <w:rsid w:val="005077EF"/>
    <w:rsid w:val="00511AD5"/>
    <w:rsid w:val="00511DC7"/>
    <w:rsid w:val="00513372"/>
    <w:rsid w:val="00513D6E"/>
    <w:rsid w:val="005142C5"/>
    <w:rsid w:val="0051501B"/>
    <w:rsid w:val="005152B5"/>
    <w:rsid w:val="00516CE5"/>
    <w:rsid w:val="00520D1C"/>
    <w:rsid w:val="00520F11"/>
    <w:rsid w:val="0052123C"/>
    <w:rsid w:val="00521319"/>
    <w:rsid w:val="005214F3"/>
    <w:rsid w:val="005226CA"/>
    <w:rsid w:val="00522BC8"/>
    <w:rsid w:val="005230C0"/>
    <w:rsid w:val="00523C28"/>
    <w:rsid w:val="00523F34"/>
    <w:rsid w:val="0052476E"/>
    <w:rsid w:val="00526987"/>
    <w:rsid w:val="00527B44"/>
    <w:rsid w:val="00527E50"/>
    <w:rsid w:val="0053176B"/>
    <w:rsid w:val="005345DE"/>
    <w:rsid w:val="00536F42"/>
    <w:rsid w:val="00537182"/>
    <w:rsid w:val="005377BE"/>
    <w:rsid w:val="005405C6"/>
    <w:rsid w:val="00541137"/>
    <w:rsid w:val="00541EDD"/>
    <w:rsid w:val="00542743"/>
    <w:rsid w:val="00542C2D"/>
    <w:rsid w:val="0054483F"/>
    <w:rsid w:val="00545921"/>
    <w:rsid w:val="00547190"/>
    <w:rsid w:val="005478BD"/>
    <w:rsid w:val="005479E3"/>
    <w:rsid w:val="00551700"/>
    <w:rsid w:val="00551985"/>
    <w:rsid w:val="00552BD3"/>
    <w:rsid w:val="005532A0"/>
    <w:rsid w:val="005535C2"/>
    <w:rsid w:val="00553E53"/>
    <w:rsid w:val="00555109"/>
    <w:rsid w:val="00556B35"/>
    <w:rsid w:val="0055741A"/>
    <w:rsid w:val="005579D4"/>
    <w:rsid w:val="00557D2C"/>
    <w:rsid w:val="005603EE"/>
    <w:rsid w:val="005611B7"/>
    <w:rsid w:val="005618D4"/>
    <w:rsid w:val="00565DF0"/>
    <w:rsid w:val="0056696F"/>
    <w:rsid w:val="005701B9"/>
    <w:rsid w:val="0057033B"/>
    <w:rsid w:val="00572269"/>
    <w:rsid w:val="0057244A"/>
    <w:rsid w:val="00572D29"/>
    <w:rsid w:val="00572F26"/>
    <w:rsid w:val="005733F0"/>
    <w:rsid w:val="00573FAA"/>
    <w:rsid w:val="005750C5"/>
    <w:rsid w:val="005752DE"/>
    <w:rsid w:val="00575D8D"/>
    <w:rsid w:val="00576972"/>
    <w:rsid w:val="00577151"/>
    <w:rsid w:val="005771B1"/>
    <w:rsid w:val="00580AD5"/>
    <w:rsid w:val="00583699"/>
    <w:rsid w:val="00583D97"/>
    <w:rsid w:val="00585CDD"/>
    <w:rsid w:val="005861B4"/>
    <w:rsid w:val="00586876"/>
    <w:rsid w:val="00587058"/>
    <w:rsid w:val="00591957"/>
    <w:rsid w:val="005926ED"/>
    <w:rsid w:val="0059366E"/>
    <w:rsid w:val="00597BF9"/>
    <w:rsid w:val="005A309A"/>
    <w:rsid w:val="005A310B"/>
    <w:rsid w:val="005A329D"/>
    <w:rsid w:val="005A373D"/>
    <w:rsid w:val="005A62E2"/>
    <w:rsid w:val="005B0B58"/>
    <w:rsid w:val="005B4E53"/>
    <w:rsid w:val="005B5857"/>
    <w:rsid w:val="005B6D53"/>
    <w:rsid w:val="005C18AE"/>
    <w:rsid w:val="005C1B83"/>
    <w:rsid w:val="005C25FF"/>
    <w:rsid w:val="005C2D55"/>
    <w:rsid w:val="005C346B"/>
    <w:rsid w:val="005C79D2"/>
    <w:rsid w:val="005D044D"/>
    <w:rsid w:val="005D0ABD"/>
    <w:rsid w:val="005D18AD"/>
    <w:rsid w:val="005D26B4"/>
    <w:rsid w:val="005D4715"/>
    <w:rsid w:val="005D561F"/>
    <w:rsid w:val="005D6CD3"/>
    <w:rsid w:val="005D7163"/>
    <w:rsid w:val="005E17D6"/>
    <w:rsid w:val="005E6CBC"/>
    <w:rsid w:val="005E7085"/>
    <w:rsid w:val="005E72FF"/>
    <w:rsid w:val="005E73C0"/>
    <w:rsid w:val="005E77ED"/>
    <w:rsid w:val="005E7FF5"/>
    <w:rsid w:val="005F0307"/>
    <w:rsid w:val="005F2706"/>
    <w:rsid w:val="005F5B3D"/>
    <w:rsid w:val="005F6A8F"/>
    <w:rsid w:val="005F6BB7"/>
    <w:rsid w:val="005F7588"/>
    <w:rsid w:val="006015D2"/>
    <w:rsid w:val="006019A9"/>
    <w:rsid w:val="00603DB9"/>
    <w:rsid w:val="00605008"/>
    <w:rsid w:val="00606FBA"/>
    <w:rsid w:val="00607669"/>
    <w:rsid w:val="006076F4"/>
    <w:rsid w:val="0060775E"/>
    <w:rsid w:val="00607AFD"/>
    <w:rsid w:val="00612F97"/>
    <w:rsid w:val="0061345D"/>
    <w:rsid w:val="00613999"/>
    <w:rsid w:val="0061549B"/>
    <w:rsid w:val="00616802"/>
    <w:rsid w:val="00617E12"/>
    <w:rsid w:val="00620C25"/>
    <w:rsid w:val="00620EC0"/>
    <w:rsid w:val="00621477"/>
    <w:rsid w:val="00621ADA"/>
    <w:rsid w:val="00621D9E"/>
    <w:rsid w:val="00622384"/>
    <w:rsid w:val="00623F7B"/>
    <w:rsid w:val="0063158F"/>
    <w:rsid w:val="00631D6B"/>
    <w:rsid w:val="00632183"/>
    <w:rsid w:val="006330A1"/>
    <w:rsid w:val="0063479F"/>
    <w:rsid w:val="006353F0"/>
    <w:rsid w:val="006357B5"/>
    <w:rsid w:val="006364A1"/>
    <w:rsid w:val="0063678E"/>
    <w:rsid w:val="00637BFD"/>
    <w:rsid w:val="00641C4E"/>
    <w:rsid w:val="00641FB3"/>
    <w:rsid w:val="0064434C"/>
    <w:rsid w:val="006471CC"/>
    <w:rsid w:val="00647A29"/>
    <w:rsid w:val="0065079F"/>
    <w:rsid w:val="006511AB"/>
    <w:rsid w:val="00651DD4"/>
    <w:rsid w:val="00651F4C"/>
    <w:rsid w:val="00651FB5"/>
    <w:rsid w:val="00652A28"/>
    <w:rsid w:val="0065379F"/>
    <w:rsid w:val="00653BBD"/>
    <w:rsid w:val="0065600A"/>
    <w:rsid w:val="00656188"/>
    <w:rsid w:val="00656BE7"/>
    <w:rsid w:val="0065715A"/>
    <w:rsid w:val="006577E8"/>
    <w:rsid w:val="00657CD4"/>
    <w:rsid w:val="006610F1"/>
    <w:rsid w:val="00661C6B"/>
    <w:rsid w:val="00665935"/>
    <w:rsid w:val="00666559"/>
    <w:rsid w:val="00671004"/>
    <w:rsid w:val="00672646"/>
    <w:rsid w:val="006726F5"/>
    <w:rsid w:val="00674E42"/>
    <w:rsid w:val="00677B49"/>
    <w:rsid w:val="006813F8"/>
    <w:rsid w:val="00682112"/>
    <w:rsid w:val="00682BA6"/>
    <w:rsid w:val="00682DE5"/>
    <w:rsid w:val="00686957"/>
    <w:rsid w:val="00686E43"/>
    <w:rsid w:val="006872BA"/>
    <w:rsid w:val="00690795"/>
    <w:rsid w:val="006911FC"/>
    <w:rsid w:val="00691648"/>
    <w:rsid w:val="006917D7"/>
    <w:rsid w:val="0069434C"/>
    <w:rsid w:val="00694F44"/>
    <w:rsid w:val="00696AF5"/>
    <w:rsid w:val="00696F51"/>
    <w:rsid w:val="006975A6"/>
    <w:rsid w:val="006979A5"/>
    <w:rsid w:val="006A0DE9"/>
    <w:rsid w:val="006A3DFC"/>
    <w:rsid w:val="006A43D0"/>
    <w:rsid w:val="006A6B99"/>
    <w:rsid w:val="006A7E5F"/>
    <w:rsid w:val="006B261B"/>
    <w:rsid w:val="006B2C90"/>
    <w:rsid w:val="006B35E6"/>
    <w:rsid w:val="006B44B4"/>
    <w:rsid w:val="006B465A"/>
    <w:rsid w:val="006B50FD"/>
    <w:rsid w:val="006B6DD0"/>
    <w:rsid w:val="006B7467"/>
    <w:rsid w:val="006C0399"/>
    <w:rsid w:val="006C2A8E"/>
    <w:rsid w:val="006C2C1A"/>
    <w:rsid w:val="006C2FB2"/>
    <w:rsid w:val="006C3255"/>
    <w:rsid w:val="006C3F26"/>
    <w:rsid w:val="006C57E4"/>
    <w:rsid w:val="006D0D17"/>
    <w:rsid w:val="006D2474"/>
    <w:rsid w:val="006D3C7D"/>
    <w:rsid w:val="006D4659"/>
    <w:rsid w:val="006D5D5F"/>
    <w:rsid w:val="006D68FB"/>
    <w:rsid w:val="006D728C"/>
    <w:rsid w:val="006D74F9"/>
    <w:rsid w:val="006D7CFC"/>
    <w:rsid w:val="006E2868"/>
    <w:rsid w:val="006F1238"/>
    <w:rsid w:val="006F306C"/>
    <w:rsid w:val="006F4290"/>
    <w:rsid w:val="006F5BDF"/>
    <w:rsid w:val="006F63A5"/>
    <w:rsid w:val="006F6992"/>
    <w:rsid w:val="00700840"/>
    <w:rsid w:val="00700CA8"/>
    <w:rsid w:val="0070142B"/>
    <w:rsid w:val="0070192D"/>
    <w:rsid w:val="0070276E"/>
    <w:rsid w:val="00702F8F"/>
    <w:rsid w:val="00707542"/>
    <w:rsid w:val="007079FC"/>
    <w:rsid w:val="00711A36"/>
    <w:rsid w:val="007147C3"/>
    <w:rsid w:val="00714C26"/>
    <w:rsid w:val="00715142"/>
    <w:rsid w:val="0071529C"/>
    <w:rsid w:val="007154BE"/>
    <w:rsid w:val="007170DA"/>
    <w:rsid w:val="007172AD"/>
    <w:rsid w:val="00720801"/>
    <w:rsid w:val="00721B72"/>
    <w:rsid w:val="00721C1E"/>
    <w:rsid w:val="0072268F"/>
    <w:rsid w:val="00722B1B"/>
    <w:rsid w:val="00722CDA"/>
    <w:rsid w:val="00723C84"/>
    <w:rsid w:val="0072416F"/>
    <w:rsid w:val="007249F6"/>
    <w:rsid w:val="00724CB7"/>
    <w:rsid w:val="007261F5"/>
    <w:rsid w:val="00727C94"/>
    <w:rsid w:val="0073131E"/>
    <w:rsid w:val="00731B0A"/>
    <w:rsid w:val="00731EAE"/>
    <w:rsid w:val="00732961"/>
    <w:rsid w:val="007329DE"/>
    <w:rsid w:val="00733008"/>
    <w:rsid w:val="00733073"/>
    <w:rsid w:val="00733678"/>
    <w:rsid w:val="00735033"/>
    <w:rsid w:val="00735328"/>
    <w:rsid w:val="00735D42"/>
    <w:rsid w:val="00736411"/>
    <w:rsid w:val="00736783"/>
    <w:rsid w:val="0073685B"/>
    <w:rsid w:val="00736D13"/>
    <w:rsid w:val="00737A42"/>
    <w:rsid w:val="0074091B"/>
    <w:rsid w:val="007449BF"/>
    <w:rsid w:val="00746BC0"/>
    <w:rsid w:val="007501A2"/>
    <w:rsid w:val="007502F0"/>
    <w:rsid w:val="007510B4"/>
    <w:rsid w:val="00752142"/>
    <w:rsid w:val="007523F9"/>
    <w:rsid w:val="00752B64"/>
    <w:rsid w:val="0075357E"/>
    <w:rsid w:val="00756ACD"/>
    <w:rsid w:val="007573E8"/>
    <w:rsid w:val="00760C4E"/>
    <w:rsid w:val="00760F9E"/>
    <w:rsid w:val="007627BE"/>
    <w:rsid w:val="00762CB9"/>
    <w:rsid w:val="00764F03"/>
    <w:rsid w:val="00765B1A"/>
    <w:rsid w:val="00767143"/>
    <w:rsid w:val="00767BAF"/>
    <w:rsid w:val="00772670"/>
    <w:rsid w:val="007734E4"/>
    <w:rsid w:val="00777335"/>
    <w:rsid w:val="00780318"/>
    <w:rsid w:val="007843F2"/>
    <w:rsid w:val="00785A9F"/>
    <w:rsid w:val="007862C0"/>
    <w:rsid w:val="00786AAC"/>
    <w:rsid w:val="00791821"/>
    <w:rsid w:val="007925DF"/>
    <w:rsid w:val="007A08AA"/>
    <w:rsid w:val="007A0A12"/>
    <w:rsid w:val="007A132D"/>
    <w:rsid w:val="007A1345"/>
    <w:rsid w:val="007A153B"/>
    <w:rsid w:val="007A26CC"/>
    <w:rsid w:val="007A2DDB"/>
    <w:rsid w:val="007A2E58"/>
    <w:rsid w:val="007A70BA"/>
    <w:rsid w:val="007A74DF"/>
    <w:rsid w:val="007B0D68"/>
    <w:rsid w:val="007B0F10"/>
    <w:rsid w:val="007B251D"/>
    <w:rsid w:val="007B4387"/>
    <w:rsid w:val="007B4F58"/>
    <w:rsid w:val="007B528D"/>
    <w:rsid w:val="007B5EE4"/>
    <w:rsid w:val="007B63CA"/>
    <w:rsid w:val="007B77D1"/>
    <w:rsid w:val="007B7829"/>
    <w:rsid w:val="007C07C7"/>
    <w:rsid w:val="007C1CD9"/>
    <w:rsid w:val="007C25A6"/>
    <w:rsid w:val="007C32EF"/>
    <w:rsid w:val="007C361D"/>
    <w:rsid w:val="007C4B84"/>
    <w:rsid w:val="007C70FF"/>
    <w:rsid w:val="007C7C25"/>
    <w:rsid w:val="007D004F"/>
    <w:rsid w:val="007D00DF"/>
    <w:rsid w:val="007D0B38"/>
    <w:rsid w:val="007D4037"/>
    <w:rsid w:val="007D49DA"/>
    <w:rsid w:val="007D5440"/>
    <w:rsid w:val="007D5642"/>
    <w:rsid w:val="007D69EB"/>
    <w:rsid w:val="007D7015"/>
    <w:rsid w:val="007E0426"/>
    <w:rsid w:val="007E128F"/>
    <w:rsid w:val="007E58C5"/>
    <w:rsid w:val="007E5B4A"/>
    <w:rsid w:val="007E5C6C"/>
    <w:rsid w:val="007F1017"/>
    <w:rsid w:val="007F17E5"/>
    <w:rsid w:val="007F1E6D"/>
    <w:rsid w:val="007F3CD2"/>
    <w:rsid w:val="007F4A3F"/>
    <w:rsid w:val="007F4A61"/>
    <w:rsid w:val="007F4C81"/>
    <w:rsid w:val="007F5255"/>
    <w:rsid w:val="007F56CC"/>
    <w:rsid w:val="007F5E06"/>
    <w:rsid w:val="007F61C2"/>
    <w:rsid w:val="00800AB0"/>
    <w:rsid w:val="00800E93"/>
    <w:rsid w:val="00800F79"/>
    <w:rsid w:val="008028B5"/>
    <w:rsid w:val="00803CCD"/>
    <w:rsid w:val="0080412C"/>
    <w:rsid w:val="00805142"/>
    <w:rsid w:val="00805FCE"/>
    <w:rsid w:val="00807A8B"/>
    <w:rsid w:val="00810971"/>
    <w:rsid w:val="00811383"/>
    <w:rsid w:val="00812149"/>
    <w:rsid w:val="00812CAC"/>
    <w:rsid w:val="00815280"/>
    <w:rsid w:val="00815FF3"/>
    <w:rsid w:val="008161E0"/>
    <w:rsid w:val="00816361"/>
    <w:rsid w:val="008166EF"/>
    <w:rsid w:val="00816FEF"/>
    <w:rsid w:val="00817E10"/>
    <w:rsid w:val="00820A8C"/>
    <w:rsid w:val="008215FB"/>
    <w:rsid w:val="00821811"/>
    <w:rsid w:val="00823174"/>
    <w:rsid w:val="008233B1"/>
    <w:rsid w:val="00823D20"/>
    <w:rsid w:val="00825751"/>
    <w:rsid w:val="008264EB"/>
    <w:rsid w:val="00827845"/>
    <w:rsid w:val="00827CFD"/>
    <w:rsid w:val="0083004A"/>
    <w:rsid w:val="00832867"/>
    <w:rsid w:val="00832C71"/>
    <w:rsid w:val="00833971"/>
    <w:rsid w:val="00833B05"/>
    <w:rsid w:val="008342E4"/>
    <w:rsid w:val="00835442"/>
    <w:rsid w:val="008362B4"/>
    <w:rsid w:val="008374C7"/>
    <w:rsid w:val="00840CA2"/>
    <w:rsid w:val="00842D52"/>
    <w:rsid w:val="0084374F"/>
    <w:rsid w:val="0084403B"/>
    <w:rsid w:val="00844A22"/>
    <w:rsid w:val="00846C35"/>
    <w:rsid w:val="00847562"/>
    <w:rsid w:val="00847703"/>
    <w:rsid w:val="00847DF5"/>
    <w:rsid w:val="00851C29"/>
    <w:rsid w:val="0085255A"/>
    <w:rsid w:val="0085309D"/>
    <w:rsid w:val="0085414C"/>
    <w:rsid w:val="00854D1F"/>
    <w:rsid w:val="00856897"/>
    <w:rsid w:val="00856E9A"/>
    <w:rsid w:val="0086075D"/>
    <w:rsid w:val="008621F4"/>
    <w:rsid w:val="00862502"/>
    <w:rsid w:val="00862CC1"/>
    <w:rsid w:val="00862D81"/>
    <w:rsid w:val="0086372A"/>
    <w:rsid w:val="00865102"/>
    <w:rsid w:val="008660D4"/>
    <w:rsid w:val="00866FB0"/>
    <w:rsid w:val="00867809"/>
    <w:rsid w:val="00867DCF"/>
    <w:rsid w:val="008701C0"/>
    <w:rsid w:val="00870981"/>
    <w:rsid w:val="00870B3C"/>
    <w:rsid w:val="00871FA9"/>
    <w:rsid w:val="008728E9"/>
    <w:rsid w:val="00873093"/>
    <w:rsid w:val="008757E0"/>
    <w:rsid w:val="00876439"/>
    <w:rsid w:val="0087785B"/>
    <w:rsid w:val="00881D89"/>
    <w:rsid w:val="00882874"/>
    <w:rsid w:val="00882E3C"/>
    <w:rsid w:val="00883361"/>
    <w:rsid w:val="00883787"/>
    <w:rsid w:val="0088465B"/>
    <w:rsid w:val="008855E4"/>
    <w:rsid w:val="00886956"/>
    <w:rsid w:val="00886A98"/>
    <w:rsid w:val="00886CD2"/>
    <w:rsid w:val="00891E6F"/>
    <w:rsid w:val="0089275D"/>
    <w:rsid w:val="00892A36"/>
    <w:rsid w:val="00893239"/>
    <w:rsid w:val="00893C4E"/>
    <w:rsid w:val="00894489"/>
    <w:rsid w:val="0089465E"/>
    <w:rsid w:val="00896388"/>
    <w:rsid w:val="008963A5"/>
    <w:rsid w:val="00896D5D"/>
    <w:rsid w:val="008A3363"/>
    <w:rsid w:val="008A3371"/>
    <w:rsid w:val="008A3C3E"/>
    <w:rsid w:val="008A640F"/>
    <w:rsid w:val="008A742C"/>
    <w:rsid w:val="008A79DE"/>
    <w:rsid w:val="008B0464"/>
    <w:rsid w:val="008B0DA9"/>
    <w:rsid w:val="008B1757"/>
    <w:rsid w:val="008B25EC"/>
    <w:rsid w:val="008B31D0"/>
    <w:rsid w:val="008B7992"/>
    <w:rsid w:val="008B7D7E"/>
    <w:rsid w:val="008C0FD1"/>
    <w:rsid w:val="008C1249"/>
    <w:rsid w:val="008C5610"/>
    <w:rsid w:val="008C5739"/>
    <w:rsid w:val="008C6B24"/>
    <w:rsid w:val="008C7D5D"/>
    <w:rsid w:val="008C7ECB"/>
    <w:rsid w:val="008D1B5D"/>
    <w:rsid w:val="008D3B86"/>
    <w:rsid w:val="008D4755"/>
    <w:rsid w:val="008D4C3D"/>
    <w:rsid w:val="008D743C"/>
    <w:rsid w:val="008E0D3C"/>
    <w:rsid w:val="008E1B9E"/>
    <w:rsid w:val="008E55AB"/>
    <w:rsid w:val="008E6377"/>
    <w:rsid w:val="008E7381"/>
    <w:rsid w:val="008E74AA"/>
    <w:rsid w:val="008F120A"/>
    <w:rsid w:val="008F27E0"/>
    <w:rsid w:val="008F39BF"/>
    <w:rsid w:val="008F48EB"/>
    <w:rsid w:val="008F4F0B"/>
    <w:rsid w:val="008F6C03"/>
    <w:rsid w:val="00902E4D"/>
    <w:rsid w:val="009046C4"/>
    <w:rsid w:val="00905449"/>
    <w:rsid w:val="00905C98"/>
    <w:rsid w:val="009061E5"/>
    <w:rsid w:val="009062A5"/>
    <w:rsid w:val="00910E93"/>
    <w:rsid w:val="00910FA7"/>
    <w:rsid w:val="00911272"/>
    <w:rsid w:val="0091218A"/>
    <w:rsid w:val="009135D6"/>
    <w:rsid w:val="00914C77"/>
    <w:rsid w:val="0091621B"/>
    <w:rsid w:val="00917BA4"/>
    <w:rsid w:val="00921ACB"/>
    <w:rsid w:val="0092369B"/>
    <w:rsid w:val="00924EE7"/>
    <w:rsid w:val="00927F02"/>
    <w:rsid w:val="00933EEE"/>
    <w:rsid w:val="00934988"/>
    <w:rsid w:val="00937089"/>
    <w:rsid w:val="00944F8A"/>
    <w:rsid w:val="00945E99"/>
    <w:rsid w:val="009510A2"/>
    <w:rsid w:val="009511B9"/>
    <w:rsid w:val="009512E1"/>
    <w:rsid w:val="00952A56"/>
    <w:rsid w:val="00952DE0"/>
    <w:rsid w:val="00953257"/>
    <w:rsid w:val="00953731"/>
    <w:rsid w:val="00953D10"/>
    <w:rsid w:val="0095474C"/>
    <w:rsid w:val="00955158"/>
    <w:rsid w:val="009605F0"/>
    <w:rsid w:val="00962308"/>
    <w:rsid w:val="00962CB9"/>
    <w:rsid w:val="00962E8F"/>
    <w:rsid w:val="00962FED"/>
    <w:rsid w:val="00963D43"/>
    <w:rsid w:val="00964312"/>
    <w:rsid w:val="00964D79"/>
    <w:rsid w:val="00965358"/>
    <w:rsid w:val="00965456"/>
    <w:rsid w:val="009658F2"/>
    <w:rsid w:val="00965B1E"/>
    <w:rsid w:val="00965B8A"/>
    <w:rsid w:val="0097071F"/>
    <w:rsid w:val="0097179E"/>
    <w:rsid w:val="009717AC"/>
    <w:rsid w:val="00972E37"/>
    <w:rsid w:val="009751C1"/>
    <w:rsid w:val="009764DE"/>
    <w:rsid w:val="0098035D"/>
    <w:rsid w:val="009811F1"/>
    <w:rsid w:val="00983E57"/>
    <w:rsid w:val="00984C9D"/>
    <w:rsid w:val="00984EE0"/>
    <w:rsid w:val="00985DE2"/>
    <w:rsid w:val="009864DD"/>
    <w:rsid w:val="0098675D"/>
    <w:rsid w:val="00986DC4"/>
    <w:rsid w:val="009877B0"/>
    <w:rsid w:val="00990A01"/>
    <w:rsid w:val="00991D58"/>
    <w:rsid w:val="009926E0"/>
    <w:rsid w:val="00993BA4"/>
    <w:rsid w:val="0099451E"/>
    <w:rsid w:val="00996B1A"/>
    <w:rsid w:val="009970C2"/>
    <w:rsid w:val="0099770B"/>
    <w:rsid w:val="00997F2A"/>
    <w:rsid w:val="009A1A5F"/>
    <w:rsid w:val="009A2DCC"/>
    <w:rsid w:val="009A5ABC"/>
    <w:rsid w:val="009A7257"/>
    <w:rsid w:val="009A7F10"/>
    <w:rsid w:val="009B135A"/>
    <w:rsid w:val="009B3417"/>
    <w:rsid w:val="009B3884"/>
    <w:rsid w:val="009B3E26"/>
    <w:rsid w:val="009B62EF"/>
    <w:rsid w:val="009B707E"/>
    <w:rsid w:val="009B72C6"/>
    <w:rsid w:val="009C04CA"/>
    <w:rsid w:val="009C0D41"/>
    <w:rsid w:val="009C2746"/>
    <w:rsid w:val="009C3706"/>
    <w:rsid w:val="009C3A3A"/>
    <w:rsid w:val="009C6CEA"/>
    <w:rsid w:val="009C6ED9"/>
    <w:rsid w:val="009C7B85"/>
    <w:rsid w:val="009D0254"/>
    <w:rsid w:val="009D114F"/>
    <w:rsid w:val="009D19CE"/>
    <w:rsid w:val="009D1A64"/>
    <w:rsid w:val="009D45DC"/>
    <w:rsid w:val="009D4EAB"/>
    <w:rsid w:val="009D5B91"/>
    <w:rsid w:val="009D792E"/>
    <w:rsid w:val="009E0DFE"/>
    <w:rsid w:val="009E31F6"/>
    <w:rsid w:val="009E4C07"/>
    <w:rsid w:val="009F52EC"/>
    <w:rsid w:val="009F5D74"/>
    <w:rsid w:val="009F649F"/>
    <w:rsid w:val="009F70C6"/>
    <w:rsid w:val="009F7CFD"/>
    <w:rsid w:val="00A00480"/>
    <w:rsid w:val="00A0105D"/>
    <w:rsid w:val="00A01184"/>
    <w:rsid w:val="00A0235E"/>
    <w:rsid w:val="00A037C2"/>
    <w:rsid w:val="00A03D43"/>
    <w:rsid w:val="00A04380"/>
    <w:rsid w:val="00A05472"/>
    <w:rsid w:val="00A05C32"/>
    <w:rsid w:val="00A0653F"/>
    <w:rsid w:val="00A1058B"/>
    <w:rsid w:val="00A11CD0"/>
    <w:rsid w:val="00A13948"/>
    <w:rsid w:val="00A140F3"/>
    <w:rsid w:val="00A1555B"/>
    <w:rsid w:val="00A155C5"/>
    <w:rsid w:val="00A15E3A"/>
    <w:rsid w:val="00A16AD8"/>
    <w:rsid w:val="00A21C95"/>
    <w:rsid w:val="00A21CF3"/>
    <w:rsid w:val="00A23EEE"/>
    <w:rsid w:val="00A24813"/>
    <w:rsid w:val="00A25DE6"/>
    <w:rsid w:val="00A27AEC"/>
    <w:rsid w:val="00A30F82"/>
    <w:rsid w:val="00A3191C"/>
    <w:rsid w:val="00A320DB"/>
    <w:rsid w:val="00A334C5"/>
    <w:rsid w:val="00A35916"/>
    <w:rsid w:val="00A35D16"/>
    <w:rsid w:val="00A37BCD"/>
    <w:rsid w:val="00A4028A"/>
    <w:rsid w:val="00A405B2"/>
    <w:rsid w:val="00A41689"/>
    <w:rsid w:val="00A42592"/>
    <w:rsid w:val="00A43AEA"/>
    <w:rsid w:val="00A43C59"/>
    <w:rsid w:val="00A447CC"/>
    <w:rsid w:val="00A454F4"/>
    <w:rsid w:val="00A4734E"/>
    <w:rsid w:val="00A50B54"/>
    <w:rsid w:val="00A50ECD"/>
    <w:rsid w:val="00A518F3"/>
    <w:rsid w:val="00A52729"/>
    <w:rsid w:val="00A53232"/>
    <w:rsid w:val="00A53675"/>
    <w:rsid w:val="00A54A06"/>
    <w:rsid w:val="00A564D7"/>
    <w:rsid w:val="00A56B6A"/>
    <w:rsid w:val="00A576E4"/>
    <w:rsid w:val="00A578DC"/>
    <w:rsid w:val="00A601D4"/>
    <w:rsid w:val="00A60F91"/>
    <w:rsid w:val="00A629F7"/>
    <w:rsid w:val="00A640E2"/>
    <w:rsid w:val="00A64D65"/>
    <w:rsid w:val="00A64EE7"/>
    <w:rsid w:val="00A65112"/>
    <w:rsid w:val="00A65ECB"/>
    <w:rsid w:val="00A6725B"/>
    <w:rsid w:val="00A70605"/>
    <w:rsid w:val="00A727D7"/>
    <w:rsid w:val="00A73134"/>
    <w:rsid w:val="00A76001"/>
    <w:rsid w:val="00A777B2"/>
    <w:rsid w:val="00A80623"/>
    <w:rsid w:val="00A8194D"/>
    <w:rsid w:val="00A8200F"/>
    <w:rsid w:val="00A82521"/>
    <w:rsid w:val="00A825D4"/>
    <w:rsid w:val="00A828F6"/>
    <w:rsid w:val="00A829FF"/>
    <w:rsid w:val="00A82B73"/>
    <w:rsid w:val="00A82C84"/>
    <w:rsid w:val="00A83402"/>
    <w:rsid w:val="00A84C4E"/>
    <w:rsid w:val="00A86E8B"/>
    <w:rsid w:val="00A87164"/>
    <w:rsid w:val="00A93072"/>
    <w:rsid w:val="00A938BD"/>
    <w:rsid w:val="00A93953"/>
    <w:rsid w:val="00A94E46"/>
    <w:rsid w:val="00A959D8"/>
    <w:rsid w:val="00A97C04"/>
    <w:rsid w:val="00AA0EDC"/>
    <w:rsid w:val="00AA113D"/>
    <w:rsid w:val="00AA6BD5"/>
    <w:rsid w:val="00AA6BD8"/>
    <w:rsid w:val="00AA6C7D"/>
    <w:rsid w:val="00AA7FD6"/>
    <w:rsid w:val="00AB042A"/>
    <w:rsid w:val="00AB0D6A"/>
    <w:rsid w:val="00AB19EF"/>
    <w:rsid w:val="00AB2644"/>
    <w:rsid w:val="00AB2D34"/>
    <w:rsid w:val="00AB3430"/>
    <w:rsid w:val="00AB37B9"/>
    <w:rsid w:val="00AB4AD1"/>
    <w:rsid w:val="00AB4B0E"/>
    <w:rsid w:val="00AB5E07"/>
    <w:rsid w:val="00AB7B2A"/>
    <w:rsid w:val="00AB7CFA"/>
    <w:rsid w:val="00AC0152"/>
    <w:rsid w:val="00AC2B13"/>
    <w:rsid w:val="00AC33ED"/>
    <w:rsid w:val="00AC4717"/>
    <w:rsid w:val="00AC50D0"/>
    <w:rsid w:val="00AC5B48"/>
    <w:rsid w:val="00AD1450"/>
    <w:rsid w:val="00AD14FC"/>
    <w:rsid w:val="00AD6502"/>
    <w:rsid w:val="00AE0695"/>
    <w:rsid w:val="00AE2B0C"/>
    <w:rsid w:val="00AE3E7E"/>
    <w:rsid w:val="00AE6ED9"/>
    <w:rsid w:val="00AE75CB"/>
    <w:rsid w:val="00AF1315"/>
    <w:rsid w:val="00AF19BF"/>
    <w:rsid w:val="00AF22DE"/>
    <w:rsid w:val="00AF2DC3"/>
    <w:rsid w:val="00AF3FFB"/>
    <w:rsid w:val="00B033E5"/>
    <w:rsid w:val="00B03A63"/>
    <w:rsid w:val="00B07E9A"/>
    <w:rsid w:val="00B14797"/>
    <w:rsid w:val="00B1553F"/>
    <w:rsid w:val="00B16AAA"/>
    <w:rsid w:val="00B16D7D"/>
    <w:rsid w:val="00B201A4"/>
    <w:rsid w:val="00B201D1"/>
    <w:rsid w:val="00B20677"/>
    <w:rsid w:val="00B213A6"/>
    <w:rsid w:val="00B235B0"/>
    <w:rsid w:val="00B24DF6"/>
    <w:rsid w:val="00B25683"/>
    <w:rsid w:val="00B27C00"/>
    <w:rsid w:val="00B34B12"/>
    <w:rsid w:val="00B34FE2"/>
    <w:rsid w:val="00B35166"/>
    <w:rsid w:val="00B357D8"/>
    <w:rsid w:val="00B360F4"/>
    <w:rsid w:val="00B36A00"/>
    <w:rsid w:val="00B37BFC"/>
    <w:rsid w:val="00B40358"/>
    <w:rsid w:val="00B41614"/>
    <w:rsid w:val="00B41EF0"/>
    <w:rsid w:val="00B42851"/>
    <w:rsid w:val="00B42F80"/>
    <w:rsid w:val="00B435CB"/>
    <w:rsid w:val="00B439C6"/>
    <w:rsid w:val="00B43B9E"/>
    <w:rsid w:val="00B44976"/>
    <w:rsid w:val="00B44FE8"/>
    <w:rsid w:val="00B469C8"/>
    <w:rsid w:val="00B47ABB"/>
    <w:rsid w:val="00B505C8"/>
    <w:rsid w:val="00B50BC6"/>
    <w:rsid w:val="00B50DB8"/>
    <w:rsid w:val="00B511F8"/>
    <w:rsid w:val="00B53654"/>
    <w:rsid w:val="00B53905"/>
    <w:rsid w:val="00B54980"/>
    <w:rsid w:val="00B54B5B"/>
    <w:rsid w:val="00B5562E"/>
    <w:rsid w:val="00B55D65"/>
    <w:rsid w:val="00B56137"/>
    <w:rsid w:val="00B57000"/>
    <w:rsid w:val="00B60939"/>
    <w:rsid w:val="00B60AFD"/>
    <w:rsid w:val="00B62715"/>
    <w:rsid w:val="00B64F9B"/>
    <w:rsid w:val="00B65083"/>
    <w:rsid w:val="00B65611"/>
    <w:rsid w:val="00B668D0"/>
    <w:rsid w:val="00B70E8E"/>
    <w:rsid w:val="00B74C64"/>
    <w:rsid w:val="00B75F05"/>
    <w:rsid w:val="00B766EB"/>
    <w:rsid w:val="00B76C1D"/>
    <w:rsid w:val="00B76C92"/>
    <w:rsid w:val="00B818A4"/>
    <w:rsid w:val="00B84117"/>
    <w:rsid w:val="00B858F0"/>
    <w:rsid w:val="00B85AA2"/>
    <w:rsid w:val="00B8649C"/>
    <w:rsid w:val="00B8695D"/>
    <w:rsid w:val="00B879F7"/>
    <w:rsid w:val="00B87F0A"/>
    <w:rsid w:val="00B903E6"/>
    <w:rsid w:val="00B90561"/>
    <w:rsid w:val="00B91586"/>
    <w:rsid w:val="00B9219E"/>
    <w:rsid w:val="00B92D0B"/>
    <w:rsid w:val="00B94906"/>
    <w:rsid w:val="00B94945"/>
    <w:rsid w:val="00B94DD6"/>
    <w:rsid w:val="00B96F69"/>
    <w:rsid w:val="00B97527"/>
    <w:rsid w:val="00BA322D"/>
    <w:rsid w:val="00BA32AA"/>
    <w:rsid w:val="00BA367D"/>
    <w:rsid w:val="00BA63FA"/>
    <w:rsid w:val="00BA6419"/>
    <w:rsid w:val="00BB00B3"/>
    <w:rsid w:val="00BB032D"/>
    <w:rsid w:val="00BB0BDD"/>
    <w:rsid w:val="00BB1717"/>
    <w:rsid w:val="00BB176C"/>
    <w:rsid w:val="00BB2A73"/>
    <w:rsid w:val="00BB3A45"/>
    <w:rsid w:val="00BB4ACC"/>
    <w:rsid w:val="00BB703E"/>
    <w:rsid w:val="00BB732D"/>
    <w:rsid w:val="00BB7405"/>
    <w:rsid w:val="00BC004D"/>
    <w:rsid w:val="00BC2B34"/>
    <w:rsid w:val="00BC3631"/>
    <w:rsid w:val="00BC591F"/>
    <w:rsid w:val="00BC66B0"/>
    <w:rsid w:val="00BC6C68"/>
    <w:rsid w:val="00BC72A8"/>
    <w:rsid w:val="00BC7D6D"/>
    <w:rsid w:val="00BD0648"/>
    <w:rsid w:val="00BD1646"/>
    <w:rsid w:val="00BD2108"/>
    <w:rsid w:val="00BD2B93"/>
    <w:rsid w:val="00BD3956"/>
    <w:rsid w:val="00BD3B03"/>
    <w:rsid w:val="00BD476B"/>
    <w:rsid w:val="00BD68A3"/>
    <w:rsid w:val="00BD6938"/>
    <w:rsid w:val="00BD6CF3"/>
    <w:rsid w:val="00BD7490"/>
    <w:rsid w:val="00BD7672"/>
    <w:rsid w:val="00BE076E"/>
    <w:rsid w:val="00BE0ECA"/>
    <w:rsid w:val="00BE1D79"/>
    <w:rsid w:val="00BE2180"/>
    <w:rsid w:val="00BE21F2"/>
    <w:rsid w:val="00BE4275"/>
    <w:rsid w:val="00BE4800"/>
    <w:rsid w:val="00BE4A5A"/>
    <w:rsid w:val="00BF06AE"/>
    <w:rsid w:val="00BF0F95"/>
    <w:rsid w:val="00BF2433"/>
    <w:rsid w:val="00BF3EFE"/>
    <w:rsid w:val="00BF5199"/>
    <w:rsid w:val="00BF61C9"/>
    <w:rsid w:val="00BF6C74"/>
    <w:rsid w:val="00BF6C94"/>
    <w:rsid w:val="00BF72E2"/>
    <w:rsid w:val="00BF7B61"/>
    <w:rsid w:val="00C00424"/>
    <w:rsid w:val="00C0061E"/>
    <w:rsid w:val="00C04FD0"/>
    <w:rsid w:val="00C0675A"/>
    <w:rsid w:val="00C1179F"/>
    <w:rsid w:val="00C12C14"/>
    <w:rsid w:val="00C14E34"/>
    <w:rsid w:val="00C15F04"/>
    <w:rsid w:val="00C179B3"/>
    <w:rsid w:val="00C17E3F"/>
    <w:rsid w:val="00C200AA"/>
    <w:rsid w:val="00C237ED"/>
    <w:rsid w:val="00C24632"/>
    <w:rsid w:val="00C24E11"/>
    <w:rsid w:val="00C25418"/>
    <w:rsid w:val="00C25D9C"/>
    <w:rsid w:val="00C26AA3"/>
    <w:rsid w:val="00C2778B"/>
    <w:rsid w:val="00C277F5"/>
    <w:rsid w:val="00C30B23"/>
    <w:rsid w:val="00C31649"/>
    <w:rsid w:val="00C32CFF"/>
    <w:rsid w:val="00C3434C"/>
    <w:rsid w:val="00C3443D"/>
    <w:rsid w:val="00C37E4C"/>
    <w:rsid w:val="00C40385"/>
    <w:rsid w:val="00C40C29"/>
    <w:rsid w:val="00C41768"/>
    <w:rsid w:val="00C44CE6"/>
    <w:rsid w:val="00C475AA"/>
    <w:rsid w:val="00C534A1"/>
    <w:rsid w:val="00C53597"/>
    <w:rsid w:val="00C53C98"/>
    <w:rsid w:val="00C53D53"/>
    <w:rsid w:val="00C53DC1"/>
    <w:rsid w:val="00C55774"/>
    <w:rsid w:val="00C55BFC"/>
    <w:rsid w:val="00C565F3"/>
    <w:rsid w:val="00C56FCF"/>
    <w:rsid w:val="00C57B6C"/>
    <w:rsid w:val="00C626B3"/>
    <w:rsid w:val="00C628A6"/>
    <w:rsid w:val="00C63F8C"/>
    <w:rsid w:val="00C64344"/>
    <w:rsid w:val="00C65108"/>
    <w:rsid w:val="00C65576"/>
    <w:rsid w:val="00C66165"/>
    <w:rsid w:val="00C7060A"/>
    <w:rsid w:val="00C70E4C"/>
    <w:rsid w:val="00C70FFB"/>
    <w:rsid w:val="00C710FF"/>
    <w:rsid w:val="00C7151A"/>
    <w:rsid w:val="00C717E3"/>
    <w:rsid w:val="00C71F60"/>
    <w:rsid w:val="00C72241"/>
    <w:rsid w:val="00C73DC8"/>
    <w:rsid w:val="00C745F5"/>
    <w:rsid w:val="00C750C8"/>
    <w:rsid w:val="00C7560F"/>
    <w:rsid w:val="00C75E4B"/>
    <w:rsid w:val="00C77549"/>
    <w:rsid w:val="00C80A0E"/>
    <w:rsid w:val="00C8213F"/>
    <w:rsid w:val="00C82DAB"/>
    <w:rsid w:val="00C83D0B"/>
    <w:rsid w:val="00C85154"/>
    <w:rsid w:val="00C8797A"/>
    <w:rsid w:val="00C900B8"/>
    <w:rsid w:val="00C90C71"/>
    <w:rsid w:val="00C91FD1"/>
    <w:rsid w:val="00C931CF"/>
    <w:rsid w:val="00C938CF"/>
    <w:rsid w:val="00C94053"/>
    <w:rsid w:val="00C9624D"/>
    <w:rsid w:val="00C96306"/>
    <w:rsid w:val="00C969DA"/>
    <w:rsid w:val="00C96AE1"/>
    <w:rsid w:val="00C978D3"/>
    <w:rsid w:val="00CA2C77"/>
    <w:rsid w:val="00CA444F"/>
    <w:rsid w:val="00CA5245"/>
    <w:rsid w:val="00CA71F4"/>
    <w:rsid w:val="00CA7B09"/>
    <w:rsid w:val="00CB12A5"/>
    <w:rsid w:val="00CB1474"/>
    <w:rsid w:val="00CB1CAC"/>
    <w:rsid w:val="00CB2BC3"/>
    <w:rsid w:val="00CB2F2A"/>
    <w:rsid w:val="00CB3898"/>
    <w:rsid w:val="00CB5B1A"/>
    <w:rsid w:val="00CB6B22"/>
    <w:rsid w:val="00CB7F5F"/>
    <w:rsid w:val="00CC1B39"/>
    <w:rsid w:val="00CC35EA"/>
    <w:rsid w:val="00CC3848"/>
    <w:rsid w:val="00CC70ED"/>
    <w:rsid w:val="00CD3F77"/>
    <w:rsid w:val="00CD42D2"/>
    <w:rsid w:val="00CD4ED8"/>
    <w:rsid w:val="00CD6ADC"/>
    <w:rsid w:val="00CD7193"/>
    <w:rsid w:val="00CD7E8A"/>
    <w:rsid w:val="00CE38C8"/>
    <w:rsid w:val="00CE6274"/>
    <w:rsid w:val="00CE77B6"/>
    <w:rsid w:val="00CF1BF9"/>
    <w:rsid w:val="00CF1C55"/>
    <w:rsid w:val="00CF1E8B"/>
    <w:rsid w:val="00CF2B8D"/>
    <w:rsid w:val="00CF456B"/>
    <w:rsid w:val="00CF5A22"/>
    <w:rsid w:val="00CF5D62"/>
    <w:rsid w:val="00CF6CDB"/>
    <w:rsid w:val="00D02143"/>
    <w:rsid w:val="00D0262E"/>
    <w:rsid w:val="00D05E3D"/>
    <w:rsid w:val="00D06139"/>
    <w:rsid w:val="00D0647C"/>
    <w:rsid w:val="00D06A68"/>
    <w:rsid w:val="00D110BD"/>
    <w:rsid w:val="00D114FA"/>
    <w:rsid w:val="00D13051"/>
    <w:rsid w:val="00D13675"/>
    <w:rsid w:val="00D13A16"/>
    <w:rsid w:val="00D141E1"/>
    <w:rsid w:val="00D15314"/>
    <w:rsid w:val="00D153FD"/>
    <w:rsid w:val="00D17D6C"/>
    <w:rsid w:val="00D2155B"/>
    <w:rsid w:val="00D22427"/>
    <w:rsid w:val="00D228B0"/>
    <w:rsid w:val="00D23457"/>
    <w:rsid w:val="00D23D11"/>
    <w:rsid w:val="00D244B6"/>
    <w:rsid w:val="00D2608C"/>
    <w:rsid w:val="00D26691"/>
    <w:rsid w:val="00D26D65"/>
    <w:rsid w:val="00D2754D"/>
    <w:rsid w:val="00D27B27"/>
    <w:rsid w:val="00D33BE9"/>
    <w:rsid w:val="00D33F93"/>
    <w:rsid w:val="00D34D86"/>
    <w:rsid w:val="00D35173"/>
    <w:rsid w:val="00D357FF"/>
    <w:rsid w:val="00D401CC"/>
    <w:rsid w:val="00D40515"/>
    <w:rsid w:val="00D415D5"/>
    <w:rsid w:val="00D424C7"/>
    <w:rsid w:val="00D43B2A"/>
    <w:rsid w:val="00D43D83"/>
    <w:rsid w:val="00D45FF2"/>
    <w:rsid w:val="00D47575"/>
    <w:rsid w:val="00D479DB"/>
    <w:rsid w:val="00D50331"/>
    <w:rsid w:val="00D51ED3"/>
    <w:rsid w:val="00D5243B"/>
    <w:rsid w:val="00D533EC"/>
    <w:rsid w:val="00D53B25"/>
    <w:rsid w:val="00D54494"/>
    <w:rsid w:val="00D55738"/>
    <w:rsid w:val="00D559A1"/>
    <w:rsid w:val="00D56A95"/>
    <w:rsid w:val="00D6065B"/>
    <w:rsid w:val="00D626EB"/>
    <w:rsid w:val="00D634E8"/>
    <w:rsid w:val="00D640D8"/>
    <w:rsid w:val="00D64FFD"/>
    <w:rsid w:val="00D6678D"/>
    <w:rsid w:val="00D679E4"/>
    <w:rsid w:val="00D70603"/>
    <w:rsid w:val="00D70B1A"/>
    <w:rsid w:val="00D70F16"/>
    <w:rsid w:val="00D71A15"/>
    <w:rsid w:val="00D72F57"/>
    <w:rsid w:val="00D7477E"/>
    <w:rsid w:val="00D76A44"/>
    <w:rsid w:val="00D815EF"/>
    <w:rsid w:val="00D81F26"/>
    <w:rsid w:val="00D82F06"/>
    <w:rsid w:val="00D86231"/>
    <w:rsid w:val="00D91923"/>
    <w:rsid w:val="00D92030"/>
    <w:rsid w:val="00D92569"/>
    <w:rsid w:val="00D92F3F"/>
    <w:rsid w:val="00D93753"/>
    <w:rsid w:val="00D9717B"/>
    <w:rsid w:val="00DA0B79"/>
    <w:rsid w:val="00DA3167"/>
    <w:rsid w:val="00DA4DC3"/>
    <w:rsid w:val="00DA60F2"/>
    <w:rsid w:val="00DA77A5"/>
    <w:rsid w:val="00DB0651"/>
    <w:rsid w:val="00DB3DBF"/>
    <w:rsid w:val="00DB484F"/>
    <w:rsid w:val="00DB5603"/>
    <w:rsid w:val="00DB7EC4"/>
    <w:rsid w:val="00DC04F6"/>
    <w:rsid w:val="00DC0690"/>
    <w:rsid w:val="00DC0E58"/>
    <w:rsid w:val="00DC11B5"/>
    <w:rsid w:val="00DC1B37"/>
    <w:rsid w:val="00DC1D65"/>
    <w:rsid w:val="00DC3C57"/>
    <w:rsid w:val="00DC5501"/>
    <w:rsid w:val="00DC628B"/>
    <w:rsid w:val="00DC66DF"/>
    <w:rsid w:val="00DC7154"/>
    <w:rsid w:val="00DC7E8A"/>
    <w:rsid w:val="00DD0F78"/>
    <w:rsid w:val="00DD273C"/>
    <w:rsid w:val="00DD3F28"/>
    <w:rsid w:val="00DD4537"/>
    <w:rsid w:val="00DD4E15"/>
    <w:rsid w:val="00DD60A4"/>
    <w:rsid w:val="00DD62E8"/>
    <w:rsid w:val="00DE1C7A"/>
    <w:rsid w:val="00DE2304"/>
    <w:rsid w:val="00DE3138"/>
    <w:rsid w:val="00DE3300"/>
    <w:rsid w:val="00DE37F8"/>
    <w:rsid w:val="00DE45F5"/>
    <w:rsid w:val="00DE4FCB"/>
    <w:rsid w:val="00DE546D"/>
    <w:rsid w:val="00DE5D07"/>
    <w:rsid w:val="00DE72A7"/>
    <w:rsid w:val="00DE7832"/>
    <w:rsid w:val="00DF18FC"/>
    <w:rsid w:val="00DF3A0E"/>
    <w:rsid w:val="00DF3BD6"/>
    <w:rsid w:val="00DF594B"/>
    <w:rsid w:val="00DF5D2B"/>
    <w:rsid w:val="00DF77B1"/>
    <w:rsid w:val="00DF7B9D"/>
    <w:rsid w:val="00E00E8E"/>
    <w:rsid w:val="00E01CE7"/>
    <w:rsid w:val="00E024CA"/>
    <w:rsid w:val="00E05630"/>
    <w:rsid w:val="00E05D8D"/>
    <w:rsid w:val="00E06DBB"/>
    <w:rsid w:val="00E077FA"/>
    <w:rsid w:val="00E10121"/>
    <w:rsid w:val="00E10149"/>
    <w:rsid w:val="00E11340"/>
    <w:rsid w:val="00E11545"/>
    <w:rsid w:val="00E11C8B"/>
    <w:rsid w:val="00E1217E"/>
    <w:rsid w:val="00E122A1"/>
    <w:rsid w:val="00E13438"/>
    <w:rsid w:val="00E13992"/>
    <w:rsid w:val="00E13A22"/>
    <w:rsid w:val="00E14EE2"/>
    <w:rsid w:val="00E16372"/>
    <w:rsid w:val="00E168A8"/>
    <w:rsid w:val="00E204B3"/>
    <w:rsid w:val="00E20E4D"/>
    <w:rsid w:val="00E20ED6"/>
    <w:rsid w:val="00E21358"/>
    <w:rsid w:val="00E2249B"/>
    <w:rsid w:val="00E22A0D"/>
    <w:rsid w:val="00E22EF4"/>
    <w:rsid w:val="00E244F6"/>
    <w:rsid w:val="00E2746F"/>
    <w:rsid w:val="00E2771E"/>
    <w:rsid w:val="00E311EF"/>
    <w:rsid w:val="00E31235"/>
    <w:rsid w:val="00E32180"/>
    <w:rsid w:val="00E329C5"/>
    <w:rsid w:val="00E34948"/>
    <w:rsid w:val="00E36D61"/>
    <w:rsid w:val="00E37569"/>
    <w:rsid w:val="00E37E85"/>
    <w:rsid w:val="00E401B2"/>
    <w:rsid w:val="00E4076C"/>
    <w:rsid w:val="00E41E30"/>
    <w:rsid w:val="00E42F73"/>
    <w:rsid w:val="00E43882"/>
    <w:rsid w:val="00E43D70"/>
    <w:rsid w:val="00E44779"/>
    <w:rsid w:val="00E466F3"/>
    <w:rsid w:val="00E4702B"/>
    <w:rsid w:val="00E47B2C"/>
    <w:rsid w:val="00E51560"/>
    <w:rsid w:val="00E53FC8"/>
    <w:rsid w:val="00E54347"/>
    <w:rsid w:val="00E55424"/>
    <w:rsid w:val="00E55915"/>
    <w:rsid w:val="00E55BB5"/>
    <w:rsid w:val="00E55EFD"/>
    <w:rsid w:val="00E65E79"/>
    <w:rsid w:val="00E6653C"/>
    <w:rsid w:val="00E66BA2"/>
    <w:rsid w:val="00E67416"/>
    <w:rsid w:val="00E70035"/>
    <w:rsid w:val="00E718B6"/>
    <w:rsid w:val="00E721E3"/>
    <w:rsid w:val="00E723BA"/>
    <w:rsid w:val="00E73581"/>
    <w:rsid w:val="00E7601C"/>
    <w:rsid w:val="00E833F7"/>
    <w:rsid w:val="00E83BDF"/>
    <w:rsid w:val="00E869C9"/>
    <w:rsid w:val="00E875FB"/>
    <w:rsid w:val="00E87A1D"/>
    <w:rsid w:val="00E9094A"/>
    <w:rsid w:val="00E909E8"/>
    <w:rsid w:val="00E91D35"/>
    <w:rsid w:val="00E91EA5"/>
    <w:rsid w:val="00E926A5"/>
    <w:rsid w:val="00E932F4"/>
    <w:rsid w:val="00E956F2"/>
    <w:rsid w:val="00E97D07"/>
    <w:rsid w:val="00EA130A"/>
    <w:rsid w:val="00EA17C3"/>
    <w:rsid w:val="00EA2CAA"/>
    <w:rsid w:val="00EA3864"/>
    <w:rsid w:val="00EA7F1C"/>
    <w:rsid w:val="00EB044F"/>
    <w:rsid w:val="00EB0ABB"/>
    <w:rsid w:val="00EB15B6"/>
    <w:rsid w:val="00EB1C89"/>
    <w:rsid w:val="00EB3D06"/>
    <w:rsid w:val="00EB4916"/>
    <w:rsid w:val="00EB5A29"/>
    <w:rsid w:val="00EB5A70"/>
    <w:rsid w:val="00EC00C9"/>
    <w:rsid w:val="00EC0DD9"/>
    <w:rsid w:val="00EC12BC"/>
    <w:rsid w:val="00EC19C5"/>
    <w:rsid w:val="00EC2649"/>
    <w:rsid w:val="00EC31ED"/>
    <w:rsid w:val="00EC5836"/>
    <w:rsid w:val="00EC5A7A"/>
    <w:rsid w:val="00EC688C"/>
    <w:rsid w:val="00EC7CAE"/>
    <w:rsid w:val="00ED1A1A"/>
    <w:rsid w:val="00ED25E5"/>
    <w:rsid w:val="00ED283F"/>
    <w:rsid w:val="00ED445F"/>
    <w:rsid w:val="00ED4CC3"/>
    <w:rsid w:val="00ED57EA"/>
    <w:rsid w:val="00ED5AAB"/>
    <w:rsid w:val="00ED5BD4"/>
    <w:rsid w:val="00ED76CE"/>
    <w:rsid w:val="00EE07D3"/>
    <w:rsid w:val="00EE1996"/>
    <w:rsid w:val="00EE1C01"/>
    <w:rsid w:val="00EE2141"/>
    <w:rsid w:val="00EE22AF"/>
    <w:rsid w:val="00EE28D9"/>
    <w:rsid w:val="00EE4A92"/>
    <w:rsid w:val="00EF0171"/>
    <w:rsid w:val="00EF1B25"/>
    <w:rsid w:val="00EF1DA0"/>
    <w:rsid w:val="00EF214A"/>
    <w:rsid w:val="00EF4747"/>
    <w:rsid w:val="00EF4947"/>
    <w:rsid w:val="00EF4BF8"/>
    <w:rsid w:val="00EF734B"/>
    <w:rsid w:val="00F007DF"/>
    <w:rsid w:val="00F02253"/>
    <w:rsid w:val="00F03C2E"/>
    <w:rsid w:val="00F04A66"/>
    <w:rsid w:val="00F04B4B"/>
    <w:rsid w:val="00F0516C"/>
    <w:rsid w:val="00F067A2"/>
    <w:rsid w:val="00F075A8"/>
    <w:rsid w:val="00F0765C"/>
    <w:rsid w:val="00F07B9E"/>
    <w:rsid w:val="00F1116F"/>
    <w:rsid w:val="00F11C6F"/>
    <w:rsid w:val="00F1263A"/>
    <w:rsid w:val="00F13695"/>
    <w:rsid w:val="00F15B77"/>
    <w:rsid w:val="00F23E5A"/>
    <w:rsid w:val="00F246B2"/>
    <w:rsid w:val="00F24837"/>
    <w:rsid w:val="00F2575F"/>
    <w:rsid w:val="00F25C05"/>
    <w:rsid w:val="00F26615"/>
    <w:rsid w:val="00F266C2"/>
    <w:rsid w:val="00F27565"/>
    <w:rsid w:val="00F30E1D"/>
    <w:rsid w:val="00F310D4"/>
    <w:rsid w:val="00F312E2"/>
    <w:rsid w:val="00F31D5A"/>
    <w:rsid w:val="00F32FBF"/>
    <w:rsid w:val="00F33325"/>
    <w:rsid w:val="00F33975"/>
    <w:rsid w:val="00F33DE9"/>
    <w:rsid w:val="00F35E6D"/>
    <w:rsid w:val="00F3619A"/>
    <w:rsid w:val="00F36E5C"/>
    <w:rsid w:val="00F40AAA"/>
    <w:rsid w:val="00F40BA7"/>
    <w:rsid w:val="00F40F9D"/>
    <w:rsid w:val="00F41ACD"/>
    <w:rsid w:val="00F42370"/>
    <w:rsid w:val="00F4653A"/>
    <w:rsid w:val="00F46CB6"/>
    <w:rsid w:val="00F4756D"/>
    <w:rsid w:val="00F47B8D"/>
    <w:rsid w:val="00F47DE8"/>
    <w:rsid w:val="00F542C1"/>
    <w:rsid w:val="00F55E73"/>
    <w:rsid w:val="00F55EDA"/>
    <w:rsid w:val="00F56527"/>
    <w:rsid w:val="00F5674C"/>
    <w:rsid w:val="00F56C80"/>
    <w:rsid w:val="00F57A4B"/>
    <w:rsid w:val="00F60092"/>
    <w:rsid w:val="00F60460"/>
    <w:rsid w:val="00F61C18"/>
    <w:rsid w:val="00F65F4B"/>
    <w:rsid w:val="00F67A69"/>
    <w:rsid w:val="00F70BFF"/>
    <w:rsid w:val="00F70C9D"/>
    <w:rsid w:val="00F7293E"/>
    <w:rsid w:val="00F74CD9"/>
    <w:rsid w:val="00F80A7B"/>
    <w:rsid w:val="00F80E5D"/>
    <w:rsid w:val="00F811E0"/>
    <w:rsid w:val="00F81840"/>
    <w:rsid w:val="00F81E78"/>
    <w:rsid w:val="00F83073"/>
    <w:rsid w:val="00F845EF"/>
    <w:rsid w:val="00F84B3D"/>
    <w:rsid w:val="00F84C96"/>
    <w:rsid w:val="00F851CE"/>
    <w:rsid w:val="00F911AE"/>
    <w:rsid w:val="00F91219"/>
    <w:rsid w:val="00F92444"/>
    <w:rsid w:val="00F9393E"/>
    <w:rsid w:val="00F96FD0"/>
    <w:rsid w:val="00F97A78"/>
    <w:rsid w:val="00F97B24"/>
    <w:rsid w:val="00FA0B20"/>
    <w:rsid w:val="00FA24E7"/>
    <w:rsid w:val="00FA5EE6"/>
    <w:rsid w:val="00FA6ED6"/>
    <w:rsid w:val="00FA7956"/>
    <w:rsid w:val="00FB1ADE"/>
    <w:rsid w:val="00FB2FCB"/>
    <w:rsid w:val="00FB7808"/>
    <w:rsid w:val="00FB7B91"/>
    <w:rsid w:val="00FB7C55"/>
    <w:rsid w:val="00FC0B41"/>
    <w:rsid w:val="00FC0DDF"/>
    <w:rsid w:val="00FC1074"/>
    <w:rsid w:val="00FC1884"/>
    <w:rsid w:val="00FC18C5"/>
    <w:rsid w:val="00FC2398"/>
    <w:rsid w:val="00FC2BFA"/>
    <w:rsid w:val="00FC371D"/>
    <w:rsid w:val="00FC47E2"/>
    <w:rsid w:val="00FC4839"/>
    <w:rsid w:val="00FC515A"/>
    <w:rsid w:val="00FC5F0B"/>
    <w:rsid w:val="00FC5F9F"/>
    <w:rsid w:val="00FD0C03"/>
    <w:rsid w:val="00FD2100"/>
    <w:rsid w:val="00FD2496"/>
    <w:rsid w:val="00FD436C"/>
    <w:rsid w:val="00FD446D"/>
    <w:rsid w:val="00FD4F2C"/>
    <w:rsid w:val="00FD6394"/>
    <w:rsid w:val="00FD7ED7"/>
    <w:rsid w:val="00FE08E8"/>
    <w:rsid w:val="00FE0E6C"/>
    <w:rsid w:val="00FE115B"/>
    <w:rsid w:val="00FE1CDC"/>
    <w:rsid w:val="00FE1D05"/>
    <w:rsid w:val="00FE1D4D"/>
    <w:rsid w:val="00FE2328"/>
    <w:rsid w:val="00FE70C3"/>
    <w:rsid w:val="00FE7637"/>
    <w:rsid w:val="00FF157E"/>
    <w:rsid w:val="00FF2AD9"/>
    <w:rsid w:val="00FF359F"/>
    <w:rsid w:val="00FF3DCF"/>
    <w:rsid w:val="00FF434F"/>
    <w:rsid w:val="00FF492C"/>
    <w:rsid w:val="00FF4A21"/>
    <w:rsid w:val="00FF5AA3"/>
    <w:rsid w:val="00FF5AD8"/>
    <w:rsid w:val="00FF706D"/>
    <w:rsid w:val="00FF71C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C533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6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62D"/>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table" w:styleId="TableGrid">
    <w:name w:val="Table Grid"/>
    <w:aliases w:val="Summary box,Table Gridbeth,CMA Table Template,ASD Table"/>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8621F4"/>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200EF8"/>
    <w:pPr>
      <w:numPr>
        <w:numId w:val="2"/>
      </w:num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EE1996"/>
    <w:pPr>
      <w:keepNext/>
    </w:pPr>
    <w:rPr>
      <w:rFonts w:ascii="Arial Narrow" w:eastAsiaTheme="majorEastAsia" w:hAnsi="Arial Narrow" w:cstheme="majorBidi"/>
      <w:bCs/>
      <w:szCs w:val="24"/>
    </w:rPr>
  </w:style>
  <w:style w:type="paragraph" w:customStyle="1" w:styleId="Tableheadingrow">
    <w:name w:val="Table heading row"/>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 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5478B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478BD"/>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200EF8"/>
    <w:pPr>
      <w:numPr>
        <w:ilvl w:val="1"/>
        <w:numId w:val="4"/>
      </w:numPr>
      <w:spacing w:after="120"/>
    </w:pPr>
    <w:rPr>
      <w:rFonts w:asciiTheme="minorHAnsi" w:hAnsiTheme="minorHAnsi"/>
      <w:snapToGrid w:val="0"/>
    </w:rPr>
  </w:style>
  <w:style w:type="character" w:customStyle="1" w:styleId="ExecSumBodyTextChar">
    <w:name w:val="Exec Sum Body Text Char"/>
    <w:basedOn w:val="DefaultParagraphFont"/>
    <w:link w:val="ExecSumBodyText"/>
    <w:rsid w:val="00200EF8"/>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8621F4"/>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621F4"/>
    <w:rPr>
      <w:rFonts w:asciiTheme="minorHAnsi" w:eastAsiaTheme="majorEastAsia" w:hAnsiTheme="minorHAnsi" w:cstheme="majorBidi"/>
      <w:b/>
      <w:color w:val="000000" w:themeColor="text1"/>
      <w:sz w:val="28"/>
      <w:szCs w:val="28"/>
    </w:rPr>
  </w:style>
  <w:style w:type="paragraph" w:styleId="ListBullet">
    <w:name w:val="List Bullet"/>
    <w:basedOn w:val="Normal"/>
    <w:semiHidden/>
    <w:unhideWhenUsed/>
    <w:rsid w:val="00EE1996"/>
    <w:pPr>
      <w:numPr>
        <w:numId w:val="3"/>
      </w:numPr>
      <w:contextualSpacing/>
    </w:pPr>
  </w:style>
  <w:style w:type="character" w:customStyle="1" w:styleId="TableTextChar">
    <w:name w:val="Table Text Char"/>
    <w:basedOn w:val="DefaultParagraphFont"/>
    <w:link w:val="TableText"/>
    <w:rsid w:val="00EE1996"/>
    <w:rPr>
      <w:rFonts w:ascii="Arial Narrow" w:eastAsiaTheme="majorEastAsia" w:hAnsi="Arial Narrow" w:cstheme="majorBidi"/>
      <w:bCs/>
      <w:szCs w:val="24"/>
    </w:rPr>
  </w:style>
  <w:style w:type="paragraph" w:styleId="Header">
    <w:name w:val="header"/>
    <w:aliases w:val="Page Header,Header title,he=header,cntr/bld"/>
    <w:basedOn w:val="Normal"/>
    <w:link w:val="HeaderChar"/>
    <w:uiPriority w:val="99"/>
    <w:unhideWhenUsed/>
    <w:qFormat/>
    <w:rsid w:val="00ED1A1A"/>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ED1A1A"/>
    <w:rPr>
      <w:rFonts w:ascii="Calibri" w:hAnsi="Calibri" w:cs="Arial"/>
      <w:sz w:val="24"/>
      <w:szCs w:val="24"/>
    </w:rPr>
  </w:style>
  <w:style w:type="paragraph" w:styleId="Footer">
    <w:name w:val="footer"/>
    <w:basedOn w:val="Normal"/>
    <w:link w:val="FooterChar"/>
    <w:uiPriority w:val="99"/>
    <w:unhideWhenUsed/>
    <w:rsid w:val="00ED1A1A"/>
    <w:pPr>
      <w:tabs>
        <w:tab w:val="center" w:pos="4513"/>
        <w:tab w:val="right" w:pos="9026"/>
      </w:tabs>
    </w:pPr>
  </w:style>
  <w:style w:type="character" w:customStyle="1" w:styleId="FooterChar">
    <w:name w:val="Footer Char"/>
    <w:basedOn w:val="DefaultParagraphFont"/>
    <w:link w:val="Footer"/>
    <w:uiPriority w:val="99"/>
    <w:rsid w:val="00ED1A1A"/>
    <w:rPr>
      <w:rFonts w:ascii="Calibri" w:hAnsi="Calibri" w:cs="Arial"/>
      <w:sz w:val="24"/>
      <w:szCs w:val="24"/>
    </w:rPr>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72"/>
    <w:qFormat/>
    <w:rsid w:val="00E869C9"/>
    <w:pPr>
      <w:ind w:left="720"/>
      <w:contextualSpacing/>
    </w:pPr>
  </w:style>
  <w:style w:type="paragraph" w:customStyle="1" w:styleId="PBACTabletext">
    <w:name w:val="PBAC Table text"/>
    <w:basedOn w:val="Normal"/>
    <w:link w:val="PBACTabletextChar"/>
    <w:rsid w:val="00FD2496"/>
    <w:pPr>
      <w:spacing w:after="80"/>
      <w:jc w:val="left"/>
    </w:pPr>
    <w:rPr>
      <w:rFonts w:ascii="Arial Narrow" w:eastAsiaTheme="minorHAnsi" w:hAnsi="Arial Narrow"/>
      <w:sz w:val="20"/>
      <w:szCs w:val="20"/>
      <w:lang w:eastAsia="en-US"/>
    </w:rPr>
  </w:style>
  <w:style w:type="character" w:customStyle="1" w:styleId="PBACTabletextChar">
    <w:name w:val="PBAC Table text Char"/>
    <w:basedOn w:val="DefaultParagraphFont"/>
    <w:link w:val="PBACTabletext"/>
    <w:rsid w:val="00FD2496"/>
    <w:rPr>
      <w:rFonts w:ascii="Arial Narrow" w:eastAsiaTheme="minorHAnsi" w:hAnsi="Arial Narrow" w:cs="Arial"/>
      <w:lang w:eastAsia="en-US"/>
    </w:rPr>
  </w:style>
  <w:style w:type="paragraph" w:customStyle="1" w:styleId="PbacTableHeading">
    <w:name w:val="Pbac Table Heading"/>
    <w:basedOn w:val="PBACTabletext"/>
    <w:qFormat/>
    <w:rsid w:val="00FD2496"/>
    <w:rPr>
      <w:b/>
    </w:rPr>
  </w:style>
  <w:style w:type="paragraph" w:customStyle="1" w:styleId="PBACTableText0">
    <w:name w:val="PBAC Table Text"/>
    <w:basedOn w:val="Normal"/>
    <w:link w:val="PBACTableTextChar0"/>
    <w:qFormat/>
    <w:rsid w:val="00FD2496"/>
    <w:pPr>
      <w:spacing w:before="40" w:after="40"/>
      <w:jc w:val="left"/>
    </w:pPr>
    <w:rPr>
      <w:rFonts w:ascii="Arial Narrow" w:hAnsi="Arial Narrow" w:cs="Times New Roman"/>
      <w:sz w:val="20"/>
      <w:szCs w:val="20"/>
      <w:lang w:eastAsia="en-US"/>
    </w:rPr>
  </w:style>
  <w:style w:type="character" w:customStyle="1" w:styleId="PBACTableTextChar0">
    <w:name w:val="PBAC Table Text Char"/>
    <w:basedOn w:val="DefaultParagraphFont"/>
    <w:link w:val="PBACTableText0"/>
    <w:rsid w:val="00FD2496"/>
    <w:rPr>
      <w:rFonts w:ascii="Arial Narrow" w:hAnsi="Arial Narrow"/>
      <w:lang w:eastAsia="en-US"/>
    </w:rPr>
  </w:style>
  <w:style w:type="paragraph" w:styleId="FootnoteText">
    <w:name w:val="footnote text"/>
    <w:basedOn w:val="Normal"/>
    <w:link w:val="FootnoteTextChar"/>
    <w:semiHidden/>
    <w:unhideWhenUsed/>
    <w:rsid w:val="001A36C5"/>
    <w:rPr>
      <w:sz w:val="20"/>
      <w:szCs w:val="20"/>
    </w:rPr>
  </w:style>
  <w:style w:type="character" w:customStyle="1" w:styleId="FootnoteTextChar">
    <w:name w:val="Footnote Text Char"/>
    <w:basedOn w:val="DefaultParagraphFont"/>
    <w:link w:val="FootnoteText"/>
    <w:semiHidden/>
    <w:rsid w:val="001A36C5"/>
    <w:rPr>
      <w:rFonts w:ascii="Calibri" w:hAnsi="Calibri" w:cs="Arial"/>
    </w:rPr>
  </w:style>
  <w:style w:type="character" w:styleId="FootnoteReference">
    <w:name w:val="footnote reference"/>
    <w:basedOn w:val="DefaultParagraphFont"/>
    <w:semiHidden/>
    <w:unhideWhenUsed/>
    <w:rsid w:val="001A36C5"/>
    <w:rPr>
      <w:vertAlign w:val="superscript"/>
    </w:rPr>
  </w:style>
  <w:style w:type="paragraph" w:customStyle="1" w:styleId="TableHeading">
    <w:name w:val="Table Heading"/>
    <w:basedOn w:val="Normal"/>
    <w:link w:val="TableHeadingChar"/>
    <w:qFormat/>
    <w:rsid w:val="00AE2B0C"/>
    <w:pPr>
      <w:keepNext/>
      <w:spacing w:after="60"/>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
    <w:rsid w:val="00AE2B0C"/>
    <w:rPr>
      <w:rFonts w:ascii="Arial Narrow" w:eastAsiaTheme="minorHAnsi" w:hAnsi="Arial Narrow" w:cstheme="minorBidi"/>
      <w:b/>
      <w:szCs w:val="22"/>
      <w:lang w:eastAsia="en-US"/>
    </w:rPr>
  </w:style>
  <w:style w:type="character" w:styleId="CommentReference">
    <w:name w:val="annotation reference"/>
    <w:aliases w:val="Table Title"/>
    <w:basedOn w:val="DefaultParagraphFont"/>
    <w:uiPriority w:val="69"/>
    <w:unhideWhenUsed/>
    <w:qFormat/>
    <w:rsid w:val="00AE2B0C"/>
    <w:rPr>
      <w:sz w:val="16"/>
      <w:szCs w:val="16"/>
    </w:rPr>
  </w:style>
  <w:style w:type="paragraph" w:styleId="BodyText">
    <w:name w:val="Body Text"/>
    <w:basedOn w:val="Normal"/>
    <w:link w:val="BodyTextChar"/>
    <w:uiPriority w:val="1"/>
    <w:qFormat/>
    <w:rsid w:val="001F50D1"/>
    <w:pPr>
      <w:autoSpaceDE w:val="0"/>
      <w:autoSpaceDN w:val="0"/>
      <w:adjustRightInd w:val="0"/>
      <w:jc w:val="left"/>
    </w:pPr>
    <w:rPr>
      <w:rFonts w:ascii="Arial" w:hAnsi="Arial"/>
      <w:b/>
      <w:bCs/>
      <w:sz w:val="14"/>
      <w:szCs w:val="14"/>
    </w:rPr>
  </w:style>
  <w:style w:type="character" w:customStyle="1" w:styleId="BodyTextChar">
    <w:name w:val="Body Text Char"/>
    <w:basedOn w:val="DefaultParagraphFont"/>
    <w:link w:val="BodyText"/>
    <w:uiPriority w:val="1"/>
    <w:rsid w:val="001F50D1"/>
    <w:rPr>
      <w:rFonts w:ascii="Arial" w:hAnsi="Arial" w:cs="Arial"/>
      <w:b/>
      <w:bCs/>
      <w:sz w:val="14"/>
      <w:szCs w:val="14"/>
    </w:rPr>
  </w:style>
  <w:style w:type="paragraph" w:customStyle="1" w:styleId="Tabletext0">
    <w:name w:val="Table text"/>
    <w:basedOn w:val="Normal"/>
    <w:link w:val="TabletextChar0"/>
    <w:uiPriority w:val="99"/>
    <w:qFormat/>
    <w:rsid w:val="007B0F10"/>
    <w:pPr>
      <w:jc w:val="left"/>
    </w:pPr>
    <w:rPr>
      <w:rFonts w:ascii="Arial Narrow" w:hAnsi="Arial Narrow" w:cs="Times New Roman"/>
      <w:sz w:val="20"/>
      <w:szCs w:val="22"/>
      <w:lang w:eastAsia="en-US"/>
    </w:rPr>
  </w:style>
  <w:style w:type="character" w:customStyle="1" w:styleId="TabletextChar0">
    <w:name w:val="Table text Char"/>
    <w:link w:val="Tabletext0"/>
    <w:uiPriority w:val="99"/>
    <w:rsid w:val="007B0F10"/>
    <w:rPr>
      <w:rFonts w:ascii="Arial Narrow" w:hAnsi="Arial Narrow"/>
      <w:szCs w:val="22"/>
      <w:lang w:eastAsia="en-US"/>
    </w:rPr>
  </w:style>
  <w:style w:type="paragraph" w:styleId="CommentText">
    <w:name w:val="annotation text"/>
    <w:basedOn w:val="Normal"/>
    <w:link w:val="CommentTextChar"/>
    <w:uiPriority w:val="99"/>
    <w:unhideWhenUsed/>
    <w:rsid w:val="000540A9"/>
    <w:rPr>
      <w:sz w:val="20"/>
      <w:szCs w:val="20"/>
    </w:rPr>
  </w:style>
  <w:style w:type="character" w:customStyle="1" w:styleId="CommentTextChar">
    <w:name w:val="Comment Text Char"/>
    <w:basedOn w:val="DefaultParagraphFont"/>
    <w:link w:val="CommentText"/>
    <w:uiPriority w:val="99"/>
    <w:rsid w:val="000540A9"/>
    <w:rPr>
      <w:rFonts w:ascii="Calibri" w:hAnsi="Calibri" w:cs="Arial"/>
    </w:rPr>
  </w:style>
  <w:style w:type="paragraph" w:styleId="CommentSubject">
    <w:name w:val="annotation subject"/>
    <w:basedOn w:val="CommentText"/>
    <w:next w:val="CommentText"/>
    <w:link w:val="CommentSubjectChar"/>
    <w:semiHidden/>
    <w:unhideWhenUsed/>
    <w:rsid w:val="000540A9"/>
    <w:rPr>
      <w:b/>
      <w:bCs/>
    </w:rPr>
  </w:style>
  <w:style w:type="character" w:customStyle="1" w:styleId="CommentSubjectChar">
    <w:name w:val="Comment Subject Char"/>
    <w:basedOn w:val="CommentTextChar"/>
    <w:link w:val="CommentSubject"/>
    <w:semiHidden/>
    <w:rsid w:val="000540A9"/>
    <w:rPr>
      <w:rFonts w:ascii="Calibri" w:hAnsi="Calibri" w:cs="Arial"/>
      <w:b/>
      <w:bCs/>
    </w:rPr>
  </w:style>
  <w:style w:type="paragraph" w:customStyle="1" w:styleId="PBACHeading1">
    <w:name w:val="PBAC Heading 1"/>
    <w:qFormat/>
    <w:rsid w:val="001409B3"/>
    <w:pPr>
      <w:ind w:left="720" w:hanging="720"/>
      <w:outlineLvl w:val="0"/>
    </w:pPr>
    <w:rPr>
      <w:rFonts w:ascii="Arial" w:hAnsi="Arial" w:cs="Arial"/>
      <w:b/>
      <w:snapToGrid w:val="0"/>
      <w:sz w:val="22"/>
      <w:szCs w:val="22"/>
      <w:lang w:eastAsia="en-US"/>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72"/>
    <w:qFormat/>
    <w:locked/>
    <w:rsid w:val="001409B3"/>
    <w:rPr>
      <w:rFonts w:ascii="Calibri" w:hAnsi="Calibri" w:cs="Arial"/>
      <w:sz w:val="24"/>
      <w:szCs w:val="24"/>
    </w:rPr>
  </w:style>
  <w:style w:type="paragraph" w:styleId="NoSpacing">
    <w:name w:val="No Spacing"/>
    <w:basedOn w:val="Normal"/>
    <w:uiPriority w:val="1"/>
    <w:qFormat/>
    <w:rsid w:val="00651F4C"/>
    <w:rPr>
      <w:rFonts w:ascii="Arial" w:hAnsi="Arial" w:cs="Times New Roman"/>
      <w:sz w:val="22"/>
      <w:szCs w:val="22"/>
    </w:rPr>
  </w:style>
  <w:style w:type="paragraph" w:customStyle="1" w:styleId="3-BodyText">
    <w:name w:val="3-Body Text"/>
    <w:basedOn w:val="ListParagraph"/>
    <w:qFormat/>
    <w:rsid w:val="003D12B4"/>
    <w:pPr>
      <w:spacing w:after="120"/>
      <w:ind w:hanging="720"/>
      <w:contextualSpacing w:val="0"/>
    </w:pPr>
    <w:rPr>
      <w:rFonts w:asciiTheme="minorHAnsi" w:hAnsiTheme="minorHAnsi"/>
      <w:i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725645725">
      <w:bodyDiv w:val="1"/>
      <w:marLeft w:val="0"/>
      <w:marRight w:val="0"/>
      <w:marTop w:val="0"/>
      <w:marBottom w:val="0"/>
      <w:divBdr>
        <w:top w:val="none" w:sz="0" w:space="0" w:color="auto"/>
        <w:left w:val="none" w:sz="0" w:space="0" w:color="auto"/>
        <w:bottom w:val="none" w:sz="0" w:space="0" w:color="auto"/>
        <w:right w:val="none" w:sz="0" w:space="0" w:color="auto"/>
      </w:divBdr>
    </w:div>
    <w:div w:id="836724491">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25092">
      <w:bodyDiv w:val="1"/>
      <w:marLeft w:val="0"/>
      <w:marRight w:val="0"/>
      <w:marTop w:val="0"/>
      <w:marBottom w:val="0"/>
      <w:divBdr>
        <w:top w:val="none" w:sz="0" w:space="0" w:color="auto"/>
        <w:left w:val="none" w:sz="0" w:space="0" w:color="auto"/>
        <w:bottom w:val="none" w:sz="0" w:space="0" w:color="auto"/>
        <w:right w:val="none" w:sz="0" w:space="0" w:color="auto"/>
      </w:divBdr>
    </w:div>
    <w:div w:id="1479613337">
      <w:bodyDiv w:val="1"/>
      <w:marLeft w:val="0"/>
      <w:marRight w:val="0"/>
      <w:marTop w:val="0"/>
      <w:marBottom w:val="0"/>
      <w:divBdr>
        <w:top w:val="none" w:sz="0" w:space="0" w:color="auto"/>
        <w:left w:val="none" w:sz="0" w:space="0" w:color="auto"/>
        <w:bottom w:val="none" w:sz="0" w:space="0" w:color="auto"/>
        <w:right w:val="none" w:sz="0" w:space="0" w:color="auto"/>
      </w:divBdr>
    </w:div>
    <w:div w:id="1945071901">
      <w:bodyDiv w:val="1"/>
      <w:marLeft w:val="0"/>
      <w:marRight w:val="0"/>
      <w:marTop w:val="0"/>
      <w:marBottom w:val="0"/>
      <w:divBdr>
        <w:top w:val="none" w:sz="0" w:space="0" w:color="auto"/>
        <w:left w:val="none" w:sz="0" w:space="0" w:color="auto"/>
        <w:bottom w:val="none" w:sz="0" w:space="0" w:color="auto"/>
        <w:right w:val="none" w:sz="0" w:space="0" w:color="auto"/>
      </w:divBdr>
      <w:divsChild>
        <w:div w:id="776295855">
          <w:marLeft w:val="1080"/>
          <w:marRight w:val="0"/>
          <w:marTop w:val="100"/>
          <w:marBottom w:val="0"/>
          <w:divBdr>
            <w:top w:val="none" w:sz="0" w:space="0" w:color="auto"/>
            <w:left w:val="none" w:sz="0" w:space="0" w:color="auto"/>
            <w:bottom w:val="none" w:sz="0" w:space="0" w:color="auto"/>
            <w:right w:val="none" w:sz="0" w:space="0" w:color="auto"/>
          </w:divBdr>
        </w:div>
        <w:div w:id="1924289938">
          <w:marLeft w:val="1800"/>
          <w:marRight w:val="0"/>
          <w:marTop w:val="100"/>
          <w:marBottom w:val="0"/>
          <w:divBdr>
            <w:top w:val="none" w:sz="0" w:space="0" w:color="auto"/>
            <w:left w:val="none" w:sz="0" w:space="0" w:color="auto"/>
            <w:bottom w:val="none" w:sz="0" w:space="0" w:color="auto"/>
            <w:right w:val="none" w:sz="0" w:space="0" w:color="auto"/>
          </w:divBdr>
        </w:div>
        <w:div w:id="954554577">
          <w:marLeft w:val="1800"/>
          <w:marRight w:val="0"/>
          <w:marTop w:val="10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012FD-49C8-4A70-976B-9E239FB64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12725</Words>
  <Characters>90738</Characters>
  <Application>Microsoft Office Word</Application>
  <DocSecurity>0</DocSecurity>
  <Lines>756</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2021-03-04T00:00:00Z</dcterms:created>
  <dcterms:modified xsi:type="dcterms:W3CDTF">2021-03-04T00:00:00Z</dcterms:modified>
</cp:coreProperties>
</file>